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14="http://schemas.microsoft.com/office/word/2010/wordprocessingDrawing" xmlns:w14="http://schemas.microsoft.com/office/word/2010/wordml" xmlns:mc="http://schemas.openxmlformats.org/markup-compatibility/2006" xmlns:r="http://schemas.openxmlformats.org/officeDocument/2006/relationships" xmlns:w="http://schemas.openxmlformats.org/wordprocessingml/2006/main" mc:Ignorable="w14 wp14">
  <w:body>
    <w:p>
      <w:pPr>
        <w:widowControl/>
        <w:spacing w:before="1440"/>
        <w:jc w:val="center"/>
      </w:pPr>
      <w:r>
        <w:rPr>
          <w:b/>
          <w:color w:val="00A4EF"/>
          <w:sz w:val="32"/>
        </w:rPr>
        <w:t>PLAYERIQ</w:t>
      </w:r>
    </w:p>
    <w:p>
      <w:pPr>
        <w:pStyle w:val="Title"/>
        <w:widowControl/>
        <w:jc w:val="center"/>
      </w:pPr>
      <w:r>
        <w:t>AI Soccer Development Copilot</w:t>
      </w:r>
    </w:p>
    <w:p>
      <w:pPr>
        <w:widowControl/>
        <w:jc w:val="center"/>
      </w:pPr>
      <w:r>
        <w:rPr>
          <w:color w:val="5B6573"/>
          <w:sz w:val="34"/>
        </w:rPr>
        <w:t>Product and Technical Specification</w:t>
      </w:r>
    </w:p>
    <w:tbl>
      <w:tblPr>
        <w:tblW w:type="auto" w:w="0"/>
        <w:jc w:val="center"/>
        <w:tblLayout w:type="fixed"/>
        <w:tblLook w:firstColumn="1" w:firstRow="1" w:lastColumn="0" w:lastRow="0" w:noHBand="0" w:noVBand="1" w:val="04A0"/>
      </w:tblPr>
      <w:tblGrid>
        <w:gridCol w:w="9072"/>
      </w:tblGrid>
      <w:tr>
        <w:tc>
          <w:tcPr>
            <w:tcW w:type="dxa" w:w="9994"/>
            <w:shd w:fill="EAF2F8" w:val="clear"/>
            <w:tcMar>
              <w:top w:w="240" w:type="dxa"/>
              <w:start w:w="280" w:type="dxa"/>
              <w:bottom w:w="240" w:type="dxa"/>
              <w:end w:w="280" w:type="dxa"/>
            </w:tcMar>
          </w:tcPr>
          <w:p>
            <w:pPr>
              <w:spacing w:after="40" w:line="245" w:lineRule="auto"/>
              <w:jc w:val="center"/>
            </w:pPr>
            <w:r>
              <w:rPr>
                <w:rFonts w:ascii="Aptos" w:hAnsi="Aptos"/>
                <w:b/>
                <w:color w:val="17365D"/>
                <w:sz w:val="17"/>
              </w:rPr>
              <w:t>Vision</w:t>
            </w:r>
          </w:p>
          <w:p>
            <w:pPr>
              <w:spacing w:after="40" w:line="245" w:lineRule="auto"/>
              <w:jc w:val="center"/>
            </w:pPr>
            <w:r>
              <w:rPr>
                <w:rFonts w:ascii="Aptos" w:hAnsi="Aptos"/>
                <w:sz w:val="17"/>
              </w:rPr>
              <w:t>Turn uploaded match footage into evidence-grounded player insights, conversational coaching, personalized drills, and measurable development over time.</w:t>
            </w:r>
          </w:p>
        </w:tc>
      </w:tr>
    </w:tbl>
    <w:p>
      <w:pPr>
        <w:widowControl/>
      </w:pPr>
    </w:p>
    <w:tbl>
      <w:tblPr>
        <w:tblW w:type="auto" w:w="0"/>
        <w:jc w:val="center"/>
        <w:tblLayout w:type="fixed"/>
        <w:tblLook w:firstColumn="1" w:firstRow="1" w:lastColumn="0" w:lastRow="0" w:noHBand="0" w:noVBand="1" w:val="04A0"/>
      </w:tblPr>
      <w:tblGrid>
        <w:gridCol w:w="2880"/>
        <w:gridCol w:w="6192"/>
      </w:tblGrid>
      <w:tr>
        <w:tc>
          <w:tcPr>
            <w:tcW w:type="dxa" w:w="4997"/>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Document status</w:t>
            </w:r>
          </w:p>
        </w:tc>
        <w:tc>
          <w:tcPr>
            <w:tcW w:type="dxa" w:w="4997"/>
            <w:tcMar>
              <w:top w:w="100" w:type="dxa"/>
              <w:start w:w="120" w:type="dxa"/>
              <w:bottom w:w="100" w:type="dxa"/>
              <w:end w:w="120" w:type="dxa"/>
            </w:tcMar>
            <w:vAlign w:val="center"/>
          </w:tcPr>
          <w:p>
            <w:r>
              <w:t>Revised concept specification</w:t>
            </w:r>
          </w:p>
        </w:tc>
      </w:tr>
      <w:tr>
        <w:tc>
          <w:tcPr>
            <w:tcW w:type="dxa" w:w="4997"/>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Version</w:t>
            </w:r>
          </w:p>
        </w:tc>
        <w:tc>
          <w:tcPr>
            <w:tcW w:type="dxa" w:w="4997"/>
            <w:tcMar>
              <w:top w:w="100" w:type="dxa"/>
              <w:start w:w="120" w:type="dxa"/>
              <w:bottom w:w="100" w:type="dxa"/>
              <w:end w:w="120" w:type="dxa"/>
            </w:tcMar>
            <w:vAlign w:val="center"/>
          </w:tcPr>
          <w:p>
            <w:r>
              <w:t>1.1</w:t>
            </w:r>
          </w:p>
        </w:tc>
      </w:tr>
      <w:tr>
        <w:tc>
          <w:tcPr>
            <w:tcW w:type="dxa" w:w="4997"/>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Date</w:t>
            </w:r>
          </w:p>
        </w:tc>
        <w:tc>
          <w:tcPr>
            <w:tcW w:type="dxa" w:w="4997"/>
            <w:tcMar>
              <w:top w:w="100" w:type="dxa"/>
              <w:start w:w="120" w:type="dxa"/>
              <w:bottom w:w="100" w:type="dxa"/>
              <w:end w:w="120" w:type="dxa"/>
            </w:tcMar>
            <w:vAlign w:val="center"/>
          </w:tcPr>
          <w:p>
            <w:pPr>
              <w:spacing w:after="40" w:line="245" w:lineRule="auto"/>
            </w:pPr>
            <w:r>
              <w:rPr>
                <w:rFonts w:ascii="Aptos" w:hAnsi="Aptos"/>
                <w:sz w:val="17"/>
              </w:rPr>
              <w:t>September 17, 2026</w:t>
            </w:r>
          </w:p>
        </w:tc>
      </w:tr>
      <w:tr>
        <w:tc>
          <w:tcPr>
            <w:tcW w:type="dxa" w:w="4997"/>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Target platform</w:t>
            </w:r>
          </w:p>
        </w:tc>
        <w:tc>
          <w:tcPr>
            <w:tcW w:type="dxa" w:w="4997"/>
            <w:tcMar>
              <w:top w:w="100" w:type="dxa"/>
              <w:start w:w="120" w:type="dxa"/>
              <w:bottom w:w="100" w:type="dxa"/>
              <w:end w:w="120" w:type="dxa"/>
            </w:tcMar>
            <w:vAlign w:val="center"/>
          </w:tcPr>
          <w:p>
            <w:pPr>
              <w:spacing w:after="40" w:line="245" w:lineRule="auto"/>
            </w:pPr>
            <w:r>
              <w:rPr>
                <w:rFonts w:ascii="Aptos" w:hAnsi="Aptos"/>
                <w:sz w:val="17"/>
              </w:rPr>
              <w:t>Microsoft Foundry + Azure Container Apps</w:t>
            </w:r>
          </w:p>
        </w:tc>
      </w:tr>
    </w:tbl>
    <w:p>
      <w:pPr>
        <w:widowControl/>
        <w:spacing w:before="1200"/>
        <w:jc w:val="center"/>
      </w:pPr>
      <w:r>
        <w:rPr>
          <w:b/>
          <w:color w:val="5B6573"/>
          <w:sz w:val="18"/>
        </w:rPr>
        <w:t>CONFIDENTIAL - PRODUCT CONCEPT</w:t>
      </w:r>
    </w:p>
    <w:p>
      <w:pPr>
        <w:widowControl/>
      </w:pPr>
      <w:r>
        <w:br w:type="page"/>
      </w:r>
    </w:p>
    <w:p>
      <w:pPr>
        <w:pStyle w:val="Heading1"/>
        <w:widowControl/>
      </w:pPr>
      <w:r>
        <w:t>1. Executive Summary</w:t>
      </w:r>
    </w:p>
    <w:tbl>
      <w:tblPr>
        <w:tblW w:type="auto" w:w="0"/>
        <w:jc w:val="center"/>
        <w:tblLayout w:type="fixed"/>
        <w:tblLook w:firstColumn="1" w:firstRow="1" w:lastColumn="0" w:lastRow="0" w:noHBand="0" w:noVBand="1" w:val="04A0"/>
      </w:tblPr>
      <w:tblGrid>
        <w:gridCol w:w="9936"/>
      </w:tblGrid>
      <w:tr>
        <w:tc>
          <w:tcPr>
            <w:tcW w:type="dxa" w:w="9994"/>
            <w:shd w:fill="EAF2F8" w:val="clear"/>
            <w:tcMar>
              <w:top w:w="160" w:type="dxa"/>
              <w:start w:w="220" w:type="dxa"/>
              <w:bottom w:w="160" w:type="dxa"/>
              <w:end w:w="220" w:type="dxa"/>
            </w:tcMar>
          </w:tcPr>
          <w:p>
            <w:pPr>
              <w:spacing w:after="40" w:line="245" w:lineRule="auto"/>
            </w:pPr>
            <w:r>
              <w:rPr>
                <w:rFonts w:ascii="Aptos" w:hAnsi="Aptos"/>
                <w:b/>
                <w:color w:val="17365D"/>
                <w:sz w:val="17"/>
              </w:rPr>
              <w:t xml:space="preserve">Recommended architecture:  </w:t>
            </w:r>
            <w:r>
              <w:rPr>
                <w:rFonts w:ascii="Aptos" w:hAnsi="Aptos"/>
                <w:sz w:val="17"/>
              </w:rPr>
              <w:t>Azure Container Apps hosts the production application and processing services. Microsoft Foundry Agent Service hosts the reasoning and coaching experience. Specialized computer-vision models provide measurements. The application must not rely on an LLM as its primary measurement engine.</w:t>
            </w:r>
          </w:p>
        </w:tc>
      </w:tr>
    </w:tbl>
    <w:p>
      <w:pPr>
        <w:widowControl/>
        <w:spacing w:after="20"/>
      </w:pPr>
    </w:p>
    <w:p>
      <w:pPr>
        <w:widowControl/>
      </w:pPr>
      <w:r>
        <w:t>PlayerIQ is a cloud-native platform for competitive youth players, academies, coaches, and parents. Users upload ordinary match or training footage, identify a player, and receive timestamped technical and tactical observations, explanations of decision quality, personalized drills, and progress tracking across matches.</w:t>
      </w:r>
    </w:p>
    <w:p>
      <w:pPr/>
      <w:r>
        <w:t>Revision emphasis: this draft tightens the MVP boundary, business assumptions, consent model, no-result behavior, evaluation thresholds, and operational cost controls so the concept can move from architecture narrative to build-ready product specification.</w:t>
      </w:r>
    </w:p>
    <w:p>
      <w:pPr>
        <w:pStyle w:val="Heading2"/>
        <w:widowControl/>
      </w:pPr>
      <w:r>
        <w:t>Key decisions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Decision area</w:t>
            </w:r>
          </w:p>
        </w:tc>
        <w:tc>
          <w:tcPr>
            <w:tcW w:type="dxa" w:w="7488"/>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Recommendation</w:t>
            </w:r>
          </w:p>
        </w:tc>
      </w:tr>
      <w:tr>
        <w:trPr>
          <w:cantSplit/>
        </w:trPr>
        <w:tc>
          <w:tcPr>
            <w:tcW w:type="dxa" w:w="2160"/>
            <w:tcMar>
              <w:top w:w="100" w:type="dxa"/>
              <w:start w:w="120" w:type="dxa"/>
              <w:bottom w:w="100" w:type="dxa"/>
              <w:end w:w="120" w:type="dxa"/>
            </w:tcMar>
            <w:vAlign w:val="center"/>
          </w:tcPr>
          <w:p>
            <w:pPr>
              <w:spacing w:after="40" w:line="245" w:lineRule="auto"/>
            </w:pPr>
            <w:r>
              <w:rPr>
                <w:rFonts w:ascii="Aptos" w:hAnsi="Aptos"/>
                <w:sz w:val="17"/>
              </w:rPr>
              <w:t>Application hosting</w:t>
            </w:r>
          </w:p>
        </w:tc>
        <w:tc>
          <w:tcPr>
            <w:tcW w:type="dxa" w:w="7488"/>
            <w:tcMar>
              <w:top w:w="100" w:type="dxa"/>
              <w:start w:w="120" w:type="dxa"/>
              <w:bottom w:w="100" w:type="dxa"/>
              <w:end w:w="120" w:type="dxa"/>
            </w:tcMar>
            <w:vAlign w:val="center"/>
          </w:tcPr>
          <w:p>
            <w:pPr>
              <w:spacing w:after="40" w:line="245" w:lineRule="auto"/>
            </w:pPr>
            <w:r>
              <w:rPr>
                <w:rFonts w:ascii="Aptos" w:hAnsi="Aptos"/>
                <w:sz w:val="17"/>
              </w:rPr>
              <w:t>Azure Container Apps for frontend APIs, workflow services, and asynchronous workers.</w:t>
            </w:r>
          </w:p>
        </w:tc>
      </w:tr>
      <w:tr>
        <w:trPr>
          <w:cantSplit/>
        </w:trPr>
        <w:tc>
          <w:tcPr>
            <w:tcW w:type="dxa" w:w="2160"/>
            <w:shd w:fill="F5F8FB" w:val="clear"/>
            <w:tcMar>
              <w:top w:w="100" w:type="dxa"/>
              <w:start w:w="120" w:type="dxa"/>
              <w:bottom w:w="100" w:type="dxa"/>
              <w:end w:w="120" w:type="dxa"/>
            </w:tcMar>
            <w:vAlign w:val="center"/>
          </w:tcPr>
          <w:p>
            <w:pPr>
              <w:spacing w:after="40" w:line="245" w:lineRule="auto"/>
            </w:pPr>
            <w:r>
              <w:rPr>
                <w:rFonts w:ascii="Aptos" w:hAnsi="Aptos"/>
                <w:sz w:val="17"/>
              </w:rPr>
              <w:t>Agent platform</w:t>
            </w:r>
          </w:p>
        </w:tc>
        <w:tc>
          <w:tcPr>
            <w:tcW w:type="dxa" w:w="7488"/>
            <w:shd w:fill="F5F8FB" w:val="clear"/>
            <w:tcMar>
              <w:top w:w="100" w:type="dxa"/>
              <w:start w:w="120" w:type="dxa"/>
              <w:bottom w:w="100" w:type="dxa"/>
              <w:end w:w="120" w:type="dxa"/>
            </w:tcMar>
            <w:vAlign w:val="center"/>
          </w:tcPr>
          <w:p>
            <w:pPr>
              <w:spacing w:after="40" w:line="245" w:lineRule="auto"/>
            </w:pPr>
            <w:r>
              <w:rPr>
                <w:rFonts w:ascii="Aptos" w:hAnsi="Aptos"/>
                <w:sz w:val="17"/>
              </w:rPr>
              <w:t>Microsoft Foundry Agent Service, starting with one hosted agent and evolving to three logical agents.</w:t>
            </w:r>
          </w:p>
        </w:tc>
      </w:tr>
      <w:tr>
        <w:trPr>
          <w:cantSplit/>
        </w:trPr>
        <w:tc>
          <w:tcPr>
            <w:tcW w:type="dxa" w:w="2160"/>
            <w:tcMar>
              <w:top w:w="100" w:type="dxa"/>
              <w:start w:w="120" w:type="dxa"/>
              <w:bottom w:w="100" w:type="dxa"/>
              <w:end w:w="120" w:type="dxa"/>
            </w:tcMar>
            <w:vAlign w:val="center"/>
          </w:tcPr>
          <w:p>
            <w:pPr>
              <w:spacing w:after="40" w:line="245" w:lineRule="auto"/>
            </w:pPr>
            <w:r>
              <w:rPr>
                <w:rFonts w:ascii="Aptos" w:hAnsi="Aptos"/>
                <w:sz w:val="17"/>
              </w:rPr>
              <w:t>Language models</w:t>
            </w:r>
          </w:p>
        </w:tc>
        <w:tc>
          <w:tcPr>
            <w:tcW w:type="dxa" w:w="7488"/>
            <w:tcMar>
              <w:top w:w="100" w:type="dxa"/>
              <w:start w:w="120" w:type="dxa"/>
              <w:bottom w:w="100" w:type="dxa"/>
              <w:end w:w="120" w:type="dxa"/>
            </w:tcMar>
            <w:vAlign w:val="center"/>
          </w:tcPr>
          <w:p>
            <w:pPr>
              <w:spacing w:after="40" w:line="245" w:lineRule="auto"/>
            </w:pPr>
            <w:r>
              <w:rPr>
                <w:rFonts w:ascii="Aptos" w:hAnsi="Aptos"/>
                <w:sz w:val="17"/>
              </w:rPr>
              <w:t>Managed multimodal reasoning model for interpretation; smaller model for summarization and formatting.</w:t>
            </w:r>
          </w:p>
        </w:tc>
      </w:tr>
      <w:tr>
        <w:trPr>
          <w:cantSplit/>
        </w:trPr>
        <w:tc>
          <w:tcPr>
            <w:tcW w:type="dxa" w:w="2160"/>
            <w:shd w:fill="F5F8FB" w:val="clear"/>
            <w:tcMar>
              <w:top w:w="100" w:type="dxa"/>
              <w:start w:w="120" w:type="dxa"/>
              <w:bottom w:w="100" w:type="dxa"/>
              <w:end w:w="120" w:type="dxa"/>
            </w:tcMar>
            <w:vAlign w:val="center"/>
          </w:tcPr>
          <w:p>
            <w:pPr>
              <w:spacing w:after="40" w:line="245" w:lineRule="auto"/>
            </w:pPr>
            <w:r>
              <w:rPr>
                <w:rFonts w:ascii="Aptos" w:hAnsi="Aptos"/>
                <w:sz w:val="17"/>
              </w:rPr>
              <w:t>Computer vision</w:t>
            </w:r>
          </w:p>
        </w:tc>
        <w:tc>
          <w:tcPr>
            <w:tcW w:type="dxa" w:w="7488"/>
            <w:shd w:fill="F5F8FB" w:val="clear"/>
            <w:tcMar>
              <w:top w:w="100" w:type="dxa"/>
              <w:start w:w="120" w:type="dxa"/>
              <w:bottom w:w="100" w:type="dxa"/>
              <w:end w:w="120" w:type="dxa"/>
            </w:tcMar>
            <w:vAlign w:val="center"/>
          </w:tcPr>
          <w:p>
            <w:pPr>
              <w:spacing w:after="40" w:line="245" w:lineRule="auto"/>
            </w:pPr>
            <w:r>
              <w:rPr>
                <w:rFonts w:ascii="Aptos" w:hAnsi="Aptos"/>
                <w:sz w:val="17"/>
              </w:rPr>
              <w:t>Open-source or custom models for player/ball detection, tracking, pose, field calibration, and event detection.</w:t>
            </w:r>
          </w:p>
        </w:tc>
      </w:tr>
      <w:tr>
        <w:trPr>
          <w:cantSplit/>
        </w:trPr>
        <w:tc>
          <w:tcPr>
            <w:tcW w:type="dxa" w:w="2160"/>
            <w:tcMar>
              <w:top w:w="100" w:type="dxa"/>
              <w:start w:w="120" w:type="dxa"/>
              <w:bottom w:w="100" w:type="dxa"/>
              <w:end w:w="120" w:type="dxa"/>
            </w:tcMar>
            <w:vAlign w:val="center"/>
          </w:tcPr>
          <w:p>
            <w:pPr>
              <w:spacing w:after="40" w:line="245" w:lineRule="auto"/>
            </w:pPr>
            <w:r>
              <w:rPr>
                <w:rFonts w:ascii="Aptos" w:hAnsi="Aptos"/>
                <w:sz w:val="17"/>
              </w:rPr>
              <w:t>Data architecture</w:t>
            </w:r>
          </w:p>
        </w:tc>
        <w:tc>
          <w:tcPr>
            <w:tcW w:type="dxa" w:w="7488"/>
            <w:tcMar>
              <w:top w:w="100" w:type="dxa"/>
              <w:start w:w="120" w:type="dxa"/>
              <w:bottom w:w="100" w:type="dxa"/>
              <w:end w:w="120" w:type="dxa"/>
            </w:tcMar>
            <w:vAlign w:val="center"/>
          </w:tcPr>
          <w:p>
            <w:pPr>
              <w:spacing w:after="40" w:line="245" w:lineRule="auto"/>
            </w:pPr>
            <w:r>
              <w:rPr>
                <w:rFonts w:ascii="Aptos" w:hAnsi="Aptos"/>
                <w:sz w:val="17"/>
              </w:rPr>
              <w:t>Blob Storage for media, Azure SQL or Cosmos DB for operational data, Azure AI Search for evidence retrieval, and Fabric for longitudinal analytics.</w:t>
            </w:r>
          </w:p>
        </w:tc>
      </w:tr>
      <w:tr>
        <w:trPr>
          <w:cantSplit/>
        </w:trPr>
        <w:tc>
          <w:tcPr>
            <w:tcW w:type="dxa" w:w="2160"/>
            <w:shd w:fill="F5F8FB" w:val="clear"/>
            <w:tcMar>
              <w:top w:w="100" w:type="dxa"/>
              <w:start w:w="120" w:type="dxa"/>
              <w:bottom w:w="100" w:type="dxa"/>
              <w:end w:w="120" w:type="dxa"/>
            </w:tcMar>
            <w:vAlign w:val="center"/>
          </w:tcPr>
          <w:p>
            <w:pPr>
              <w:spacing w:after="40" w:line="245" w:lineRule="auto"/>
            </w:pPr>
            <w:r>
              <w:rPr>
                <w:rFonts w:ascii="Aptos" w:hAnsi="Aptos"/>
                <w:sz w:val="17"/>
              </w:rPr>
              <w:t>MVP strategy</w:t>
            </w:r>
          </w:p>
        </w:tc>
        <w:tc>
          <w:tcPr>
            <w:tcW w:type="dxa" w:w="7488"/>
            <w:shd w:fill="F5F8FB" w:val="clear"/>
            <w:tcMar>
              <w:top w:w="100" w:type="dxa"/>
              <w:start w:w="120" w:type="dxa"/>
              <w:bottom w:w="100" w:type="dxa"/>
              <w:end w:w="120" w:type="dxa"/>
            </w:tcMar>
            <w:vAlign w:val="center"/>
          </w:tcPr>
          <w:p>
            <w:pPr>
              <w:spacing w:after="40" w:line="245" w:lineRule="auto"/>
            </w:pPr>
            <w:r>
              <w:rPr>
                <w:rFonts w:ascii="Aptos" w:hAnsi="Aptos"/>
                <w:sz w:val="17"/>
              </w:rPr>
              <w:t>Constrain supported footage and positions; require evidence timestamps and confidence for every material observation.</w:t>
            </w:r>
          </w:p>
        </w:tc>
      </w:tr>
    </w:tbl>
    <w:p>
      <w:pPr>
        <w:widowControl/>
        <w:spacing w:after="20"/>
      </w:pPr>
    </w:p>
    <w:p>
      <w:pPr>
        <w:pStyle w:val="Heading1"/>
        <w:widowControl/>
      </w:pPr>
      <w:r>
        <w:t>2. Product Vision and Scope</w:t>
      </w:r>
    </w:p>
    <w:p>
      <w:pPr>
        <w:pStyle w:val="Heading2"/>
        <w:widowControl/>
      </w:pPr>
      <w:r>
        <w:t>2.1 Product promise</w:t>
      </w:r>
    </w:p>
    <w:p>
      <w:pPr>
        <w:widowControl/>
      </w:pPr>
      <w:r>
        <w:t>The product moves beyond counting passes and generating heat maps. It explains why a decision succeeded or failed, identifies realistic alternatives, recommends targeted training, and verifies whether the player improved in subsequent footage.</w:t>
      </w:r>
    </w:p>
    <w:p>
      <w:pPr>
        <w:pStyle w:val="Heading2"/>
        <w:widowControl/>
      </w:pPr>
      <w:r>
        <w:t>2.2 Primary users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Persona</w:t>
            </w:r>
          </w:p>
        </w:tc>
        <w:tc>
          <w:tcPr>
            <w:tcW w:type="dxa" w:w="3528"/>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Primary need</w:t>
            </w:r>
          </w:p>
        </w:tc>
        <w:tc>
          <w:tcPr>
            <w:tcW w:type="dxa" w:w="4032"/>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Experience</w:t>
            </w:r>
          </w:p>
        </w:tc>
      </w:tr>
      <w:tr>
        <w:trPr>
          <w:cantSplit/>
        </w:trPr>
        <w:tc>
          <w:tcPr>
            <w:tcW w:type="dxa" w:w="2088"/>
            <w:tcMar>
              <w:top w:w="100" w:type="dxa"/>
              <w:start w:w="120" w:type="dxa"/>
              <w:bottom w:w="100" w:type="dxa"/>
              <w:end w:w="120" w:type="dxa"/>
            </w:tcMar>
            <w:vAlign w:val="center"/>
          </w:tcPr>
          <w:p>
            <w:pPr>
              <w:spacing w:after="40" w:line="245" w:lineRule="auto"/>
            </w:pPr>
            <w:r>
              <w:rPr>
                <w:rFonts w:ascii="Aptos" w:hAnsi="Aptos"/>
                <w:sz w:val="17"/>
              </w:rPr>
              <w:t>Player</w:t>
            </w:r>
          </w:p>
        </w:tc>
        <w:tc>
          <w:tcPr>
            <w:tcW w:type="dxa" w:w="3528"/>
            <w:tcMar>
              <w:top w:w="100" w:type="dxa"/>
              <w:start w:w="120" w:type="dxa"/>
              <w:bottom w:w="100" w:type="dxa"/>
              <w:end w:w="120" w:type="dxa"/>
            </w:tcMar>
            <w:vAlign w:val="center"/>
          </w:tcPr>
          <w:p>
            <w:pPr>
              <w:spacing w:after="40" w:line="245" w:lineRule="auto"/>
            </w:pPr>
            <w:r>
              <w:rPr>
                <w:rFonts w:ascii="Aptos" w:hAnsi="Aptos"/>
                <w:sz w:val="17"/>
              </w:rPr>
              <w:t>Understand performance and improve efficiently</w:t>
            </w:r>
          </w:p>
        </w:tc>
        <w:tc>
          <w:tcPr>
            <w:tcW w:type="dxa" w:w="4032"/>
            <w:tcMar>
              <w:top w:w="100" w:type="dxa"/>
              <w:start w:w="120" w:type="dxa"/>
              <w:bottom w:w="100" w:type="dxa"/>
              <w:end w:w="120" w:type="dxa"/>
            </w:tcMar>
            <w:vAlign w:val="center"/>
          </w:tcPr>
          <w:p>
            <w:pPr>
              <w:spacing w:after="40" w:line="245" w:lineRule="auto"/>
            </w:pPr>
            <w:r>
              <w:rPr>
                <w:rFonts w:ascii="Aptos" w:hAnsi="Aptos"/>
                <w:sz w:val="17"/>
              </w:rPr>
              <w:t>Simple explanations, clips, priorities, drills, progress trends</w:t>
            </w:r>
          </w:p>
        </w:tc>
      </w:tr>
      <w:tr>
        <w:trPr>
          <w:cantSplit/>
        </w:trPr>
        <w:tc>
          <w:tcPr>
            <w:tcW w:type="dxa" w:w="2088"/>
            <w:shd w:fill="F5F8FB" w:val="clear"/>
            <w:tcMar>
              <w:top w:w="100" w:type="dxa"/>
              <w:start w:w="120" w:type="dxa"/>
              <w:bottom w:w="100" w:type="dxa"/>
              <w:end w:w="120" w:type="dxa"/>
            </w:tcMar>
            <w:vAlign w:val="center"/>
          </w:tcPr>
          <w:p>
            <w:pPr>
              <w:spacing w:after="40" w:line="245" w:lineRule="auto"/>
            </w:pPr>
            <w:r>
              <w:rPr>
                <w:rFonts w:ascii="Aptos" w:hAnsi="Aptos"/>
                <w:sz w:val="17"/>
              </w:rPr>
              <w:t>Parent or guardian</w:t>
            </w:r>
          </w:p>
        </w:tc>
        <w:tc>
          <w:tcPr>
            <w:tcW w:type="dxa" w:w="3528"/>
            <w:shd w:fill="F5F8FB" w:val="clear"/>
            <w:tcMar>
              <w:top w:w="100" w:type="dxa"/>
              <w:start w:w="120" w:type="dxa"/>
              <w:bottom w:w="100" w:type="dxa"/>
              <w:end w:w="120" w:type="dxa"/>
            </w:tcMar>
            <w:vAlign w:val="center"/>
          </w:tcPr>
          <w:p>
            <w:pPr>
              <w:spacing w:after="40" w:line="245" w:lineRule="auto"/>
            </w:pPr>
            <w:r>
              <w:rPr>
                <w:rFonts w:ascii="Aptos" w:hAnsi="Aptos"/>
                <w:sz w:val="17"/>
              </w:rPr>
              <w:t>Support development safely</w:t>
            </w:r>
          </w:p>
        </w:tc>
        <w:tc>
          <w:tcPr>
            <w:tcW w:type="dxa" w:w="4032"/>
            <w:shd w:fill="F5F8FB" w:val="clear"/>
            <w:tcMar>
              <w:top w:w="100" w:type="dxa"/>
              <w:start w:w="120" w:type="dxa"/>
              <w:bottom w:w="100" w:type="dxa"/>
              <w:end w:w="120" w:type="dxa"/>
            </w:tcMar>
            <w:vAlign w:val="center"/>
          </w:tcPr>
          <w:p>
            <w:pPr>
              <w:spacing w:after="40" w:line="245" w:lineRule="auto"/>
            </w:pPr>
            <w:r>
              <w:rPr>
                <w:rFonts w:ascii="Aptos" w:hAnsi="Aptos"/>
                <w:sz w:val="17"/>
              </w:rPr>
              <w:t>Consent, progress summaries, controlled sharing</w:t>
            </w:r>
          </w:p>
        </w:tc>
      </w:tr>
      <w:tr>
        <w:trPr>
          <w:cantSplit/>
        </w:trPr>
        <w:tc>
          <w:tcPr>
            <w:tcW w:type="dxa" w:w="2088"/>
            <w:tcMar>
              <w:top w:w="100" w:type="dxa"/>
              <w:start w:w="120" w:type="dxa"/>
              <w:bottom w:w="100" w:type="dxa"/>
              <w:end w:w="120" w:type="dxa"/>
            </w:tcMar>
            <w:vAlign w:val="center"/>
          </w:tcPr>
          <w:p>
            <w:pPr>
              <w:spacing w:after="40" w:line="245" w:lineRule="auto"/>
            </w:pPr>
            <w:r>
              <w:rPr>
                <w:rFonts w:ascii="Aptos" w:hAnsi="Aptos"/>
                <w:sz w:val="17"/>
              </w:rPr>
              <w:t>Coach</w:t>
            </w:r>
          </w:p>
        </w:tc>
        <w:tc>
          <w:tcPr>
            <w:tcW w:type="dxa" w:w="3528"/>
            <w:tcMar>
              <w:top w:w="100" w:type="dxa"/>
              <w:start w:w="120" w:type="dxa"/>
              <w:bottom w:w="100" w:type="dxa"/>
              <w:end w:w="120" w:type="dxa"/>
            </w:tcMar>
            <w:vAlign w:val="center"/>
          </w:tcPr>
          <w:p>
            <w:pPr>
              <w:spacing w:after="40" w:line="245" w:lineRule="auto"/>
            </w:pPr>
            <w:r>
              <w:rPr>
                <w:rFonts w:ascii="Aptos" w:hAnsi="Aptos"/>
                <w:sz w:val="17"/>
              </w:rPr>
              <w:t>Scale video review and feedback</w:t>
            </w:r>
          </w:p>
        </w:tc>
        <w:tc>
          <w:tcPr>
            <w:tcW w:type="dxa" w:w="4032"/>
            <w:tcMar>
              <w:top w:w="100" w:type="dxa"/>
              <w:start w:w="120" w:type="dxa"/>
              <w:bottom w:w="100" w:type="dxa"/>
              <w:end w:w="120" w:type="dxa"/>
            </w:tcMar>
            <w:vAlign w:val="center"/>
          </w:tcPr>
          <w:p>
            <w:pPr>
              <w:spacing w:after="40" w:line="245" w:lineRule="auto"/>
            </w:pPr>
            <w:r>
              <w:rPr>
                <w:rFonts w:ascii="Aptos" w:hAnsi="Aptos"/>
                <w:sz w:val="17"/>
              </w:rPr>
              <w:t>Evidence clips, configurable rubrics, approval and correction</w:t>
            </w:r>
          </w:p>
        </w:tc>
      </w:tr>
      <w:tr>
        <w:trPr>
          <w:cantSplit/>
        </w:trPr>
        <w:tc>
          <w:tcPr>
            <w:tcW w:type="dxa" w:w="2088"/>
            <w:shd w:fill="F5F8FB" w:val="clear"/>
            <w:tcMar>
              <w:top w:w="100" w:type="dxa"/>
              <w:start w:w="120" w:type="dxa"/>
              <w:bottom w:w="100" w:type="dxa"/>
              <w:end w:w="120" w:type="dxa"/>
            </w:tcMar>
            <w:vAlign w:val="center"/>
          </w:tcPr>
          <w:p>
            <w:pPr>
              <w:spacing w:after="40" w:line="245" w:lineRule="auto"/>
            </w:pPr>
            <w:r>
              <w:rPr>
                <w:rFonts w:ascii="Aptos" w:hAnsi="Aptos"/>
                <w:sz w:val="17"/>
              </w:rPr>
              <w:t>Academy administrator</w:t>
            </w:r>
          </w:p>
        </w:tc>
        <w:tc>
          <w:tcPr>
            <w:tcW w:type="dxa" w:w="3528"/>
            <w:shd w:fill="F5F8FB" w:val="clear"/>
            <w:tcMar>
              <w:top w:w="100" w:type="dxa"/>
              <w:start w:w="120" w:type="dxa"/>
              <w:bottom w:w="100" w:type="dxa"/>
              <w:end w:w="120" w:type="dxa"/>
            </w:tcMar>
            <w:vAlign w:val="center"/>
          </w:tcPr>
          <w:p>
            <w:pPr>
              <w:spacing w:after="40" w:line="245" w:lineRule="auto"/>
            </w:pPr>
            <w:r>
              <w:rPr>
                <w:rFonts w:ascii="Aptos" w:hAnsi="Aptos"/>
                <w:sz w:val="17"/>
              </w:rPr>
              <w:t>Operate across teams</w:t>
            </w:r>
          </w:p>
        </w:tc>
        <w:tc>
          <w:tcPr>
            <w:tcW w:type="dxa" w:w="4032"/>
            <w:shd w:fill="F5F8FB" w:val="clear"/>
            <w:tcMar>
              <w:top w:w="100" w:type="dxa"/>
              <w:start w:w="120" w:type="dxa"/>
              <w:bottom w:w="100" w:type="dxa"/>
              <w:end w:w="120" w:type="dxa"/>
            </w:tcMar>
            <w:vAlign w:val="center"/>
          </w:tcPr>
          <w:p>
            <w:pPr>
              <w:spacing w:after="40" w:line="245" w:lineRule="auto"/>
            </w:pPr>
            <w:r>
              <w:rPr>
                <w:rFonts w:ascii="Aptos" w:hAnsi="Aptos"/>
                <w:sz w:val="17"/>
              </w:rPr>
              <w:t>Tenant controls, reporting, retention, access governance</w:t>
            </w:r>
          </w:p>
        </w:tc>
      </w:tr>
    </w:tbl>
    <w:p>
      <w:pPr>
        <w:widowControl/>
        <w:spacing w:after="20"/>
      </w:pPr>
    </w:p>
    <w:p>
      <w:pPr>
        <w:pStyle w:val="Heading2"/>
      </w:pPr>
      <w:r>
        <w:t>2.2.1 Product-market assumptions</w:t>
      </w:r>
    </w:p>
    <w:p>
      <w:pPr/>
      <w:r>
        <w:t>Initial ideal customer profile: competitive youth academies, elite travel clubs, and coach-led development programs that already record matches but lack scalable review capacity.</w:t>
      </w:r>
    </w:p>
    <w:p>
      <w:pPr>
        <w:pStyle w:val="ListBullet"/>
      </w:pPr>
      <w:r>
        <w:t>Economic buyer: academy director, club operations lead, or technical director; secondary buyer is the parent or guardian for individual-player subscriptions.</w:t>
      </w:r>
    </w:p>
    <w:p>
      <w:pPr>
        <w:pStyle w:val="ListBullet"/>
      </w:pPr>
      <w:r>
        <w:t>Primary value proposition: reduce manual video-review time while increasing the specificity, consistency, and evidence quality of player feedback.</w:t>
      </w:r>
    </w:p>
    <w:p>
      <w:pPr>
        <w:pStyle w:val="ListBullet"/>
      </w:pPr>
      <w:r>
        <w:t>MVP success metrics: at least 30% reduction in coach review time, at least 70% coach acceptance of high-confidence observations, weekly active usage by pilot players, and measurable completion of recommended drills.</w:t>
      </w:r>
    </w:p>
    <w:p>
      <w:pPr>
        <w:pStyle w:val="ListBullet"/>
      </w:pPr>
      <w:r>
        <w:t>Competitive differentiation: evidence-linked coaching, coach-corrected rubrics, longitudinal development history, and benchmark provenance rather than generic AI-generated match summaries.</w:t>
      </w:r>
    </w:p>
    <w:p>
      <w:pPr>
        <w:pStyle w:val="Heading2"/>
        <w:widowControl/>
      </w:pPr>
      <w:r>
        <w:t>2.3 In scope</w:t>
      </w:r>
    </w:p>
    <w:p>
      <w:pPr>
        <w:pStyle w:val="ListBullet"/>
        <w:widowControl/>
      </w:pPr>
      <w:r>
        <w:t>Uploaded match and training video</w:t>
      </w:r>
    </w:p>
    <w:p>
      <w:pPr>
        <w:pStyle w:val="ListBullet"/>
        <w:widowControl/>
      </w:pPr>
      <w:r>
        <w:t>Single-player tracking for MVP</w:t>
      </w:r>
    </w:p>
    <w:p>
      <w:pPr>
        <w:pStyle w:val="ListBullet"/>
        <w:widowControl/>
      </w:pPr>
      <w:r>
        <w:t>Core technical and tactical events</w:t>
      </w:r>
    </w:p>
    <w:p>
      <w:pPr>
        <w:pStyle w:val="ListBullet"/>
        <w:widowControl/>
      </w:pPr>
      <w:r>
        <w:t>Timestamped evidence clips</w:t>
      </w:r>
    </w:p>
    <w:p>
      <w:pPr>
        <w:pStyle w:val="ListBullet"/>
        <w:widowControl/>
      </w:pPr>
      <w:r>
        <w:t>Conversational video Q&amp;A</w:t>
      </w:r>
    </w:p>
    <w:p>
      <w:pPr>
        <w:pStyle w:val="ListBullet"/>
        <w:widowControl/>
      </w:pPr>
      <w:r>
        <w:t>Position- and age-aware coaching rubrics</w:t>
      </w:r>
    </w:p>
    <w:p>
      <w:pPr>
        <w:pStyle w:val="ListBullet"/>
        <w:widowControl/>
      </w:pPr>
      <w:r>
        <w:t>Personalized development plans</w:t>
      </w:r>
    </w:p>
    <w:p>
      <w:pPr>
        <w:pStyle w:val="ListBullet"/>
        <w:widowControl/>
      </w:pPr>
      <w:r>
        <w:t>Longitudinal improvement tracking</w:t>
      </w:r>
    </w:p>
    <w:p>
      <w:pPr>
        <w:pStyle w:val="ListBullet"/>
        <w:widowControl/>
      </w:pPr>
      <w:r>
        <w:t>Coach review and correction workflow</w:t>
      </w:r>
    </w:p>
    <w:p>
      <w:pPr>
        <w:pStyle w:val="Heading2"/>
        <w:widowControl/>
      </w:pPr>
      <w:r>
        <w:t>2.4 Out of scope for MVP</w:t>
      </w:r>
    </w:p>
    <w:p>
      <w:pPr>
        <w:pStyle w:val="ListBullet"/>
        <w:widowControl/>
      </w:pPr>
      <w:r>
        <w:t>Medical or injury diagnosis</w:t>
      </w:r>
    </w:p>
    <w:p>
      <w:pPr>
        <w:pStyle w:val="ListBullet"/>
        <w:widowControl/>
      </w:pPr>
      <w:r>
        <w:t>Exact biomechanics from uncontrolled footage</w:t>
      </w:r>
    </w:p>
    <w:p>
      <w:pPr>
        <w:pStyle w:val="ListBullet"/>
        <w:widowControl/>
      </w:pPr>
      <w:r>
        <w:t>Live match analysis</w:t>
      </w:r>
    </w:p>
    <w:p>
      <w:pPr>
        <w:pStyle w:val="ListBullet"/>
        <w:widowControl/>
      </w:pPr>
      <w:r>
        <w:t>Automated talent-selection decisions</w:t>
      </w:r>
    </w:p>
    <w:p>
      <w:pPr>
        <w:pStyle w:val="ListBullet"/>
        <w:widowControl/>
      </w:pPr>
      <w:r>
        <w:t>Salary, transfer, or professional-potential valuation</w:t>
      </w:r>
    </w:p>
    <w:p>
      <w:pPr>
        <w:pStyle w:val="ListBullet"/>
        <w:widowControl/>
      </w:pPr>
      <w:r>
        <w:t>Unqualified comparison against named professional players</w:t>
      </w:r>
    </w:p>
    <w:p>
      <w:pPr>
        <w:pStyle w:val="ListBullet"/>
        <w:widowControl/>
      </w:pPr>
      <w:r>
        <w:t>Support for every camera angle and video quality</w:t>
      </w:r>
    </w:p>
    <w:p>
      <w:pPr>
        <w:pStyle w:val="Heading2"/>
      </w:pPr>
      <w:r>
        <w:t>2.5 MVP footage constraints</w:t>
      </w:r>
    </w:p>
    <w:p>
      <w:pPr/>
      <w:r>
        <w:t>The MVP should deliberately support a narrow, testable footage envelope before broader camera coverage is promised.</w:t>
      </w:r>
    </w:p>
    <w:p>
      <w:pPr>
        <w:pStyle w:val="ListBullet"/>
      </w:pPr>
      <w:r>
        <w:t>Supported input: MP4 or MOV, 720p minimum, 25 fps minimum, stable sideline or elevated sideline view, visible pitch boundaries for most of the clip, and a target player visible for a meaningful portion of play.</w:t>
      </w:r>
    </w:p>
    <w:p>
      <w:pPr>
        <w:pStyle w:val="ListBullet"/>
      </w:pPr>
      <w:r>
        <w:t>Preferred capture: fixed tripod or elevated camera with minimal zooming and consistent view of the target player, ball, and immediate tactical context.</w:t>
      </w:r>
    </w:p>
    <w:p>
      <w:pPr>
        <w:pStyle w:val="ListBullet"/>
      </w:pPr>
      <w:r>
        <w:t>Unsupported for MVP: broadcast cuts, heavy zoom, severe motion blur, poor lighting, missing field markings, frequent full occlusion, indoor footage without reliable boundaries, and clips where the target player cannot be re-identified.</w:t>
      </w:r>
    </w:p>
    <w:p>
      <w:pPr>
        <w:pStyle w:val="ListBullet"/>
      </w:pPr>
      <w:r>
        <w:t>Quality-gate behavior: when footage fails the envelope, the system should return a clear no-result or partial-result explanation instead of producing low-confidence coaching claims.</w:t>
      </w:r>
    </w:p>
    <w:p>
      <w:pPr>
        <w:pStyle w:val="Heading2"/>
      </w:pPr>
      <w:r>
        <w:t>2.6 Explicit no-result states</w:t>
      </w:r>
    </w:p>
    <w:p>
      <w:pPr>
        <w:pStyle w:val="ListBullet"/>
      </w:pPr>
      <w:r>
        <w:t>Insufficient player identity confidence: do not attribute events to the target player; ask for manual correction or a better reference frame.</w:t>
      </w:r>
    </w:p>
    <w:p>
      <w:pPr>
        <w:pStyle w:val="ListBullet"/>
      </w:pPr>
      <w:r>
        <w:t>Insufficient ball visibility: suppress pass, reception, carry, shot, and turnover metrics that depend on ball tracking.</w:t>
      </w:r>
    </w:p>
    <w:p>
      <w:pPr>
        <w:pStyle w:val="ListBullet"/>
      </w:pPr>
      <w:r>
        <w:t>Insufficient field calibration: suppress distance, zone, and spatial-comparison claims; allow only non-spatial observations with evidence.</w:t>
      </w:r>
    </w:p>
    <w:p>
      <w:pPr>
        <w:pStyle w:val="ListBullet"/>
      </w:pPr>
      <w:r>
        <w:t>Insufficient tactical context: avoid claims about better passing options, pressure, or decision quality when surrounding players and lanes are not visible.</w:t>
      </w:r>
    </w:p>
    <w:p>
      <w:pPr>
        <w:pStyle w:val="Heading1"/>
        <w:widowControl/>
      </w:pPr>
      <w:r>
        <w:t>3. User Journey</w:t>
      </w:r>
    </w:p>
    <w:p>
      <w:pPr>
        <w:pStyle w:val="ListNumber"/>
        <w:widowControl/>
      </w:pPr>
      <w:r>
        <w:t>Upload a match or training video and provide match metadata.</w:t>
      </w:r>
    </w:p>
    <w:p>
      <w:pPr>
        <w:pStyle w:val="ListNumber"/>
        <w:widowControl/>
      </w:pPr>
      <w:r>
        <w:t>Select the target player by team color, jersey number, and a reference frame.</w:t>
      </w:r>
    </w:p>
    <w:p>
      <w:pPr>
        <w:pStyle w:val="ListNumber"/>
        <w:widowControl/>
      </w:pPr>
      <w:r>
        <w:t>Run automated quality checks for resolution, stability, field visibility, and trackability.</w:t>
      </w:r>
    </w:p>
    <w:p>
      <w:pPr>
        <w:pStyle w:val="ListNumber"/>
      </w:pPr>
      <w:r>
        <w:t>If quality checks fail, return a partial analysis scope with unsupported metrics listed explicitly before processing begins.</w:t>
      </w:r>
    </w:p>
    <w:p>
      <w:pPr>
        <w:pStyle w:val="ListNumber"/>
        <w:widowControl/>
      </w:pPr>
      <w:r>
        <w:t>Process the footage through detection, tracking, field calibration, pose, and soccer-event models.</w:t>
      </w:r>
    </w:p>
    <w:p>
      <w:pPr>
        <w:pStyle w:val="ListNumber"/>
        <w:widowControl/>
      </w:pPr>
      <w:r>
        <w:t>Generate structured observations with confidence scores and evidence timestamps.</w:t>
      </w:r>
    </w:p>
    <w:p>
      <w:pPr>
        <w:pStyle w:val="ListNumber"/>
        <w:widowControl/>
      </w:pPr>
      <w:r>
        <w:t>Use the Foundry agent to explain the observations and answer grounded follow-up questions.</w:t>
      </w:r>
    </w:p>
    <w:p>
      <w:pPr>
        <w:pStyle w:val="ListNumber"/>
        <w:widowControl/>
      </w:pPr>
      <w:r>
        <w:t>Create a short, prioritized training plan linked to specific match evidence.</w:t>
      </w:r>
    </w:p>
    <w:p>
      <w:pPr>
        <w:pStyle w:val="ListNumber"/>
        <w:widowControl/>
      </w:pPr>
      <w:r>
        <w:t>Analyze future videos to measure progress and adapt the plan.</w:t>
      </w:r>
    </w:p>
    <w:tbl>
      <w:tblPr>
        <w:tblW w:type="auto" w:w="0"/>
        <w:jc w:val="center"/>
        <w:tblLayout w:type="fixed"/>
        <w:tblLook w:firstColumn="1" w:firstRow="1" w:lastColumn="0" w:lastRow="0" w:noHBand="0" w:noVBand="1" w:val="04A0"/>
      </w:tblPr>
      <w:tblGrid>
        <w:gridCol w:w="9936"/>
      </w:tblGrid>
      <w:tr>
        <w:tc>
          <w:tcPr>
            <w:tcW w:type="dxa" w:w="9994"/>
            <w:shd w:fill="EAF2F8" w:val="clear"/>
            <w:tcMar>
              <w:top w:w="160" w:type="dxa"/>
              <w:start w:w="220" w:type="dxa"/>
              <w:bottom w:w="160" w:type="dxa"/>
              <w:end w:w="220" w:type="dxa"/>
            </w:tcMar>
          </w:tcPr>
          <w:p>
            <w:pPr>
              <w:spacing w:after="40" w:line="245" w:lineRule="auto"/>
            </w:pPr>
            <w:r>
              <w:rPr>
                <w:rFonts w:ascii="Aptos" w:hAnsi="Aptos"/>
                <w:b/>
                <w:color w:val="17365D"/>
                <w:sz w:val="17"/>
              </w:rPr>
              <w:t xml:space="preserve">Experience principle:  </w:t>
            </w:r>
            <w:r>
              <w:rPr>
                <w:rFonts w:ascii="Aptos" w:hAnsi="Aptos"/>
                <w:sz w:val="17"/>
              </w:rPr>
              <w:t>Every coaching claim must be traceable to evidence. If confidence is insufficient, the system should say that the footage does not support a reliable conclusion.</w:t>
            </w:r>
          </w:p>
        </w:tc>
      </w:tr>
    </w:tbl>
    <w:p>
      <w:pPr>
        <w:widowControl/>
        <w:spacing w:after="20"/>
      </w:pPr>
    </w:p>
    <w:p>
      <w:pPr>
        <w:pStyle w:val="Heading1"/>
        <w:widowControl/>
      </w:pPr>
      <w:r>
        <w:t>4. Functional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Capability</w:t>
            </w:r>
          </w:p>
        </w:tc>
        <w:tc>
          <w:tcPr>
            <w:tcW w:type="dxa" w:w="6696"/>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Requirements</w:t>
            </w:r>
          </w:p>
        </w:tc>
        <w:tc>
          <w:tcPr>
            <w:tcW w:type="dxa" w:w="1080"/>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Priority</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Video ingestion</w:t>
            </w:r>
          </w:p>
        </w:tc>
        <w:tc>
          <w:tcPr>
            <w:tcW w:type="dxa" w:w="6696"/>
            <w:tcMar>
              <w:top w:w="100" w:type="dxa"/>
              <w:start w:w="120" w:type="dxa"/>
              <w:bottom w:w="100" w:type="dxa"/>
              <w:end w:w="120" w:type="dxa"/>
            </w:tcMar>
            <w:vAlign w:val="center"/>
          </w:tcPr>
          <w:p>
            <w:pPr>
              <w:spacing w:after="40" w:line="245" w:lineRule="auto"/>
            </w:pPr>
            <w:r>
              <w:rPr>
                <w:rFonts w:ascii="Aptos" w:hAnsi="Aptos"/>
                <w:sz w:val="17"/>
              </w:rPr>
              <w:t>MP4/MOV support, resumable upload, transcoding, quality assessment, duplicate detection, ownership and consent acknowledgement</w:t>
            </w:r>
          </w:p>
        </w:tc>
        <w:tc>
          <w:tcPr>
            <w:tcW w:type="dxa" w:w="1080"/>
            <w:tcMar>
              <w:top w:w="100" w:type="dxa"/>
              <w:start w:w="120" w:type="dxa"/>
              <w:bottom w:w="100" w:type="dxa"/>
              <w:end w:w="120" w:type="dxa"/>
            </w:tcMar>
            <w:vAlign w:val="center"/>
          </w:tcPr>
          <w:p>
            <w:pPr>
              <w:spacing w:after="40" w:line="245" w:lineRule="auto"/>
            </w:pPr>
            <w:r>
              <w:rPr>
                <w:rFonts w:ascii="Aptos" w:hAnsi="Aptos"/>
                <w:sz w:val="17"/>
              </w:rPr>
              <w:t>Must</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Player identification</w:t>
            </w:r>
          </w:p>
        </w:tc>
        <w:tc>
          <w:tcPr>
            <w:tcW w:type="dxa" w:w="6696"/>
            <w:shd w:fill="F5F8FB" w:val="clear"/>
            <w:tcMar>
              <w:top w:w="100" w:type="dxa"/>
              <w:start w:w="120" w:type="dxa"/>
              <w:bottom w:w="100" w:type="dxa"/>
              <w:end w:w="120" w:type="dxa"/>
            </w:tcMar>
            <w:vAlign w:val="center"/>
          </w:tcPr>
          <w:p>
            <w:pPr>
              <w:spacing w:after="40" w:line="245" w:lineRule="auto"/>
            </w:pPr>
            <w:r>
              <w:rPr>
                <w:rFonts w:ascii="Aptos" w:hAnsi="Aptos"/>
                <w:sz w:val="17"/>
              </w:rPr>
              <w:t>Jersey/team selection, manual frame selection, re-identification, confidence indicator, manual correction</w:t>
            </w:r>
          </w:p>
        </w:tc>
        <w:tc>
          <w:tcPr>
            <w:tcW w:type="dxa" w:w="1080"/>
            <w:shd w:fill="F5F8FB" w:val="clear"/>
            <w:tcMar>
              <w:top w:w="100" w:type="dxa"/>
              <w:start w:w="120" w:type="dxa"/>
              <w:bottom w:w="100" w:type="dxa"/>
              <w:end w:w="120" w:type="dxa"/>
            </w:tcMar>
            <w:vAlign w:val="center"/>
          </w:tcPr>
          <w:p>
            <w:pPr>
              <w:spacing w:after="40" w:line="245" w:lineRule="auto"/>
            </w:pPr>
            <w:r>
              <w:rPr>
                <w:rFonts w:ascii="Aptos" w:hAnsi="Aptos"/>
                <w:sz w:val="17"/>
              </w:rPr>
              <w:t>Must</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Core analysis</w:t>
            </w:r>
          </w:p>
        </w:tc>
        <w:tc>
          <w:tcPr>
            <w:tcW w:type="dxa" w:w="6696"/>
            <w:tcMar>
              <w:top w:w="100" w:type="dxa"/>
              <w:start w:w="120" w:type="dxa"/>
              <w:bottom w:w="100" w:type="dxa"/>
              <w:end w:w="120" w:type="dxa"/>
            </w:tcMar>
            <w:vAlign w:val="center"/>
          </w:tcPr>
          <w:p>
            <w:pPr>
              <w:spacing w:after="40" w:line="245" w:lineRule="auto"/>
            </w:pPr>
            <w:r>
              <w:rPr>
                <w:rFonts w:ascii="Aptos" w:hAnsi="Aptos"/>
                <w:sz w:val="17"/>
              </w:rPr>
              <w:t>Passes, receptions, carries, turnovers, defensive actions, approximate positioning, evidence clips</w:t>
            </w:r>
          </w:p>
        </w:tc>
        <w:tc>
          <w:tcPr>
            <w:tcW w:type="dxa" w:w="1080"/>
            <w:tcMar>
              <w:top w:w="100" w:type="dxa"/>
              <w:start w:w="120" w:type="dxa"/>
              <w:bottom w:w="100" w:type="dxa"/>
              <w:end w:w="120" w:type="dxa"/>
            </w:tcMar>
            <w:vAlign w:val="center"/>
          </w:tcPr>
          <w:p>
            <w:pPr>
              <w:spacing w:after="40" w:line="245" w:lineRule="auto"/>
            </w:pPr>
            <w:r>
              <w:rPr>
                <w:rFonts w:ascii="Aptos" w:hAnsi="Aptos"/>
                <w:sz w:val="17"/>
              </w:rPr>
              <w:t>Must</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Decision analysis</w:t>
            </w:r>
          </w:p>
        </w:tc>
        <w:tc>
          <w:tcPr>
            <w:tcW w:type="dxa" w:w="6696"/>
            <w:shd w:fill="F5F8FB" w:val="clear"/>
            <w:tcMar>
              <w:top w:w="100" w:type="dxa"/>
              <w:start w:w="120" w:type="dxa"/>
              <w:bottom w:w="100" w:type="dxa"/>
              <w:end w:w="120" w:type="dxa"/>
            </w:tcMar>
            <w:vAlign w:val="center"/>
          </w:tcPr>
          <w:p>
            <w:pPr>
              <w:spacing w:after="40" w:line="245" w:lineRule="auto"/>
            </w:pPr>
            <w:r>
              <w:rPr>
                <w:rFonts w:ascii="Aptos" w:hAnsi="Aptos"/>
                <w:sz w:val="17"/>
              </w:rPr>
              <w:t>Context-aware assessment, alternatives, trade-offs, tactical-rubric alignment</w:t>
            </w:r>
          </w:p>
        </w:tc>
        <w:tc>
          <w:tcPr>
            <w:tcW w:type="dxa" w:w="1080"/>
            <w:shd w:fill="F5F8FB" w:val="clear"/>
            <w:tcMar>
              <w:top w:w="100" w:type="dxa"/>
              <w:start w:w="120" w:type="dxa"/>
              <w:bottom w:w="100" w:type="dxa"/>
              <w:end w:w="120" w:type="dxa"/>
            </w:tcMar>
            <w:vAlign w:val="center"/>
          </w:tcPr>
          <w:p>
            <w:pPr>
              <w:spacing w:after="40" w:line="245" w:lineRule="auto"/>
            </w:pPr>
            <w:r>
              <w:rPr>
                <w:rFonts w:ascii="Aptos" w:hAnsi="Aptos"/>
                <w:sz w:val="17"/>
              </w:rPr>
              <w:t>Must</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Conversational Q&amp;A</w:t>
            </w:r>
          </w:p>
        </w:tc>
        <w:tc>
          <w:tcPr>
            <w:tcW w:type="dxa" w:w="6696"/>
            <w:tcMar>
              <w:top w:w="100" w:type="dxa"/>
              <w:start w:w="120" w:type="dxa"/>
              <w:bottom w:w="100" w:type="dxa"/>
              <w:end w:w="120" w:type="dxa"/>
            </w:tcMar>
            <w:vAlign w:val="center"/>
          </w:tcPr>
          <w:p>
            <w:pPr>
              <w:spacing w:after="40" w:line="245" w:lineRule="auto"/>
            </w:pPr>
            <w:r>
              <w:rPr>
                <w:rFonts w:ascii="Aptos" w:hAnsi="Aptos"/>
                <w:sz w:val="17"/>
              </w:rPr>
              <w:t>Questions by match, half, event type, weakness, prior match, or development goal</w:t>
            </w:r>
          </w:p>
        </w:tc>
        <w:tc>
          <w:tcPr>
            <w:tcW w:type="dxa" w:w="1080"/>
            <w:tcMar>
              <w:top w:w="100" w:type="dxa"/>
              <w:start w:w="120" w:type="dxa"/>
              <w:bottom w:w="100" w:type="dxa"/>
              <w:end w:w="120" w:type="dxa"/>
            </w:tcMar>
            <w:vAlign w:val="center"/>
          </w:tcPr>
          <w:p>
            <w:pPr>
              <w:spacing w:after="40" w:line="245" w:lineRule="auto"/>
            </w:pPr>
            <w:r>
              <w:rPr>
                <w:rFonts w:ascii="Aptos" w:hAnsi="Aptos"/>
                <w:sz w:val="17"/>
              </w:rPr>
              <w:t>Must</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Training plans</w:t>
            </w:r>
          </w:p>
        </w:tc>
        <w:tc>
          <w:tcPr>
            <w:tcW w:type="dxa" w:w="6696"/>
            <w:shd w:fill="F5F8FB" w:val="clear"/>
            <w:tcMar>
              <w:top w:w="100" w:type="dxa"/>
              <w:start w:w="120" w:type="dxa"/>
              <w:bottom w:w="100" w:type="dxa"/>
              <w:end w:w="120" w:type="dxa"/>
            </w:tcMar>
            <w:vAlign w:val="center"/>
          </w:tcPr>
          <w:p>
            <w:pPr>
              <w:spacing w:after="40" w:line="245" w:lineRule="auto"/>
            </w:pPr>
            <w:r>
              <w:rPr>
                <w:rFonts w:ascii="Aptos" w:hAnsi="Aptos"/>
                <w:sz w:val="17"/>
              </w:rPr>
              <w:t>Maximum three priorities, drills, schedule, progression, success metrics, reassessment date</w:t>
            </w:r>
          </w:p>
        </w:tc>
        <w:tc>
          <w:tcPr>
            <w:tcW w:type="dxa" w:w="1080"/>
            <w:shd w:fill="F5F8FB" w:val="clear"/>
            <w:tcMar>
              <w:top w:w="100" w:type="dxa"/>
              <w:start w:w="120" w:type="dxa"/>
              <w:bottom w:w="100" w:type="dxa"/>
              <w:end w:w="120" w:type="dxa"/>
            </w:tcMar>
            <w:vAlign w:val="center"/>
          </w:tcPr>
          <w:p>
            <w:pPr>
              <w:spacing w:after="40" w:line="245" w:lineRule="auto"/>
            </w:pPr>
            <w:r>
              <w:rPr>
                <w:rFonts w:ascii="Aptos" w:hAnsi="Aptos"/>
                <w:sz w:val="17"/>
              </w:rPr>
              <w:t>Must</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Coach workflow</w:t>
            </w:r>
          </w:p>
        </w:tc>
        <w:tc>
          <w:tcPr>
            <w:tcW w:type="dxa" w:w="6696"/>
            <w:tcMar>
              <w:top w:w="100" w:type="dxa"/>
              <w:start w:w="120" w:type="dxa"/>
              <w:bottom w:w="100" w:type="dxa"/>
              <w:end w:w="120" w:type="dxa"/>
            </w:tcMar>
            <w:vAlign w:val="center"/>
          </w:tcPr>
          <w:p>
            <w:pPr>
              <w:spacing w:after="40" w:line="245" w:lineRule="auto"/>
            </w:pPr>
            <w:r>
              <w:rPr>
                <w:rFonts w:ascii="Aptos" w:hAnsi="Aptos"/>
                <w:sz w:val="17"/>
              </w:rPr>
              <w:t>Approve, edit, reject, and label AI observations; preserve audit trail</w:t>
            </w:r>
          </w:p>
        </w:tc>
        <w:tc>
          <w:tcPr>
            <w:tcW w:type="dxa" w:w="1080"/>
            <w:tcMar>
              <w:top w:w="100" w:type="dxa"/>
              <w:start w:w="120" w:type="dxa"/>
              <w:bottom w:w="100" w:type="dxa"/>
              <w:end w:w="120" w:type="dxa"/>
            </w:tcMar>
            <w:vAlign w:val="center"/>
          </w:tcPr>
          <w:p>
            <w:pPr>
              <w:spacing w:after="40" w:line="245" w:lineRule="auto"/>
            </w:pPr>
            <w:r>
              <w:rPr>
                <w:rFonts w:ascii="Aptos" w:hAnsi="Aptos"/>
                <w:sz w:val="17"/>
              </w:rPr>
              <w:t>Should</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Benchmarking</w:t>
            </w:r>
          </w:p>
        </w:tc>
        <w:tc>
          <w:tcPr>
            <w:tcW w:type="dxa" w:w="6696"/>
            <w:shd w:fill="F5F8FB" w:val="clear"/>
            <w:tcMar>
              <w:top w:w="100" w:type="dxa"/>
              <w:start w:w="120" w:type="dxa"/>
              <w:bottom w:w="100" w:type="dxa"/>
              <w:end w:w="120" w:type="dxa"/>
            </w:tcMar>
            <w:vAlign w:val="center"/>
          </w:tcPr>
          <w:p>
            <w:pPr>
              <w:spacing w:after="40" w:line="245" w:lineRule="auto"/>
            </w:pPr>
            <w:r>
              <w:rPr>
                <w:rFonts w:ascii="Aptos" w:hAnsi="Aptos"/>
                <w:sz w:val="17"/>
              </w:rPr>
              <w:t>Age-, position-, level-, and context-aware cohorts with benchmark provenance</w:t>
            </w:r>
          </w:p>
        </w:tc>
        <w:tc>
          <w:tcPr>
            <w:tcW w:type="dxa" w:w="1080"/>
            <w:shd w:fill="F5F8FB" w:val="clear"/>
            <w:tcMar>
              <w:top w:w="100" w:type="dxa"/>
              <w:start w:w="120" w:type="dxa"/>
              <w:bottom w:w="100" w:type="dxa"/>
              <w:end w:w="120" w:type="dxa"/>
            </w:tcMar>
            <w:vAlign w:val="center"/>
          </w:tcPr>
          <w:p>
            <w:pPr>
              <w:spacing w:after="40" w:line="245" w:lineRule="auto"/>
            </w:pPr>
            <w:r>
              <w:rPr>
                <w:rFonts w:ascii="Aptos" w:hAnsi="Aptos"/>
                <w:sz w:val="17"/>
              </w:rPr>
              <w:t>Should</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Academy reporting</w:t>
            </w:r>
          </w:p>
        </w:tc>
        <w:tc>
          <w:tcPr>
            <w:tcW w:type="dxa" w:w="6696"/>
            <w:tcMar>
              <w:top w:w="100" w:type="dxa"/>
              <w:start w:w="120" w:type="dxa"/>
              <w:bottom w:w="100" w:type="dxa"/>
              <w:end w:w="120" w:type="dxa"/>
            </w:tcMar>
            <w:vAlign w:val="center"/>
          </w:tcPr>
          <w:p>
            <w:pPr>
              <w:spacing w:after="40" w:line="245" w:lineRule="auto"/>
            </w:pPr>
            <w:r>
              <w:rPr>
                <w:rFonts w:ascii="Aptos" w:hAnsi="Aptos"/>
                <w:sz w:val="17"/>
              </w:rPr>
              <w:t>Cross-team adoption, improvement, processing, and coach-review dashboards</w:t>
            </w:r>
          </w:p>
        </w:tc>
        <w:tc>
          <w:tcPr>
            <w:tcW w:type="dxa" w:w="1080"/>
            <w:tcMar>
              <w:top w:w="100" w:type="dxa"/>
              <w:start w:w="120" w:type="dxa"/>
              <w:bottom w:w="100" w:type="dxa"/>
              <w:end w:w="120" w:type="dxa"/>
            </w:tcMar>
            <w:vAlign w:val="center"/>
          </w:tcPr>
          <w:p>
            <w:pPr>
              <w:spacing w:after="40" w:line="245" w:lineRule="auto"/>
            </w:pPr>
            <w:r>
              <w:rPr>
                <w:rFonts w:ascii="Aptos" w:hAnsi="Aptos"/>
                <w:sz w:val="17"/>
              </w:rPr>
              <w:t>Could</w:t>
            </w:r>
          </w:p>
        </w:tc>
      </w:tr>
      <w:tr>
        <w:tc>
          <w:tcPr>
            <w:tcW w:type="dxa" w:w="3331"/>
          </w:tcPr>
          <w:p>
            <w:r>
              <w:t>Quality gates and no-result handling</w:t>
            </w:r>
          </w:p>
        </w:tc>
        <w:tc>
          <w:tcPr>
            <w:tcW w:type="dxa" w:w="3331"/>
          </w:tcPr>
          <w:p>
            <w:r>
              <w:t>Validate footage envelope, suppress unsupported metrics, return partial-result reasons, and capture manual correction needs.</w:t>
            </w:r>
          </w:p>
        </w:tc>
        <w:tc>
          <w:tcPr>
            <w:tcW w:type="dxa" w:w="3331"/>
          </w:tcPr>
          <w:p>
            <w:r>
              <w:t>Must</w:t>
            </w:r>
          </w:p>
        </w:tc>
      </w:tr>
      <w:tr>
        <w:tc>
          <w:tcPr>
            <w:tcW w:type="dxa" w:w="3331"/>
          </w:tcPr>
          <w:p>
            <w:r>
              <w:t>Business and pilot analytics</w:t>
            </w:r>
          </w:p>
        </w:tc>
        <w:tc>
          <w:tcPr>
            <w:tcW w:type="dxa" w:w="3331"/>
          </w:tcPr>
          <w:p>
            <w:r>
              <w:t>Track coach review time saved, observation acceptance/correction/rejection, processing cost per match, player engagement, and drill completion.</w:t>
            </w:r>
          </w:p>
        </w:tc>
        <w:tc>
          <w:tcPr>
            <w:tcW w:type="dxa" w:w="3331"/>
          </w:tcPr>
          <w:p>
            <w:r>
              <w:t>Should</w:t>
            </w:r>
          </w:p>
        </w:tc>
      </w:tr>
    </w:tbl>
    <w:p>
      <w:pPr>
        <w:widowControl/>
        <w:spacing w:after="20"/>
      </w:pPr>
    </w:p>
    <w:p>
      <w:pPr>
        <w:pStyle w:val="Heading2"/>
      </w:pPr>
      <w:r>
        <w:t>4.1 Supported conversational scope</w:t>
      </w:r>
    </w:p>
    <w:p>
      <w:pPr/>
      <w:r>
        <w:t>The agent should answer only questions grounded in authorized evidence, validated metrics, rubrics, benchmarks, and training history.</w:t>
      </w:r>
    </w:p>
    <w:p>
      <w:pPr>
        <w:pStyle w:val="ListBullet"/>
      </w:pPr>
      <w:r>
        <w:t>Supported MVP questions: what happened, when it happened, why the system believes it happened, what clip supports it, which recurring pattern matters most, and what drill addresses it.</w:t>
      </w:r>
    </w:p>
    <w:p>
      <w:pPr>
        <w:pStyle w:val="ListBullet"/>
      </w:pPr>
      <w:r>
        <w:t>Unsupported MVP questions: medical advice, professional potential predictions, transfer value, comparisons to named professional players, or claims based on footage outside the validated envelope.</w:t>
      </w:r>
    </w:p>
    <w:p>
      <w:pPr>
        <w:pStyle w:val="ListBullet"/>
      </w:pPr>
      <w:r>
        <w:t>All user-visible answers should include either evidence timestamps or an explicit explanation that available evidence is insufficient.</w:t>
      </w:r>
    </w:p>
    <w:p>
      <w:pPr>
        <w:pStyle w:val="Heading1"/>
        <w:widowControl/>
      </w:pPr>
      <w:r>
        <w:t>5. Production Architecture</w:t>
      </w:r>
    </w:p>
    <w:p>
      <w:pPr>
        <w:pStyle w:val="Heading2"/>
        <w:widowControl/>
      </w:pPr>
      <w:r>
        <w:t>5.1 Deployment model</w:t>
      </w:r>
    </w:p>
    <w:tbl>
      <w:tblPr>
        <w:tblW w:type="auto" w:w="0"/>
        <w:jc w:val="center"/>
        <w:tblLayout w:type="fixed"/>
        <w:tblLook w:firstColumn="1" w:firstRow="1" w:lastColumn="0" w:lastRow="0" w:noHBand="0" w:noVBand="1" w:val="04A0"/>
      </w:tblPr>
      <w:tblGrid>
        <w:gridCol w:w="9936"/>
      </w:tblGrid>
      <w:tr>
        <w:tc>
          <w:tcPr>
            <w:tcW w:type="dxa" w:w="9994"/>
            <w:shd w:fill="EAF2F8" w:val="clear"/>
            <w:tcMar>
              <w:top w:w="160" w:type="dxa"/>
              <w:start w:w="220" w:type="dxa"/>
              <w:bottom w:w="160" w:type="dxa"/>
              <w:end w:w="220" w:type="dxa"/>
            </w:tcMar>
          </w:tcPr>
          <w:p>
            <w:pPr>
              <w:spacing w:after="40" w:line="245" w:lineRule="auto"/>
            </w:pPr>
            <w:r>
              <w:rPr>
                <w:rFonts w:ascii="Aptos" w:hAnsi="Aptos"/>
                <w:b/>
                <w:color w:val="17365D"/>
                <w:sz w:val="17"/>
              </w:rPr>
              <w:t xml:space="preserve">Yes, the production application can run on Azure Container Apps.  </w:t>
            </w:r>
            <w:r>
              <w:rPr>
                <w:rFonts w:ascii="Aptos" w:hAnsi="Aptos"/>
                <w:sz w:val="17"/>
              </w:rPr>
              <w:t>The Foundry agent is the reasoning service invoked by the application. Video upload, processing, databases, authorization, billing, notifications, and deterministic metrics remain application services.</w:t>
            </w:r>
          </w:p>
        </w:tc>
      </w:tr>
    </w:tbl>
    <w:p>
      <w:pPr>
        <w:widowControl/>
        <w:spacing w:after="2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Component</w:t>
            </w:r>
          </w:p>
        </w:tc>
        <w:tc>
          <w:tcPr>
            <w:tcW w:type="dxa" w:w="3096"/>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Hosting recommendation</w:t>
            </w:r>
          </w:p>
        </w:tc>
        <w:tc>
          <w:tcPr>
            <w:tcW w:type="dxa" w:w="4680"/>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Responsibility</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Web/mobile frontend</w:t>
            </w:r>
          </w:p>
        </w:tc>
        <w:tc>
          <w:tcPr>
            <w:tcW w:type="dxa" w:w="3096"/>
            <w:tcMar>
              <w:top w:w="100" w:type="dxa"/>
              <w:start w:w="120" w:type="dxa"/>
              <w:bottom w:w="100" w:type="dxa"/>
              <w:end w:w="120" w:type="dxa"/>
            </w:tcMar>
            <w:vAlign w:val="center"/>
          </w:tcPr>
          <w:p>
            <w:pPr>
              <w:spacing w:after="40" w:line="245" w:lineRule="auto"/>
            </w:pPr>
            <w:r>
              <w:rPr>
                <w:rFonts w:ascii="Aptos" w:hAnsi="Aptos"/>
                <w:sz w:val="17"/>
              </w:rPr>
              <w:t>Static Web Apps or Container Apps</w:t>
            </w:r>
          </w:p>
        </w:tc>
        <w:tc>
          <w:tcPr>
            <w:tcW w:type="dxa" w:w="4680"/>
            <w:tcMar>
              <w:top w:w="100" w:type="dxa"/>
              <w:start w:w="120" w:type="dxa"/>
              <w:bottom w:w="100" w:type="dxa"/>
              <w:end w:w="120" w:type="dxa"/>
            </w:tcMar>
            <w:vAlign w:val="center"/>
          </w:tcPr>
          <w:p>
            <w:pPr>
              <w:spacing w:after="40" w:line="245" w:lineRule="auto"/>
            </w:pPr>
            <w:r>
              <w:rPr>
                <w:rFonts w:ascii="Aptos" w:hAnsi="Aptos"/>
                <w:sz w:val="17"/>
              </w:rPr>
              <w:t>Upload, dashboards, player and coach experiences</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Application API</w:t>
            </w:r>
          </w:p>
        </w:tc>
        <w:tc>
          <w:tcPr>
            <w:tcW w:type="dxa" w:w="3096"/>
            <w:shd w:fill="F5F8FB" w:val="clear"/>
            <w:tcMar>
              <w:top w:w="100" w:type="dxa"/>
              <w:start w:w="120" w:type="dxa"/>
              <w:bottom w:w="100" w:type="dxa"/>
              <w:end w:w="120" w:type="dxa"/>
            </w:tcMar>
            <w:vAlign w:val="center"/>
          </w:tcPr>
          <w:p>
            <w:pPr>
              <w:spacing w:after="40" w:line="245" w:lineRule="auto"/>
            </w:pPr>
            <w:r>
              <w:rPr>
                <w:rFonts w:ascii="Aptos" w:hAnsi="Aptos"/>
                <w:sz w:val="17"/>
              </w:rPr>
              <w:t>Azure Container Apps</w:t>
            </w:r>
          </w:p>
        </w:tc>
        <w:tc>
          <w:tcPr>
            <w:tcW w:type="dxa" w:w="4680"/>
            <w:shd w:fill="F5F8FB" w:val="clear"/>
            <w:tcMar>
              <w:top w:w="100" w:type="dxa"/>
              <w:start w:w="120" w:type="dxa"/>
              <w:bottom w:w="100" w:type="dxa"/>
              <w:end w:w="120" w:type="dxa"/>
            </w:tcMar>
            <w:vAlign w:val="center"/>
          </w:tcPr>
          <w:p>
            <w:pPr>
              <w:spacing w:after="40" w:line="245" w:lineRule="auto"/>
            </w:pPr>
            <w:r>
              <w:rPr>
                <w:rFonts w:ascii="Aptos" w:hAnsi="Aptos"/>
                <w:sz w:val="17"/>
              </w:rPr>
              <w:t>Authentication context, authorization, product APIs, subscriptions</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Workflow coordinator</w:t>
            </w:r>
          </w:p>
        </w:tc>
        <w:tc>
          <w:tcPr>
            <w:tcW w:type="dxa" w:w="3096"/>
            <w:tcMar>
              <w:top w:w="100" w:type="dxa"/>
              <w:start w:w="120" w:type="dxa"/>
              <w:bottom w:w="100" w:type="dxa"/>
              <w:end w:w="120" w:type="dxa"/>
            </w:tcMar>
            <w:vAlign w:val="center"/>
          </w:tcPr>
          <w:p>
            <w:pPr>
              <w:spacing w:after="40" w:line="245" w:lineRule="auto"/>
            </w:pPr>
            <w:r>
              <w:rPr>
                <w:rFonts w:ascii="Aptos" w:hAnsi="Aptos"/>
                <w:sz w:val="17"/>
              </w:rPr>
              <w:t>Durable Functions or Container Apps</w:t>
            </w:r>
          </w:p>
        </w:tc>
        <w:tc>
          <w:tcPr>
            <w:tcW w:type="dxa" w:w="4680"/>
            <w:tcMar>
              <w:top w:w="100" w:type="dxa"/>
              <w:start w:w="120" w:type="dxa"/>
              <w:bottom w:w="100" w:type="dxa"/>
              <w:end w:w="120" w:type="dxa"/>
            </w:tcMar>
            <w:vAlign w:val="center"/>
          </w:tcPr>
          <w:p>
            <w:pPr>
              <w:spacing w:after="40" w:line="245" w:lineRule="auto"/>
            </w:pPr>
            <w:r>
              <w:rPr>
                <w:rFonts w:ascii="Aptos" w:hAnsi="Aptos"/>
                <w:sz w:val="17"/>
              </w:rPr>
              <w:t>Long-running job state, retries, checkpoints</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Video workers</w:t>
            </w:r>
          </w:p>
        </w:tc>
        <w:tc>
          <w:tcPr>
            <w:tcW w:type="dxa" w:w="3096"/>
            <w:shd w:fill="F5F8FB" w:val="clear"/>
            <w:tcMar>
              <w:top w:w="100" w:type="dxa"/>
              <w:start w:w="120" w:type="dxa"/>
              <w:bottom w:w="100" w:type="dxa"/>
              <w:end w:w="120" w:type="dxa"/>
            </w:tcMar>
            <w:vAlign w:val="center"/>
          </w:tcPr>
          <w:p>
            <w:pPr>
              <w:spacing w:after="40" w:line="245" w:lineRule="auto"/>
            </w:pPr>
            <w:r>
              <w:rPr>
                <w:rFonts w:ascii="Aptos" w:hAnsi="Aptos"/>
                <w:sz w:val="17"/>
              </w:rPr>
              <w:t>Container Apps Jobs or Azure Machine Learning</w:t>
            </w:r>
          </w:p>
        </w:tc>
        <w:tc>
          <w:tcPr>
            <w:tcW w:type="dxa" w:w="4680"/>
            <w:shd w:fill="F5F8FB" w:val="clear"/>
            <w:tcMar>
              <w:top w:w="100" w:type="dxa"/>
              <w:start w:w="120" w:type="dxa"/>
              <w:bottom w:w="100" w:type="dxa"/>
              <w:end w:w="120" w:type="dxa"/>
            </w:tcMar>
            <w:vAlign w:val="center"/>
          </w:tcPr>
          <w:p>
            <w:pPr>
              <w:spacing w:after="40" w:line="245" w:lineRule="auto"/>
            </w:pPr>
            <w:r>
              <w:rPr>
                <w:rFonts w:ascii="Aptos" w:hAnsi="Aptos"/>
                <w:sz w:val="17"/>
              </w:rPr>
              <w:t>Transcoding, frame extraction, inference and clip generation</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Foundry agent</w:t>
            </w:r>
          </w:p>
        </w:tc>
        <w:tc>
          <w:tcPr>
            <w:tcW w:type="dxa" w:w="3096"/>
            <w:tcMar>
              <w:top w:w="100" w:type="dxa"/>
              <w:start w:w="120" w:type="dxa"/>
              <w:bottom w:w="100" w:type="dxa"/>
              <w:end w:w="120" w:type="dxa"/>
            </w:tcMar>
            <w:vAlign w:val="center"/>
          </w:tcPr>
          <w:p>
            <w:pPr>
              <w:spacing w:after="40" w:line="245" w:lineRule="auto"/>
            </w:pPr>
            <w:r>
              <w:rPr>
                <w:rFonts w:ascii="Aptos" w:hAnsi="Aptos"/>
                <w:sz w:val="17"/>
              </w:rPr>
              <w:t>Foundry Agent Service hosted agent</w:t>
            </w:r>
          </w:p>
        </w:tc>
        <w:tc>
          <w:tcPr>
            <w:tcW w:type="dxa" w:w="4680"/>
            <w:tcMar>
              <w:top w:w="100" w:type="dxa"/>
              <w:start w:w="120" w:type="dxa"/>
              <w:bottom w:w="100" w:type="dxa"/>
              <w:end w:w="120" w:type="dxa"/>
            </w:tcMar>
            <w:vAlign w:val="center"/>
          </w:tcPr>
          <w:p>
            <w:pPr>
              <w:spacing w:after="40" w:line="245" w:lineRule="auto"/>
            </w:pPr>
            <w:r>
              <w:rPr>
                <w:rFonts w:ascii="Aptos" w:hAnsi="Aptos"/>
                <w:sz w:val="17"/>
              </w:rPr>
              <w:t>Tool orchestration, reasoning, grounded Q&amp;A and coaching</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Search and evidence</w:t>
            </w:r>
          </w:p>
        </w:tc>
        <w:tc>
          <w:tcPr>
            <w:tcW w:type="dxa" w:w="3096"/>
            <w:shd w:fill="F5F8FB" w:val="clear"/>
            <w:tcMar>
              <w:top w:w="100" w:type="dxa"/>
              <w:start w:w="120" w:type="dxa"/>
              <w:bottom w:w="100" w:type="dxa"/>
              <w:end w:w="120" w:type="dxa"/>
            </w:tcMar>
            <w:vAlign w:val="center"/>
          </w:tcPr>
          <w:p>
            <w:pPr>
              <w:spacing w:after="40" w:line="245" w:lineRule="auto"/>
            </w:pPr>
            <w:r>
              <w:rPr>
                <w:rFonts w:ascii="Aptos" w:hAnsi="Aptos"/>
                <w:sz w:val="17"/>
              </w:rPr>
              <w:t>Azure AI Search</w:t>
            </w:r>
          </w:p>
        </w:tc>
        <w:tc>
          <w:tcPr>
            <w:tcW w:type="dxa" w:w="4680"/>
            <w:shd w:fill="F5F8FB" w:val="clear"/>
            <w:tcMar>
              <w:top w:w="100" w:type="dxa"/>
              <w:start w:w="120" w:type="dxa"/>
              <w:bottom w:w="100" w:type="dxa"/>
              <w:end w:w="120" w:type="dxa"/>
            </w:tcMar>
            <w:vAlign w:val="center"/>
          </w:tcPr>
          <w:p>
            <w:pPr>
              <w:spacing w:after="40" w:line="245" w:lineRule="auto"/>
            </w:pPr>
            <w:r>
              <w:rPr>
                <w:rFonts w:ascii="Aptos" w:hAnsi="Aptos"/>
                <w:sz w:val="17"/>
              </w:rPr>
              <w:t>Retrieve events, observations, clips, rubrics and coaching knowledge</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Operational store</w:t>
            </w:r>
          </w:p>
        </w:tc>
        <w:tc>
          <w:tcPr>
            <w:tcW w:type="dxa" w:w="3096"/>
            <w:tcMar>
              <w:top w:w="100" w:type="dxa"/>
              <w:start w:w="120" w:type="dxa"/>
              <w:bottom w:w="100" w:type="dxa"/>
              <w:end w:w="120" w:type="dxa"/>
            </w:tcMar>
            <w:vAlign w:val="center"/>
          </w:tcPr>
          <w:p>
            <w:pPr>
              <w:spacing w:after="40" w:line="245" w:lineRule="auto"/>
            </w:pPr>
            <w:r>
              <w:rPr>
                <w:rFonts w:ascii="Aptos" w:hAnsi="Aptos"/>
                <w:sz w:val="17"/>
              </w:rPr>
              <w:t>Azure SQL Database or Cosmos DB</w:t>
            </w:r>
          </w:p>
        </w:tc>
        <w:tc>
          <w:tcPr>
            <w:tcW w:type="dxa" w:w="4680"/>
            <w:tcMar>
              <w:top w:w="100" w:type="dxa"/>
              <w:start w:w="120" w:type="dxa"/>
              <w:bottom w:w="100" w:type="dxa"/>
              <w:end w:w="120" w:type="dxa"/>
            </w:tcMar>
            <w:vAlign w:val="center"/>
          </w:tcPr>
          <w:p>
            <w:pPr>
              <w:spacing w:after="40" w:line="245" w:lineRule="auto"/>
            </w:pPr>
            <w:r>
              <w:rPr>
                <w:rFonts w:ascii="Aptos" w:hAnsi="Aptos"/>
                <w:sz w:val="17"/>
              </w:rPr>
              <w:t>Players, matches, jobs, metrics, plans, consent and audit</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Media store</w:t>
            </w:r>
          </w:p>
        </w:tc>
        <w:tc>
          <w:tcPr>
            <w:tcW w:type="dxa" w:w="3096"/>
            <w:shd w:fill="F5F8FB" w:val="clear"/>
            <w:tcMar>
              <w:top w:w="100" w:type="dxa"/>
              <w:start w:w="120" w:type="dxa"/>
              <w:bottom w:w="100" w:type="dxa"/>
              <w:end w:w="120" w:type="dxa"/>
            </w:tcMar>
            <w:vAlign w:val="center"/>
          </w:tcPr>
          <w:p>
            <w:pPr>
              <w:spacing w:after="40" w:line="245" w:lineRule="auto"/>
            </w:pPr>
            <w:r>
              <w:rPr>
                <w:rFonts w:ascii="Aptos" w:hAnsi="Aptos"/>
                <w:sz w:val="17"/>
              </w:rPr>
              <w:t>Azure Blob Storage</w:t>
            </w:r>
          </w:p>
        </w:tc>
        <w:tc>
          <w:tcPr>
            <w:tcW w:type="dxa" w:w="4680"/>
            <w:shd w:fill="F5F8FB" w:val="clear"/>
            <w:tcMar>
              <w:top w:w="100" w:type="dxa"/>
              <w:start w:w="120" w:type="dxa"/>
              <w:bottom w:w="100" w:type="dxa"/>
              <w:end w:w="120" w:type="dxa"/>
            </w:tcMar>
            <w:vAlign w:val="center"/>
          </w:tcPr>
          <w:p>
            <w:pPr>
              <w:spacing w:after="40" w:line="245" w:lineRule="auto"/>
            </w:pPr>
            <w:r>
              <w:rPr>
                <w:rFonts w:ascii="Aptos" w:hAnsi="Aptos"/>
                <w:sz w:val="17"/>
              </w:rPr>
              <w:t>Source video, derived clips, key frames and model artifacts</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Analytics</w:t>
            </w:r>
          </w:p>
        </w:tc>
        <w:tc>
          <w:tcPr>
            <w:tcW w:type="dxa" w:w="3096"/>
            <w:tcMar>
              <w:top w:w="100" w:type="dxa"/>
              <w:start w:w="120" w:type="dxa"/>
              <w:bottom w:w="100" w:type="dxa"/>
              <w:end w:w="120" w:type="dxa"/>
            </w:tcMar>
            <w:vAlign w:val="center"/>
          </w:tcPr>
          <w:p>
            <w:pPr>
              <w:spacing w:after="40" w:line="245" w:lineRule="auto"/>
            </w:pPr>
            <w:r>
              <w:rPr>
                <w:rFonts w:ascii="Aptos" w:hAnsi="Aptos"/>
                <w:sz w:val="17"/>
              </w:rPr>
              <w:t>Microsoft Fabric</w:t>
            </w:r>
          </w:p>
        </w:tc>
        <w:tc>
          <w:tcPr>
            <w:tcW w:type="dxa" w:w="4680"/>
            <w:tcMar>
              <w:top w:w="100" w:type="dxa"/>
              <w:start w:w="120" w:type="dxa"/>
              <w:bottom w:w="100" w:type="dxa"/>
              <w:end w:w="120" w:type="dxa"/>
            </w:tcMar>
            <w:vAlign w:val="center"/>
          </w:tcPr>
          <w:p>
            <w:pPr>
              <w:spacing w:after="40" w:line="245" w:lineRule="auto"/>
            </w:pPr>
            <w:r>
              <w:rPr>
                <w:rFonts w:ascii="Aptos" w:hAnsi="Aptos"/>
                <w:sz w:val="17"/>
              </w:rPr>
              <w:t>Longitudinal reporting, model quality and academy analytics</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Observability</w:t>
            </w:r>
          </w:p>
        </w:tc>
        <w:tc>
          <w:tcPr>
            <w:tcW w:type="dxa" w:w="3096"/>
            <w:shd w:fill="F5F8FB" w:val="clear"/>
            <w:tcMar>
              <w:top w:w="100" w:type="dxa"/>
              <w:start w:w="120" w:type="dxa"/>
              <w:bottom w:w="100" w:type="dxa"/>
              <w:end w:w="120" w:type="dxa"/>
            </w:tcMar>
            <w:vAlign w:val="center"/>
          </w:tcPr>
          <w:p>
            <w:pPr>
              <w:spacing w:after="40" w:line="245" w:lineRule="auto"/>
            </w:pPr>
            <w:r>
              <w:rPr>
                <w:rFonts w:ascii="Aptos" w:hAnsi="Aptos"/>
                <w:sz w:val="17"/>
              </w:rPr>
              <w:t>Application Insights and Azure Monitor</w:t>
            </w:r>
          </w:p>
        </w:tc>
        <w:tc>
          <w:tcPr>
            <w:tcW w:type="dxa" w:w="4680"/>
            <w:shd w:fill="F5F8FB" w:val="clear"/>
            <w:tcMar>
              <w:top w:w="100" w:type="dxa"/>
              <w:start w:w="120" w:type="dxa"/>
              <w:bottom w:w="100" w:type="dxa"/>
              <w:end w:w="120" w:type="dxa"/>
            </w:tcMar>
            <w:vAlign w:val="center"/>
          </w:tcPr>
          <w:p>
            <w:pPr>
              <w:spacing w:after="40" w:line="245" w:lineRule="auto"/>
            </w:pPr>
            <w:r>
              <w:rPr>
                <w:rFonts w:ascii="Aptos" w:hAnsi="Aptos"/>
                <w:sz w:val="17"/>
              </w:rPr>
              <w:t>Distributed tracing, agent/tool metrics, errors and cost</w:t>
            </w:r>
          </w:p>
        </w:tc>
      </w:tr>
    </w:tbl>
    <w:p>
      <w:pPr>
        <w:widowControl/>
        <w:spacing w:after="20"/>
      </w:pPr>
    </w:p>
    <w:p>
      <w:pPr>
        <w:pStyle w:val="Heading2"/>
        <w:widowControl/>
      </w:pPr>
      <w:r>
        <w:t>5.2 Logical flow</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c>
          <w:tcPr>
            <w:tcW w:type="dxa" w:w="1382"/>
            <w:shd w:fill="17365D" w:val="clear"/>
            <w:tcMar>
              <w:top w:w="120" w:type="dxa"/>
              <w:start w:w="50" w:type="dxa"/>
              <w:bottom w:w="120" w:type="dxa"/>
              <w:end w:w="50" w:type="dxa"/>
            </w:tcMar>
            <w:vAlign w:val="center"/>
          </w:tcPr>
          <w:p>
            <w:pPr>
              <w:spacing w:after="40" w:line="245" w:lineRule="auto"/>
              <w:jc w:val="center"/>
            </w:pPr>
            <w:r>
              <w:rPr>
                <w:rFonts w:ascii="Aptos" w:hAnsi="Aptos"/>
                <w:b/>
                <w:color w:val="FFFFFF"/>
                <w:sz w:val="17"/>
              </w:rPr>
              <w:t>Upload</w:t>
            </w:r>
          </w:p>
        </w:tc>
        <w:tc>
          <w:tcPr>
            <w:tcW w:type="dxa" w:w="1382"/>
            <w:shd w:fill="EAF2F8" w:val="clear"/>
            <w:tcMar>
              <w:top w:w="120" w:type="dxa"/>
              <w:start w:w="50" w:type="dxa"/>
              <w:bottom w:w="120" w:type="dxa"/>
              <w:end w:w="50" w:type="dxa"/>
            </w:tcMar>
            <w:vAlign w:val="center"/>
          </w:tcPr>
          <w:p>
            <w:pPr>
              <w:spacing w:after="40" w:line="245" w:lineRule="auto"/>
              <w:jc w:val="center"/>
            </w:pPr>
            <w:r>
              <w:rPr>
                <w:rFonts w:ascii="Aptos" w:hAnsi="Aptos"/>
                <w:sz w:val="17"/>
              </w:rPr>
              <w:t>Ingest</w:t>
            </w:r>
          </w:p>
        </w:tc>
        <w:tc>
          <w:tcPr>
            <w:tcW w:type="dxa" w:w="1382"/>
            <w:shd w:fill="EAF2F8" w:val="clear"/>
            <w:tcMar>
              <w:top w:w="120" w:type="dxa"/>
              <w:start w:w="50" w:type="dxa"/>
              <w:bottom w:w="120" w:type="dxa"/>
              <w:end w:w="50" w:type="dxa"/>
            </w:tcMar>
            <w:vAlign w:val="center"/>
          </w:tcPr>
          <w:p>
            <w:pPr>
              <w:spacing w:after="40" w:line="245" w:lineRule="auto"/>
              <w:jc w:val="center"/>
            </w:pPr>
            <w:r>
              <w:rPr>
                <w:rFonts w:ascii="Aptos" w:hAnsi="Aptos"/>
                <w:sz w:val="17"/>
              </w:rPr>
              <w:t>CV pipeline</w:t>
            </w:r>
          </w:p>
        </w:tc>
        <w:tc>
          <w:tcPr>
            <w:tcW w:type="dxa" w:w="1382"/>
            <w:shd w:fill="EAF2F8" w:val="clear"/>
            <w:tcMar>
              <w:top w:w="120" w:type="dxa"/>
              <w:start w:w="50" w:type="dxa"/>
              <w:bottom w:w="120" w:type="dxa"/>
              <w:end w:w="50" w:type="dxa"/>
            </w:tcMar>
            <w:vAlign w:val="center"/>
          </w:tcPr>
          <w:p>
            <w:pPr>
              <w:spacing w:after="40" w:line="245" w:lineRule="auto"/>
              <w:jc w:val="center"/>
            </w:pPr>
            <w:r>
              <w:rPr>
                <w:rFonts w:ascii="Aptos" w:hAnsi="Aptos"/>
                <w:sz w:val="17"/>
              </w:rPr>
              <w:t>Event store</w:t>
            </w:r>
          </w:p>
        </w:tc>
        <w:tc>
          <w:tcPr>
            <w:tcW w:type="dxa" w:w="1382"/>
            <w:shd w:fill="17365D" w:val="clear"/>
            <w:tcMar>
              <w:top w:w="120" w:type="dxa"/>
              <w:start w:w="50" w:type="dxa"/>
              <w:bottom w:w="120" w:type="dxa"/>
              <w:end w:w="50" w:type="dxa"/>
            </w:tcMar>
            <w:vAlign w:val="center"/>
          </w:tcPr>
          <w:p>
            <w:pPr>
              <w:spacing w:after="40" w:line="245" w:lineRule="auto"/>
              <w:jc w:val="center"/>
            </w:pPr>
            <w:r>
              <w:rPr>
                <w:rFonts w:ascii="Aptos" w:hAnsi="Aptos"/>
                <w:b/>
                <w:color w:val="FFFFFF"/>
                <w:sz w:val="17"/>
              </w:rPr>
              <w:t>Foundry agent</w:t>
            </w:r>
          </w:p>
        </w:tc>
        <w:tc>
          <w:tcPr>
            <w:tcW w:type="dxa" w:w="1382"/>
            <w:shd w:fill="EAF2F8" w:val="clear"/>
            <w:tcMar>
              <w:top w:w="120" w:type="dxa"/>
              <w:start w:w="50" w:type="dxa"/>
              <w:bottom w:w="120" w:type="dxa"/>
              <w:end w:w="50" w:type="dxa"/>
            </w:tcMar>
            <w:vAlign w:val="center"/>
          </w:tcPr>
          <w:p>
            <w:pPr>
              <w:spacing w:after="40" w:line="245" w:lineRule="auto"/>
              <w:jc w:val="center"/>
            </w:pPr>
            <w:r>
              <w:rPr>
                <w:rFonts w:ascii="Aptos" w:hAnsi="Aptos"/>
                <w:sz w:val="17"/>
              </w:rPr>
              <w:t>Report / chat</w:t>
            </w:r>
          </w:p>
        </w:tc>
        <w:tc>
          <w:tcPr>
            <w:tcW w:type="dxa" w:w="1382"/>
            <w:shd w:fill="17365D" w:val="clear"/>
            <w:tcMar>
              <w:top w:w="120" w:type="dxa"/>
              <w:start w:w="50" w:type="dxa"/>
              <w:bottom w:w="120" w:type="dxa"/>
              <w:end w:w="50" w:type="dxa"/>
            </w:tcMar>
            <w:vAlign w:val="center"/>
          </w:tcPr>
          <w:p>
            <w:pPr>
              <w:spacing w:after="40" w:line="245" w:lineRule="auto"/>
              <w:jc w:val="center"/>
            </w:pPr>
            <w:r>
              <w:rPr>
                <w:rFonts w:ascii="Aptos" w:hAnsi="Aptos"/>
                <w:b/>
                <w:color w:val="FFFFFF"/>
                <w:sz w:val="17"/>
              </w:rPr>
              <w:t>Training loop</w:t>
            </w:r>
          </w:p>
        </w:tc>
      </w:tr>
    </w:tbl>
    <w:p>
      <w:pPr>
        <w:widowControl/>
      </w:pPr>
      <w:r>
        <w:t>Processing is asynchronous. The application stores job state and partial results, while the agent is invoked only after sufficient structured evidence exists.</w:t>
      </w:r>
    </w:p>
    <w:p>
      <w:pPr>
        <w:pStyle w:val="Heading2"/>
      </w:pPr>
      <w:r>
        <w:t>5.3 Cost and operational controls</w:t>
      </w:r>
    </w:p>
    <w:p>
      <w:pPr>
        <w:pStyle w:val="ListBullet"/>
      </w:pPr>
      <w:r>
        <w:t>Separate cost meters for upload/storage, transcoding, GPU inference, Azure AI Search indexing, Foundry model calls, and analytics refreshes.</w:t>
      </w:r>
    </w:p>
    <w:p>
      <w:pPr>
        <w:pStyle w:val="ListBullet"/>
      </w:pPr>
      <w:r>
        <w:t>Use asynchronous queues, idempotent workers, frame sampling, cached derived clips, and per-tenant quotas to prevent runaway GPU and model spend.</w:t>
      </w:r>
    </w:p>
    <w:p>
      <w:pPr>
        <w:pStyle w:val="ListBullet"/>
      </w:pPr>
      <w:r>
        <w:t>Expose processing status by stage: uploaded, quality checked, transcoded, tracking complete, event extraction complete, evidence indexed, agent report generated, coach reviewed.</w:t>
      </w:r>
    </w:p>
    <w:p>
      <w:pPr>
        <w:pStyle w:val="ListBullet"/>
      </w:pPr>
      <w:r>
        <w:t>Define operational SLOs separately for upload availability, processing start time, full-match completion time, grounded chat latency, and failed-job recovery.</w:t>
      </w:r>
    </w:p>
    <w:p>
      <w:pPr>
        <w:pStyle w:val="Heading1"/>
        <w:widowControl/>
      </w:pPr>
      <w:r>
        <w:t>6. Agent Architecture</w:t>
      </w:r>
    </w:p>
    <w:p>
      <w:pPr>
        <w:pStyle w:val="Heading2"/>
        <w:widowControl/>
      </w:pPr>
      <w:r>
        <w:t>6.1 MVP: one hosted agent</w:t>
      </w:r>
    </w:p>
    <w:p>
      <w:pPr>
        <w:widowControl/>
      </w:pPr>
      <w:r>
        <w:t>Start with one Soccer Development Agent in Microsoft Foundry Agent Service. This is easier to evaluate, debug, secure, and operate than a premature multi-agent design.</w:t>
      </w:r>
    </w:p>
    <w:p>
      <w:pPr/>
      <w:r>
        <w:t>Split into multiple agents only when measured evidence shows a real need: distinct authorization boundaries, unacceptable latency, separate evaluation rubrics, materially different prompts/tools, or repeated quality failures that a reviewer stage can catch.</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Tool</w:t>
            </w:r>
          </w:p>
        </w:tc>
        <w:tc>
          <w:tcPr>
            <w:tcW w:type="dxa" w:w="7200"/>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Purpose</w:t>
            </w:r>
          </w:p>
        </w:tc>
      </w:tr>
      <w:tr>
        <w:trPr>
          <w:cantSplit/>
        </w:trPr>
        <w:tc>
          <w:tcPr>
            <w:tcW w:type="dxa" w:w="2448"/>
            <w:tcMar>
              <w:top w:w="100" w:type="dxa"/>
              <w:start w:w="120" w:type="dxa"/>
              <w:bottom w:w="100" w:type="dxa"/>
              <w:end w:w="120" w:type="dxa"/>
            </w:tcMar>
            <w:vAlign w:val="center"/>
          </w:tcPr>
          <w:p>
            <w:pPr>
              <w:spacing w:after="40" w:line="245" w:lineRule="auto"/>
            </w:pPr>
            <w:r>
              <w:rPr>
                <w:rFonts w:ascii="Aptos" w:hAnsi="Aptos"/>
                <w:sz w:val="17"/>
              </w:rPr>
              <w:t>get_player_profile</w:t>
            </w:r>
          </w:p>
        </w:tc>
        <w:tc>
          <w:tcPr>
            <w:tcW w:type="dxa" w:w="7200"/>
            <w:tcMar>
              <w:top w:w="100" w:type="dxa"/>
              <w:start w:w="120" w:type="dxa"/>
              <w:bottom w:w="100" w:type="dxa"/>
              <w:end w:w="120" w:type="dxa"/>
            </w:tcMar>
            <w:vAlign w:val="center"/>
          </w:tcPr>
          <w:p>
            <w:pPr>
              <w:spacing w:after="40" w:line="245" w:lineRule="auto"/>
            </w:pPr>
            <w:r>
              <w:rPr>
                <w:rFonts w:ascii="Aptos" w:hAnsi="Aptos"/>
                <w:sz w:val="17"/>
              </w:rPr>
              <w:t>Retrieve role, age band, dominant foot, goals, permissions, and coach context.</w:t>
            </w:r>
          </w:p>
        </w:tc>
      </w:tr>
      <w:tr>
        <w:trPr>
          <w:cantSplit/>
        </w:trPr>
        <w:tc>
          <w:tcPr>
            <w:tcW w:type="dxa" w:w="2448"/>
            <w:shd w:fill="F5F8FB" w:val="clear"/>
            <w:tcMar>
              <w:top w:w="100" w:type="dxa"/>
              <w:start w:w="120" w:type="dxa"/>
              <w:bottom w:w="100" w:type="dxa"/>
              <w:end w:w="120" w:type="dxa"/>
            </w:tcMar>
            <w:vAlign w:val="center"/>
          </w:tcPr>
          <w:p>
            <w:pPr>
              <w:spacing w:after="40" w:line="245" w:lineRule="auto"/>
            </w:pPr>
            <w:r>
              <w:rPr>
                <w:rFonts w:ascii="Aptos" w:hAnsi="Aptos"/>
                <w:sz w:val="17"/>
              </w:rPr>
              <w:t>get_match_metrics</w:t>
            </w:r>
          </w:p>
        </w:tc>
        <w:tc>
          <w:tcPr>
            <w:tcW w:type="dxa" w:w="7200"/>
            <w:shd w:fill="F5F8FB" w:val="clear"/>
            <w:tcMar>
              <w:top w:w="100" w:type="dxa"/>
              <w:start w:w="120" w:type="dxa"/>
              <w:bottom w:w="100" w:type="dxa"/>
              <w:end w:w="120" w:type="dxa"/>
            </w:tcMar>
            <w:vAlign w:val="center"/>
          </w:tcPr>
          <w:p>
            <w:pPr>
              <w:spacing w:after="40" w:line="245" w:lineRule="auto"/>
            </w:pPr>
            <w:r>
              <w:rPr>
                <w:rFonts w:ascii="Aptos" w:hAnsi="Aptos"/>
                <w:sz w:val="17"/>
              </w:rPr>
              <w:t>Return validated numeric metrics and confidence.</w:t>
            </w:r>
          </w:p>
        </w:tc>
      </w:tr>
      <w:tr>
        <w:trPr>
          <w:cantSplit/>
        </w:trPr>
        <w:tc>
          <w:tcPr>
            <w:tcW w:type="dxa" w:w="2448"/>
            <w:tcMar>
              <w:top w:w="100" w:type="dxa"/>
              <w:start w:w="120" w:type="dxa"/>
              <w:bottom w:w="100" w:type="dxa"/>
              <w:end w:w="120" w:type="dxa"/>
            </w:tcMar>
            <w:vAlign w:val="center"/>
          </w:tcPr>
          <w:p>
            <w:pPr>
              <w:spacing w:after="40" w:line="245" w:lineRule="auto"/>
            </w:pPr>
            <w:r>
              <w:rPr>
                <w:rFonts w:ascii="Aptos" w:hAnsi="Aptos"/>
                <w:sz w:val="17"/>
              </w:rPr>
              <w:t>get_player_events</w:t>
            </w:r>
          </w:p>
        </w:tc>
        <w:tc>
          <w:tcPr>
            <w:tcW w:type="dxa" w:w="7200"/>
            <w:tcMar>
              <w:top w:w="100" w:type="dxa"/>
              <w:start w:w="120" w:type="dxa"/>
              <w:bottom w:w="100" w:type="dxa"/>
              <w:end w:w="120" w:type="dxa"/>
            </w:tcMar>
            <w:vAlign w:val="center"/>
          </w:tcPr>
          <w:p>
            <w:pPr>
              <w:spacing w:after="40" w:line="245" w:lineRule="auto"/>
            </w:pPr>
            <w:r>
              <w:rPr>
                <w:rFonts w:ascii="Aptos" w:hAnsi="Aptos"/>
                <w:sz w:val="17"/>
              </w:rPr>
              <w:t>Retrieve structured events and tactical situations.</w:t>
            </w:r>
          </w:p>
        </w:tc>
      </w:tr>
      <w:tr>
        <w:trPr>
          <w:cantSplit/>
        </w:trPr>
        <w:tc>
          <w:tcPr>
            <w:tcW w:type="dxa" w:w="2448"/>
            <w:shd w:fill="F5F8FB" w:val="clear"/>
            <w:tcMar>
              <w:top w:w="100" w:type="dxa"/>
              <w:start w:w="120" w:type="dxa"/>
              <w:bottom w:w="100" w:type="dxa"/>
              <w:end w:w="120" w:type="dxa"/>
            </w:tcMar>
            <w:vAlign w:val="center"/>
          </w:tcPr>
          <w:p>
            <w:pPr>
              <w:spacing w:after="40" w:line="245" w:lineRule="auto"/>
            </w:pPr>
            <w:r>
              <w:rPr>
                <w:rFonts w:ascii="Aptos" w:hAnsi="Aptos"/>
                <w:sz w:val="17"/>
              </w:rPr>
              <w:t>retrieve_video_clips</w:t>
            </w:r>
          </w:p>
        </w:tc>
        <w:tc>
          <w:tcPr>
            <w:tcW w:type="dxa" w:w="7200"/>
            <w:shd w:fill="F5F8FB" w:val="clear"/>
            <w:tcMar>
              <w:top w:w="100" w:type="dxa"/>
              <w:start w:w="120" w:type="dxa"/>
              <w:bottom w:w="100" w:type="dxa"/>
              <w:end w:w="120" w:type="dxa"/>
            </w:tcMar>
            <w:vAlign w:val="center"/>
          </w:tcPr>
          <w:p>
            <w:pPr>
              <w:spacing w:after="40" w:line="245" w:lineRule="auto"/>
            </w:pPr>
            <w:r>
              <w:rPr>
                <w:rFonts w:ascii="Aptos" w:hAnsi="Aptos"/>
                <w:sz w:val="17"/>
              </w:rPr>
              <w:t>Return authorized evidence clips and timestamps.</w:t>
            </w:r>
          </w:p>
        </w:tc>
      </w:tr>
      <w:tr>
        <w:trPr>
          <w:cantSplit/>
        </w:trPr>
        <w:tc>
          <w:tcPr>
            <w:tcW w:type="dxa" w:w="2448"/>
            <w:tcMar>
              <w:top w:w="100" w:type="dxa"/>
              <w:start w:w="120" w:type="dxa"/>
              <w:bottom w:w="100" w:type="dxa"/>
              <w:end w:w="120" w:type="dxa"/>
            </w:tcMar>
            <w:vAlign w:val="center"/>
          </w:tcPr>
          <w:p>
            <w:pPr>
              <w:spacing w:after="40" w:line="245" w:lineRule="auto"/>
            </w:pPr>
            <w:r>
              <w:rPr>
                <w:rFonts w:ascii="Aptos" w:hAnsi="Aptos"/>
                <w:sz w:val="17"/>
              </w:rPr>
              <w:t>get_benchmarks</w:t>
            </w:r>
          </w:p>
        </w:tc>
        <w:tc>
          <w:tcPr>
            <w:tcW w:type="dxa" w:w="7200"/>
            <w:tcMar>
              <w:top w:w="100" w:type="dxa"/>
              <w:start w:w="120" w:type="dxa"/>
              <w:bottom w:w="100" w:type="dxa"/>
              <w:end w:w="120" w:type="dxa"/>
            </w:tcMar>
            <w:vAlign w:val="center"/>
          </w:tcPr>
          <w:p>
            <w:pPr>
              <w:spacing w:after="40" w:line="245" w:lineRule="auto"/>
            </w:pPr>
            <w:r>
              <w:rPr>
                <w:rFonts w:ascii="Aptos" w:hAnsi="Aptos"/>
                <w:sz w:val="17"/>
              </w:rPr>
              <w:t>Return applicable cohort benchmark and provenance.</w:t>
            </w:r>
          </w:p>
        </w:tc>
      </w:tr>
      <w:tr>
        <w:trPr>
          <w:cantSplit/>
        </w:trPr>
        <w:tc>
          <w:tcPr>
            <w:tcW w:type="dxa" w:w="2448"/>
            <w:shd w:fill="F5F8FB" w:val="clear"/>
            <w:tcMar>
              <w:top w:w="100" w:type="dxa"/>
              <w:start w:w="120" w:type="dxa"/>
              <w:bottom w:w="100" w:type="dxa"/>
              <w:end w:w="120" w:type="dxa"/>
            </w:tcMar>
            <w:vAlign w:val="center"/>
          </w:tcPr>
          <w:p>
            <w:pPr>
              <w:spacing w:after="40" w:line="245" w:lineRule="auto"/>
            </w:pPr>
            <w:r>
              <w:rPr>
                <w:rFonts w:ascii="Aptos" w:hAnsi="Aptos"/>
                <w:sz w:val="17"/>
              </w:rPr>
              <w:t>get_training_history</w:t>
            </w:r>
          </w:p>
        </w:tc>
        <w:tc>
          <w:tcPr>
            <w:tcW w:type="dxa" w:w="7200"/>
            <w:shd w:fill="F5F8FB" w:val="clear"/>
            <w:tcMar>
              <w:top w:w="100" w:type="dxa"/>
              <w:start w:w="120" w:type="dxa"/>
              <w:bottom w:w="100" w:type="dxa"/>
              <w:end w:w="120" w:type="dxa"/>
            </w:tcMar>
            <w:vAlign w:val="center"/>
          </w:tcPr>
          <w:p>
            <w:pPr>
              <w:spacing w:after="40" w:line="245" w:lineRule="auto"/>
            </w:pPr>
            <w:r>
              <w:rPr>
                <w:rFonts w:ascii="Aptos" w:hAnsi="Aptos"/>
                <w:sz w:val="17"/>
              </w:rPr>
              <w:t>Retrieve prior plans, completion, and measured outcomes.</w:t>
            </w:r>
          </w:p>
        </w:tc>
      </w:tr>
      <w:tr>
        <w:trPr>
          <w:cantSplit/>
        </w:trPr>
        <w:tc>
          <w:tcPr>
            <w:tcW w:type="dxa" w:w="2448"/>
            <w:tcMar>
              <w:top w:w="100" w:type="dxa"/>
              <w:start w:w="120" w:type="dxa"/>
              <w:bottom w:w="100" w:type="dxa"/>
              <w:end w:w="120" w:type="dxa"/>
            </w:tcMar>
            <w:vAlign w:val="center"/>
          </w:tcPr>
          <w:p>
            <w:pPr>
              <w:spacing w:after="40" w:line="245" w:lineRule="auto"/>
            </w:pPr>
            <w:r>
              <w:rPr>
                <w:rFonts w:ascii="Aptos" w:hAnsi="Aptos"/>
                <w:sz w:val="17"/>
              </w:rPr>
              <w:t>create_training_plan</w:t>
            </w:r>
          </w:p>
        </w:tc>
        <w:tc>
          <w:tcPr>
            <w:tcW w:type="dxa" w:w="7200"/>
            <w:tcMar>
              <w:top w:w="100" w:type="dxa"/>
              <w:start w:w="120" w:type="dxa"/>
              <w:bottom w:w="100" w:type="dxa"/>
              <w:end w:w="120" w:type="dxa"/>
            </w:tcMar>
            <w:vAlign w:val="center"/>
          </w:tcPr>
          <w:p>
            <w:pPr>
              <w:spacing w:after="40" w:line="245" w:lineRule="auto"/>
            </w:pPr>
            <w:r>
              <w:rPr>
                <w:rFonts w:ascii="Aptos" w:hAnsi="Aptos"/>
                <w:sz w:val="17"/>
              </w:rPr>
              <w:t>Persist a structured plan after validation and policy checks.</w:t>
            </w:r>
          </w:p>
        </w:tc>
      </w:tr>
    </w:tbl>
    <w:p>
      <w:pPr>
        <w:widowControl/>
        <w:spacing w:after="20"/>
      </w:pPr>
    </w:p>
    <w:p>
      <w:pPr>
        <w:pStyle w:val="Heading2"/>
        <w:widowControl/>
      </w:pPr>
      <w:r>
        <w:t>6.2 Mature production: three logical agents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Agent</w:t>
            </w:r>
          </w:p>
        </w:tc>
        <w:tc>
          <w:tcPr>
            <w:tcW w:type="dxa" w:w="4896"/>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Responsibility</w:t>
            </w:r>
          </w:p>
        </w:tc>
        <w:tc>
          <w:tcPr>
            <w:tcW w:type="dxa" w:w="2520"/>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Primary output</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Match Analysis Agent</w:t>
            </w:r>
          </w:p>
        </w:tc>
        <w:tc>
          <w:tcPr>
            <w:tcW w:type="dxa" w:w="4896"/>
            <w:tcMar>
              <w:top w:w="100" w:type="dxa"/>
              <w:start w:w="120" w:type="dxa"/>
              <w:bottom w:w="100" w:type="dxa"/>
              <w:end w:w="120" w:type="dxa"/>
            </w:tcMar>
            <w:vAlign w:val="center"/>
          </w:tcPr>
          <w:p>
            <w:pPr>
              <w:spacing w:after="40" w:line="245" w:lineRule="auto"/>
            </w:pPr>
            <w:r>
              <w:rPr>
                <w:rFonts w:ascii="Aptos" w:hAnsi="Aptos"/>
                <w:sz w:val="17"/>
              </w:rPr>
              <w:t>Interpret structured events, apply tactical rubrics, identify patterns, and assign confidence.</w:t>
            </w:r>
          </w:p>
        </w:tc>
        <w:tc>
          <w:tcPr>
            <w:tcW w:type="dxa" w:w="2520"/>
            <w:tcMar>
              <w:top w:w="100" w:type="dxa"/>
              <w:start w:w="120" w:type="dxa"/>
              <w:bottom w:w="100" w:type="dxa"/>
              <w:end w:w="120" w:type="dxa"/>
            </w:tcMar>
            <w:vAlign w:val="center"/>
          </w:tcPr>
          <w:p>
            <w:pPr>
              <w:spacing w:after="40" w:line="245" w:lineRule="auto"/>
            </w:pPr>
            <w:r>
              <w:rPr>
                <w:rFonts w:ascii="Aptos" w:hAnsi="Aptos"/>
                <w:sz w:val="17"/>
              </w:rPr>
              <w:t>Evidence-grounded observations</w:t>
            </w:r>
          </w:p>
        </w:tc>
      </w:tr>
      <w:tr>
        <w:trPr>
          <w:cantSplit/>
        </w:trPr>
        <w:tc>
          <w:tcPr>
            <w:tcW w:type="dxa" w:w="2232"/>
            <w:shd w:fill="F5F8FB" w:val="clear"/>
            <w:tcMar>
              <w:top w:w="100" w:type="dxa"/>
              <w:start w:w="120" w:type="dxa"/>
              <w:bottom w:w="100" w:type="dxa"/>
              <w:end w:w="120" w:type="dxa"/>
            </w:tcMar>
            <w:vAlign w:val="center"/>
          </w:tcPr>
          <w:p>
            <w:pPr>
              <w:spacing w:after="40" w:line="245" w:lineRule="auto"/>
            </w:pPr>
            <w:r>
              <w:rPr>
                <w:rFonts w:ascii="Aptos" w:hAnsi="Aptos"/>
                <w:sz w:val="17"/>
              </w:rPr>
              <w:t>Development Coach Agent</w:t>
            </w:r>
          </w:p>
        </w:tc>
        <w:tc>
          <w:tcPr>
            <w:tcW w:type="dxa" w:w="4896"/>
            <w:shd w:fill="F5F8FB" w:val="clear"/>
            <w:tcMar>
              <w:top w:w="100" w:type="dxa"/>
              <w:start w:w="120" w:type="dxa"/>
              <w:bottom w:w="100" w:type="dxa"/>
              <w:end w:w="120" w:type="dxa"/>
            </w:tcMar>
            <w:vAlign w:val="center"/>
          </w:tcPr>
          <w:p>
            <w:pPr>
              <w:spacing w:after="40" w:line="245" w:lineRule="auto"/>
            </w:pPr>
            <w:r>
              <w:rPr>
                <w:rFonts w:ascii="Aptos" w:hAnsi="Aptos"/>
                <w:sz w:val="17"/>
              </w:rPr>
              <w:t>Prioritize issues and create adaptive drills based on history, role, and goals.</w:t>
            </w:r>
          </w:p>
        </w:tc>
        <w:tc>
          <w:tcPr>
            <w:tcW w:type="dxa" w:w="2520"/>
            <w:shd w:fill="F5F8FB" w:val="clear"/>
            <w:tcMar>
              <w:top w:w="100" w:type="dxa"/>
              <w:start w:w="120" w:type="dxa"/>
              <w:bottom w:w="100" w:type="dxa"/>
              <w:end w:w="120" w:type="dxa"/>
            </w:tcMar>
            <w:vAlign w:val="center"/>
          </w:tcPr>
          <w:p>
            <w:pPr>
              <w:spacing w:after="40" w:line="245" w:lineRule="auto"/>
            </w:pPr>
            <w:r>
              <w:rPr>
                <w:rFonts w:ascii="Aptos" w:hAnsi="Aptos"/>
                <w:sz w:val="17"/>
              </w:rPr>
              <w:t>Development plan and success measures</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Player Experience Agent</w:t>
            </w:r>
          </w:p>
        </w:tc>
        <w:tc>
          <w:tcPr>
            <w:tcW w:type="dxa" w:w="4896"/>
            <w:tcMar>
              <w:top w:w="100" w:type="dxa"/>
              <w:start w:w="120" w:type="dxa"/>
              <w:bottom w:w="100" w:type="dxa"/>
              <w:end w:w="120" w:type="dxa"/>
            </w:tcMar>
            <w:vAlign w:val="center"/>
          </w:tcPr>
          <w:p>
            <w:pPr>
              <w:spacing w:after="40" w:line="245" w:lineRule="auto"/>
            </w:pPr>
            <w:r>
              <w:rPr>
                <w:rFonts w:ascii="Aptos" w:hAnsi="Aptos"/>
                <w:sz w:val="17"/>
              </w:rPr>
              <w:t>Manage conversation, retrieve clips, explain scores, and route requests.</w:t>
            </w:r>
          </w:p>
        </w:tc>
        <w:tc>
          <w:tcPr>
            <w:tcW w:type="dxa" w:w="2520"/>
            <w:tcMar>
              <w:top w:w="100" w:type="dxa"/>
              <w:start w:w="120" w:type="dxa"/>
              <w:bottom w:w="100" w:type="dxa"/>
              <w:end w:w="120" w:type="dxa"/>
            </w:tcMar>
            <w:vAlign w:val="center"/>
          </w:tcPr>
          <w:p>
            <w:pPr>
              <w:spacing w:after="40" w:line="245" w:lineRule="auto"/>
            </w:pPr>
            <w:r>
              <w:rPr>
                <w:rFonts w:ascii="Aptos" w:hAnsi="Aptos"/>
                <w:sz w:val="17"/>
              </w:rPr>
              <w:t>User-facing grounded response</w:t>
            </w:r>
          </w:p>
        </w:tc>
      </w:tr>
    </w:tbl>
    <w:p>
      <w:pPr>
        <w:widowControl/>
        <w:spacing w:after="20"/>
      </w:pPr>
    </w:p>
    <w:p>
      <w:pPr>
        <w:pStyle w:val="Heading3"/>
        <w:widowControl/>
      </w:pPr>
      <w:r>
        <w:t>Optional quality reviewer</w:t>
      </w:r>
    </w:p>
    <w:p>
      <w:pPr>
        <w:widowControl/>
      </w:pPr>
      <w:r>
        <w:t>For youth or large-scale commercial deployment, add a quality-review stage that checks evidence linkage, unsupported claims, age-appropriate language, confidence thresholds, and escalation boundaries. Numeric validation, access control, consent, and retention must still be enforced in application code.</w:t>
      </w:r>
    </w:p>
    <w:p>
      <w:pPr>
        <w:pStyle w:val="Heading1"/>
        <w:widowControl/>
      </w:pPr>
      <w:r>
        <w:t>7. Model Strategy</w:t>
      </w:r>
    </w:p>
    <w:p>
      <w:pPr>
        <w:pStyle w:val="Heading2"/>
        <w:widowControl/>
      </w:pPr>
      <w:r>
        <w:t>7.1 Recommended model portfolio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Model type</w:t>
            </w:r>
          </w:p>
        </w:tc>
        <w:tc>
          <w:tcPr>
            <w:tcW w:type="dxa" w:w="5112"/>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Use</w:t>
            </w:r>
          </w:p>
        </w:tc>
        <w:tc>
          <w:tcPr>
            <w:tcW w:type="dxa" w:w="230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Deployment</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High-capability multimodal reasoning model</w:t>
            </w:r>
          </w:p>
        </w:tc>
        <w:tc>
          <w:tcPr>
            <w:tcW w:type="dxa" w:w="5112"/>
            <w:tcMar>
              <w:top w:w="100" w:type="dxa"/>
              <w:start w:w="120" w:type="dxa"/>
              <w:bottom w:w="100" w:type="dxa"/>
              <w:end w:w="120" w:type="dxa"/>
            </w:tcMar>
            <w:vAlign w:val="center"/>
          </w:tcPr>
          <w:p>
            <w:pPr>
              <w:spacing w:after="40" w:line="245" w:lineRule="auto"/>
            </w:pPr>
            <w:r>
              <w:rPr>
                <w:rFonts w:ascii="Aptos" w:hAnsi="Aptos"/>
                <w:sz w:val="17"/>
              </w:rPr>
              <w:t>Tactical interpretation, counterfactuals, Q&amp;A, coaching reports, tool orchestration</w:t>
            </w:r>
          </w:p>
        </w:tc>
        <w:tc>
          <w:tcPr>
            <w:tcW w:type="dxa" w:w="2304"/>
            <w:tcMar>
              <w:top w:w="100" w:type="dxa"/>
              <w:start w:w="120" w:type="dxa"/>
              <w:bottom w:w="100" w:type="dxa"/>
              <w:end w:w="120" w:type="dxa"/>
            </w:tcMar>
            <w:vAlign w:val="center"/>
          </w:tcPr>
          <w:p>
            <w:pPr>
              <w:spacing w:after="40" w:line="245" w:lineRule="auto"/>
            </w:pPr>
            <w:r>
              <w:rPr>
                <w:rFonts w:ascii="Aptos" w:hAnsi="Aptos"/>
                <w:sz w:val="17"/>
              </w:rPr>
              <w:t>Managed model in Microsoft Foundry</w:t>
            </w:r>
          </w:p>
        </w:tc>
      </w:tr>
      <w:tr>
        <w:trPr>
          <w:cantSplit/>
        </w:trPr>
        <w:tc>
          <w:tcPr>
            <w:tcW w:type="dxa" w:w="2232"/>
            <w:shd w:fill="F5F8FB" w:val="clear"/>
            <w:tcMar>
              <w:top w:w="100" w:type="dxa"/>
              <w:start w:w="120" w:type="dxa"/>
              <w:bottom w:w="100" w:type="dxa"/>
              <w:end w:w="120" w:type="dxa"/>
            </w:tcMar>
            <w:vAlign w:val="center"/>
          </w:tcPr>
          <w:p>
            <w:pPr>
              <w:spacing w:after="40" w:line="245" w:lineRule="auto"/>
            </w:pPr>
            <w:r>
              <w:rPr>
                <w:rFonts w:ascii="Aptos" w:hAnsi="Aptos"/>
                <w:sz w:val="17"/>
              </w:rPr>
              <w:t>Small language model</w:t>
            </w:r>
          </w:p>
        </w:tc>
        <w:tc>
          <w:tcPr>
            <w:tcW w:type="dxa" w:w="5112"/>
            <w:shd w:fill="F5F8FB" w:val="clear"/>
            <w:tcMar>
              <w:top w:w="100" w:type="dxa"/>
              <w:start w:w="120" w:type="dxa"/>
              <w:bottom w:w="100" w:type="dxa"/>
              <w:end w:w="120" w:type="dxa"/>
            </w:tcMar>
            <w:vAlign w:val="center"/>
          </w:tcPr>
          <w:p>
            <w:pPr>
              <w:spacing w:after="40" w:line="245" w:lineRule="auto"/>
            </w:pPr>
            <w:r>
              <w:rPr>
                <w:rFonts w:ascii="Aptos" w:hAnsi="Aptos"/>
                <w:sz w:val="17"/>
              </w:rPr>
              <w:t>Classification, metadata, translation, formatting, low-risk summaries</w:t>
            </w:r>
          </w:p>
        </w:tc>
        <w:tc>
          <w:tcPr>
            <w:tcW w:type="dxa" w:w="2304"/>
            <w:shd w:fill="F5F8FB" w:val="clear"/>
            <w:tcMar>
              <w:top w:w="100" w:type="dxa"/>
              <w:start w:w="120" w:type="dxa"/>
              <w:bottom w:w="100" w:type="dxa"/>
              <w:end w:w="120" w:type="dxa"/>
            </w:tcMar>
            <w:vAlign w:val="center"/>
          </w:tcPr>
          <w:p>
            <w:pPr>
              <w:spacing w:after="40" w:line="245" w:lineRule="auto"/>
            </w:pPr>
            <w:r>
              <w:rPr>
                <w:rFonts w:ascii="Aptos" w:hAnsi="Aptos"/>
                <w:sz w:val="17"/>
              </w:rPr>
              <w:t>Managed serverless or provisioned deployment</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Object detector</w:t>
            </w:r>
          </w:p>
        </w:tc>
        <w:tc>
          <w:tcPr>
            <w:tcW w:type="dxa" w:w="5112"/>
            <w:tcMar>
              <w:top w:w="100" w:type="dxa"/>
              <w:start w:w="120" w:type="dxa"/>
              <w:bottom w:w="100" w:type="dxa"/>
              <w:end w:w="120" w:type="dxa"/>
            </w:tcMar>
            <w:vAlign w:val="center"/>
          </w:tcPr>
          <w:p>
            <w:pPr>
              <w:spacing w:after="40" w:line="245" w:lineRule="auto"/>
            </w:pPr>
            <w:r>
              <w:rPr>
                <w:rFonts w:ascii="Aptos" w:hAnsi="Aptos"/>
                <w:sz w:val="17"/>
              </w:rPr>
              <w:t>Players, goalkeepers, referees, ball, field elements</w:t>
            </w:r>
          </w:p>
        </w:tc>
        <w:tc>
          <w:tcPr>
            <w:tcW w:type="dxa" w:w="2304"/>
            <w:tcMar>
              <w:top w:w="100" w:type="dxa"/>
              <w:start w:w="120" w:type="dxa"/>
              <w:bottom w:w="100" w:type="dxa"/>
              <w:end w:w="120" w:type="dxa"/>
            </w:tcMar>
            <w:vAlign w:val="center"/>
          </w:tcPr>
          <w:p>
            <w:pPr>
              <w:spacing w:after="40" w:line="245" w:lineRule="auto"/>
            </w:pPr>
            <w:r>
              <w:rPr>
                <w:rFonts w:ascii="Aptos" w:hAnsi="Aptos"/>
                <w:sz w:val="17"/>
              </w:rPr>
              <w:t>Azure ML endpoint or GPU worker</w:t>
            </w:r>
          </w:p>
        </w:tc>
      </w:tr>
      <w:tr>
        <w:trPr>
          <w:cantSplit/>
        </w:trPr>
        <w:tc>
          <w:tcPr>
            <w:tcW w:type="dxa" w:w="2232"/>
            <w:shd w:fill="F5F8FB" w:val="clear"/>
            <w:tcMar>
              <w:top w:w="100" w:type="dxa"/>
              <w:start w:w="120" w:type="dxa"/>
              <w:bottom w:w="100" w:type="dxa"/>
              <w:end w:w="120" w:type="dxa"/>
            </w:tcMar>
            <w:vAlign w:val="center"/>
          </w:tcPr>
          <w:p>
            <w:pPr>
              <w:spacing w:after="40" w:line="245" w:lineRule="auto"/>
            </w:pPr>
            <w:r>
              <w:rPr>
                <w:rFonts w:ascii="Aptos" w:hAnsi="Aptos"/>
                <w:sz w:val="17"/>
              </w:rPr>
              <w:t>Multi-object tracker</w:t>
            </w:r>
          </w:p>
        </w:tc>
        <w:tc>
          <w:tcPr>
            <w:tcW w:type="dxa" w:w="5112"/>
            <w:shd w:fill="F5F8FB" w:val="clear"/>
            <w:tcMar>
              <w:top w:w="100" w:type="dxa"/>
              <w:start w:w="120" w:type="dxa"/>
              <w:bottom w:w="100" w:type="dxa"/>
              <w:end w:w="120" w:type="dxa"/>
            </w:tcMar>
            <w:vAlign w:val="center"/>
          </w:tcPr>
          <w:p>
            <w:pPr>
              <w:spacing w:after="40" w:line="245" w:lineRule="auto"/>
            </w:pPr>
            <w:r>
              <w:rPr>
                <w:rFonts w:ascii="Aptos" w:hAnsi="Aptos"/>
                <w:sz w:val="17"/>
              </w:rPr>
              <w:t>Maintain player identity and recover from occlusion</w:t>
            </w:r>
          </w:p>
        </w:tc>
        <w:tc>
          <w:tcPr>
            <w:tcW w:type="dxa" w:w="2304"/>
            <w:shd w:fill="F5F8FB" w:val="clear"/>
            <w:tcMar>
              <w:top w:w="100" w:type="dxa"/>
              <w:start w:w="120" w:type="dxa"/>
              <w:bottom w:w="100" w:type="dxa"/>
              <w:end w:w="120" w:type="dxa"/>
            </w:tcMar>
            <w:vAlign w:val="center"/>
          </w:tcPr>
          <w:p>
            <w:pPr>
              <w:spacing w:after="40" w:line="245" w:lineRule="auto"/>
            </w:pPr>
            <w:r>
              <w:rPr>
                <w:rFonts w:ascii="Aptos" w:hAnsi="Aptos"/>
                <w:sz w:val="17"/>
              </w:rPr>
              <w:t>GPU worker or Azure ML</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Field calibration model</w:t>
            </w:r>
          </w:p>
        </w:tc>
        <w:tc>
          <w:tcPr>
            <w:tcW w:type="dxa" w:w="5112"/>
            <w:tcMar>
              <w:top w:w="100" w:type="dxa"/>
              <w:start w:w="120" w:type="dxa"/>
              <w:bottom w:w="100" w:type="dxa"/>
              <w:end w:w="120" w:type="dxa"/>
            </w:tcMar>
            <w:vAlign w:val="center"/>
          </w:tcPr>
          <w:p>
            <w:pPr>
              <w:spacing w:after="40" w:line="245" w:lineRule="auto"/>
            </w:pPr>
            <w:r>
              <w:rPr>
                <w:rFonts w:ascii="Aptos" w:hAnsi="Aptos"/>
                <w:sz w:val="17"/>
              </w:rPr>
              <w:t>Map pixels to approximate field coordinates</w:t>
            </w:r>
          </w:p>
        </w:tc>
        <w:tc>
          <w:tcPr>
            <w:tcW w:type="dxa" w:w="2304"/>
            <w:tcMar>
              <w:top w:w="100" w:type="dxa"/>
              <w:start w:w="120" w:type="dxa"/>
              <w:bottom w:w="100" w:type="dxa"/>
              <w:end w:w="120" w:type="dxa"/>
            </w:tcMar>
            <w:vAlign w:val="center"/>
          </w:tcPr>
          <w:p>
            <w:pPr>
              <w:spacing w:after="40" w:line="245" w:lineRule="auto"/>
            </w:pPr>
            <w:r>
              <w:rPr>
                <w:rFonts w:ascii="Aptos" w:hAnsi="Aptos"/>
                <w:sz w:val="17"/>
              </w:rPr>
              <w:t>GPU worker</w:t>
            </w:r>
          </w:p>
        </w:tc>
      </w:tr>
      <w:tr>
        <w:trPr>
          <w:cantSplit/>
        </w:trPr>
        <w:tc>
          <w:tcPr>
            <w:tcW w:type="dxa" w:w="2232"/>
            <w:shd w:fill="F5F8FB" w:val="clear"/>
            <w:tcMar>
              <w:top w:w="100" w:type="dxa"/>
              <w:start w:w="120" w:type="dxa"/>
              <w:bottom w:w="100" w:type="dxa"/>
              <w:end w:w="120" w:type="dxa"/>
            </w:tcMar>
            <w:vAlign w:val="center"/>
          </w:tcPr>
          <w:p>
            <w:pPr>
              <w:spacing w:after="40" w:line="245" w:lineRule="auto"/>
            </w:pPr>
            <w:r>
              <w:rPr>
                <w:rFonts w:ascii="Aptos" w:hAnsi="Aptos"/>
                <w:sz w:val="17"/>
              </w:rPr>
              <w:t>Pose/orientation model</w:t>
            </w:r>
          </w:p>
        </w:tc>
        <w:tc>
          <w:tcPr>
            <w:tcW w:type="dxa" w:w="5112"/>
            <w:shd w:fill="F5F8FB" w:val="clear"/>
            <w:tcMar>
              <w:top w:w="100" w:type="dxa"/>
              <w:start w:w="120" w:type="dxa"/>
              <w:bottom w:w="100" w:type="dxa"/>
              <w:end w:w="120" w:type="dxa"/>
            </w:tcMar>
            <w:vAlign w:val="center"/>
          </w:tcPr>
          <w:p>
            <w:pPr>
              <w:spacing w:after="40" w:line="245" w:lineRule="auto"/>
            </w:pPr>
            <w:r>
              <w:rPr>
                <w:rFonts w:ascii="Aptos" w:hAnsi="Aptos"/>
                <w:sz w:val="17"/>
              </w:rPr>
              <w:t>Body orientation, receiving stance, approximate head direction</w:t>
            </w:r>
          </w:p>
        </w:tc>
        <w:tc>
          <w:tcPr>
            <w:tcW w:type="dxa" w:w="2304"/>
            <w:shd w:fill="F5F8FB" w:val="clear"/>
            <w:tcMar>
              <w:top w:w="100" w:type="dxa"/>
              <w:start w:w="120" w:type="dxa"/>
              <w:bottom w:w="100" w:type="dxa"/>
              <w:end w:w="120" w:type="dxa"/>
            </w:tcMar>
            <w:vAlign w:val="center"/>
          </w:tcPr>
          <w:p>
            <w:pPr>
              <w:spacing w:after="40" w:line="245" w:lineRule="auto"/>
            </w:pPr>
            <w:r>
              <w:rPr>
                <w:rFonts w:ascii="Aptos" w:hAnsi="Aptos"/>
                <w:sz w:val="17"/>
              </w:rPr>
              <w:t>GPU worker</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Soccer event model</w:t>
            </w:r>
          </w:p>
        </w:tc>
        <w:tc>
          <w:tcPr>
            <w:tcW w:type="dxa" w:w="5112"/>
            <w:tcMar>
              <w:top w:w="100" w:type="dxa"/>
              <w:start w:w="120" w:type="dxa"/>
              <w:bottom w:w="100" w:type="dxa"/>
              <w:end w:w="120" w:type="dxa"/>
            </w:tcMar>
            <w:vAlign w:val="center"/>
          </w:tcPr>
          <w:p>
            <w:pPr>
              <w:spacing w:after="40" w:line="245" w:lineRule="auto"/>
            </w:pPr>
            <w:r>
              <w:rPr>
                <w:rFonts w:ascii="Aptos" w:hAnsi="Aptos"/>
                <w:sz w:val="17"/>
              </w:rPr>
              <w:t>Pass, reception, carry, shot, duel, pressure, turnover</w:t>
            </w:r>
          </w:p>
        </w:tc>
        <w:tc>
          <w:tcPr>
            <w:tcW w:type="dxa" w:w="2304"/>
            <w:tcMar>
              <w:top w:w="100" w:type="dxa"/>
              <w:start w:w="120" w:type="dxa"/>
              <w:bottom w:w="100" w:type="dxa"/>
              <w:end w:w="120" w:type="dxa"/>
            </w:tcMar>
            <w:vAlign w:val="center"/>
          </w:tcPr>
          <w:p>
            <w:pPr>
              <w:spacing w:after="40" w:line="245" w:lineRule="auto"/>
            </w:pPr>
            <w:r>
              <w:rPr>
                <w:rFonts w:ascii="Aptos" w:hAnsi="Aptos"/>
                <w:sz w:val="17"/>
              </w:rPr>
              <w:t>Custom Azure ML model</w:t>
            </w:r>
          </w:p>
        </w:tc>
      </w:tr>
      <w:tr>
        <w:trPr>
          <w:cantSplit/>
        </w:trPr>
        <w:tc>
          <w:tcPr>
            <w:tcW w:type="dxa" w:w="2232"/>
            <w:shd w:fill="F5F8FB" w:val="clear"/>
            <w:tcMar>
              <w:top w:w="100" w:type="dxa"/>
              <w:start w:w="120" w:type="dxa"/>
              <w:bottom w:w="100" w:type="dxa"/>
              <w:end w:w="120" w:type="dxa"/>
            </w:tcMar>
            <w:vAlign w:val="center"/>
          </w:tcPr>
          <w:p>
            <w:pPr>
              <w:spacing w:after="40" w:line="245" w:lineRule="auto"/>
            </w:pPr>
            <w:r>
              <w:rPr>
                <w:rFonts w:ascii="Aptos" w:hAnsi="Aptos"/>
                <w:sz w:val="17"/>
              </w:rPr>
              <w:t>Statistical/rules engine</w:t>
            </w:r>
          </w:p>
        </w:tc>
        <w:tc>
          <w:tcPr>
            <w:tcW w:type="dxa" w:w="5112"/>
            <w:shd w:fill="F5F8FB" w:val="clear"/>
            <w:tcMar>
              <w:top w:w="100" w:type="dxa"/>
              <w:start w:w="120" w:type="dxa"/>
              <w:bottom w:w="100" w:type="dxa"/>
              <w:end w:w="120" w:type="dxa"/>
            </w:tcMar>
            <w:vAlign w:val="center"/>
          </w:tcPr>
          <w:p>
            <w:pPr>
              <w:spacing w:after="40" w:line="245" w:lineRule="auto"/>
            </w:pPr>
            <w:r>
              <w:rPr>
                <w:rFonts w:ascii="Aptos" w:hAnsi="Aptos"/>
                <w:sz w:val="17"/>
              </w:rPr>
              <w:t>Metrics, confidence, benchmark eligibility, score calculation</w:t>
            </w:r>
          </w:p>
        </w:tc>
        <w:tc>
          <w:tcPr>
            <w:tcW w:type="dxa" w:w="2304"/>
            <w:shd w:fill="F5F8FB" w:val="clear"/>
            <w:tcMar>
              <w:top w:w="100" w:type="dxa"/>
              <w:start w:w="120" w:type="dxa"/>
              <w:bottom w:w="100" w:type="dxa"/>
              <w:end w:w="120" w:type="dxa"/>
            </w:tcMar>
            <w:vAlign w:val="center"/>
          </w:tcPr>
          <w:p>
            <w:pPr>
              <w:spacing w:after="40" w:line="245" w:lineRule="auto"/>
            </w:pPr>
            <w:r>
              <w:rPr>
                <w:rFonts w:ascii="Aptos" w:hAnsi="Aptos"/>
                <w:sz w:val="17"/>
              </w:rPr>
              <w:t>Application microservice</w:t>
            </w:r>
          </w:p>
        </w:tc>
      </w:tr>
    </w:tbl>
    <w:p>
      <w:pPr>
        <w:widowControl/>
        <w:spacing w:after="20"/>
      </w:pPr>
    </w:p>
    <w:p>
      <w:pPr>
        <w:pStyle w:val="Heading2"/>
        <w:widowControl/>
      </w:pPr>
      <w:r>
        <w:t>7.2 Managed versus open-source LLM</w:t>
      </w:r>
    </w:p>
    <w:tbl>
      <w:tblPr>
        <w:tblW w:type="auto" w:w="0"/>
        <w:jc w:val="center"/>
        <w:tblLayout w:type="fixed"/>
        <w:tblLook w:firstColumn="1" w:firstRow="1" w:lastColumn="0" w:lastRow="0" w:noHBand="0" w:noVBand="1" w:val="04A0"/>
      </w:tblPr>
      <w:tblGrid>
        <w:gridCol w:w="9936"/>
      </w:tblGrid>
      <w:tr>
        <w:tc>
          <w:tcPr>
            <w:tcW w:type="dxa" w:w="9994"/>
            <w:shd w:fill="EAF2F8" w:val="clear"/>
            <w:tcMar>
              <w:top w:w="160" w:type="dxa"/>
              <w:start w:w="220" w:type="dxa"/>
              <w:bottom w:w="160" w:type="dxa"/>
              <w:end w:w="220" w:type="dxa"/>
            </w:tcMar>
          </w:tcPr>
          <w:p>
            <w:pPr>
              <w:spacing w:after="40" w:line="245" w:lineRule="auto"/>
            </w:pPr>
            <w:r>
              <w:rPr>
                <w:rFonts w:ascii="Aptos" w:hAnsi="Aptos"/>
                <w:b/>
                <w:color w:val="17365D"/>
                <w:sz w:val="17"/>
              </w:rPr>
              <w:t xml:space="preserve">Recommendation:  </w:t>
            </w:r>
            <w:r>
              <w:rPr>
                <w:rFonts w:ascii="Aptos" w:hAnsi="Aptos"/>
                <w:sz w:val="17"/>
              </w:rPr>
              <w:t>Use a managed Foundry model for the language/reasoning layer in the MVP and early production. Use open-source models primarily for the computer-vision pipeline. Preserve a model abstraction so the reasoning model can be swapped later.</w:t>
            </w:r>
          </w:p>
        </w:tc>
      </w:tr>
    </w:tbl>
    <w:p>
      <w:pPr>
        <w:widowControl/>
        <w:spacing w:after="2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82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Use managed Foundry model when</w:t>
            </w:r>
          </w:p>
        </w:tc>
        <w:tc>
          <w:tcPr>
            <w:tcW w:type="dxa" w:w="482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Consider open-source LLM when</w:t>
            </w:r>
          </w:p>
        </w:tc>
      </w:tr>
      <w:tr>
        <w:trPr>
          <w:cantSplit/>
        </w:trPr>
        <w:tc>
          <w:tcPr>
            <w:tcW w:type="dxa" w:w="4824"/>
            <w:tcMar>
              <w:top w:w="100" w:type="dxa"/>
              <w:start w:w="120" w:type="dxa"/>
              <w:bottom w:w="100" w:type="dxa"/>
              <w:end w:w="120" w:type="dxa"/>
            </w:tcMar>
            <w:vAlign w:val="center"/>
          </w:tcPr>
          <w:p>
            <w:pPr>
              <w:spacing w:after="40" w:line="245" w:lineRule="auto"/>
            </w:pPr>
            <w:r>
              <w:rPr>
                <w:rFonts w:ascii="Aptos" w:hAnsi="Aptos"/>
                <w:sz w:val="17"/>
              </w:rPr>
              <w:t>Fast time to market and minimal model operations</w:t>
            </w:r>
          </w:p>
        </w:tc>
        <w:tc>
          <w:tcPr>
            <w:tcW w:type="dxa" w:w="4824"/>
            <w:tcMar>
              <w:top w:w="100" w:type="dxa"/>
              <w:start w:w="120" w:type="dxa"/>
              <w:bottom w:w="100" w:type="dxa"/>
              <w:end w:w="120" w:type="dxa"/>
            </w:tcMar>
            <w:vAlign w:val="center"/>
          </w:tcPr>
          <w:p>
            <w:pPr>
              <w:spacing w:after="40" w:line="245" w:lineRule="auto"/>
            </w:pPr>
            <w:r>
              <w:rPr>
                <w:rFonts w:ascii="Aptos" w:hAnsi="Aptos"/>
                <w:sz w:val="17"/>
              </w:rPr>
              <w:t>Full model-weight control is a product requirement</w:t>
            </w:r>
          </w:p>
        </w:tc>
      </w:tr>
      <w:tr>
        <w:trPr>
          <w:cantSplit/>
        </w:trPr>
        <w:tc>
          <w:tcPr>
            <w:tcW w:type="dxa" w:w="4824"/>
            <w:shd w:fill="F5F8FB" w:val="clear"/>
            <w:tcMar>
              <w:top w:w="100" w:type="dxa"/>
              <w:start w:w="120" w:type="dxa"/>
              <w:bottom w:w="100" w:type="dxa"/>
              <w:end w:w="120" w:type="dxa"/>
            </w:tcMar>
            <w:vAlign w:val="center"/>
          </w:tcPr>
          <w:p>
            <w:pPr>
              <w:spacing w:after="40" w:line="245" w:lineRule="auto"/>
            </w:pPr>
            <w:r>
              <w:rPr>
                <w:rFonts w:ascii="Aptos" w:hAnsi="Aptos"/>
                <w:sz w:val="17"/>
              </w:rPr>
              <w:t>Strong tool calling, structured output, evaluation, and enterprise integration</w:t>
            </w:r>
          </w:p>
        </w:tc>
        <w:tc>
          <w:tcPr>
            <w:tcW w:type="dxa" w:w="4824"/>
            <w:shd w:fill="F5F8FB" w:val="clear"/>
            <w:tcMar>
              <w:top w:w="100" w:type="dxa"/>
              <w:start w:w="120" w:type="dxa"/>
              <w:bottom w:w="100" w:type="dxa"/>
              <w:end w:w="120" w:type="dxa"/>
            </w:tcMar>
            <w:vAlign w:val="center"/>
          </w:tcPr>
          <w:p>
            <w:pPr>
              <w:spacing w:after="40" w:line="245" w:lineRule="auto"/>
            </w:pPr>
            <w:r>
              <w:rPr>
                <w:rFonts w:ascii="Aptos" w:hAnsi="Aptos"/>
                <w:sz w:val="17"/>
              </w:rPr>
              <w:t>You possess sufficient licensed, coach-labeled data for meaningful specialization</w:t>
            </w:r>
          </w:p>
        </w:tc>
      </w:tr>
      <w:tr>
        <w:trPr>
          <w:cantSplit/>
        </w:trPr>
        <w:tc>
          <w:tcPr>
            <w:tcW w:type="dxa" w:w="4824"/>
            <w:tcMar>
              <w:top w:w="100" w:type="dxa"/>
              <w:start w:w="120" w:type="dxa"/>
              <w:bottom w:w="100" w:type="dxa"/>
              <w:end w:w="120" w:type="dxa"/>
            </w:tcMar>
            <w:vAlign w:val="center"/>
          </w:tcPr>
          <w:p>
            <w:pPr>
              <w:spacing w:after="40" w:line="245" w:lineRule="auto"/>
            </w:pPr>
            <w:r>
              <w:rPr>
                <w:rFonts w:ascii="Aptos" w:hAnsi="Aptos"/>
                <w:sz w:val="17"/>
              </w:rPr>
              <w:t>Bursty or uncertain early-stage demand</w:t>
            </w:r>
          </w:p>
        </w:tc>
        <w:tc>
          <w:tcPr>
            <w:tcW w:type="dxa" w:w="4824"/>
            <w:tcMar>
              <w:top w:w="100" w:type="dxa"/>
              <w:start w:w="120" w:type="dxa"/>
              <w:bottom w:w="100" w:type="dxa"/>
              <w:end w:w="120" w:type="dxa"/>
            </w:tcMar>
            <w:vAlign w:val="center"/>
          </w:tcPr>
          <w:p>
            <w:pPr>
              <w:spacing w:after="40" w:line="245" w:lineRule="auto"/>
            </w:pPr>
            <w:r>
              <w:rPr>
                <w:rFonts w:ascii="Aptos" w:hAnsi="Aptos"/>
                <w:sz w:val="17"/>
              </w:rPr>
              <w:t>Inference volume is high and sustained enough to justify dedicated GPUs</w:t>
            </w:r>
          </w:p>
        </w:tc>
      </w:tr>
      <w:tr>
        <w:trPr>
          <w:cantSplit/>
        </w:trPr>
        <w:tc>
          <w:tcPr>
            <w:tcW w:type="dxa" w:w="4824"/>
            <w:shd w:fill="F5F8FB" w:val="clear"/>
            <w:tcMar>
              <w:top w:w="100" w:type="dxa"/>
              <w:start w:w="120" w:type="dxa"/>
              <w:bottom w:w="100" w:type="dxa"/>
              <w:end w:w="120" w:type="dxa"/>
            </w:tcMar>
            <w:vAlign w:val="center"/>
          </w:tcPr>
          <w:p>
            <w:pPr>
              <w:spacing w:after="40" w:line="245" w:lineRule="auto"/>
            </w:pPr>
            <w:r>
              <w:rPr>
                <w:rFonts w:ascii="Aptos" w:hAnsi="Aptos"/>
                <w:sz w:val="17"/>
              </w:rPr>
              <w:t>Managed security, identity, observability, and support are preferred</w:t>
            </w:r>
          </w:p>
        </w:tc>
        <w:tc>
          <w:tcPr>
            <w:tcW w:type="dxa" w:w="4824"/>
            <w:shd w:fill="F5F8FB" w:val="clear"/>
            <w:tcMar>
              <w:top w:w="100" w:type="dxa"/>
              <w:start w:w="120" w:type="dxa"/>
              <w:bottom w:w="100" w:type="dxa"/>
              <w:end w:w="120" w:type="dxa"/>
            </w:tcMar>
            <w:vAlign w:val="center"/>
          </w:tcPr>
          <w:p>
            <w:pPr>
              <w:spacing w:after="40" w:line="245" w:lineRule="auto"/>
            </w:pPr>
            <w:r>
              <w:rPr>
                <w:rFonts w:ascii="Aptos" w:hAnsi="Aptos"/>
                <w:sz w:val="17"/>
              </w:rPr>
              <w:t>Offline, edge, or highly specific sovereignty requirements exist</w:t>
            </w:r>
          </w:p>
        </w:tc>
      </w:tr>
    </w:tbl>
    <w:p>
      <w:pPr>
        <w:widowControl/>
        <w:spacing w:after="20"/>
      </w:pPr>
    </w:p>
    <w:p>
      <w:pPr>
        <w:pStyle w:val="Heading1"/>
        <w:widowControl/>
      </w:pPr>
      <w:r>
        <w:t>8. Computer-Vision and Analytics Pipeline</w:t>
      </w:r>
    </w:p>
    <w:p>
      <w:pPr>
        <w:pStyle w:val="ListNumber"/>
        <w:widowControl/>
      </w:pPr>
      <w:r>
        <w:t>Validate footage quality and extract technical metadata.</w:t>
      </w:r>
    </w:p>
    <w:p>
      <w:pPr>
        <w:pStyle w:val="ListNumber"/>
        <w:widowControl/>
      </w:pPr>
      <w:r>
        <w:t>Transcode to supported profiles and extract frames or clips.</w:t>
      </w:r>
    </w:p>
    <w:p>
      <w:pPr>
        <w:pStyle w:val="ListNumber"/>
        <w:widowControl/>
      </w:pPr>
      <w:r>
        <w:t>Detect players, ball, officials, and field landmarks.</w:t>
      </w:r>
    </w:p>
    <w:p>
      <w:pPr>
        <w:pStyle w:val="ListNumber"/>
        <w:widowControl/>
      </w:pPr>
      <w:r>
        <w:t>Track identities through time and expose manual correction hooks.</w:t>
      </w:r>
    </w:p>
    <w:p>
      <w:pPr>
        <w:pStyle w:val="ListNumber"/>
        <w:widowControl/>
      </w:pPr>
      <w:r>
        <w:t>Calibrate the field to estimate spatial coordinates and geometry.</w:t>
      </w:r>
    </w:p>
    <w:p>
      <w:pPr>
        <w:pStyle w:val="ListNumber"/>
        <w:widowControl/>
      </w:pPr>
      <w:r>
        <w:t>Estimate pose and orientation only where image quality supports it.</w:t>
      </w:r>
    </w:p>
    <w:p>
      <w:pPr>
        <w:pStyle w:val="ListNumber"/>
        <w:widowControl/>
      </w:pPr>
      <w:r>
        <w:t>Detect soccer events and calculate deterministic metrics.</w:t>
      </w:r>
    </w:p>
    <w:p>
      <w:pPr>
        <w:pStyle w:val="ListNumber"/>
        <w:widowControl/>
      </w:pPr>
      <w:r>
        <w:t>Create tactical situations, key frames, and evidence clips.</w:t>
      </w:r>
    </w:p>
    <w:p>
      <w:pPr>
        <w:pStyle w:val="ListNumber"/>
        <w:widowControl/>
      </w:pPr>
      <w:r>
        <w:t>Persist model versions, confidence, timestamps, and source lineage.</w:t>
      </w:r>
    </w:p>
    <w:p>
      <w:pPr>
        <w:pStyle w:val="ListNumber"/>
        <w:widowControl/>
      </w:pPr>
      <w:r>
        <w:t>Expose structured APIs to the Foundry agent.</w:t>
      </w:r>
    </w:p>
    <w:p>
      <w:pPr>
        <w:pStyle w:val="Heading2"/>
        <w:widowControl/>
      </w:pPr>
      <w:r>
        <w:t>Core metrics for MVP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Category</w:t>
            </w:r>
          </w:p>
        </w:tc>
        <w:tc>
          <w:tcPr>
            <w:tcW w:type="dxa" w:w="4608"/>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Examples</w:t>
            </w:r>
          </w:p>
        </w:tc>
        <w:tc>
          <w:tcPr>
            <w:tcW w:type="dxa" w:w="3240"/>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Caveat</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Technical</w:t>
            </w:r>
          </w:p>
        </w:tc>
        <w:tc>
          <w:tcPr>
            <w:tcW w:type="dxa" w:w="4608"/>
            <w:tcMar>
              <w:top w:w="100" w:type="dxa"/>
              <w:start w:w="120" w:type="dxa"/>
              <w:bottom w:w="100" w:type="dxa"/>
              <w:end w:w="120" w:type="dxa"/>
            </w:tcMar>
            <w:vAlign w:val="center"/>
          </w:tcPr>
          <w:p>
            <w:pPr>
              <w:spacing w:after="40" w:line="245" w:lineRule="auto"/>
            </w:pPr>
            <w:r>
              <w:rPr>
                <w:rFonts w:ascii="Aptos" w:hAnsi="Aptos"/>
                <w:sz w:val="17"/>
              </w:rPr>
              <w:t>Touches, pass attempts/completions, receptions, carries, turnovers, defensive actions</w:t>
            </w:r>
          </w:p>
        </w:tc>
        <w:tc>
          <w:tcPr>
            <w:tcW w:type="dxa" w:w="3240"/>
            <w:tcMar>
              <w:top w:w="100" w:type="dxa"/>
              <w:start w:w="120" w:type="dxa"/>
              <w:bottom w:w="100" w:type="dxa"/>
              <w:end w:w="120" w:type="dxa"/>
            </w:tcMar>
            <w:vAlign w:val="center"/>
          </w:tcPr>
          <w:p>
            <w:pPr>
              <w:spacing w:after="40" w:line="245" w:lineRule="auto"/>
            </w:pPr>
            <w:r>
              <w:rPr>
                <w:rFonts w:ascii="Aptos" w:hAnsi="Aptos"/>
                <w:sz w:val="17"/>
              </w:rPr>
              <w:t>Depends on ball visibility and player identity confidence</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Spatial</w:t>
            </w:r>
          </w:p>
        </w:tc>
        <w:tc>
          <w:tcPr>
            <w:tcW w:type="dxa" w:w="4608"/>
            <w:shd w:fill="F5F8FB" w:val="clear"/>
            <w:tcMar>
              <w:top w:w="100" w:type="dxa"/>
              <w:start w:w="120" w:type="dxa"/>
              <w:bottom w:w="100" w:type="dxa"/>
              <w:end w:w="120" w:type="dxa"/>
            </w:tcMar>
            <w:vAlign w:val="center"/>
          </w:tcPr>
          <w:p>
            <w:pPr>
              <w:spacing w:after="40" w:line="245" w:lineRule="auto"/>
            </w:pPr>
            <w:r>
              <w:rPr>
                <w:rFonts w:ascii="Aptos" w:hAnsi="Aptos"/>
                <w:sz w:val="17"/>
              </w:rPr>
              <w:t>Heat map, zone occupancy, team width/depth, approximate distances</w:t>
            </w:r>
          </w:p>
        </w:tc>
        <w:tc>
          <w:tcPr>
            <w:tcW w:type="dxa" w:w="3240"/>
            <w:shd w:fill="F5F8FB" w:val="clear"/>
            <w:tcMar>
              <w:top w:w="100" w:type="dxa"/>
              <w:start w:w="120" w:type="dxa"/>
              <w:bottom w:w="100" w:type="dxa"/>
              <w:end w:w="120" w:type="dxa"/>
            </w:tcMar>
            <w:vAlign w:val="center"/>
          </w:tcPr>
          <w:p>
            <w:pPr>
              <w:spacing w:after="40" w:line="245" w:lineRule="auto"/>
            </w:pPr>
            <w:r>
              <w:rPr>
                <w:rFonts w:ascii="Aptos" w:hAnsi="Aptos"/>
                <w:sz w:val="17"/>
              </w:rPr>
              <w:t>Requires field calibration; disclose estimation error</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Decision context</w:t>
            </w:r>
          </w:p>
        </w:tc>
        <w:tc>
          <w:tcPr>
            <w:tcW w:type="dxa" w:w="4608"/>
            <w:tcMar>
              <w:top w:w="100" w:type="dxa"/>
              <w:start w:w="120" w:type="dxa"/>
              <w:bottom w:w="100" w:type="dxa"/>
              <w:end w:w="120" w:type="dxa"/>
            </w:tcMar>
            <w:vAlign w:val="center"/>
          </w:tcPr>
          <w:p>
            <w:pPr>
              <w:spacing w:after="40" w:line="245" w:lineRule="auto"/>
            </w:pPr>
            <w:r>
              <w:rPr>
                <w:rFonts w:ascii="Aptos" w:hAnsi="Aptos"/>
                <w:sz w:val="17"/>
              </w:rPr>
              <w:t>Pressure, available passing options, body orientation, progressive opportunity</w:t>
            </w:r>
          </w:p>
        </w:tc>
        <w:tc>
          <w:tcPr>
            <w:tcW w:type="dxa" w:w="3240"/>
            <w:tcMar>
              <w:top w:w="100" w:type="dxa"/>
              <w:start w:w="120" w:type="dxa"/>
              <w:bottom w:w="100" w:type="dxa"/>
              <w:end w:w="120" w:type="dxa"/>
            </w:tcMar>
            <w:vAlign w:val="center"/>
          </w:tcPr>
          <w:p>
            <w:pPr>
              <w:spacing w:after="40" w:line="245" w:lineRule="auto"/>
            </w:pPr>
            <w:r>
              <w:rPr>
                <w:rFonts w:ascii="Aptos" w:hAnsi="Aptos"/>
                <w:sz w:val="17"/>
              </w:rPr>
              <w:t>Requires tactical rubric and sufficient visible field context</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Development</w:t>
            </w:r>
          </w:p>
        </w:tc>
        <w:tc>
          <w:tcPr>
            <w:tcW w:type="dxa" w:w="4608"/>
            <w:shd w:fill="F5F8FB" w:val="clear"/>
            <w:tcMar>
              <w:top w:w="100" w:type="dxa"/>
              <w:start w:w="120" w:type="dxa"/>
              <w:bottom w:w="100" w:type="dxa"/>
              <w:end w:w="120" w:type="dxa"/>
            </w:tcMar>
            <w:vAlign w:val="center"/>
          </w:tcPr>
          <w:p>
            <w:pPr>
              <w:spacing w:after="40" w:line="245" w:lineRule="auto"/>
            </w:pPr>
            <w:r>
              <w:rPr>
                <w:rFonts w:ascii="Aptos" w:hAnsi="Aptos"/>
                <w:sz w:val="17"/>
              </w:rPr>
              <w:t>Recurring weakness frequency, response to prior feedback, trend across matches</w:t>
            </w:r>
          </w:p>
        </w:tc>
        <w:tc>
          <w:tcPr>
            <w:tcW w:type="dxa" w:w="3240"/>
            <w:shd w:fill="F5F8FB" w:val="clear"/>
            <w:tcMar>
              <w:top w:w="100" w:type="dxa"/>
              <w:start w:w="120" w:type="dxa"/>
              <w:bottom w:w="100" w:type="dxa"/>
              <w:end w:w="120" w:type="dxa"/>
            </w:tcMar>
            <w:vAlign w:val="center"/>
          </w:tcPr>
          <w:p>
            <w:pPr>
              <w:spacing w:after="40" w:line="245" w:lineRule="auto"/>
            </w:pPr>
            <w:r>
              <w:rPr>
                <w:rFonts w:ascii="Aptos" w:hAnsi="Aptos"/>
                <w:sz w:val="17"/>
              </w:rPr>
              <w:t>Requires consistent data and comparable match contexts</w:t>
            </w:r>
          </w:p>
        </w:tc>
      </w:tr>
    </w:tbl>
    <w:p>
      <w:pPr>
        <w:widowControl/>
        <w:spacing w:after="20"/>
      </w:pPr>
    </w:p>
    <w:p>
      <w:pPr>
        <w:pStyle w:val="Heading1"/>
        <w:widowControl/>
      </w:pPr>
      <w:r>
        <w:t>9. Data Model and Provenance</w:t>
      </w:r>
    </w:p>
    <w:p>
      <w:pPr>
        <w:widowControl/>
      </w:pPr>
      <w:r>
        <w:t>Core entities include Organization, Team, Coach, Player, Guardian, Match, VideoAsset, PlayerTrack, BallTrack, Event, TacticalSituation, Observation, EvidenceClip, Metric, Benchmark, DevelopmentGoal, TrainingPlan, Drill, CoachReview, ModelVersion, and ConsentRecord.</w:t>
      </w:r>
    </w:p>
    <w:p>
      <w:pPr>
        <w:pStyle w:val="Heading2"/>
        <w:widowControl/>
      </w:pPr>
      <w:r>
        <w:t>Required observation metadata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Field</w:t>
            </w:r>
          </w:p>
        </w:tc>
        <w:tc>
          <w:tcPr>
            <w:tcW w:type="dxa" w:w="662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Purpose</w:t>
            </w:r>
          </w:p>
        </w:tc>
      </w:tr>
      <w:tr>
        <w:trPr>
          <w:cantSplit/>
        </w:trPr>
        <w:tc>
          <w:tcPr>
            <w:tcW w:type="dxa" w:w="3024"/>
            <w:tcMar>
              <w:top w:w="100" w:type="dxa"/>
              <w:start w:w="120" w:type="dxa"/>
              <w:bottom w:w="100" w:type="dxa"/>
              <w:end w:w="120" w:type="dxa"/>
            </w:tcMar>
            <w:vAlign w:val="center"/>
          </w:tcPr>
          <w:p>
            <w:pPr>
              <w:spacing w:after="40" w:line="245" w:lineRule="auto"/>
            </w:pPr>
            <w:r>
              <w:rPr>
                <w:rFonts w:ascii="Aptos" w:hAnsi="Aptos"/>
                <w:sz w:val="17"/>
              </w:rPr>
              <w:t>observation_id</w:t>
            </w:r>
          </w:p>
        </w:tc>
        <w:tc>
          <w:tcPr>
            <w:tcW w:type="dxa" w:w="6624"/>
            <w:tcMar>
              <w:top w:w="100" w:type="dxa"/>
              <w:start w:w="120" w:type="dxa"/>
              <w:bottom w:w="100" w:type="dxa"/>
              <w:end w:w="120" w:type="dxa"/>
            </w:tcMar>
            <w:vAlign w:val="center"/>
          </w:tcPr>
          <w:p>
            <w:pPr>
              <w:spacing w:after="40" w:line="245" w:lineRule="auto"/>
            </w:pPr>
            <w:r>
              <w:rPr>
                <w:rFonts w:ascii="Aptos" w:hAnsi="Aptos"/>
                <w:sz w:val="17"/>
              </w:rPr>
              <w:t>Stable identifier for review and reproduction</w:t>
            </w:r>
          </w:p>
        </w:tc>
      </w:tr>
      <w:tr>
        <w:trPr>
          <w:cantSplit/>
        </w:trPr>
        <w:tc>
          <w:tcPr>
            <w:tcW w:type="dxa" w:w="3024"/>
            <w:shd w:fill="F5F8FB" w:val="clear"/>
            <w:tcMar>
              <w:top w:w="100" w:type="dxa"/>
              <w:start w:w="120" w:type="dxa"/>
              <w:bottom w:w="100" w:type="dxa"/>
              <w:end w:w="120" w:type="dxa"/>
            </w:tcMar>
            <w:vAlign w:val="center"/>
          </w:tcPr>
          <w:p>
            <w:pPr>
              <w:spacing w:after="40" w:line="245" w:lineRule="auto"/>
            </w:pPr>
            <w:r>
              <w:rPr>
                <w:rFonts w:ascii="Aptos" w:hAnsi="Aptos"/>
                <w:sz w:val="17"/>
              </w:rPr>
              <w:t>player_id / match_id</w:t>
            </w:r>
          </w:p>
        </w:tc>
        <w:tc>
          <w:tcPr>
            <w:tcW w:type="dxa" w:w="6624"/>
            <w:shd w:fill="F5F8FB" w:val="clear"/>
            <w:tcMar>
              <w:top w:w="100" w:type="dxa"/>
              <w:start w:w="120" w:type="dxa"/>
              <w:bottom w:w="100" w:type="dxa"/>
              <w:end w:w="120" w:type="dxa"/>
            </w:tcMar>
            <w:vAlign w:val="center"/>
          </w:tcPr>
          <w:p>
            <w:pPr>
              <w:spacing w:after="40" w:line="245" w:lineRule="auto"/>
            </w:pPr>
            <w:r>
              <w:rPr>
                <w:rFonts w:ascii="Aptos" w:hAnsi="Aptos"/>
                <w:sz w:val="17"/>
              </w:rPr>
              <w:t>Scope and authorization</w:t>
            </w:r>
          </w:p>
        </w:tc>
      </w:tr>
      <w:tr>
        <w:trPr>
          <w:cantSplit/>
        </w:trPr>
        <w:tc>
          <w:tcPr>
            <w:tcW w:type="dxa" w:w="3024"/>
            <w:tcMar>
              <w:top w:w="100" w:type="dxa"/>
              <w:start w:w="120" w:type="dxa"/>
              <w:bottom w:w="100" w:type="dxa"/>
              <w:end w:w="120" w:type="dxa"/>
            </w:tcMar>
            <w:vAlign w:val="center"/>
          </w:tcPr>
          <w:p>
            <w:pPr>
              <w:spacing w:after="40" w:line="245" w:lineRule="auto"/>
            </w:pPr>
            <w:r>
              <w:rPr>
                <w:rFonts w:ascii="Aptos" w:hAnsi="Aptos"/>
                <w:sz w:val="17"/>
              </w:rPr>
              <w:t>model_version / prompt_version</w:t>
            </w:r>
          </w:p>
        </w:tc>
        <w:tc>
          <w:tcPr>
            <w:tcW w:type="dxa" w:w="6624"/>
            <w:tcMar>
              <w:top w:w="100" w:type="dxa"/>
              <w:start w:w="120" w:type="dxa"/>
              <w:bottom w:w="100" w:type="dxa"/>
              <w:end w:w="120" w:type="dxa"/>
            </w:tcMar>
            <w:vAlign w:val="center"/>
          </w:tcPr>
          <w:p>
            <w:pPr>
              <w:spacing w:after="40" w:line="245" w:lineRule="auto"/>
            </w:pPr>
            <w:r>
              <w:rPr>
                <w:rFonts w:ascii="Aptos" w:hAnsi="Aptos"/>
                <w:sz w:val="17"/>
              </w:rPr>
              <w:t>Reproducibility and rollback</w:t>
            </w:r>
          </w:p>
        </w:tc>
      </w:tr>
      <w:tr>
        <w:trPr>
          <w:cantSplit/>
        </w:trPr>
        <w:tc>
          <w:tcPr>
            <w:tcW w:type="dxa" w:w="3024"/>
            <w:shd w:fill="F5F8FB" w:val="clear"/>
            <w:tcMar>
              <w:top w:w="100" w:type="dxa"/>
              <w:start w:w="120" w:type="dxa"/>
              <w:bottom w:w="100" w:type="dxa"/>
              <w:end w:w="120" w:type="dxa"/>
            </w:tcMar>
            <w:vAlign w:val="center"/>
          </w:tcPr>
          <w:p>
            <w:pPr>
              <w:spacing w:after="40" w:line="245" w:lineRule="auto"/>
            </w:pPr>
            <w:r>
              <w:rPr>
                <w:rFonts w:ascii="Aptos" w:hAnsi="Aptos"/>
                <w:sz w:val="17"/>
              </w:rPr>
              <w:t>metric_version</w:t>
            </w:r>
          </w:p>
        </w:tc>
        <w:tc>
          <w:tcPr>
            <w:tcW w:type="dxa" w:w="6624"/>
            <w:shd w:fill="F5F8FB" w:val="clear"/>
            <w:tcMar>
              <w:top w:w="100" w:type="dxa"/>
              <w:start w:w="120" w:type="dxa"/>
              <w:bottom w:w="100" w:type="dxa"/>
              <w:end w:w="120" w:type="dxa"/>
            </w:tcMar>
            <w:vAlign w:val="center"/>
          </w:tcPr>
          <w:p>
            <w:pPr>
              <w:spacing w:after="40" w:line="245" w:lineRule="auto"/>
            </w:pPr>
            <w:r>
              <w:rPr>
                <w:rFonts w:ascii="Aptos" w:hAnsi="Aptos"/>
                <w:sz w:val="17"/>
              </w:rPr>
              <w:t>Score-definition lineage</w:t>
            </w:r>
          </w:p>
        </w:tc>
      </w:tr>
      <w:tr>
        <w:trPr>
          <w:cantSplit/>
        </w:trPr>
        <w:tc>
          <w:tcPr>
            <w:tcW w:type="dxa" w:w="3024"/>
            <w:tcMar>
              <w:top w:w="100" w:type="dxa"/>
              <w:start w:w="120" w:type="dxa"/>
              <w:bottom w:w="100" w:type="dxa"/>
              <w:end w:w="120" w:type="dxa"/>
            </w:tcMar>
            <w:vAlign w:val="center"/>
          </w:tcPr>
          <w:p>
            <w:pPr>
              <w:spacing w:after="40" w:line="245" w:lineRule="auto"/>
            </w:pPr>
            <w:r>
              <w:rPr>
                <w:rFonts w:ascii="Aptos" w:hAnsi="Aptos"/>
                <w:sz w:val="17"/>
              </w:rPr>
              <w:t>confidence</w:t>
            </w:r>
          </w:p>
        </w:tc>
        <w:tc>
          <w:tcPr>
            <w:tcW w:type="dxa" w:w="6624"/>
            <w:tcMar>
              <w:top w:w="100" w:type="dxa"/>
              <w:start w:w="120" w:type="dxa"/>
              <w:bottom w:w="100" w:type="dxa"/>
              <w:end w:w="120" w:type="dxa"/>
            </w:tcMar>
            <w:vAlign w:val="center"/>
          </w:tcPr>
          <w:p>
            <w:pPr>
              <w:spacing w:after="40" w:line="245" w:lineRule="auto"/>
            </w:pPr>
            <w:r>
              <w:rPr>
                <w:rFonts w:ascii="Aptos" w:hAnsi="Aptos"/>
                <w:sz w:val="17"/>
              </w:rPr>
              <w:t>Communication and routing threshold</w:t>
            </w:r>
          </w:p>
        </w:tc>
      </w:tr>
      <w:tr>
        <w:trPr>
          <w:cantSplit/>
        </w:trPr>
        <w:tc>
          <w:tcPr>
            <w:tcW w:type="dxa" w:w="3024"/>
            <w:shd w:fill="F5F8FB" w:val="clear"/>
            <w:tcMar>
              <w:top w:w="100" w:type="dxa"/>
              <w:start w:w="120" w:type="dxa"/>
              <w:bottom w:w="100" w:type="dxa"/>
              <w:end w:w="120" w:type="dxa"/>
            </w:tcMar>
            <w:vAlign w:val="center"/>
          </w:tcPr>
          <w:p>
            <w:pPr>
              <w:spacing w:after="40" w:line="245" w:lineRule="auto"/>
            </w:pPr>
            <w:r>
              <w:rPr>
                <w:rFonts w:ascii="Aptos" w:hAnsi="Aptos"/>
                <w:sz w:val="17"/>
              </w:rPr>
              <w:t>evidence_timestamps / clip_ids</w:t>
            </w:r>
          </w:p>
        </w:tc>
        <w:tc>
          <w:tcPr>
            <w:tcW w:type="dxa" w:w="6624"/>
            <w:shd w:fill="F5F8FB" w:val="clear"/>
            <w:tcMar>
              <w:top w:w="100" w:type="dxa"/>
              <w:start w:w="120" w:type="dxa"/>
              <w:bottom w:w="100" w:type="dxa"/>
              <w:end w:w="120" w:type="dxa"/>
            </w:tcMar>
            <w:vAlign w:val="center"/>
          </w:tcPr>
          <w:p>
            <w:pPr>
              <w:spacing w:after="40" w:line="245" w:lineRule="auto"/>
            </w:pPr>
            <w:r>
              <w:rPr>
                <w:rFonts w:ascii="Aptos" w:hAnsi="Aptos"/>
                <w:sz w:val="17"/>
              </w:rPr>
              <w:t>Grounding and coach verification</w:t>
            </w:r>
          </w:p>
        </w:tc>
      </w:tr>
      <w:tr>
        <w:trPr>
          <w:cantSplit/>
        </w:trPr>
        <w:tc>
          <w:tcPr>
            <w:tcW w:type="dxa" w:w="3024"/>
            <w:tcMar>
              <w:top w:w="100" w:type="dxa"/>
              <w:start w:w="120" w:type="dxa"/>
              <w:bottom w:w="100" w:type="dxa"/>
              <w:end w:w="120" w:type="dxa"/>
            </w:tcMar>
            <w:vAlign w:val="center"/>
          </w:tcPr>
          <w:p>
            <w:pPr>
              <w:spacing w:after="40" w:line="245" w:lineRule="auto"/>
            </w:pPr>
            <w:r>
              <w:rPr>
                <w:rFonts w:ascii="Aptos" w:hAnsi="Aptos"/>
                <w:sz w:val="17"/>
              </w:rPr>
              <w:t>generation_status</w:t>
            </w:r>
          </w:p>
        </w:tc>
        <w:tc>
          <w:tcPr>
            <w:tcW w:type="dxa" w:w="6624"/>
            <w:tcMar>
              <w:top w:w="100" w:type="dxa"/>
              <w:start w:w="120" w:type="dxa"/>
              <w:bottom w:w="100" w:type="dxa"/>
              <w:end w:w="120" w:type="dxa"/>
            </w:tcMar>
            <w:vAlign w:val="center"/>
          </w:tcPr>
          <w:p>
            <w:pPr>
              <w:spacing w:after="40" w:line="245" w:lineRule="auto"/>
            </w:pPr>
            <w:r>
              <w:rPr>
                <w:rFonts w:ascii="Aptos" w:hAnsi="Aptos"/>
                <w:sz w:val="17"/>
              </w:rPr>
              <w:t>AI generated, coach approved, corrected, or rejected</w:t>
            </w:r>
          </w:p>
        </w:tc>
      </w:tr>
      <w:tr>
        <w:trPr>
          <w:cantSplit/>
        </w:trPr>
        <w:tc>
          <w:tcPr>
            <w:tcW w:type="dxa" w:w="3024"/>
            <w:shd w:fill="F5F8FB" w:val="clear"/>
            <w:tcMar>
              <w:top w:w="100" w:type="dxa"/>
              <w:start w:w="120" w:type="dxa"/>
              <w:bottom w:w="100" w:type="dxa"/>
              <w:end w:w="120" w:type="dxa"/>
            </w:tcMar>
            <w:vAlign w:val="center"/>
          </w:tcPr>
          <w:p>
            <w:pPr>
              <w:spacing w:after="40" w:line="245" w:lineRule="auto"/>
            </w:pPr>
            <w:r>
              <w:rPr>
                <w:rFonts w:ascii="Aptos" w:hAnsi="Aptos"/>
                <w:sz w:val="17"/>
              </w:rPr>
              <w:t>benchmark_id</w:t>
            </w:r>
          </w:p>
        </w:tc>
        <w:tc>
          <w:tcPr>
            <w:tcW w:type="dxa" w:w="6624"/>
            <w:shd w:fill="F5F8FB" w:val="clear"/>
            <w:tcMar>
              <w:top w:w="100" w:type="dxa"/>
              <w:start w:w="120" w:type="dxa"/>
              <w:bottom w:w="100" w:type="dxa"/>
              <w:end w:w="120" w:type="dxa"/>
            </w:tcMar>
            <w:vAlign w:val="center"/>
          </w:tcPr>
          <w:p>
            <w:pPr>
              <w:spacing w:after="40" w:line="245" w:lineRule="auto"/>
            </w:pPr>
            <w:r>
              <w:rPr>
                <w:rFonts w:ascii="Aptos" w:hAnsi="Aptos"/>
                <w:sz w:val="17"/>
              </w:rPr>
              <w:t>Cohort and source provenance</w:t>
            </w:r>
          </w:p>
        </w:tc>
      </w:tr>
      <w:tr>
        <w:tc>
          <w:tcPr>
            <w:tcW w:type="dxa" w:w="4997"/>
          </w:tcPr>
          <w:p>
            <w:r>
              <w:t>review_status / reviewer_id / reviewed_at</w:t>
            </w:r>
          </w:p>
        </w:tc>
        <w:tc>
          <w:tcPr>
            <w:tcW w:type="dxa" w:w="4997"/>
          </w:tcPr>
          <w:p>
            <w:r>
              <w:t>Coach governance and auditability</w:t>
            </w:r>
          </w:p>
        </w:tc>
      </w:tr>
      <w:tr>
        <w:tc>
          <w:tcPr>
            <w:tcW w:type="dxa" w:w="4997"/>
          </w:tcPr>
          <w:p>
            <w:r>
              <w:t>source_video_id / clip_id / frame_range</w:t>
            </w:r>
          </w:p>
        </w:tc>
        <w:tc>
          <w:tcPr>
            <w:tcW w:type="dxa" w:w="4997"/>
          </w:tcPr>
          <w:p>
            <w:r>
              <w:t>Reproducible evidence linkage</w:t>
            </w:r>
          </w:p>
        </w:tc>
      </w:tr>
      <w:tr>
        <w:tc>
          <w:tcPr>
            <w:tcW w:type="dxa" w:w="4997"/>
          </w:tcPr>
          <w:p>
            <w:r>
              <w:t>data_retention_class / consent_record_id</w:t>
            </w:r>
          </w:p>
        </w:tc>
        <w:tc>
          <w:tcPr>
            <w:tcW w:type="dxa" w:w="4997"/>
          </w:tcPr>
          <w:p>
            <w:r>
              <w:t>Privacy policy enforcement</w:t>
            </w:r>
          </w:p>
        </w:tc>
      </w:tr>
    </w:tbl>
    <w:p>
      <w:pPr>
        <w:widowControl/>
        <w:spacing w:after="20"/>
      </w:pPr>
    </w:p>
    <w:p>
      <w:pPr>
        <w:pStyle w:val="Heading2"/>
      </w:pPr>
      <w:r>
        <w:t>9.1 Evidence contract</w:t>
      </w:r>
    </w:p>
    <w:p>
      <w:pPr/>
      <w:r>
        <w:t>Every generated observation should be persisted as a structured evidence object before the agent can describe it to a user.</w:t>
      </w:r>
    </w:p>
    <w:p>
      <w:pPr>
        <w:pStyle w:val="ListBullet"/>
      </w:pPr>
      <w:r>
        <w:t>Required fields: observation_id, player_id, match_id, source_video_id, event_type, timestamp_start, timestamp_end, confidence, metric_version, model_version, prompt_version, evidence_clip_id, benchmark_id, review_status, and authorization_scope.</w:t>
      </w:r>
    </w:p>
    <w:p>
      <w:pPr>
        <w:pStyle w:val="ListBullet"/>
      </w:pPr>
      <w:r>
        <w:t>Coach corrections should create a new reviewed version rather than overwriting the original AI-generated result.</w:t>
      </w:r>
    </w:p>
    <w:p>
      <w:pPr>
        <w:pStyle w:val="ListBullet"/>
      </w:pPr>
      <w:r>
        <w:t>Reports should render only reviewed or high-confidence observations by default, with low-confidence items clearly labeled.</w:t>
      </w:r>
    </w:p>
    <w:p>
      <w:pPr>
        <w:pStyle w:val="Heading1"/>
        <w:widowControl/>
      </w:pPr>
      <w:r>
        <w:t>10. Security, Privacy, and Responsible AI</w:t>
      </w:r>
    </w:p>
    <w:p>
      <w:pPr>
        <w:pStyle w:val="ListBullet"/>
        <w:widowControl/>
      </w:pPr>
      <w:r>
        <w:t>Use Microsoft Entra identity and role-based authorization for organizations, coaches, guardians, and players.</w:t>
      </w:r>
    </w:p>
    <w:p>
      <w:pPr>
        <w:pStyle w:val="ListBullet"/>
        <w:widowControl/>
      </w:pPr>
      <w:r>
        <w:t>Encrypt footage and derived data in transit and at rest; use managed identities and Key Vault.</w:t>
      </w:r>
    </w:p>
    <w:p>
      <w:pPr>
        <w:pStyle w:val="ListBullet"/>
        <w:widowControl/>
      </w:pPr>
      <w:r>
        <w:t>Isolate academy tenants and enforce authorization before returning any clip or metric.</w:t>
      </w:r>
    </w:p>
    <w:p>
      <w:pPr>
        <w:pStyle w:val="ListBullet"/>
        <w:widowControl/>
      </w:pPr>
      <w:r>
        <w:t>Require guardian or club consent workflows for minors and preserve consent history.</w:t>
      </w:r>
    </w:p>
    <w:p>
      <w:pPr>
        <w:pStyle w:val="ListBullet"/>
        <w:widowControl/>
      </w:pPr>
      <w:r>
        <w:t>Provide configurable retention, export, correction, and deletion workflows.</w:t>
      </w:r>
    </w:p>
    <w:p>
      <w:pPr>
        <w:pStyle w:val="ListBullet"/>
        <w:widowControl/>
      </w:pPr>
      <w:r>
        <w:t>Do not train on customer footage without explicit contractual permission and documented governance.</w:t>
      </w:r>
    </w:p>
    <w:p>
      <w:pPr>
        <w:pStyle w:val="ListBullet"/>
        <w:widowControl/>
      </w:pPr>
      <w:r>
        <w:t>Avoid public facial-recognition databases; prefer jersey, team, and user-assisted player identification.</w:t>
      </w:r>
    </w:p>
    <w:p>
      <w:pPr>
        <w:pStyle w:val="ListBullet"/>
        <w:widowControl/>
      </w:pPr>
      <w:r>
        <w:t>Do not provide medical diagnosis or injury recommendations. Route such questions to qualified professionals.</w:t>
      </w:r>
    </w:p>
    <w:p>
      <w:pPr>
        <w:pStyle w:val="ListBullet"/>
        <w:widowControl/>
      </w:pPr>
      <w:r>
        <w:t>Ensure every substantive coaching claim has evidence, confidence, and model lineage.</w:t>
      </w:r>
    </w:p>
    <w:p>
      <w:pPr>
        <w:pStyle w:val="ListBullet"/>
        <w:widowControl/>
      </w:pPr>
      <w:r>
        <w:t>Perform fairness evaluation across age groups, gender categories, skin tones, uniform colors, positions, and camera conditions.</w:t>
      </w:r>
    </w:p>
    <w:p>
      <w:pPr>
        <w:pStyle w:val="Heading2"/>
      </w:pPr>
      <w:r>
        <w:t>10.1 Consent and data-use policy</w:t>
      </w:r>
    </w:p>
    <w:p>
      <w:pPr>
        <w:pStyle w:val="ListBullet"/>
      </w:pPr>
      <w:r>
        <w:t>Default position: customer footage is used only to provide the contracted service unless explicit opt-in consent allows model improvement.</w:t>
      </w:r>
    </w:p>
    <w:p>
      <w:pPr>
        <w:pStyle w:val="ListBullet"/>
      </w:pPr>
      <w:r>
        <w:t>Minor data controls must include guardian consent, organization consent, revocation, export, deletion, and clear retention defaults.</w:t>
      </w:r>
    </w:p>
    <w:p>
      <w:pPr>
        <w:pStyle w:val="ListBullet"/>
      </w:pPr>
      <w:r>
        <w:t>Sharing should be least-privilege: player and guardian views show only the player’s authorized clips and team context needed for explanation.</w:t>
      </w:r>
    </w:p>
    <w:p>
      <w:pPr>
        <w:pStyle w:val="ListBullet"/>
      </w:pPr>
      <w:r>
        <w:t>Incident response should include audit logs for media access, generated observations, coach edits, exports, and deletion requests.</w:t>
      </w:r>
    </w:p>
    <w:p>
      <w:pPr>
        <w:pStyle w:val="Heading1"/>
        <w:widowControl/>
      </w:pPr>
      <w:r>
        <w:t>11. Nonfunctional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Area</w:t>
            </w:r>
          </w:p>
        </w:tc>
        <w:tc>
          <w:tcPr>
            <w:tcW w:type="dxa" w:w="7632"/>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Target / requirement</w:t>
            </w:r>
          </w:p>
        </w:tc>
      </w:tr>
      <w:tr>
        <w:trPr>
          <w:cantSplit/>
        </w:trPr>
        <w:tc>
          <w:tcPr>
            <w:tcW w:type="dxa" w:w="2016"/>
            <w:tcMar>
              <w:top w:w="100" w:type="dxa"/>
              <w:start w:w="120" w:type="dxa"/>
              <w:bottom w:w="100" w:type="dxa"/>
              <w:end w:w="120" w:type="dxa"/>
            </w:tcMar>
            <w:vAlign w:val="center"/>
          </w:tcPr>
          <w:p>
            <w:pPr>
              <w:spacing w:after="40" w:line="245" w:lineRule="auto"/>
            </w:pPr>
            <w:r>
              <w:rPr>
                <w:rFonts w:ascii="Aptos" w:hAnsi="Aptos"/>
                <w:sz w:val="17"/>
              </w:rPr>
              <w:t>Accuracy</w:t>
            </w:r>
          </w:p>
        </w:tc>
        <w:tc>
          <w:tcPr>
            <w:tcW w:type="dxa" w:w="7632"/>
            <w:tcMar>
              <w:top w:w="100" w:type="dxa"/>
              <w:start w:w="120" w:type="dxa"/>
              <w:bottom w:w="100" w:type="dxa"/>
              <w:end w:w="120" w:type="dxa"/>
            </w:tcMar>
            <w:vAlign w:val="center"/>
          </w:tcPr>
          <w:p>
            <w:r>
              <w:t>Proposed MVP targets on supported footage only: &gt;90% target-player track coverage, &lt;2 identity switches per half, &gt;85% precision for core events, and published confidence thresholds by event type; validate before making customer commitments.</w:t>
            </w:r>
          </w:p>
        </w:tc>
      </w:tr>
      <w:tr>
        <w:trPr>
          <w:cantSplit/>
        </w:trPr>
        <w:tc>
          <w:tcPr>
            <w:tcW w:type="dxa" w:w="2016"/>
            <w:shd w:fill="F5F8FB" w:val="clear"/>
            <w:tcMar>
              <w:top w:w="100" w:type="dxa"/>
              <w:start w:w="120" w:type="dxa"/>
              <w:bottom w:w="100" w:type="dxa"/>
              <w:end w:w="120" w:type="dxa"/>
            </w:tcMar>
            <w:vAlign w:val="center"/>
          </w:tcPr>
          <w:p>
            <w:pPr>
              <w:spacing w:after="40" w:line="245" w:lineRule="auto"/>
            </w:pPr>
            <w:r>
              <w:rPr>
                <w:rFonts w:ascii="Aptos" w:hAnsi="Aptos"/>
                <w:sz w:val="17"/>
              </w:rPr>
              <w:t>Grounding</w:t>
            </w:r>
          </w:p>
        </w:tc>
        <w:tc>
          <w:tcPr>
            <w:tcW w:type="dxa" w:w="7632"/>
            <w:shd w:fill="F5F8FB" w:val="clear"/>
            <w:tcMar>
              <w:top w:w="100" w:type="dxa"/>
              <w:start w:w="120" w:type="dxa"/>
              <w:bottom w:w="100" w:type="dxa"/>
              <w:end w:w="120" w:type="dxa"/>
            </w:tcMar>
            <w:vAlign w:val="center"/>
          </w:tcPr>
          <w:p>
            <w:pPr>
              <w:spacing w:after="40" w:line="245" w:lineRule="auto"/>
            </w:pPr>
            <w:r>
              <w:rPr>
                <w:rFonts w:ascii="Aptos" w:hAnsi="Aptos"/>
                <w:sz w:val="17"/>
              </w:rPr>
              <w:t>100% of material coaching observations must include evidence timestamps or be explicitly labeled as insufficient evidence.</w:t>
            </w:r>
          </w:p>
        </w:tc>
      </w:tr>
      <w:tr>
        <w:trPr>
          <w:cantSplit/>
        </w:trPr>
        <w:tc>
          <w:tcPr>
            <w:tcW w:type="dxa" w:w="2016"/>
            <w:tcMar>
              <w:top w:w="100" w:type="dxa"/>
              <w:start w:w="120" w:type="dxa"/>
              <w:bottom w:w="100" w:type="dxa"/>
              <w:end w:w="120" w:type="dxa"/>
            </w:tcMar>
            <w:vAlign w:val="center"/>
          </w:tcPr>
          <w:p>
            <w:pPr>
              <w:spacing w:after="40" w:line="245" w:lineRule="auto"/>
            </w:pPr>
            <w:r>
              <w:rPr>
                <w:rFonts w:ascii="Aptos" w:hAnsi="Aptos"/>
                <w:sz w:val="17"/>
              </w:rPr>
              <w:t>Performance</w:t>
            </w:r>
          </w:p>
        </w:tc>
        <w:tc>
          <w:tcPr>
            <w:tcW w:type="dxa" w:w="7632"/>
            <w:tcMar>
              <w:top w:w="100" w:type="dxa"/>
              <w:start w:w="120" w:type="dxa"/>
              <w:bottom w:w="100" w:type="dxa"/>
              <w:end w:w="120" w:type="dxa"/>
            </w:tcMar>
            <w:vAlign w:val="center"/>
          </w:tcPr>
          <w:p>
            <w:pPr>
              <w:spacing w:after="40" w:line="245" w:lineRule="auto"/>
            </w:pPr>
            <w:r>
              <w:rPr>
                <w:rFonts w:ascii="Aptos" w:hAnsi="Aptos"/>
                <w:sz w:val="17"/>
              </w:rPr>
              <w:t>Start processing within 2 minutes; initial clips within 10 minutes; complete a 90-minute match in 30-60 minutes for MVP.</w:t>
            </w:r>
          </w:p>
        </w:tc>
      </w:tr>
      <w:tr>
        <w:trPr>
          <w:cantSplit/>
        </w:trPr>
        <w:tc>
          <w:tcPr>
            <w:tcW w:type="dxa" w:w="2016"/>
            <w:shd w:fill="F5F8FB" w:val="clear"/>
            <w:tcMar>
              <w:top w:w="100" w:type="dxa"/>
              <w:start w:w="120" w:type="dxa"/>
              <w:bottom w:w="100" w:type="dxa"/>
              <w:end w:w="120" w:type="dxa"/>
            </w:tcMar>
            <w:vAlign w:val="center"/>
          </w:tcPr>
          <w:p>
            <w:pPr>
              <w:spacing w:after="40" w:line="245" w:lineRule="auto"/>
            </w:pPr>
            <w:r>
              <w:rPr>
                <w:rFonts w:ascii="Aptos" w:hAnsi="Aptos"/>
                <w:sz w:val="17"/>
              </w:rPr>
              <w:t>Chat latency</w:t>
            </w:r>
          </w:p>
        </w:tc>
        <w:tc>
          <w:tcPr>
            <w:tcW w:type="dxa" w:w="7632"/>
            <w:shd w:fill="F5F8FB" w:val="clear"/>
            <w:tcMar>
              <w:top w:w="100" w:type="dxa"/>
              <w:start w:w="120" w:type="dxa"/>
              <w:bottom w:w="100" w:type="dxa"/>
              <w:end w:w="120" w:type="dxa"/>
            </w:tcMar>
            <w:vAlign w:val="center"/>
          </w:tcPr>
          <w:p>
            <w:pPr>
              <w:spacing w:after="40" w:line="245" w:lineRule="auto"/>
            </w:pPr>
            <w:r>
              <w:rPr>
                <w:rFonts w:ascii="Aptos" w:hAnsi="Aptos"/>
                <w:sz w:val="17"/>
              </w:rPr>
              <w:t>5-15 seconds after preprocessing for grounded questions.</w:t>
            </w:r>
          </w:p>
        </w:tc>
      </w:tr>
      <w:tr>
        <w:trPr>
          <w:cantSplit/>
        </w:trPr>
        <w:tc>
          <w:tcPr>
            <w:tcW w:type="dxa" w:w="2016"/>
            <w:tcMar>
              <w:top w:w="100" w:type="dxa"/>
              <w:start w:w="120" w:type="dxa"/>
              <w:bottom w:w="100" w:type="dxa"/>
              <w:end w:w="120" w:type="dxa"/>
            </w:tcMar>
            <w:vAlign w:val="center"/>
          </w:tcPr>
          <w:p>
            <w:pPr>
              <w:spacing w:after="40" w:line="245" w:lineRule="auto"/>
            </w:pPr>
            <w:r>
              <w:rPr>
                <w:rFonts w:ascii="Aptos" w:hAnsi="Aptos"/>
                <w:sz w:val="17"/>
              </w:rPr>
              <w:t>Reliability</w:t>
            </w:r>
          </w:p>
        </w:tc>
        <w:tc>
          <w:tcPr>
            <w:tcW w:type="dxa" w:w="7632"/>
            <w:tcMar>
              <w:top w:w="100" w:type="dxa"/>
              <w:start w:w="120" w:type="dxa"/>
              <w:bottom w:w="100" w:type="dxa"/>
              <w:end w:w="120" w:type="dxa"/>
            </w:tcMar>
            <w:vAlign w:val="center"/>
          </w:tcPr>
          <w:p>
            <w:pPr>
              <w:spacing w:after="40" w:line="245" w:lineRule="auto"/>
            </w:pPr>
            <w:r>
              <w:rPr>
                <w:rFonts w:ascii="Aptos" w:hAnsi="Aptos"/>
                <w:sz w:val="17"/>
              </w:rPr>
              <w:t>Idempotent jobs, checkpoints, retries, partial results, dead-letter handling, and reproducible versions.</w:t>
            </w:r>
          </w:p>
        </w:tc>
      </w:tr>
      <w:tr>
        <w:trPr>
          <w:cantSplit/>
        </w:trPr>
        <w:tc>
          <w:tcPr>
            <w:tcW w:type="dxa" w:w="2016"/>
            <w:shd w:fill="F5F8FB" w:val="clear"/>
            <w:tcMar>
              <w:top w:w="100" w:type="dxa"/>
              <w:start w:w="120" w:type="dxa"/>
              <w:bottom w:w="100" w:type="dxa"/>
              <w:end w:w="120" w:type="dxa"/>
            </w:tcMar>
            <w:vAlign w:val="center"/>
          </w:tcPr>
          <w:p>
            <w:pPr>
              <w:spacing w:after="40" w:line="245" w:lineRule="auto"/>
            </w:pPr>
            <w:r>
              <w:rPr>
                <w:rFonts w:ascii="Aptos" w:hAnsi="Aptos"/>
                <w:sz w:val="17"/>
              </w:rPr>
              <w:t>Scalability</w:t>
            </w:r>
          </w:p>
        </w:tc>
        <w:tc>
          <w:tcPr>
            <w:tcW w:type="dxa" w:w="7632"/>
            <w:shd w:fill="F5F8FB" w:val="clear"/>
            <w:tcMar>
              <w:top w:w="100" w:type="dxa"/>
              <w:start w:w="120" w:type="dxa"/>
              <w:bottom w:w="100" w:type="dxa"/>
              <w:end w:w="120" w:type="dxa"/>
            </w:tcMar>
            <w:vAlign w:val="center"/>
          </w:tcPr>
          <w:p>
            <w:pPr>
              <w:spacing w:after="40" w:line="245" w:lineRule="auto"/>
            </w:pPr>
            <w:r>
              <w:rPr>
                <w:rFonts w:ascii="Aptos" w:hAnsi="Aptos"/>
                <w:sz w:val="17"/>
              </w:rPr>
              <w:t>Independent autoscaling for upload API, CPU processing, GPU inference, and agent calls.</w:t>
            </w:r>
          </w:p>
        </w:tc>
      </w:tr>
      <w:tr>
        <w:trPr>
          <w:cantSplit/>
        </w:trPr>
        <w:tc>
          <w:tcPr>
            <w:tcW w:type="dxa" w:w="2016"/>
            <w:tcMar>
              <w:top w:w="100" w:type="dxa"/>
              <w:start w:w="120" w:type="dxa"/>
              <w:bottom w:w="100" w:type="dxa"/>
              <w:end w:w="120" w:type="dxa"/>
            </w:tcMar>
            <w:vAlign w:val="center"/>
          </w:tcPr>
          <w:p>
            <w:pPr>
              <w:spacing w:after="40" w:line="245" w:lineRule="auto"/>
            </w:pPr>
            <w:r>
              <w:rPr>
                <w:rFonts w:ascii="Aptos" w:hAnsi="Aptos"/>
                <w:sz w:val="17"/>
              </w:rPr>
              <w:t>Observability</w:t>
            </w:r>
          </w:p>
        </w:tc>
        <w:tc>
          <w:tcPr>
            <w:tcW w:type="dxa" w:w="7632"/>
            <w:tcMar>
              <w:top w:w="100" w:type="dxa"/>
              <w:start w:w="120" w:type="dxa"/>
              <w:bottom w:w="100" w:type="dxa"/>
              <w:end w:w="120" w:type="dxa"/>
            </w:tcMar>
            <w:vAlign w:val="center"/>
          </w:tcPr>
          <w:p>
            <w:pPr>
              <w:spacing w:after="40" w:line="245" w:lineRule="auto"/>
            </w:pPr>
            <w:r>
              <w:rPr>
                <w:rFonts w:ascii="Aptos" w:hAnsi="Aptos"/>
                <w:sz w:val="17"/>
              </w:rPr>
              <w:t>Distributed trace from user request through tool calls, evidence retrieval, model response, and persisted output.</w:t>
            </w:r>
          </w:p>
        </w:tc>
      </w:tr>
      <w:tr>
        <w:trPr>
          <w:cantSplit/>
        </w:trPr>
        <w:tc>
          <w:tcPr>
            <w:tcW w:type="dxa" w:w="2016"/>
            <w:shd w:fill="F5F8FB" w:val="clear"/>
            <w:tcMar>
              <w:top w:w="100" w:type="dxa"/>
              <w:start w:w="120" w:type="dxa"/>
              <w:bottom w:w="100" w:type="dxa"/>
              <w:end w:w="120" w:type="dxa"/>
            </w:tcMar>
            <w:vAlign w:val="center"/>
          </w:tcPr>
          <w:p>
            <w:pPr>
              <w:spacing w:after="40" w:line="245" w:lineRule="auto"/>
            </w:pPr>
            <w:r>
              <w:rPr>
                <w:rFonts w:ascii="Aptos" w:hAnsi="Aptos"/>
                <w:sz w:val="17"/>
              </w:rPr>
              <w:t>Accessibility</w:t>
            </w:r>
          </w:p>
        </w:tc>
        <w:tc>
          <w:tcPr>
            <w:tcW w:type="dxa" w:w="7632"/>
            <w:shd w:fill="F5F8FB" w:val="clear"/>
            <w:tcMar>
              <w:top w:w="100" w:type="dxa"/>
              <w:start w:w="120" w:type="dxa"/>
              <w:bottom w:w="100" w:type="dxa"/>
              <w:end w:w="120" w:type="dxa"/>
            </w:tcMar>
            <w:vAlign w:val="center"/>
          </w:tcPr>
          <w:p>
            <w:pPr>
              <w:spacing w:after="40" w:line="245" w:lineRule="auto"/>
            </w:pPr>
            <w:r>
              <w:rPr>
                <w:rFonts w:ascii="Aptos" w:hAnsi="Aptos"/>
                <w:sz w:val="17"/>
              </w:rPr>
              <w:t>Keyboard navigation, captions/transcripts where applicable, sufficient contrast, and readable feedback.</w:t>
            </w:r>
          </w:p>
        </w:tc>
      </w:tr>
      <w:tr>
        <w:tc>
          <w:tcPr>
            <w:tcW w:type="dxa" w:w="4997"/>
          </w:tcPr>
          <w:p>
            <w:r>
              <w:t>Cost control</w:t>
            </w:r>
          </w:p>
        </w:tc>
        <w:tc>
          <w:tcPr>
            <w:tcW w:type="dxa" w:w="4997"/>
          </w:tcPr>
          <w:p>
            <w:r>
              <w:t>Per-tenant quotas, async GPU queues, frame sampling, derived-clip caching, spend alerts, and cost-per-match reporting.</w:t>
            </w:r>
          </w:p>
        </w:tc>
      </w:tr>
      <w:tr>
        <w:tc>
          <w:tcPr>
            <w:tcW w:type="dxa" w:w="4997"/>
          </w:tcPr>
          <w:p>
            <w:r>
              <w:t>Data governance</w:t>
            </w:r>
          </w:p>
        </w:tc>
        <w:tc>
          <w:tcPr>
            <w:tcW w:type="dxa" w:w="4997"/>
          </w:tcPr>
          <w:p>
            <w:r>
              <w:t>Consent-aware authorization, customer-controlled retention, export/delete workflows, and opt-in-only model-improvement use.</w:t>
            </w:r>
          </w:p>
        </w:tc>
      </w:tr>
    </w:tbl>
    <w:p>
      <w:pPr>
        <w:widowControl/>
        <w:spacing w:after="20"/>
      </w:pPr>
    </w:p>
    <w:p>
      <w:pPr>
        <w:pStyle w:val="Heading1"/>
        <w:widowControl/>
      </w:pPr>
      <w:r>
        <w:t>12. Evaluation and Quality Gates</w:t>
      </w:r>
    </w:p>
    <w:p>
      <w:pPr>
        <w:pStyle w:val="Heading2"/>
        <w:widowControl/>
      </w:pPr>
      <w:r>
        <w:t>12.1 Perception evaluation</w:t>
      </w:r>
    </w:p>
    <w:p>
      <w:pPr>
        <w:pStyle w:val="ListBullet"/>
        <w:widowControl/>
      </w:pPr>
      <w:r>
        <w:t>Detection precision and recall</w:t>
      </w:r>
    </w:p>
    <w:p>
      <w:pPr>
        <w:pStyle w:val="ListBullet"/>
        <w:widowControl/>
      </w:pPr>
      <w:r>
        <w:t>Identity switches and track coverage</w:t>
      </w:r>
    </w:p>
    <w:p>
      <w:pPr>
        <w:pStyle w:val="ListBullet"/>
        <w:widowControl/>
      </w:pPr>
      <w:r>
        <w:t>Ball-detection accuracy</w:t>
      </w:r>
    </w:p>
    <w:p>
      <w:pPr>
        <w:pStyle w:val="ListBullet"/>
        <w:widowControl/>
      </w:pPr>
      <w:r>
        <w:t>Field-calibration error</w:t>
      </w:r>
    </w:p>
    <w:p>
      <w:pPr>
        <w:pStyle w:val="ListBullet"/>
        <w:widowControl/>
      </w:pPr>
      <w:r>
        <w:t>Event precision, recall, and timestamp tolerance</w:t>
      </w:r>
    </w:p>
    <w:p>
      <w:pPr>
        <w:pStyle w:val="ListBullet"/>
        <w:widowControl/>
      </w:pPr>
      <w:r>
        <w:t>Pose/orientation confidence by camera condition</w:t>
      </w:r>
    </w:p>
    <w:p>
      <w:pPr>
        <w:pStyle w:val="Heading2"/>
        <w:widowControl/>
      </w:pPr>
      <w:r>
        <w:t>12.2 Agent evaluation</w:t>
      </w:r>
    </w:p>
    <w:p>
      <w:pPr>
        <w:pStyle w:val="ListBullet"/>
        <w:widowControl/>
      </w:pPr>
      <w:r>
        <w:t>Evidence-grounding rate and timestamp correctness</w:t>
      </w:r>
    </w:p>
    <w:p>
      <w:pPr>
        <w:pStyle w:val="ListBullet"/>
        <w:widowControl/>
      </w:pPr>
      <w:r>
        <w:t>Unsupported-claim rate</w:t>
      </w:r>
    </w:p>
    <w:p>
      <w:pPr>
        <w:pStyle w:val="ListBullet"/>
        <w:widowControl/>
      </w:pPr>
      <w:r>
        <w:t>Tool-selection and authorization accuracy</w:t>
      </w:r>
    </w:p>
    <w:p>
      <w:pPr>
        <w:pStyle w:val="ListBullet"/>
        <w:widowControl/>
      </w:pPr>
      <w:r>
        <w:t>Structured-output validity</w:t>
      </w:r>
    </w:p>
    <w:p>
      <w:pPr>
        <w:pStyle w:val="ListBullet"/>
        <w:widowControl/>
      </w:pPr>
      <w:r>
        <w:t>Tactical-rubric adherence</w:t>
      </w:r>
    </w:p>
    <w:p>
      <w:pPr>
        <w:pStyle w:val="ListBullet"/>
        <w:widowControl/>
      </w:pPr>
      <w:r>
        <w:t>Recommendation relevance and age appropriateness</w:t>
      </w:r>
    </w:p>
    <w:p>
      <w:pPr>
        <w:pStyle w:val="ListBullet"/>
        <w:widowControl/>
      </w:pPr>
      <w:r>
        <w:t>Coach agreement, correction, and rejection rates</w:t>
      </w:r>
    </w:p>
    <w:p>
      <w:pPr>
        <w:pStyle w:val="Heading2"/>
        <w:widowControl/>
      </w:pPr>
      <w:r>
        <w:t>12.3 Release gates</w:t>
      </w:r>
    </w:p>
    <w:p>
      <w:pPr>
        <w:pStyle w:val="ListNumber"/>
        <w:widowControl/>
      </w:pPr>
      <w:r>
        <w:t>No critical authorization or tenant-isolation failures.</w:t>
      </w:r>
    </w:p>
    <w:p>
      <w:pPr>
        <w:pStyle w:val="ListNumber"/>
        <w:widowControl/>
      </w:pPr>
      <w:r>
        <w:t>No unsupported numeric metrics generated by the LLM.</w:t>
      </w:r>
    </w:p>
    <w:p>
      <w:pPr>
        <w:pStyle w:val="ListNumber"/>
        <w:widowControl/>
      </w:pPr>
      <w:r>
        <w:t>Grounded-answer threshold met on the golden evaluation set.</w:t>
      </w:r>
    </w:p>
    <w:p>
      <w:pPr>
        <w:pStyle w:val="ListNumber"/>
        <w:widowControl/>
      </w:pPr>
      <w:r>
        <w:t>Coach reviewers approve defined percentages of high-confidence observations.</w:t>
      </w:r>
    </w:p>
    <w:p>
      <w:pPr>
        <w:pStyle w:val="ListNumber"/>
        <w:widowControl/>
      </w:pPr>
      <w:r>
        <w:t>Fallback behavior validated for poor footage and missing evidence.</w:t>
      </w:r>
    </w:p>
    <w:p>
      <w:pPr>
        <w:pStyle w:val="ListNumber"/>
        <w:widowControl/>
      </w:pPr>
      <w:r>
        <w:t>Model, prompt, tool, and metric versions recorded for every result.</w:t>
      </w:r>
    </w:p>
    <w:p>
      <w:pPr>
        <w:pStyle w:val="Heading2"/>
      </w:pPr>
      <w:r>
        <w:t>12.4 Golden set and annotation protocol</w:t>
      </w:r>
    </w:p>
    <w:p>
      <w:pPr>
        <w:pStyle w:val="ListBullet"/>
      </w:pPr>
      <w:r>
        <w:t>Create a pilot golden set with representative age groups, positions, jersey colors, field types, lighting conditions, camera angles, and match intensities.</w:t>
      </w:r>
    </w:p>
    <w:p>
      <w:pPr>
        <w:pStyle w:val="ListBullet"/>
      </w:pPr>
      <w:r>
        <w:t>Use at least two human annotators for core events and coach-review labels; adjudicate disagreements before calculating precision and recall.</w:t>
      </w:r>
    </w:p>
    <w:p>
      <w:pPr>
        <w:pStyle w:val="ListBullet"/>
      </w:pPr>
      <w:r>
        <w:t>Measure timestamp tolerance separately for event detection, evidence clip selection, and agent citation accuracy.</w:t>
      </w:r>
    </w:p>
    <w:p>
      <w:pPr>
        <w:pStyle w:val="ListBullet"/>
      </w:pPr>
      <w:r>
        <w:t>Track unsupported-claim rate as a release-blocking metric for the agent experience.</w:t>
      </w:r>
    </w:p>
    <w:p>
      <w:pPr>
        <w:pStyle w:val="Heading1"/>
        <w:widowControl/>
      </w:pPr>
      <w:r>
        <w:t>13. Delivery Roadmap</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Phase</w:t>
            </w:r>
          </w:p>
        </w:tc>
        <w:tc>
          <w:tcPr>
            <w:tcW w:type="dxa" w:w="1512"/>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Indicative duration</w:t>
            </w:r>
          </w:p>
        </w:tc>
        <w:tc>
          <w:tcPr>
            <w:tcW w:type="dxa" w:w="4176"/>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Scope</w:t>
            </w:r>
          </w:p>
        </w:tc>
        <w:tc>
          <w:tcPr>
            <w:tcW w:type="dxa" w:w="2088"/>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Exit criteria</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Discovery and data design</w:t>
            </w:r>
          </w:p>
        </w:tc>
        <w:tc>
          <w:tcPr>
            <w:tcW w:type="dxa" w:w="1512"/>
            <w:tcMar>
              <w:top w:w="100" w:type="dxa"/>
              <w:start w:w="120" w:type="dxa"/>
              <w:bottom w:w="100" w:type="dxa"/>
              <w:end w:w="120" w:type="dxa"/>
            </w:tcMar>
            <w:vAlign w:val="center"/>
          </w:tcPr>
          <w:p>
            <w:pPr>
              <w:spacing w:after="40" w:line="245" w:lineRule="auto"/>
            </w:pPr>
            <w:r>
              <w:rPr>
                <w:rFonts w:ascii="Aptos" w:hAnsi="Aptos"/>
                <w:sz w:val="17"/>
              </w:rPr>
              <w:t>2-3 weeks</w:t>
            </w:r>
          </w:p>
        </w:tc>
        <w:tc>
          <w:tcPr>
            <w:tcW w:type="dxa" w:w="4176"/>
            <w:tcMar>
              <w:top w:w="100" w:type="dxa"/>
              <w:start w:w="120" w:type="dxa"/>
              <w:bottom w:w="100" w:type="dxa"/>
              <w:end w:w="120" w:type="dxa"/>
            </w:tcMar>
            <w:vAlign w:val="center"/>
          </w:tcPr>
          <w:p>
            <w:r>
              <w:t>Personas, buyer path, footage constraints, ontology, consent, benchmark strategy, and pilot package definition</w:t>
            </w:r>
          </w:p>
        </w:tc>
        <w:tc>
          <w:tcPr>
            <w:tcW w:type="dxa" w:w="2088"/>
            <w:tcMar>
              <w:top w:w="100" w:type="dxa"/>
              <w:start w:w="120" w:type="dxa"/>
              <w:bottom w:w="100" w:type="dxa"/>
              <w:end w:w="120" w:type="dxa"/>
            </w:tcMar>
            <w:vAlign w:val="center"/>
          </w:tcPr>
          <w:p>
            <w:pPr>
              <w:spacing w:after="40" w:line="245" w:lineRule="auto"/>
            </w:pPr>
            <w:r>
              <w:rPr>
                <w:rFonts w:ascii="Aptos" w:hAnsi="Aptos"/>
                <w:sz w:val="17"/>
              </w:rPr>
              <w:t>Approved rubric and representative evaluation set</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Technical proof of concept</w:t>
            </w:r>
          </w:p>
        </w:tc>
        <w:tc>
          <w:tcPr>
            <w:tcW w:type="dxa" w:w="1512"/>
            <w:shd w:fill="F5F8FB" w:val="clear"/>
            <w:tcMar>
              <w:top w:w="100" w:type="dxa"/>
              <w:start w:w="120" w:type="dxa"/>
              <w:bottom w:w="100" w:type="dxa"/>
              <w:end w:w="120" w:type="dxa"/>
            </w:tcMar>
            <w:vAlign w:val="center"/>
          </w:tcPr>
          <w:p>
            <w:pPr>
              <w:spacing w:after="40" w:line="245" w:lineRule="auto"/>
            </w:pPr>
            <w:r>
              <w:rPr>
                <w:rFonts w:ascii="Aptos" w:hAnsi="Aptos"/>
                <w:sz w:val="17"/>
              </w:rPr>
              <w:t>4-6 weeks</w:t>
            </w:r>
          </w:p>
        </w:tc>
        <w:tc>
          <w:tcPr>
            <w:tcW w:type="dxa" w:w="4176"/>
            <w:shd w:fill="F5F8FB" w:val="clear"/>
            <w:tcMar>
              <w:top w:w="100" w:type="dxa"/>
              <w:start w:w="120" w:type="dxa"/>
              <w:bottom w:w="100" w:type="dxa"/>
              <w:end w:w="120" w:type="dxa"/>
            </w:tcMar>
            <w:vAlign w:val="center"/>
          </w:tcPr>
          <w:p>
            <w:pPr>
              <w:spacing w:after="40" w:line="245" w:lineRule="auto"/>
            </w:pPr>
            <w:r>
              <w:rPr>
                <w:rFonts w:ascii="Aptos" w:hAnsi="Aptos"/>
                <w:sz w:val="17"/>
              </w:rPr>
              <w:t>Upload, single player track, core events, one Foundry prompt agent</w:t>
            </w:r>
          </w:p>
        </w:tc>
        <w:tc>
          <w:tcPr>
            <w:tcW w:type="dxa" w:w="2088"/>
            <w:shd w:fill="F5F8FB" w:val="clear"/>
            <w:tcMar>
              <w:top w:w="100" w:type="dxa"/>
              <w:start w:w="120" w:type="dxa"/>
              <w:bottom w:w="100" w:type="dxa"/>
              <w:end w:w="120" w:type="dxa"/>
            </w:tcMar>
            <w:vAlign w:val="center"/>
          </w:tcPr>
          <w:p>
            <w:pPr>
              <w:spacing w:after="40" w:line="245" w:lineRule="auto"/>
            </w:pPr>
            <w:r>
              <w:rPr>
                <w:rFonts w:ascii="Aptos" w:hAnsi="Aptos"/>
                <w:sz w:val="17"/>
              </w:rPr>
              <w:t>End-to-end demo on controlled videos</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MVP</w:t>
            </w:r>
          </w:p>
        </w:tc>
        <w:tc>
          <w:tcPr>
            <w:tcW w:type="dxa" w:w="1512"/>
            <w:tcMar>
              <w:top w:w="100" w:type="dxa"/>
              <w:start w:w="120" w:type="dxa"/>
              <w:bottom w:w="100" w:type="dxa"/>
              <w:end w:w="120" w:type="dxa"/>
            </w:tcMar>
            <w:vAlign w:val="center"/>
          </w:tcPr>
          <w:p>
            <w:pPr>
              <w:spacing w:after="40" w:line="245" w:lineRule="auto"/>
            </w:pPr>
            <w:r>
              <w:rPr>
                <w:rFonts w:ascii="Aptos" w:hAnsi="Aptos"/>
                <w:sz w:val="17"/>
              </w:rPr>
              <w:t>8-12 additional weeks</w:t>
            </w:r>
          </w:p>
        </w:tc>
        <w:tc>
          <w:tcPr>
            <w:tcW w:type="dxa" w:w="4176"/>
            <w:tcMar>
              <w:top w:w="100" w:type="dxa"/>
              <w:start w:w="120" w:type="dxa"/>
              <w:bottom w:w="100" w:type="dxa"/>
              <w:end w:w="120" w:type="dxa"/>
            </w:tcMar>
            <w:vAlign w:val="center"/>
          </w:tcPr>
          <w:p>
            <w:pPr>
              <w:spacing w:after="40" w:line="245" w:lineRule="auto"/>
            </w:pPr>
            <w:r>
              <w:rPr>
                <w:rFonts w:ascii="Aptos" w:hAnsi="Aptos"/>
                <w:sz w:val="17"/>
              </w:rPr>
              <w:t>Hosted agent, evidence clips, Q&amp;A, training plan, coach review</w:t>
            </w:r>
          </w:p>
        </w:tc>
        <w:tc>
          <w:tcPr>
            <w:tcW w:type="dxa" w:w="2088"/>
            <w:tcMar>
              <w:top w:w="100" w:type="dxa"/>
              <w:start w:w="120" w:type="dxa"/>
              <w:bottom w:w="100" w:type="dxa"/>
              <w:end w:w="120" w:type="dxa"/>
            </w:tcMar>
            <w:vAlign w:val="center"/>
          </w:tcPr>
          <w:p>
            <w:r>
              <w:t>Pilot-ready security, accuracy, observability, coach workflow, and cost-per-match telemetry</w:t>
            </w:r>
          </w:p>
        </w:tc>
      </w:tr>
      <w:tr>
        <w:trPr>
          <w:cantSplit/>
        </w:trPr>
        <w:tc>
          <w:tcPr>
            <w:tcW w:type="dxa" w:w="1944"/>
            <w:shd w:fill="F5F8FB" w:val="clear"/>
            <w:tcMar>
              <w:top w:w="100" w:type="dxa"/>
              <w:start w:w="120" w:type="dxa"/>
              <w:bottom w:w="100" w:type="dxa"/>
              <w:end w:w="120" w:type="dxa"/>
            </w:tcMar>
            <w:vAlign w:val="center"/>
          </w:tcPr>
          <w:p>
            <w:pPr>
              <w:spacing w:after="40" w:line="245" w:lineRule="auto"/>
            </w:pPr>
            <w:r>
              <w:rPr>
                <w:rFonts w:ascii="Aptos" w:hAnsi="Aptos"/>
                <w:sz w:val="17"/>
              </w:rPr>
              <w:t>Commercial pilot</w:t>
            </w:r>
          </w:p>
        </w:tc>
        <w:tc>
          <w:tcPr>
            <w:tcW w:type="dxa" w:w="1512"/>
            <w:shd w:fill="F5F8FB" w:val="clear"/>
            <w:tcMar>
              <w:top w:w="100" w:type="dxa"/>
              <w:start w:w="120" w:type="dxa"/>
              <w:bottom w:w="100" w:type="dxa"/>
              <w:end w:w="120" w:type="dxa"/>
            </w:tcMar>
            <w:vAlign w:val="center"/>
          </w:tcPr>
          <w:p>
            <w:pPr>
              <w:spacing w:after="40" w:line="245" w:lineRule="auto"/>
            </w:pPr>
            <w:r>
              <w:rPr>
                <w:rFonts w:ascii="Aptos" w:hAnsi="Aptos"/>
                <w:sz w:val="17"/>
              </w:rPr>
              <w:t>8-12 weeks</w:t>
            </w:r>
          </w:p>
        </w:tc>
        <w:tc>
          <w:tcPr>
            <w:tcW w:type="dxa" w:w="4176"/>
            <w:shd w:fill="F5F8FB" w:val="clear"/>
            <w:tcMar>
              <w:top w:w="100" w:type="dxa"/>
              <w:start w:w="120" w:type="dxa"/>
              <w:bottom w:w="100" w:type="dxa"/>
              <w:end w:w="120" w:type="dxa"/>
            </w:tcMar>
            <w:vAlign w:val="center"/>
          </w:tcPr>
          <w:p>
            <w:pPr>
              <w:spacing w:after="40" w:line="245" w:lineRule="auto"/>
            </w:pPr>
            <w:r>
              <w:rPr>
                <w:rFonts w:ascii="Aptos" w:hAnsi="Aptos"/>
                <w:sz w:val="17"/>
              </w:rPr>
              <w:t>Academy tenancy, billing, dashboards, broader footage, three logical agents</w:t>
            </w:r>
          </w:p>
        </w:tc>
        <w:tc>
          <w:tcPr>
            <w:tcW w:type="dxa" w:w="2088"/>
            <w:shd w:fill="F5F8FB" w:val="clear"/>
            <w:tcMar>
              <w:top w:w="100" w:type="dxa"/>
              <w:start w:w="120" w:type="dxa"/>
              <w:bottom w:w="100" w:type="dxa"/>
              <w:end w:w="120" w:type="dxa"/>
            </w:tcMar>
            <w:vAlign w:val="center"/>
          </w:tcPr>
          <w:p>
            <w:r>
              <w:t>Validated willingness to pay, support model, consent workflow, operational SLOs, and user outcomes</w:t>
            </w:r>
          </w:p>
        </w:tc>
      </w:tr>
      <w:tr>
        <w:trPr>
          <w:cantSplit/>
        </w:trPr>
        <w:tc>
          <w:tcPr>
            <w:tcW w:type="dxa" w:w="1944"/>
            <w:tcMar>
              <w:top w:w="100" w:type="dxa"/>
              <w:start w:w="120" w:type="dxa"/>
              <w:bottom w:w="100" w:type="dxa"/>
              <w:end w:w="120" w:type="dxa"/>
            </w:tcMar>
            <w:vAlign w:val="center"/>
          </w:tcPr>
          <w:p>
            <w:pPr>
              <w:spacing w:after="40" w:line="245" w:lineRule="auto"/>
            </w:pPr>
            <w:r>
              <w:rPr>
                <w:rFonts w:ascii="Aptos" w:hAnsi="Aptos"/>
                <w:sz w:val="17"/>
              </w:rPr>
              <w:t>Scale and differentiation</w:t>
            </w:r>
          </w:p>
        </w:tc>
        <w:tc>
          <w:tcPr>
            <w:tcW w:type="dxa" w:w="1512"/>
            <w:tcMar>
              <w:top w:w="100" w:type="dxa"/>
              <w:start w:w="120" w:type="dxa"/>
              <w:bottom w:w="100" w:type="dxa"/>
              <w:end w:w="120" w:type="dxa"/>
            </w:tcMar>
            <w:vAlign w:val="center"/>
          </w:tcPr>
          <w:p>
            <w:pPr>
              <w:spacing w:after="40" w:line="245" w:lineRule="auto"/>
            </w:pPr>
            <w:r>
              <w:rPr>
                <w:rFonts w:ascii="Aptos" w:hAnsi="Aptos"/>
                <w:sz w:val="17"/>
              </w:rPr>
              <w:t>Ongoing</w:t>
            </w:r>
          </w:p>
        </w:tc>
        <w:tc>
          <w:tcPr>
            <w:tcW w:type="dxa" w:w="4176"/>
            <w:tcMar>
              <w:top w:w="100" w:type="dxa"/>
              <w:start w:w="120" w:type="dxa"/>
              <w:bottom w:w="100" w:type="dxa"/>
              <w:end w:w="120" w:type="dxa"/>
            </w:tcMar>
            <w:vAlign w:val="center"/>
          </w:tcPr>
          <w:p>
            <w:pPr>
              <w:spacing w:after="40" w:line="245" w:lineRule="auto"/>
            </w:pPr>
            <w:r>
              <w:rPr>
                <w:rFonts w:ascii="Aptos" w:hAnsi="Aptos"/>
                <w:sz w:val="17"/>
              </w:rPr>
              <w:t>Proprietary benchmarks, decision-quality model, adaptive development loop</w:t>
            </w:r>
          </w:p>
        </w:tc>
        <w:tc>
          <w:tcPr>
            <w:tcW w:type="dxa" w:w="2088"/>
            <w:tcMar>
              <w:top w:w="100" w:type="dxa"/>
              <w:start w:w="120" w:type="dxa"/>
              <w:bottom w:w="100" w:type="dxa"/>
              <w:end w:w="120" w:type="dxa"/>
            </w:tcMar>
            <w:vAlign w:val="center"/>
          </w:tcPr>
          <w:p>
            <w:pPr>
              <w:spacing w:after="40" w:line="245" w:lineRule="auto"/>
            </w:pPr>
            <w:r>
              <w:rPr>
                <w:rFonts w:ascii="Aptos" w:hAnsi="Aptos"/>
                <w:sz w:val="17"/>
              </w:rPr>
              <w:t>Improvement outcome and defensible data asset</w:t>
            </w:r>
          </w:p>
        </w:tc>
      </w:tr>
    </w:tbl>
    <w:p>
      <w:pPr>
        <w:widowControl/>
        <w:spacing w:after="20"/>
      </w:pPr>
    </w:p>
    <w:p>
      <w:pPr>
        <w:pStyle w:val="Heading1"/>
        <w:widowControl/>
      </w:pPr>
      <w:r>
        <w:t>14. Risks and Mitigations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Risk</w:t>
            </w:r>
          </w:p>
        </w:tc>
        <w:tc>
          <w:tcPr>
            <w:tcW w:type="dxa" w:w="2880"/>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Impact</w:t>
            </w:r>
          </w:p>
        </w:tc>
        <w:tc>
          <w:tcPr>
            <w:tcW w:type="dxa" w:w="4608"/>
            <w:shd w:fill="17365D" w:val="clear"/>
            <w:tcMar>
              <w:top w:w="100" w:type="dxa"/>
              <w:start w:w="120" w:type="dxa"/>
              <w:bottom w:w="100" w:type="dxa"/>
              <w:end w:w="120" w:type="dxa"/>
            </w:tcMar>
            <w:vAlign w:val="center"/>
          </w:tcPr>
          <w:p>
            <w:pPr>
              <w:spacing w:after="40" w:line="245" w:lineRule="auto"/>
            </w:pPr>
            <w:r>
              <w:rPr>
                <w:rFonts w:ascii="Aptos" w:hAnsi="Aptos"/>
                <w:b/>
                <w:color w:val="FFFFFF"/>
                <w:sz w:val="17"/>
              </w:rPr>
              <w:t>Mitigation</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Poor or handheld footage</w:t>
            </w:r>
          </w:p>
        </w:tc>
        <w:tc>
          <w:tcPr>
            <w:tcW w:type="dxa" w:w="2880"/>
            <w:tcMar>
              <w:top w:w="100" w:type="dxa"/>
              <w:start w:w="120" w:type="dxa"/>
              <w:bottom w:w="100" w:type="dxa"/>
              <w:end w:w="120" w:type="dxa"/>
            </w:tcMar>
            <w:vAlign w:val="center"/>
          </w:tcPr>
          <w:p>
            <w:pPr>
              <w:spacing w:after="40" w:line="245" w:lineRule="auto"/>
            </w:pPr>
            <w:r>
              <w:rPr>
                <w:rFonts w:ascii="Aptos" w:hAnsi="Aptos"/>
                <w:sz w:val="17"/>
              </w:rPr>
              <w:t>Lost tracks and unreliable metrics</w:t>
            </w:r>
          </w:p>
        </w:tc>
        <w:tc>
          <w:tcPr>
            <w:tcW w:type="dxa" w:w="4608"/>
            <w:tcMar>
              <w:top w:w="100" w:type="dxa"/>
              <w:start w:w="120" w:type="dxa"/>
              <w:bottom w:w="100" w:type="dxa"/>
              <w:end w:w="120" w:type="dxa"/>
            </w:tcMar>
            <w:vAlign w:val="center"/>
          </w:tcPr>
          <w:p>
            <w:pPr>
              <w:spacing w:after="40" w:line="245" w:lineRule="auto"/>
            </w:pPr>
            <w:r>
              <w:rPr>
                <w:rFonts w:ascii="Aptos" w:hAnsi="Aptos"/>
                <w:sz w:val="17"/>
              </w:rPr>
              <w:t>Quality gate, supported-camera guidance, confidence thresholds, manual correction</w:t>
            </w:r>
          </w:p>
        </w:tc>
      </w:tr>
      <w:tr>
        <w:trPr>
          <w:cantSplit/>
        </w:trPr>
        <w:tc>
          <w:tcPr>
            <w:tcW w:type="dxa" w:w="2232"/>
            <w:shd w:fill="F5F8FB" w:val="clear"/>
            <w:tcMar>
              <w:top w:w="100" w:type="dxa"/>
              <w:start w:w="120" w:type="dxa"/>
              <w:bottom w:w="100" w:type="dxa"/>
              <w:end w:w="120" w:type="dxa"/>
            </w:tcMar>
            <w:vAlign w:val="center"/>
          </w:tcPr>
          <w:p>
            <w:pPr>
              <w:spacing w:after="40" w:line="245" w:lineRule="auto"/>
            </w:pPr>
            <w:r>
              <w:rPr>
                <w:rFonts w:ascii="Aptos" w:hAnsi="Aptos"/>
                <w:sz w:val="17"/>
              </w:rPr>
              <w:t>LLM hallucination</w:t>
            </w:r>
          </w:p>
        </w:tc>
        <w:tc>
          <w:tcPr>
            <w:tcW w:type="dxa" w:w="2880"/>
            <w:shd w:fill="F5F8FB" w:val="clear"/>
            <w:tcMar>
              <w:top w:w="100" w:type="dxa"/>
              <w:start w:w="120" w:type="dxa"/>
              <w:bottom w:w="100" w:type="dxa"/>
              <w:end w:w="120" w:type="dxa"/>
            </w:tcMar>
            <w:vAlign w:val="center"/>
          </w:tcPr>
          <w:p>
            <w:pPr>
              <w:spacing w:after="40" w:line="245" w:lineRule="auto"/>
            </w:pPr>
            <w:r>
              <w:rPr>
                <w:rFonts w:ascii="Aptos" w:hAnsi="Aptos"/>
                <w:sz w:val="17"/>
              </w:rPr>
              <w:t>Misleading coaching advice</w:t>
            </w:r>
          </w:p>
        </w:tc>
        <w:tc>
          <w:tcPr>
            <w:tcW w:type="dxa" w:w="4608"/>
            <w:shd w:fill="F5F8FB" w:val="clear"/>
            <w:tcMar>
              <w:top w:w="100" w:type="dxa"/>
              <w:start w:w="120" w:type="dxa"/>
              <w:bottom w:w="100" w:type="dxa"/>
              <w:end w:w="120" w:type="dxa"/>
            </w:tcMar>
            <w:vAlign w:val="center"/>
          </w:tcPr>
          <w:p>
            <w:pPr>
              <w:spacing w:after="40" w:line="245" w:lineRule="auto"/>
            </w:pPr>
            <w:r>
              <w:rPr>
                <w:rFonts w:ascii="Aptos" w:hAnsi="Aptos"/>
                <w:sz w:val="17"/>
              </w:rPr>
              <w:t>Tool-only metrics, evidence requirement, structured schemas, evaluation and coach review</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Weak benchmark validity</w:t>
            </w:r>
          </w:p>
        </w:tc>
        <w:tc>
          <w:tcPr>
            <w:tcW w:type="dxa" w:w="2880"/>
            <w:tcMar>
              <w:top w:w="100" w:type="dxa"/>
              <w:start w:w="120" w:type="dxa"/>
              <w:bottom w:w="100" w:type="dxa"/>
              <w:end w:w="120" w:type="dxa"/>
            </w:tcMar>
            <w:vAlign w:val="center"/>
          </w:tcPr>
          <w:p>
            <w:pPr>
              <w:spacing w:after="40" w:line="245" w:lineRule="auto"/>
            </w:pPr>
            <w:r>
              <w:rPr>
                <w:rFonts w:ascii="Aptos" w:hAnsi="Aptos"/>
                <w:sz w:val="17"/>
              </w:rPr>
              <w:t>Unfair comparisons</w:t>
            </w:r>
          </w:p>
        </w:tc>
        <w:tc>
          <w:tcPr>
            <w:tcW w:type="dxa" w:w="4608"/>
            <w:tcMar>
              <w:top w:w="100" w:type="dxa"/>
              <w:start w:w="120" w:type="dxa"/>
              <w:bottom w:w="100" w:type="dxa"/>
              <w:end w:w="120" w:type="dxa"/>
            </w:tcMar>
            <w:vAlign w:val="center"/>
          </w:tcPr>
          <w:p>
            <w:pPr>
              <w:spacing w:after="40" w:line="245" w:lineRule="auto"/>
            </w:pPr>
            <w:r>
              <w:rPr>
                <w:rFonts w:ascii="Aptos" w:hAnsi="Aptos"/>
                <w:sz w:val="17"/>
              </w:rPr>
              <w:t>Age/position/context cohorts, provenance, minimum sample sizes, no named-player claims</w:t>
            </w:r>
          </w:p>
        </w:tc>
      </w:tr>
      <w:tr>
        <w:trPr>
          <w:cantSplit/>
        </w:trPr>
        <w:tc>
          <w:tcPr>
            <w:tcW w:type="dxa" w:w="2232"/>
            <w:shd w:fill="F5F8FB" w:val="clear"/>
            <w:tcMar>
              <w:top w:w="100" w:type="dxa"/>
              <w:start w:w="120" w:type="dxa"/>
              <w:bottom w:w="100" w:type="dxa"/>
              <w:end w:w="120" w:type="dxa"/>
            </w:tcMar>
            <w:vAlign w:val="center"/>
          </w:tcPr>
          <w:p>
            <w:pPr>
              <w:spacing w:after="40" w:line="245" w:lineRule="auto"/>
            </w:pPr>
            <w:r>
              <w:rPr>
                <w:rFonts w:ascii="Aptos" w:hAnsi="Aptos"/>
                <w:sz w:val="17"/>
              </w:rPr>
              <w:t>Youth privacy</w:t>
            </w:r>
          </w:p>
        </w:tc>
        <w:tc>
          <w:tcPr>
            <w:tcW w:type="dxa" w:w="2880"/>
            <w:shd w:fill="F5F8FB" w:val="clear"/>
            <w:tcMar>
              <w:top w:w="100" w:type="dxa"/>
              <w:start w:w="120" w:type="dxa"/>
              <w:bottom w:w="100" w:type="dxa"/>
              <w:end w:w="120" w:type="dxa"/>
            </w:tcMar>
            <w:vAlign w:val="center"/>
          </w:tcPr>
          <w:p>
            <w:pPr>
              <w:spacing w:after="40" w:line="245" w:lineRule="auto"/>
            </w:pPr>
            <w:r>
              <w:rPr>
                <w:rFonts w:ascii="Aptos" w:hAnsi="Aptos"/>
                <w:sz w:val="17"/>
              </w:rPr>
              <w:t>Legal and trust exposure</w:t>
            </w:r>
          </w:p>
        </w:tc>
        <w:tc>
          <w:tcPr>
            <w:tcW w:type="dxa" w:w="4608"/>
            <w:shd w:fill="F5F8FB" w:val="clear"/>
            <w:tcMar>
              <w:top w:w="100" w:type="dxa"/>
              <w:start w:w="120" w:type="dxa"/>
              <w:bottom w:w="100" w:type="dxa"/>
              <w:end w:w="120" w:type="dxa"/>
            </w:tcMar>
            <w:vAlign w:val="center"/>
          </w:tcPr>
          <w:p>
            <w:pPr>
              <w:spacing w:after="40" w:line="245" w:lineRule="auto"/>
            </w:pPr>
            <w:r>
              <w:rPr>
                <w:rFonts w:ascii="Aptos" w:hAnsi="Aptos"/>
                <w:sz w:val="17"/>
              </w:rPr>
              <w:t>Guardian/club consent, tenant isolation, retention and deletion controls</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High GPU cost</w:t>
            </w:r>
          </w:p>
        </w:tc>
        <w:tc>
          <w:tcPr>
            <w:tcW w:type="dxa" w:w="2880"/>
            <w:tcMar>
              <w:top w:w="100" w:type="dxa"/>
              <w:start w:w="120" w:type="dxa"/>
              <w:bottom w:w="100" w:type="dxa"/>
              <w:end w:w="120" w:type="dxa"/>
            </w:tcMar>
            <w:vAlign w:val="center"/>
          </w:tcPr>
          <w:p>
            <w:pPr>
              <w:spacing w:after="40" w:line="245" w:lineRule="auto"/>
            </w:pPr>
            <w:r>
              <w:rPr>
                <w:rFonts w:ascii="Aptos" w:hAnsi="Aptos"/>
                <w:sz w:val="17"/>
              </w:rPr>
              <w:t>Margin pressure</w:t>
            </w:r>
          </w:p>
        </w:tc>
        <w:tc>
          <w:tcPr>
            <w:tcW w:type="dxa" w:w="4608"/>
            <w:tcMar>
              <w:top w:w="100" w:type="dxa"/>
              <w:start w:w="120" w:type="dxa"/>
              <w:bottom w:w="100" w:type="dxa"/>
              <w:end w:w="120" w:type="dxa"/>
            </w:tcMar>
            <w:vAlign w:val="center"/>
          </w:tcPr>
          <w:p>
            <w:pPr>
              <w:spacing w:after="40" w:line="245" w:lineRule="auto"/>
            </w:pPr>
            <w:r>
              <w:rPr>
                <w:rFonts w:ascii="Aptos" w:hAnsi="Aptos"/>
                <w:sz w:val="17"/>
              </w:rPr>
              <w:t>Asynchronous batches, model sizing, frame sampling, autoscaling, caching</w:t>
            </w:r>
          </w:p>
        </w:tc>
      </w:tr>
      <w:tr>
        <w:trPr>
          <w:cantSplit/>
        </w:trPr>
        <w:tc>
          <w:tcPr>
            <w:tcW w:type="dxa" w:w="2232"/>
            <w:shd w:fill="F5F8FB" w:val="clear"/>
            <w:tcMar>
              <w:top w:w="100" w:type="dxa"/>
              <w:start w:w="120" w:type="dxa"/>
              <w:bottom w:w="100" w:type="dxa"/>
              <w:end w:w="120" w:type="dxa"/>
            </w:tcMar>
            <w:vAlign w:val="center"/>
          </w:tcPr>
          <w:p>
            <w:pPr>
              <w:spacing w:after="40" w:line="245" w:lineRule="auto"/>
            </w:pPr>
            <w:r>
              <w:rPr>
                <w:rFonts w:ascii="Aptos" w:hAnsi="Aptos"/>
                <w:sz w:val="17"/>
              </w:rPr>
              <w:t>Multi-agent complexity</w:t>
            </w:r>
          </w:p>
        </w:tc>
        <w:tc>
          <w:tcPr>
            <w:tcW w:type="dxa" w:w="2880"/>
            <w:shd w:fill="F5F8FB" w:val="clear"/>
            <w:tcMar>
              <w:top w:w="100" w:type="dxa"/>
              <w:start w:w="120" w:type="dxa"/>
              <w:bottom w:w="100" w:type="dxa"/>
              <w:end w:w="120" w:type="dxa"/>
            </w:tcMar>
            <w:vAlign w:val="center"/>
          </w:tcPr>
          <w:p>
            <w:pPr>
              <w:spacing w:after="40" w:line="245" w:lineRule="auto"/>
            </w:pPr>
            <w:r>
              <w:rPr>
                <w:rFonts w:ascii="Aptos" w:hAnsi="Aptos"/>
                <w:sz w:val="17"/>
              </w:rPr>
              <w:t>Latency and difficult debugging</w:t>
            </w:r>
          </w:p>
        </w:tc>
        <w:tc>
          <w:tcPr>
            <w:tcW w:type="dxa" w:w="4608"/>
            <w:shd w:fill="F5F8FB" w:val="clear"/>
            <w:tcMar>
              <w:top w:w="100" w:type="dxa"/>
              <w:start w:w="120" w:type="dxa"/>
              <w:bottom w:w="100" w:type="dxa"/>
              <w:end w:w="120" w:type="dxa"/>
            </w:tcMar>
            <w:vAlign w:val="center"/>
          </w:tcPr>
          <w:p>
            <w:pPr>
              <w:spacing w:after="40" w:line="245" w:lineRule="auto"/>
            </w:pPr>
            <w:r>
              <w:rPr>
                <w:rFonts w:ascii="Aptos" w:hAnsi="Aptos"/>
                <w:sz w:val="17"/>
              </w:rPr>
              <w:t>Begin with one agent; split only after measured reliability need</w:t>
            </w:r>
          </w:p>
        </w:tc>
      </w:tr>
      <w:tr>
        <w:trPr>
          <w:cantSplit/>
        </w:trPr>
        <w:tc>
          <w:tcPr>
            <w:tcW w:type="dxa" w:w="2232"/>
            <w:tcMar>
              <w:top w:w="100" w:type="dxa"/>
              <w:start w:w="120" w:type="dxa"/>
              <w:bottom w:w="100" w:type="dxa"/>
              <w:end w:w="120" w:type="dxa"/>
            </w:tcMar>
            <w:vAlign w:val="center"/>
          </w:tcPr>
          <w:p>
            <w:pPr>
              <w:spacing w:after="40" w:line="245" w:lineRule="auto"/>
            </w:pPr>
            <w:r>
              <w:rPr>
                <w:rFonts w:ascii="Aptos" w:hAnsi="Aptos"/>
                <w:sz w:val="17"/>
              </w:rPr>
              <w:t>Vendor/model dependency</w:t>
            </w:r>
          </w:p>
        </w:tc>
        <w:tc>
          <w:tcPr>
            <w:tcW w:type="dxa" w:w="2880"/>
            <w:tcMar>
              <w:top w:w="100" w:type="dxa"/>
              <w:start w:w="120" w:type="dxa"/>
              <w:bottom w:w="100" w:type="dxa"/>
              <w:end w:w="120" w:type="dxa"/>
            </w:tcMar>
            <w:vAlign w:val="center"/>
          </w:tcPr>
          <w:p>
            <w:pPr>
              <w:spacing w:after="40" w:line="245" w:lineRule="auto"/>
            </w:pPr>
            <w:r>
              <w:rPr>
                <w:rFonts w:ascii="Aptos" w:hAnsi="Aptos"/>
                <w:sz w:val="17"/>
              </w:rPr>
              <w:t>Cost or capability changes</w:t>
            </w:r>
          </w:p>
        </w:tc>
        <w:tc>
          <w:tcPr>
            <w:tcW w:type="dxa" w:w="4608"/>
            <w:tcMar>
              <w:top w:w="100" w:type="dxa"/>
              <w:start w:w="120" w:type="dxa"/>
              <w:bottom w:w="100" w:type="dxa"/>
              <w:end w:w="120" w:type="dxa"/>
            </w:tcMar>
            <w:vAlign w:val="center"/>
          </w:tcPr>
          <w:p>
            <w:pPr>
              <w:spacing w:after="40" w:line="245" w:lineRule="auto"/>
            </w:pPr>
            <w:r>
              <w:rPr>
                <w:rFonts w:ascii="Aptos" w:hAnsi="Aptos"/>
                <w:sz w:val="17"/>
              </w:rPr>
              <w:t>Model abstraction, portable data contracts, independent CV pipeline</w:t>
            </w:r>
          </w:p>
        </w:tc>
      </w:tr>
      <w:tr>
        <w:tc>
          <w:tcPr>
            <w:tcW w:type="dxa" w:w="3331"/>
          </w:tcPr>
          <w:p>
            <w:r>
              <w:t>False confidence in recommendations</w:t>
            </w:r>
          </w:p>
        </w:tc>
        <w:tc>
          <w:tcPr>
            <w:tcW w:type="dxa" w:w="3331"/>
          </w:tcPr>
          <w:p>
            <w:r>
              <w:t>Loss of trust or unsafe coaching behavior</w:t>
            </w:r>
          </w:p>
        </w:tc>
        <w:tc>
          <w:tcPr>
            <w:tcW w:type="dxa" w:w="3331"/>
          </w:tcPr>
          <w:p>
            <w:r>
              <w:t>Confidence thresholds, coach review, evidence display, no-result states, and user education</w:t>
            </w:r>
          </w:p>
        </w:tc>
      </w:tr>
      <w:tr>
        <w:tc>
          <w:tcPr>
            <w:tcW w:type="dxa" w:w="3331"/>
          </w:tcPr>
          <w:p>
            <w:r>
              <w:t>Unclear buyer or willingness to pay</w:t>
            </w:r>
          </w:p>
        </w:tc>
        <w:tc>
          <w:tcPr>
            <w:tcW w:type="dxa" w:w="3331"/>
          </w:tcPr>
          <w:p>
            <w:r>
              <w:t>Strong demo but weak commercialization</w:t>
            </w:r>
          </w:p>
        </w:tc>
        <w:tc>
          <w:tcPr>
            <w:tcW w:type="dxa" w:w="3331"/>
          </w:tcPr>
          <w:p>
            <w:r>
              <w:t>Pilot pricing tests, buyer interviews, ROI metrics, and clear academy-versus-parent packaging</w:t>
            </w:r>
          </w:p>
        </w:tc>
      </w:tr>
    </w:tbl>
    <w:p>
      <w:pPr>
        <w:widowControl/>
        <w:spacing w:after="20"/>
      </w:pPr>
    </w:p>
    <w:p>
      <w:pPr>
        <w:pStyle w:val="Heading1"/>
        <w:widowControl/>
      </w:pPr>
      <w:r>
        <w:t>15. Acceptance Criteria for MVP</w:t>
      </w:r>
    </w:p>
    <w:p>
      <w:pPr>
        <w:pStyle w:val="ListBullet"/>
        <w:widowControl/>
      </w:pPr>
      <w:r>
        <w:t>A user can upload a supported 90-minute video and reliably identify one target player.</w:t>
      </w:r>
    </w:p>
    <w:p>
      <w:pPr>
        <w:pStyle w:val="ListBullet"/>
        <w:widowControl/>
      </w:pPr>
      <w:r>
        <w:t>The system produces core events, clips, metrics, confidence, and model lineage.</w:t>
      </w:r>
    </w:p>
    <w:p>
      <w:pPr>
        <w:pStyle w:val="ListBullet"/>
        <w:widowControl/>
      </w:pPr>
      <w:r>
        <w:t>The agent answers approved question types using only authorized structured data and evidence.</w:t>
      </w:r>
    </w:p>
    <w:p>
      <w:pPr>
        <w:pStyle w:val="ListBullet"/>
        <w:widowControl/>
      </w:pPr>
      <w:r>
        <w:t>Every coaching observation links to a timestamp or clearly states insufficient evidence.</w:t>
      </w:r>
    </w:p>
    <w:p>
      <w:pPr>
        <w:pStyle w:val="ListBullet"/>
        <w:widowControl/>
      </w:pPr>
      <w:r>
        <w:t>A coach can approve, correct, or reject an observation.</w:t>
      </w:r>
    </w:p>
    <w:p>
      <w:pPr>
        <w:pStyle w:val="ListBullet"/>
        <w:widowControl/>
      </w:pPr>
      <w:r>
        <w:t>The system generates no more than three prioritized development areas and a measurable plan.</w:t>
      </w:r>
    </w:p>
    <w:p>
      <w:pPr>
        <w:pStyle w:val="ListBullet"/>
        <w:widowControl/>
      </w:pPr>
      <w:r>
        <w:t>A subsequent match can be compared with prior evidence using consistent metric definitions.</w:t>
      </w:r>
    </w:p>
    <w:p>
      <w:pPr>
        <w:pStyle w:val="ListBullet"/>
        <w:widowControl/>
      </w:pPr>
      <w:r>
        <w:t>Privacy, consent, retention, tenant isolation, monitoring, and incident logging pass release review.</w:t>
      </w:r>
    </w:p>
    <w:p>
      <w:pPr>
        <w:pStyle w:val="Heading2"/>
      </w:pPr>
      <w:r>
        <w:t>15.1 Build-readiness decisions</w:t>
      </w:r>
    </w:p>
    <w:p>
      <w:pPr>
        <w:pStyle w:val="ListBullet"/>
      </w:pPr>
      <w:r>
        <w:t>Choose the first buyer path: academy/club SaaS, parent-paid individual subscription, or coach-led team package.</w:t>
      </w:r>
    </w:p>
    <w:p>
      <w:pPr>
        <w:pStyle w:val="ListBullet"/>
      </w:pPr>
      <w:r>
        <w:t>Confirm the first supported footage envelope and publish capture guidance before pilot onboarding.</w:t>
      </w:r>
    </w:p>
    <w:p>
      <w:pPr>
        <w:pStyle w:val="ListBullet"/>
      </w:pPr>
      <w:r>
        <w:t>Define the first position/rubric set, such as central midfielder or fullback, instead of attempting all positions at launch.</w:t>
      </w:r>
    </w:p>
    <w:p>
      <w:pPr>
        <w:pStyle w:val="ListBullet"/>
      </w:pPr>
      <w:r>
        <w:t>Decide whether customer footage can ever be used for model improvement, and implement consent controls accordingly.</w:t>
      </w:r>
    </w:p>
    <w:p>
      <w:pPr>
        <w:pStyle w:val="ListBullet"/>
      </w:pPr>
      <w:r>
        <w:t>Set the pilot target margin by estimating storage, GPU, Foundry, search, support, and coach-review costs per processed match.</w:t>
      </w:r>
    </w:p>
    <w:p>
      <w:pPr>
        <w:pStyle w:val="Heading1"/>
        <w:widowControl/>
      </w:pPr>
      <w:r>
        <w:t>16. Final Recommendation</w:t>
      </w:r>
    </w:p>
    <w:tbl>
      <w:tblPr>
        <w:tblW w:type="auto" w:w="0"/>
        <w:jc w:val="center"/>
        <w:tblLayout w:type="fixed"/>
        <w:tblLook w:firstColumn="1" w:firstRow="1" w:lastColumn="0" w:lastRow="0" w:noHBand="0" w:noVBand="1" w:val="04A0"/>
      </w:tblPr>
      <w:tblGrid>
        <w:gridCol w:w="9936"/>
      </w:tblGrid>
      <w:tr>
        <w:tc>
          <w:tcPr>
            <w:tcW w:type="dxa" w:w="9994"/>
            <w:shd w:fill="DDEBF7" w:val="clear"/>
            <w:tcMar>
              <w:top w:w="160" w:type="dxa"/>
              <w:start w:w="220" w:type="dxa"/>
              <w:bottom w:w="160" w:type="dxa"/>
              <w:end w:w="220" w:type="dxa"/>
            </w:tcMar>
          </w:tcPr>
          <w:p>
            <w:pPr>
              <w:spacing w:after="40" w:line="245" w:lineRule="auto"/>
            </w:pPr>
            <w:r>
              <w:rPr>
                <w:rFonts w:ascii="Aptos" w:hAnsi="Aptos"/>
                <w:b/>
                <w:color w:val="17365D"/>
                <w:sz w:val="17"/>
              </w:rPr>
              <w:t xml:space="preserve">Target state:  </w:t>
            </w:r>
            <w:r>
              <w:rPr>
                <w:rFonts w:ascii="Aptos" w:hAnsi="Aptos"/>
                <w:sz w:val="17"/>
              </w:rPr>
              <w:t>Container Apps is the production application platform; Foundry Agent Service is the managed reasoning layer; Azure Machine Learning or GPU workers operate the specialized vision pipeline. Start with one hosted agent and evolve to three agents only when independent responsibilities, security boundaries, or evaluation evidence justify the added complexity.</w:t>
            </w:r>
          </w:p>
        </w:tc>
      </w:tr>
    </w:tbl>
    <w:p>
      <w:pPr>
        <w:widowControl/>
        <w:spacing w:after="20"/>
      </w:pPr>
    </w:p>
    <w:p>
      <w:pPr>
        <w:widowControl/>
      </w:pPr>
      <w:r>
        <w:t>The product moat is not the foundation model alone. Differentiation comes from the soccer ontology, labeled situations, coach-validated decision rubrics, trustworthy benchmarks, longitudinal player histories, and the closed loop between match evidence, prescribed training, and demonstrated improvement.</w:t>
      </w:r>
    </w:p>
    <w:p>
      <w:pPr/>
      <w:r>
        <w:t>Immediate next step: run a narrow pilot around one position, one footage envelope, one academy workflow, and one coach-approved rubric. This will validate whether the evidence-grounded coaching loop creates enough trust and measurable player-development value before broader platform investment.</w:t>
      </w:r>
    </w:p>
    <w:p>
      <w:pPr>
        <w:pStyle w:val="Heading1"/>
        <w:widowControl/>
      </w:pPr>
      <w:r>
        <w:t>17. Reference Architecture Sources</w:t>
      </w:r>
    </w:p>
    <w:p>
      <w:pPr>
        <w:pStyle w:val="ListBullet"/>
        <w:widowControl/>
      </w:pPr>
      <w:r>
        <w:rPr>
          <w:b/>
        </w:rPr>
        <w:t xml:space="preserve">Microsoft Foundry architecture: </w:t>
      </w:r>
      <w:r>
        <w:t>https://learn.microsoft.com/en-us/azure/foundry/concepts/architecture</w:t>
      </w:r>
    </w:p>
    <w:p>
      <w:pPr>
        <w:pStyle w:val="ListBullet"/>
        <w:widowControl/>
      </w:pPr>
      <w:r>
        <w:rPr>
          <w:b/>
        </w:rPr>
        <w:t xml:space="preserve">Agents in Microsoft Foundry: </w:t>
      </w:r>
      <w:r>
        <w:t>https://learn.microsoft.com/en-us/azure/foundry/agents/overview</w:t>
      </w:r>
    </w:p>
    <w:p>
      <w:pPr>
        <w:pStyle w:val="ListBullet"/>
        <w:widowControl/>
      </w:pPr>
      <w:r>
        <w:rPr>
          <w:b/>
        </w:rPr>
        <w:t xml:space="preserve">AI agent orchestration patterns: </w:t>
      </w:r>
      <w:r>
        <w:t>https://learn.microsoft.com/en-us/azure/architecture/ai-ml/guide/ai-agent-design-patterns</w:t>
      </w:r>
    </w:p>
    <w:p>
      <w:pPr>
        <w:pStyle w:val="ListBullet"/>
        <w:widowControl/>
      </w:pPr>
      <w:r>
        <w:rPr>
          <w:b/>
        </w:rPr>
        <w:t xml:space="preserve">Choose an Azure AI image and video technology: </w:t>
      </w:r>
      <w:r>
        <w:t>https://learn.microsoft.com/en-us/azure/architecture/data-guide/ai-services/image-video-processing</w:t>
      </w:r>
    </w:p>
    <w:p>
      <w:pPr>
        <w:pStyle w:val="ListBullet"/>
        <w:widowControl/>
      </w:pPr>
      <w:r>
        <w:rPr>
          <w:b/>
        </w:rPr>
        <w:t xml:space="preserve">Azure Content Understanding video overview: </w:t>
      </w:r>
      <w:r>
        <w:t>https://learn.microsoft.com/en-us/azure/ai-services/content-understanding/video/overview</w:t>
      </w:r>
    </w:p>
    <w:p>
      <w:pPr>
        <w:pStyle w:val="ListBullet"/>
        <w:widowControl/>
      </w:pPr>
      <w:r>
        <w:rPr>
          <w:b/>
        </w:rPr>
        <w:t xml:space="preserve">Microsoft Foundry Models overview: </w:t>
      </w:r>
      <w:r>
        <w:t>https://learn.microsoft.com/en-us/azure/foundry/concepts/foundry-models-overview</w:t>
      </w:r>
    </w:p>
    <w:p>
      <w:pPr>
        <w:pStyle w:val="ListBullet"/>
        <w:widowControl/>
      </w:pPr>
      <w:r>
        <w:rPr>
          <w:b/>
        </w:rPr>
        <w:t xml:space="preserve">Managed compute in Microsoft Foundry: </w:t>
      </w:r>
      <w:r>
        <w:t>https://learn.microsoft.com/en-us/azure/foundry/concepts/managed-compute-overview</w:t>
      </w:r>
    </w:p>
    <w:p>
      <w:pPr>
        <w:widowControl/>
      </w:pPr>
      <w:r>
        <w:t>Note: Preview capabilities, supported models, regions, quotas, and service names should be revalidated during implementation planning. Product targets in this document are proposed acceptance goals, not published service guarantees.</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573"/>
      </w:rPr>
      <w:t>PLAYERIQ  |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A4E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 Soccer Development Copilot - Product and Technical Specification</dc:title>
  <dc:subject>Production architecture using Microsoft Foundry Agent Service and Azure Container Apps</dc:subject>
  <dc:creator>Parth Shah</dc:creator>
  <keywords>AI, soccer, video analysis, Microsoft Foundry, Azure Container Apps, agents</keywords>
  <dc:description>generated by python-docx</dc:description>
  <lastModifiedBy>Parth Shah</lastModifiedBy>
  <revision>1</revision>
  <dcterms:created xsi:type="dcterms:W3CDTF">2026-09-18T00:40:53.3714850Z</dcterms:created>
  <dcterms:modified xsi:type="dcterms:W3CDTF">2026-09-18T00:40:53.3714850Z</dcterms:modified>
  <category/>
</coreProperties>
</file>