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95371"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2CB2FBE1"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6975BACE"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648C6965" w14:textId="77777777" w:rsidR="0019039B" w:rsidRPr="00811F88" w:rsidRDefault="00000000" w:rsidP="009B6824">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1B4965"/>
          <w:spacing w:val="10"/>
          <w:sz w:val="52"/>
        </w:rPr>
        <w:t>HUMAN RESOURCES SECURITY POLICY</w:t>
      </w:r>
    </w:p>
    <w:p w14:paraId="79B42B7E"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0FF57EE2" w14:textId="77777777" w:rsidR="0019039B" w:rsidRPr="00811F88" w:rsidRDefault="0019039B" w:rsidP="009B6824">
      <w:pPr>
        <w:pStyle w:val="Title"/>
        <w:suppressLineNumbers/>
        <w:spacing w:after="240"/>
        <w:jc w:val="center"/>
        <w:rPr>
          <w:rStyle w:val="Emphasis"/>
          <w:rFonts w:eastAsia="Times New Roman"/>
          <w:b w:val="0"/>
          <w:i w:val="0"/>
          <w:smallCaps/>
          <w:color w:val="074F6A"/>
          <w:spacing w:val="0"/>
          <w:sz w:val="52"/>
          <w:szCs w:val="52"/>
        </w:rPr>
      </w:pPr>
    </w:p>
    <w:p w14:paraId="58114C30" w14:textId="77777777" w:rsidR="0019039B" w:rsidRPr="00811F88" w:rsidRDefault="00000000" w:rsidP="009B6824">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2AA4AE19" w14:textId="77777777" w:rsidR="0019039B" w:rsidRPr="00811F88" w:rsidRDefault="00000000" w:rsidP="009B6824">
      <w:pPr>
        <w:suppressLineNumbers/>
        <w:spacing w:after="40" w:line="240" w:lineRule="auto"/>
        <w:jc w:val="center"/>
        <w:rPr>
          <w:rFonts w:ascii="Calibri Light" w:hAnsi="Calibri Light" w:cs="Calibri Light"/>
          <w:sz w:val="20"/>
          <w:szCs w:val="20"/>
        </w:rPr>
      </w:pPr>
      <w:r>
        <w:rPr>
          <w:sz w:val="21"/>
        </w:rPr>
        <w:t>Revision Date: July 23, 2026</w:t>
      </w:r>
    </w:p>
    <w:p w14:paraId="0AB7B4B3" w14:textId="77777777" w:rsidR="0019039B" w:rsidRPr="00811F88" w:rsidRDefault="00000000" w:rsidP="009B6824">
      <w:pPr>
        <w:suppressLineNumbers/>
        <w:spacing w:after="40" w:line="240" w:lineRule="auto"/>
        <w:jc w:val="center"/>
        <w:rPr>
          <w:rFonts w:ascii="Calibri Light" w:hAnsi="Calibri Light" w:cs="Calibri Light"/>
          <w:sz w:val="20"/>
          <w:szCs w:val="20"/>
        </w:rPr>
      </w:pPr>
      <w:r>
        <w:rPr>
          <w:sz w:val="21"/>
        </w:rPr>
        <w:t xml:space="preserve">Contact: </w:t>
      </w:r>
      <w:r>
        <w:rPr>
          <w:color w:val="0563C1"/>
          <w:sz w:val="21"/>
          <w:u w:val="single"/>
        </w:rPr>
        <w:t>security@prompthalo.com</w:t>
      </w:r>
    </w:p>
    <w:p w14:paraId="449BF2AC" w14:textId="77777777" w:rsidR="009B6824" w:rsidRDefault="009B6824" w:rsidP="009B6824">
      <w:pPr>
        <w:suppressLineNumbers/>
        <w:spacing w:after="40" w:line="240" w:lineRule="auto"/>
        <w:jc w:val="center"/>
      </w:pPr>
    </w:p>
    <w:p w14:paraId="2DB97A71" w14:textId="77777777" w:rsidR="009B6824" w:rsidRDefault="009B6824" w:rsidP="009B6824">
      <w:pPr>
        <w:suppressLineNumbers/>
        <w:spacing w:after="40" w:line="240" w:lineRule="auto"/>
        <w:jc w:val="center"/>
      </w:pPr>
    </w:p>
    <w:p w14:paraId="3F9AFF3E" w14:textId="77777777" w:rsidR="009B6824" w:rsidRDefault="009B6824" w:rsidP="009B6824">
      <w:pPr>
        <w:suppressLineNumbers/>
        <w:spacing w:after="40" w:line="240" w:lineRule="auto"/>
        <w:jc w:val="center"/>
      </w:pPr>
    </w:p>
    <w:p w14:paraId="383EBE39" w14:textId="77777777" w:rsidR="009B6824" w:rsidRDefault="009B6824" w:rsidP="009B6824">
      <w:pPr>
        <w:suppressLineNumbers/>
        <w:spacing w:after="40" w:line="240" w:lineRule="auto"/>
        <w:jc w:val="center"/>
      </w:pPr>
    </w:p>
    <w:p w14:paraId="5A145C3C" w14:textId="77777777" w:rsidR="009B6824" w:rsidRDefault="009B6824" w:rsidP="009B6824">
      <w:pPr>
        <w:suppressLineNumbers/>
        <w:spacing w:after="40" w:line="240" w:lineRule="auto"/>
        <w:jc w:val="center"/>
      </w:pPr>
    </w:p>
    <w:p w14:paraId="5A23473B" w14:textId="77777777" w:rsidR="009B6824" w:rsidRDefault="009B6824" w:rsidP="00B83663">
      <w:pPr>
        <w:suppressLineNumbers/>
        <w:spacing w:after="40" w:line="240" w:lineRule="auto"/>
        <w:jc w:val="center"/>
      </w:pPr>
      <w:bookmarkStart w:id="0" w:name="EffectiveDate"/>
      <w:r>
        <w:rPr>
          <w:noProof/>
        </w:rPr>
        <w:drawing>
          <wp:inline distT="0" distB="0" distL="0" distR="0" wp14:anchorId="4C8A9ADF" wp14:editId="338F8BFA">
            <wp:extent cx="2665095" cy="752139"/>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5095" cy="752139"/>
                    </a:xfrm>
                    <a:prstGeom prst="rect">
                      <a:avLst/>
                    </a:prstGeom>
                    <a:noFill/>
                    <a:ln>
                      <a:noFill/>
                    </a:ln>
                  </pic:spPr>
                </pic:pic>
              </a:graphicData>
            </a:graphic>
          </wp:inline>
        </w:drawing>
      </w:r>
      <w:bookmarkEnd w:id="0"/>
    </w:p>
    <w:p w14:paraId="16708FAF" w14:textId="77777777" w:rsidR="00DE44EE" w:rsidRPr="00DE44EE" w:rsidRDefault="00000000" w:rsidP="007A2335">
      <w:pPr>
        <w:pageBreakBefore/>
        <w:suppressLineNumbers/>
        <w:spacing w:before="360" w:after="160"/>
        <w:rPr>
          <w:rStyle w:val="Strong"/>
        </w:rPr>
      </w:pPr>
      <w:r>
        <w:rPr>
          <w:rStyle w:val="Strong"/>
          <w:caps/>
          <w:color w:val="1B4965"/>
        </w:rPr>
        <w:lastRenderedPageBreak/>
        <w:t>DOCUMENT INFORMATION</w:t>
      </w: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4"/>
        <w:gridCol w:w="6545"/>
      </w:tblGrid>
      <w:tr w:rsidR="0019039B" w:rsidRPr="00811F88" w14:paraId="335D7D7C"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744D99A"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Family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75CEF85"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Governance, Ethics, and Security</w:t>
            </w:r>
          </w:p>
        </w:tc>
      </w:tr>
      <w:tr w:rsidR="0019039B" w:rsidRPr="00811F88" w14:paraId="20247317"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24A3D26B" w14:textId="77777777" w:rsidR="0019039B" w:rsidRPr="00811F88" w:rsidRDefault="00000000" w:rsidP="0026559D">
            <w:pPr>
              <w:pStyle w:val="BodyText9"/>
              <w:suppressLineNumbers/>
              <w:spacing w:before="40" w:after="40" w:line="240" w:lineRule="auto"/>
            </w:pPr>
            <w:r>
              <w:rPr>
                <w:b/>
                <w:color w:val="404040" w:themeColor="text1" w:themeTint="BF"/>
                <w:sz w:val="20"/>
              </w:rPr>
              <w:t>Document Title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BCC1A94" w14:textId="77777777" w:rsidR="0019039B" w:rsidRPr="00811F88" w:rsidRDefault="00000000" w:rsidP="0026559D">
            <w:pPr>
              <w:pStyle w:val="BodyText9"/>
              <w:suppressLineNumbers/>
              <w:spacing w:before="40" w:after="40" w:line="240" w:lineRule="auto"/>
            </w:pPr>
            <w:r>
              <w:rPr>
                <w:color w:val="404040" w:themeColor="text1" w:themeTint="BF"/>
                <w:sz w:val="20"/>
              </w:rPr>
              <w:t>Human Resources Security Policy</w:t>
            </w:r>
          </w:p>
        </w:tc>
      </w:tr>
      <w:tr w:rsidR="0019039B" w:rsidRPr="00811F88" w14:paraId="55B671FC"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15FEC3C"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ID</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47F67A16" w14:textId="77777777" w:rsidR="0019039B" w:rsidRPr="00811F88" w:rsidRDefault="00000000" w:rsidP="0026559D">
            <w:pPr>
              <w:pStyle w:val="BodyText9"/>
              <w:suppressLineNumbers/>
              <w:spacing w:before="40" w:after="40" w:line="240" w:lineRule="auto"/>
            </w:pPr>
            <w:r>
              <w:rPr>
                <w:rFonts w:ascii="Calibri Light" w:eastAsia="Calibri Light" w:hAnsi="Calibri Light" w:cs="Calibri Light"/>
                <w:color w:val="404040" w:themeColor="text1" w:themeTint="BF"/>
                <w:sz w:val="18"/>
              </w:rPr>
              <w:t>POL-HRS-001</w:t>
            </w:r>
          </w:p>
        </w:tc>
      </w:tr>
      <w:tr w:rsidR="0019039B" w:rsidRPr="00811F88" w14:paraId="4FAA8AF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33FC223"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Current Version</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007A0A4" w14:textId="77777777" w:rsidR="0019039B" w:rsidRPr="00811F88" w:rsidRDefault="00000000" w:rsidP="0026559D">
            <w:pPr>
              <w:pStyle w:val="BodyText9"/>
              <w:suppressLineNumbers/>
              <w:spacing w:before="40" w:after="40" w:line="240" w:lineRule="auto"/>
            </w:pPr>
            <w:r>
              <w:rPr>
                <w:color w:val="404040" w:themeColor="text1" w:themeTint="BF"/>
                <w:sz w:val="20"/>
              </w:rPr>
              <w:t>1.0</w:t>
            </w:r>
          </w:p>
        </w:tc>
      </w:tr>
      <w:tr w:rsidR="0019039B" w:rsidRPr="00811F88" w14:paraId="49584000"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CA137CF"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Approved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FE6EE7F" w14:textId="77777777" w:rsidR="0019039B" w:rsidRPr="00811F88" w:rsidRDefault="00000000" w:rsidP="0026559D">
            <w:pPr>
              <w:pStyle w:val="BodyText9"/>
              <w:suppressLineNumbers/>
              <w:spacing w:before="40" w:after="40" w:line="240" w:lineRule="auto"/>
            </w:pPr>
            <w:r>
              <w:rPr>
                <w:color w:val="404040" w:themeColor="text1" w:themeTint="BF"/>
                <w:sz w:val="20"/>
              </w:rPr>
              <w:t>July 23, 2026</w:t>
            </w:r>
          </w:p>
        </w:tc>
      </w:tr>
      <w:tr w:rsidR="0019039B" w:rsidRPr="00811F88" w14:paraId="654C0299"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99C0CE0"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Approved By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2A6D526" w14:textId="77777777" w:rsidR="0019039B" w:rsidRPr="00811F88" w:rsidRDefault="00000000" w:rsidP="0026559D">
            <w:pPr>
              <w:pStyle w:val="BodyText9"/>
              <w:suppressLineNumbers/>
              <w:spacing w:before="40" w:after="40" w:line="240" w:lineRule="auto"/>
            </w:pPr>
            <w:r>
              <w:rPr>
                <w:color w:val="404040" w:themeColor="text1" w:themeTint="BF"/>
                <w:sz w:val="20"/>
              </w:rPr>
              <w:t>Information Security Steering Committee</w:t>
            </w:r>
          </w:p>
        </w:tc>
      </w:tr>
      <w:tr w:rsidR="0019039B" w:rsidRPr="00811F88" w14:paraId="2FE08E3C"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00C81B9"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Effective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AD95D63" w14:textId="77777777" w:rsidR="0019039B" w:rsidRPr="00811F88" w:rsidRDefault="00000000" w:rsidP="0026559D">
            <w:pPr>
              <w:pStyle w:val="BodyText9"/>
              <w:suppressLineNumbers/>
              <w:spacing w:before="40" w:after="40" w:line="240" w:lineRule="auto"/>
            </w:pPr>
            <w:r>
              <w:rPr>
                <w:color w:val="404040" w:themeColor="text1" w:themeTint="BF"/>
                <w:sz w:val="20"/>
              </w:rPr>
              <w:t>July 23, 2026</w:t>
            </w:r>
          </w:p>
        </w:tc>
      </w:tr>
      <w:tr w:rsidR="0019039B" w:rsidRPr="00811F88" w14:paraId="7B428B81"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4BD6398"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Document Owner</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00A2A938" w14:textId="77777777" w:rsidR="0019039B" w:rsidRPr="00811F88" w:rsidRDefault="00000000" w:rsidP="0026559D">
            <w:pPr>
              <w:pStyle w:val="BodyText9"/>
              <w:suppressLineNumbers/>
              <w:spacing w:before="40" w:after="40" w:line="240" w:lineRule="auto"/>
            </w:pPr>
            <w:r>
              <w:rPr>
                <w:color w:val="404040" w:themeColor="text1" w:themeTint="BF"/>
                <w:sz w:val="20"/>
                <w:szCs w:val="20"/>
              </w:rPr>
              <w:t>Chief Executive Officer — Accountable Party</w:t>
            </w:r>
          </w:p>
        </w:tc>
      </w:tr>
      <w:tr w:rsidR="0019039B" w:rsidRPr="00811F88" w14:paraId="713BCF86"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42EEBC9D"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Prepared By</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5BC6B5DD" w14:textId="77777777" w:rsidR="0019039B" w:rsidRPr="00811F88" w:rsidRDefault="00000000" w:rsidP="0026559D">
            <w:pPr>
              <w:pStyle w:val="BodyText9"/>
              <w:suppressLineNumbers/>
              <w:spacing w:before="40" w:after="40" w:line="240" w:lineRule="auto"/>
            </w:pPr>
            <w:r>
              <w:rPr>
                <w:color w:val="404040" w:themeColor="text1" w:themeTint="BF"/>
                <w:sz w:val="20"/>
              </w:rPr>
              <w:t>Security Officer</w:t>
            </w:r>
          </w:p>
        </w:tc>
      </w:tr>
      <w:tr w:rsidR="0019039B" w:rsidRPr="00811F88" w14:paraId="247D65BA"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1E954BA1"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Review Cycle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60833461" w14:textId="77777777" w:rsidR="0019039B" w:rsidRPr="00811F88" w:rsidRDefault="00000000" w:rsidP="0026559D">
            <w:pPr>
              <w:pStyle w:val="BodyText9"/>
              <w:suppressLineNumbers/>
              <w:spacing w:before="40" w:after="40" w:line="240" w:lineRule="auto"/>
            </w:pPr>
            <w:r>
              <w:rPr>
                <w:color w:val="404040" w:themeColor="text1" w:themeTint="BF"/>
                <w:sz w:val="20"/>
                <w:szCs w:val="20"/>
              </w:rPr>
              <w:t>Annual, or upon significant change to systems, threats, or obligations</w:t>
            </w:r>
          </w:p>
        </w:tc>
      </w:tr>
      <w:tr w:rsidR="0019039B" w:rsidRPr="00811F88" w14:paraId="368F61EC"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79B4470A"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Supersedes</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14164CDC" w14:textId="77777777" w:rsidR="0019039B" w:rsidRPr="00811F88" w:rsidRDefault="00000000" w:rsidP="0026559D">
            <w:pPr>
              <w:pStyle w:val="BodyText9"/>
              <w:suppressLineNumbers/>
              <w:spacing w:before="40" w:after="40" w:line="240" w:lineRule="auto"/>
            </w:pPr>
            <w:r>
              <w:rPr>
                <w:color w:val="404040" w:themeColor="text1" w:themeTint="BF"/>
                <w:sz w:val="20"/>
                <w:szCs w:val="20"/>
              </w:rPr>
              <w:t>N/A</w:t>
            </w:r>
          </w:p>
        </w:tc>
      </w:tr>
      <w:tr w:rsidR="0019039B" w:rsidRPr="00811F88" w14:paraId="075A3860"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35AC77F2"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Audience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34825741" w14:textId="77777777" w:rsidR="0019039B" w:rsidRPr="00811F88" w:rsidRDefault="00000000" w:rsidP="0026559D">
            <w:pPr>
              <w:pStyle w:val="BodyText9"/>
              <w:suppressLineNumbers/>
              <w:spacing w:before="40" w:after="40" w:line="240" w:lineRule="auto"/>
            </w:pPr>
            <w:r>
              <w:rPr>
                <w:color w:val="404040" w:themeColor="text1" w:themeTint="BF"/>
                <w:sz w:val="20"/>
                <w:szCs w:val="20"/>
              </w:rPr>
              <w:t>All personnel, including employees, contractors, consultants and interns</w:t>
            </w:r>
          </w:p>
        </w:tc>
      </w:tr>
      <w:tr w:rsidR="0019039B" w:rsidRPr="00811F88" w14:paraId="7C8397E2"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2B317399"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Next Review Date</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232C7B51" w14:textId="77777777" w:rsidR="0019039B" w:rsidRPr="00811F88" w:rsidRDefault="00000000" w:rsidP="0026559D">
            <w:pPr>
              <w:pStyle w:val="BodyText9"/>
              <w:suppressLineNumbers/>
              <w:spacing w:before="40" w:after="40" w:line="240" w:lineRule="auto"/>
            </w:pPr>
            <w:r>
              <w:rPr>
                <w:color w:val="404040" w:themeColor="text1" w:themeTint="BF"/>
                <w:sz w:val="20"/>
              </w:rPr>
              <w:t>July 23, 2027</w:t>
            </w:r>
          </w:p>
        </w:tc>
      </w:tr>
      <w:tr w:rsidR="0019039B" w:rsidRPr="00811F88" w14:paraId="4E4B81C6" w14:textId="77777777" w:rsidTr="00DE44EE">
        <w:trPr>
          <w:trHeight w:val="20"/>
        </w:trPr>
        <w:tc>
          <w:tcPr>
            <w:tcW w:w="3024" w:type="dxa"/>
            <w:tcBorders>
              <w:top w:val="single" w:sz="4" w:space="0" w:color="BFCDD4"/>
              <w:left w:val="single" w:sz="4" w:space="0" w:color="BFCDD4"/>
              <w:bottom w:val="single" w:sz="4" w:space="0" w:color="BFCDD4"/>
              <w:right w:val="single" w:sz="4" w:space="0" w:color="BFCDD4"/>
            </w:tcBorders>
            <w:shd w:val="clear" w:color="auto" w:fill="EAF2F4"/>
            <w:tcMar>
              <w:top w:w="26" w:type="dxa"/>
              <w:left w:w="92" w:type="dxa"/>
              <w:bottom w:w="26" w:type="dxa"/>
              <w:right w:w="92" w:type="dxa"/>
            </w:tcMar>
            <w:vAlign w:val="center"/>
          </w:tcPr>
          <w:p w14:paraId="5F66A18D" w14:textId="77777777" w:rsidR="0019039B" w:rsidRPr="00811F88" w:rsidRDefault="00000000" w:rsidP="0026559D">
            <w:pPr>
              <w:pStyle w:val="BodyText9"/>
              <w:suppressLineNumbers/>
              <w:spacing w:before="40" w:after="40" w:line="240" w:lineRule="auto"/>
            </w:pPr>
            <w:r>
              <w:rPr>
                <w:b/>
                <w:color w:val="404040" w:themeColor="text1" w:themeTint="BF"/>
                <w:sz w:val="20"/>
                <w:szCs w:val="20"/>
              </w:rPr>
              <w:t>Classification</w:t>
            </w:r>
          </w:p>
        </w:tc>
        <w:tc>
          <w:tcPr>
            <w:tcW w:w="6336" w:type="dxa"/>
            <w:tcBorders>
              <w:top w:val="single" w:sz="4" w:space="0" w:color="BFCDD4"/>
              <w:left w:val="single" w:sz="4" w:space="0" w:color="BFCDD4"/>
              <w:bottom w:val="single" w:sz="4" w:space="0" w:color="BFCDD4"/>
              <w:right w:val="single" w:sz="4" w:space="0" w:color="BFCDD4"/>
            </w:tcBorders>
            <w:tcMar>
              <w:top w:w="26" w:type="dxa"/>
              <w:left w:w="92" w:type="dxa"/>
              <w:bottom w:w="26" w:type="dxa"/>
              <w:right w:w="92" w:type="dxa"/>
            </w:tcMar>
            <w:vAlign w:val="center"/>
          </w:tcPr>
          <w:p w14:paraId="7F508000" w14:textId="77777777" w:rsidR="0019039B" w:rsidRPr="00811F88" w:rsidRDefault="00000000" w:rsidP="0026559D">
            <w:pPr>
              <w:pStyle w:val="BodyText9"/>
              <w:suppressLineNumbers/>
              <w:spacing w:before="40" w:after="40" w:line="240" w:lineRule="auto"/>
            </w:pPr>
            <w:r>
              <w:rPr>
                <w:color w:val="404040" w:themeColor="text1" w:themeTint="BF"/>
                <w:sz w:val="20"/>
              </w:rPr>
              <w:t>Internal</w:t>
            </w:r>
          </w:p>
        </w:tc>
      </w:tr>
    </w:tbl>
    <w:p w14:paraId="41BE79D9" w14:textId="77777777" w:rsidR="00DE44EE" w:rsidRDefault="00DE44EE" w:rsidP="007A2335">
      <w:pPr>
        <w:suppressLineNumbers/>
        <w:rPr>
          <w:rStyle w:val="Strong"/>
        </w:rPr>
      </w:pPr>
    </w:p>
    <w:p w14:paraId="43554968" w14:textId="77777777" w:rsidR="0019039B" w:rsidRPr="00DE44EE" w:rsidRDefault="00000000" w:rsidP="007A2335">
      <w:pPr>
        <w:suppressLineNumbers/>
        <w:spacing w:before="360" w:after="160"/>
        <w:rPr>
          <w:rStyle w:val="Strong"/>
        </w:rPr>
      </w:pPr>
      <w:r>
        <w:rPr>
          <w:rStyle w:val="Strong"/>
          <w:caps/>
          <w:color w:val="1B4965"/>
        </w:rPr>
        <w:t>APPROVALS</w:t>
      </w:r>
    </w:p>
    <w:tbl>
      <w:tblPr>
        <w:tblW w:w="936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left w:w="10" w:type="dxa"/>
          <w:right w:w="10" w:type="dxa"/>
        </w:tblCellMar>
        <w:tblLook w:val="0000" w:firstRow="0" w:lastRow="0" w:firstColumn="0" w:lastColumn="0" w:noHBand="0" w:noVBand="0"/>
      </w:tblPr>
      <w:tblGrid>
        <w:gridCol w:w="2592"/>
        <w:gridCol w:w="2880"/>
        <w:gridCol w:w="2160"/>
        <w:gridCol w:w="1728"/>
      </w:tblGrid>
      <w:tr w:rsidR="0019039B" w14:paraId="28FDCCEE" w14:textId="77777777" w:rsidTr="00DE44EE">
        <w:trPr>
          <w:tblHeader/>
        </w:trPr>
        <w:tc>
          <w:tcPr>
            <w:tcW w:w="2592" w:type="dxa"/>
            <w:tcMar>
              <w:top w:w="26" w:type="dxa"/>
              <w:left w:w="92" w:type="dxa"/>
              <w:bottom w:w="26" w:type="dxa"/>
              <w:right w:w="92" w:type="dxa"/>
            </w:tcMar>
            <w:vAlign w:val="center"/>
          </w:tcPr>
          <w:p w14:paraId="39EDF0E0"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Name</w:t>
            </w:r>
          </w:p>
        </w:tc>
        <w:tc>
          <w:tcPr>
            <w:tcW w:w="2880" w:type="dxa"/>
            <w:tcMar>
              <w:top w:w="26" w:type="dxa"/>
              <w:left w:w="92" w:type="dxa"/>
              <w:bottom w:w="26" w:type="dxa"/>
              <w:right w:w="92" w:type="dxa"/>
            </w:tcMar>
            <w:vAlign w:val="center"/>
          </w:tcPr>
          <w:p w14:paraId="783E8FE6"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Information Security Role</w:t>
            </w:r>
          </w:p>
        </w:tc>
        <w:tc>
          <w:tcPr>
            <w:tcW w:w="2160" w:type="dxa"/>
            <w:tcMar>
              <w:top w:w="26" w:type="dxa"/>
              <w:left w:w="92" w:type="dxa"/>
              <w:bottom w:w="26" w:type="dxa"/>
              <w:right w:w="92" w:type="dxa"/>
            </w:tcMar>
            <w:vAlign w:val="center"/>
          </w:tcPr>
          <w:p w14:paraId="1323522F"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Signature</w:t>
            </w:r>
          </w:p>
        </w:tc>
        <w:tc>
          <w:tcPr>
            <w:tcW w:w="1728" w:type="dxa"/>
            <w:tcMar>
              <w:top w:w="26" w:type="dxa"/>
              <w:left w:w="92" w:type="dxa"/>
              <w:bottom w:w="26" w:type="dxa"/>
              <w:right w:w="92" w:type="dxa"/>
            </w:tcMar>
            <w:vAlign w:val="center"/>
          </w:tcPr>
          <w:p w14:paraId="4D1490A4" w14:textId="77777777" w:rsidR="0019039B" w:rsidRPr="00DE44EE" w:rsidRDefault="00000000" w:rsidP="0026559D">
            <w:pPr>
              <w:pStyle w:val="BodyText9"/>
              <w:suppressLineNumbers/>
              <w:spacing w:before="40" w:after="40" w:line="240" w:lineRule="auto"/>
            </w:pPr>
            <w:r>
              <w:rPr>
                <w:b/>
                <w:color w:val="404040" w:themeColor="text1" w:themeTint="BF"/>
                <w:sz w:val="20"/>
                <w:szCs w:val="20"/>
              </w:rPr>
              <w:t>Date</w:t>
            </w:r>
          </w:p>
        </w:tc>
      </w:tr>
      <w:tr w:rsidR="0019039B" w14:paraId="1BCBDE92" w14:textId="77777777" w:rsidTr="00DE44EE">
        <w:tc>
          <w:tcPr>
            <w:tcW w:w="2592" w:type="dxa"/>
            <w:tcMar>
              <w:top w:w="26" w:type="dxa"/>
              <w:left w:w="92" w:type="dxa"/>
              <w:bottom w:w="26" w:type="dxa"/>
              <w:right w:w="92" w:type="dxa"/>
            </w:tcMar>
            <w:vAlign w:val="center"/>
          </w:tcPr>
          <w:p w14:paraId="2BAB88C6" w14:textId="77777777" w:rsidR="0019039B" w:rsidRDefault="00000000" w:rsidP="0026559D">
            <w:pPr>
              <w:pStyle w:val="BodyText9"/>
              <w:suppressLineNumbers/>
              <w:spacing w:before="40" w:after="40" w:line="240" w:lineRule="auto"/>
            </w:pPr>
            <w:r>
              <w:rPr>
                <w:b/>
                <w:color w:val="404040" w:themeColor="text1" w:themeTint="BF"/>
                <w:sz w:val="20"/>
                <w:szCs w:val="20"/>
              </w:rPr>
              <w:t>Madhuri Chandoor</w:t>
            </w:r>
          </w:p>
        </w:tc>
        <w:tc>
          <w:tcPr>
            <w:tcW w:w="2880" w:type="dxa"/>
            <w:tcMar>
              <w:top w:w="26" w:type="dxa"/>
              <w:left w:w="92" w:type="dxa"/>
              <w:bottom w:w="26" w:type="dxa"/>
              <w:right w:w="92" w:type="dxa"/>
            </w:tcMar>
            <w:vAlign w:val="center"/>
          </w:tcPr>
          <w:p w14:paraId="6EAAE440" w14:textId="77777777" w:rsidR="0019039B" w:rsidRDefault="00000000" w:rsidP="0026559D">
            <w:pPr>
              <w:pStyle w:val="BodyText9"/>
              <w:suppressLineNumbers/>
              <w:spacing w:before="40" w:after="40" w:line="240" w:lineRule="auto"/>
            </w:pPr>
            <w:r>
              <w:rPr>
                <w:color w:val="404040" w:themeColor="text1" w:themeTint="BF"/>
                <w:sz w:val="20"/>
                <w:szCs w:val="20"/>
              </w:rPr>
              <w:t>CEO and Founder</w:t>
            </w:r>
          </w:p>
        </w:tc>
        <w:tc>
          <w:tcPr>
            <w:tcW w:w="2160" w:type="dxa"/>
            <w:tcMar>
              <w:top w:w="26" w:type="dxa"/>
              <w:left w:w="92" w:type="dxa"/>
              <w:bottom w:w="26" w:type="dxa"/>
              <w:right w:w="92" w:type="dxa"/>
            </w:tcMar>
            <w:vAlign w:val="center"/>
          </w:tcPr>
          <w:p w14:paraId="2D0360AA" w14:textId="77777777" w:rsidR="0019039B" w:rsidRDefault="0019039B" w:rsidP="0026559D">
            <w:pPr>
              <w:pStyle w:val="BodyText9"/>
              <w:suppressLineNumbers/>
              <w:spacing w:before="40" w:after="40" w:line="240" w:lineRule="auto"/>
            </w:pPr>
          </w:p>
        </w:tc>
        <w:tc>
          <w:tcPr>
            <w:tcW w:w="1728" w:type="dxa"/>
            <w:tcMar>
              <w:top w:w="26" w:type="dxa"/>
              <w:left w:w="92" w:type="dxa"/>
              <w:bottom w:w="26" w:type="dxa"/>
              <w:right w:w="92" w:type="dxa"/>
            </w:tcMar>
            <w:vAlign w:val="center"/>
          </w:tcPr>
          <w:p w14:paraId="75A02582" w14:textId="77777777" w:rsidR="0019039B" w:rsidRDefault="009B6824" w:rsidP="0026559D">
            <w:pPr>
              <w:pStyle w:val="BodyText9"/>
              <w:suppressLineNumbers/>
              <w:spacing w:before="40" w:after="40" w:line="240" w:lineRule="auto"/>
            </w:pPr>
            <w:r>
              <w:rPr>
                <w:color w:val="404040" w:themeColor="text1" w:themeTint="BF"/>
                <w:sz w:val="20"/>
              </w:rPr>
              <w:t>July 23, 2026</w:t>
            </w:r>
          </w:p>
        </w:tc>
      </w:tr>
      <w:tr w:rsidR="0019039B" w14:paraId="29A44527" w14:textId="77777777" w:rsidTr="00DE44EE">
        <w:tc>
          <w:tcPr>
            <w:tcW w:w="2592" w:type="dxa"/>
            <w:tcMar>
              <w:top w:w="26" w:type="dxa"/>
              <w:left w:w="92" w:type="dxa"/>
              <w:bottom w:w="26" w:type="dxa"/>
              <w:right w:w="92" w:type="dxa"/>
            </w:tcMar>
            <w:vAlign w:val="center"/>
          </w:tcPr>
          <w:p w14:paraId="7726418E" w14:textId="77777777" w:rsidR="0019039B" w:rsidRDefault="0019039B" w:rsidP="0026559D">
            <w:pPr>
              <w:pStyle w:val="BodyText9"/>
              <w:suppressLineNumbers/>
              <w:spacing w:before="40" w:after="40" w:line="240" w:lineRule="auto"/>
            </w:pPr>
            <w:r>
              <w:rPr>
                <w:b/>
                <w:color w:val="404040" w:themeColor="text1" w:themeTint="BF"/>
                <w:sz w:val="20"/>
                <w:szCs w:val="20"/>
              </w:rPr>
              <w:t>Praveen Sharma</w:t>
            </w:r>
          </w:p>
        </w:tc>
        <w:tc>
          <w:tcPr>
            <w:tcW w:w="2880" w:type="dxa"/>
            <w:tcMar>
              <w:top w:w="26" w:type="dxa"/>
              <w:left w:w="92" w:type="dxa"/>
              <w:bottom w:w="26" w:type="dxa"/>
              <w:right w:w="92" w:type="dxa"/>
            </w:tcMar>
            <w:vAlign w:val="center"/>
          </w:tcPr>
          <w:p w14:paraId="11ADDF79" w14:textId="77777777" w:rsidR="0019039B" w:rsidRDefault="00000000" w:rsidP="0026559D">
            <w:pPr>
              <w:pStyle w:val="BodyText9"/>
              <w:suppressLineNumbers/>
              <w:spacing w:before="40" w:after="40" w:line="240" w:lineRule="auto"/>
            </w:pPr>
            <w:r>
              <w:rPr>
                <w:color w:val="404040" w:themeColor="text1" w:themeTint="BF"/>
                <w:sz w:val="20"/>
                <w:szCs w:val="20"/>
              </w:rPr>
              <w:t>Security Officer</w:t>
            </w:r>
          </w:p>
        </w:tc>
        <w:tc>
          <w:tcPr>
            <w:tcW w:w="2160" w:type="dxa"/>
            <w:tcMar>
              <w:top w:w="26" w:type="dxa"/>
              <w:left w:w="92" w:type="dxa"/>
              <w:bottom w:w="26" w:type="dxa"/>
              <w:right w:w="92" w:type="dxa"/>
            </w:tcMar>
            <w:vAlign w:val="center"/>
          </w:tcPr>
          <w:p w14:paraId="5662D43C" w14:textId="77777777" w:rsidR="0019039B" w:rsidRDefault="0019039B" w:rsidP="0026559D">
            <w:pPr>
              <w:pStyle w:val="BodyText9"/>
              <w:suppressLineNumbers/>
              <w:spacing w:before="40" w:after="40" w:line="240" w:lineRule="auto"/>
            </w:pPr>
          </w:p>
        </w:tc>
        <w:tc>
          <w:tcPr>
            <w:tcW w:w="1728" w:type="dxa"/>
            <w:tcMar>
              <w:top w:w="26" w:type="dxa"/>
              <w:left w:w="92" w:type="dxa"/>
              <w:bottom w:w="26" w:type="dxa"/>
              <w:right w:w="92" w:type="dxa"/>
            </w:tcMar>
            <w:vAlign w:val="center"/>
          </w:tcPr>
          <w:p w14:paraId="2874F33D" w14:textId="77777777" w:rsidR="0019039B" w:rsidRDefault="009B6824" w:rsidP="0026559D">
            <w:pPr>
              <w:pStyle w:val="BodyText9"/>
              <w:suppressLineNumbers/>
              <w:spacing w:before="40" w:after="40" w:line="240" w:lineRule="auto"/>
            </w:pPr>
            <w:r>
              <w:rPr>
                <w:color w:val="404040" w:themeColor="text1" w:themeTint="BF"/>
                <w:sz w:val="20"/>
              </w:rPr>
              <w:t>July 23, 2026</w:t>
            </w:r>
          </w:p>
        </w:tc>
      </w:tr>
    </w:tbl>
    <w:p w14:paraId="1DFDA26A" w14:textId="77777777" w:rsidR="00BF0F18" w:rsidRDefault="00BF0F18" w:rsidP="00DE44EE">
      <w:pPr>
        <w:suppressLineNumbers/>
        <w:rPr>
          <w:rStyle w:val="Strong"/>
        </w:rPr>
      </w:pPr>
    </w:p>
    <w:p w14:paraId="264C8DA8" w14:textId="77777777" w:rsidR="0019039B" w:rsidRDefault="00000000" w:rsidP="007A2335">
      <w:pPr>
        <w:suppressLineNumbers/>
        <w:spacing w:before="360" w:after="160"/>
      </w:pPr>
      <w:r>
        <w:rPr>
          <w:rStyle w:val="Strong"/>
          <w:caps/>
          <w:color w:val="1B4965"/>
        </w:rPr>
        <w:t>COMPLIANCE</w:t>
      </w:r>
    </w:p>
    <w:p w14:paraId="61E33501" w14:textId="77777777" w:rsidR="008E0219" w:rsidRDefault="008E0219" w:rsidP="008E0219">
      <w:pPr>
        <w:pStyle w:val="BodyText9"/>
        <w:suppressLineNumbers/>
        <w:spacing w:after="120"/>
        <w:jc w:val="both"/>
      </w:pPr>
      <w:r>
        <w:t>This Policy is authorized by the Information Security Policy (POL-ISP-001) and supports the SOC 2 Trust Services Criteria CC1.1, CC1.3, CC1.4, CC1.5, CC2.2, CC6.2 and CC6.3, HIPAA Security Rule 45 CFR §164.308(a)(3), §164.308(a)(4) and §164.308(a)(5), and GDPR Articles 5, 6 and 32. Requirements apply to the extent lawful in the jurisdiction in which each person works, as set out in Section 2.</w:t>
      </w:r>
    </w:p>
    <w:p w14:paraId="6475526F" w14:textId="77777777" w:rsidR="00DE44EE" w:rsidRDefault="00DE44EE" w:rsidP="0026559D">
      <w:pPr>
        <w:pStyle w:val="BodyText9"/>
        <w:suppressLineNumbers/>
      </w:pPr>
    </w:p>
    <w:p w14:paraId="03E85BD2" w14:textId="77777777" w:rsidR="008E0219" w:rsidRDefault="008E0219" w:rsidP="007A2335">
      <w:pPr>
        <w:suppressLineNumbers/>
        <w:spacing w:before="360" w:after="160"/>
        <w:rPr>
          <w:rStyle w:val="Strong"/>
          <w:caps/>
          <w:color w:val="1B4965"/>
        </w:rPr>
      </w:pPr>
    </w:p>
    <w:p w14:paraId="0417458F" w14:textId="77777777" w:rsidR="0019039B" w:rsidRPr="00BF0F18" w:rsidRDefault="00000000" w:rsidP="007A2335">
      <w:pPr>
        <w:suppressLineNumbers/>
        <w:spacing w:before="360" w:after="160"/>
        <w:rPr>
          <w:rStyle w:val="Strong"/>
        </w:rPr>
      </w:pPr>
      <w:r>
        <w:rPr>
          <w:rStyle w:val="Strong"/>
          <w:caps/>
          <w:color w:val="1B4965"/>
        </w:rPr>
        <w:lastRenderedPageBreak/>
        <w:t>DOCUMENT VALIDITY</w:t>
      </w:r>
    </w:p>
    <w:p w14:paraId="0BD43041" w14:textId="77777777" w:rsidR="0019039B" w:rsidRDefault="009B6824" w:rsidP="0026559D">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authorised clients without the written approval of the Security Officer.</w:t>
      </w:r>
    </w:p>
    <w:p w14:paraId="664BF505" w14:textId="77777777" w:rsidR="0019039B" w:rsidRDefault="00000000" w:rsidP="007A2335">
      <w:pPr>
        <w:suppressLineNumbers/>
      </w:pPr>
      <w:r>
        <w:rPr>
          <w:color w:val="262626"/>
        </w:rPr>
        <w:br w:type="page"/>
      </w:r>
    </w:p>
    <w:p w14:paraId="0B039EA1" w14:textId="77777777" w:rsidR="0019039B" w:rsidRPr="00DB3D11" w:rsidRDefault="00000000" w:rsidP="007A2335">
      <w:pPr>
        <w:suppressLineNumbers/>
        <w:spacing w:before="360" w:after="160"/>
        <w:rPr>
          <w:rStyle w:val="Strong"/>
        </w:rPr>
      </w:pPr>
      <w:r>
        <w:rPr>
          <w:rStyle w:val="Strong"/>
          <w:caps/>
          <w:color w:val="1B4965"/>
        </w:rPr>
        <w:lastRenderedPageBreak/>
        <w:t>TABLE OF CONTENTS</w:t>
      </w:r>
    </w:p>
    <w:sdt>
      <w:sdtPr>
        <w:rPr>
          <w:rFonts w:ascii="Calibri" w:hAnsi="Calibri"/>
          <w:b w:val="0"/>
          <w:bCs w:val="0"/>
          <w:caps w:val="0"/>
          <w:sz w:val="24"/>
          <w:szCs w:val="24"/>
        </w:rPr>
        <w:alias w:val="Table of Contents"/>
        <w:id w:val="-1368054761"/>
      </w:sdtPr>
      <w:sdtContent>
        <w:p w14:paraId="473F39FE" w14:textId="79E6F8BE" w:rsidR="00DE1A6D"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r>
            <w:fldChar w:fldCharType="begin"/>
          </w:r>
          <w:r>
            <w:instrText>TOC \h \o "1-2"</w:instrText>
          </w:r>
          <w:r>
            <w:fldChar w:fldCharType="separate"/>
          </w:r>
          <w:hyperlink w:anchor="_Toc237809857" w:history="1">
            <w:r w:rsidR="00DE1A6D" w:rsidRPr="004D3753">
              <w:rPr>
                <w:rStyle w:val="Hyperlink"/>
                <w:noProof/>
              </w:rPr>
              <w:t>1 Overview and Purpose</w:t>
            </w:r>
            <w:r w:rsidR="00DE1A6D">
              <w:rPr>
                <w:noProof/>
              </w:rPr>
              <w:tab/>
            </w:r>
            <w:r w:rsidR="00DE1A6D">
              <w:rPr>
                <w:noProof/>
              </w:rPr>
              <w:fldChar w:fldCharType="begin"/>
            </w:r>
            <w:r w:rsidR="00DE1A6D">
              <w:rPr>
                <w:noProof/>
              </w:rPr>
              <w:instrText xml:space="preserve"> PAGEREF _Toc237809857 \h </w:instrText>
            </w:r>
            <w:r w:rsidR="00DE1A6D">
              <w:rPr>
                <w:noProof/>
              </w:rPr>
            </w:r>
            <w:r w:rsidR="00DE1A6D">
              <w:rPr>
                <w:noProof/>
              </w:rPr>
              <w:fldChar w:fldCharType="separate"/>
            </w:r>
            <w:r w:rsidR="00E12E39">
              <w:rPr>
                <w:noProof/>
              </w:rPr>
              <w:t>5</w:t>
            </w:r>
            <w:r w:rsidR="00DE1A6D">
              <w:rPr>
                <w:noProof/>
              </w:rPr>
              <w:fldChar w:fldCharType="end"/>
            </w:r>
          </w:hyperlink>
        </w:p>
        <w:p w14:paraId="5FA0AFBF" w14:textId="2592492E"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58" w:history="1">
            <w:r w:rsidRPr="004D3753">
              <w:rPr>
                <w:rStyle w:val="Hyperlink"/>
                <w:noProof/>
              </w:rPr>
              <w:t>2 Scope</w:t>
            </w:r>
            <w:r>
              <w:rPr>
                <w:noProof/>
              </w:rPr>
              <w:tab/>
            </w:r>
            <w:r>
              <w:rPr>
                <w:noProof/>
              </w:rPr>
              <w:fldChar w:fldCharType="begin"/>
            </w:r>
            <w:r>
              <w:rPr>
                <w:noProof/>
              </w:rPr>
              <w:instrText xml:space="preserve"> PAGEREF _Toc237809858 \h </w:instrText>
            </w:r>
            <w:r>
              <w:rPr>
                <w:noProof/>
              </w:rPr>
            </w:r>
            <w:r>
              <w:rPr>
                <w:noProof/>
              </w:rPr>
              <w:fldChar w:fldCharType="separate"/>
            </w:r>
            <w:r w:rsidR="00E12E39">
              <w:rPr>
                <w:noProof/>
              </w:rPr>
              <w:t>5</w:t>
            </w:r>
            <w:r>
              <w:rPr>
                <w:noProof/>
              </w:rPr>
              <w:fldChar w:fldCharType="end"/>
            </w:r>
          </w:hyperlink>
        </w:p>
        <w:p w14:paraId="3283107F" w14:textId="52A4B389"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59" w:history="1">
            <w:r w:rsidRPr="004D3753">
              <w:rPr>
                <w:rStyle w:val="Hyperlink"/>
                <w:noProof/>
              </w:rPr>
              <w:t>3 Roles and Definitions</w:t>
            </w:r>
            <w:r>
              <w:rPr>
                <w:noProof/>
              </w:rPr>
              <w:tab/>
            </w:r>
            <w:r>
              <w:rPr>
                <w:noProof/>
              </w:rPr>
              <w:fldChar w:fldCharType="begin"/>
            </w:r>
            <w:r>
              <w:rPr>
                <w:noProof/>
              </w:rPr>
              <w:instrText xml:space="preserve"> PAGEREF _Toc237809859 \h </w:instrText>
            </w:r>
            <w:r>
              <w:rPr>
                <w:noProof/>
              </w:rPr>
            </w:r>
            <w:r>
              <w:rPr>
                <w:noProof/>
              </w:rPr>
              <w:fldChar w:fldCharType="separate"/>
            </w:r>
            <w:r w:rsidR="00E12E39">
              <w:rPr>
                <w:noProof/>
              </w:rPr>
              <w:t>5</w:t>
            </w:r>
            <w:r>
              <w:rPr>
                <w:noProof/>
              </w:rPr>
              <w:fldChar w:fldCharType="end"/>
            </w:r>
          </w:hyperlink>
        </w:p>
        <w:p w14:paraId="691CB75E" w14:textId="7674D40F"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0" w:history="1">
            <w:r w:rsidRPr="004D3753">
              <w:rPr>
                <w:rStyle w:val="Hyperlink"/>
                <w:noProof/>
              </w:rPr>
              <w:t>4 Terminology</w:t>
            </w:r>
            <w:r>
              <w:rPr>
                <w:noProof/>
              </w:rPr>
              <w:tab/>
            </w:r>
            <w:r>
              <w:rPr>
                <w:noProof/>
              </w:rPr>
              <w:fldChar w:fldCharType="begin"/>
            </w:r>
            <w:r>
              <w:rPr>
                <w:noProof/>
              </w:rPr>
              <w:instrText xml:space="preserve"> PAGEREF _Toc237809860 \h </w:instrText>
            </w:r>
            <w:r>
              <w:rPr>
                <w:noProof/>
              </w:rPr>
            </w:r>
            <w:r>
              <w:rPr>
                <w:noProof/>
              </w:rPr>
              <w:fldChar w:fldCharType="separate"/>
            </w:r>
            <w:r w:rsidR="00E12E39">
              <w:rPr>
                <w:noProof/>
              </w:rPr>
              <w:t>5</w:t>
            </w:r>
            <w:r>
              <w:rPr>
                <w:noProof/>
              </w:rPr>
              <w:fldChar w:fldCharType="end"/>
            </w:r>
          </w:hyperlink>
        </w:p>
        <w:p w14:paraId="0DB38C2F" w14:textId="2261E2BE"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1" w:history="1">
            <w:r w:rsidRPr="004D3753">
              <w:rPr>
                <w:rStyle w:val="Hyperlink"/>
                <w:noProof/>
              </w:rPr>
              <w:t>5 Prior to Employment or Engagement</w:t>
            </w:r>
            <w:r>
              <w:rPr>
                <w:noProof/>
              </w:rPr>
              <w:tab/>
            </w:r>
            <w:r>
              <w:rPr>
                <w:noProof/>
              </w:rPr>
              <w:fldChar w:fldCharType="begin"/>
            </w:r>
            <w:r>
              <w:rPr>
                <w:noProof/>
              </w:rPr>
              <w:instrText xml:space="preserve"> PAGEREF _Toc237809861 \h </w:instrText>
            </w:r>
            <w:r>
              <w:rPr>
                <w:noProof/>
              </w:rPr>
            </w:r>
            <w:r>
              <w:rPr>
                <w:noProof/>
              </w:rPr>
              <w:fldChar w:fldCharType="separate"/>
            </w:r>
            <w:r w:rsidR="00E12E39">
              <w:rPr>
                <w:noProof/>
              </w:rPr>
              <w:t>6</w:t>
            </w:r>
            <w:r>
              <w:rPr>
                <w:noProof/>
              </w:rPr>
              <w:fldChar w:fldCharType="end"/>
            </w:r>
          </w:hyperlink>
        </w:p>
        <w:p w14:paraId="3C15A44B" w14:textId="7A06037E"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2" w:history="1">
            <w:r w:rsidRPr="004D3753">
              <w:rPr>
                <w:rStyle w:val="Hyperlink"/>
                <w:noProof/>
              </w:rPr>
              <w:t>6 During Employment or Engagement</w:t>
            </w:r>
            <w:r>
              <w:rPr>
                <w:noProof/>
              </w:rPr>
              <w:tab/>
            </w:r>
            <w:r>
              <w:rPr>
                <w:noProof/>
              </w:rPr>
              <w:fldChar w:fldCharType="begin"/>
            </w:r>
            <w:r>
              <w:rPr>
                <w:noProof/>
              </w:rPr>
              <w:instrText xml:space="preserve"> PAGEREF _Toc237809862 \h </w:instrText>
            </w:r>
            <w:r>
              <w:rPr>
                <w:noProof/>
              </w:rPr>
            </w:r>
            <w:r>
              <w:rPr>
                <w:noProof/>
              </w:rPr>
              <w:fldChar w:fldCharType="separate"/>
            </w:r>
            <w:r w:rsidR="00E12E39">
              <w:rPr>
                <w:noProof/>
              </w:rPr>
              <w:t>7</w:t>
            </w:r>
            <w:r>
              <w:rPr>
                <w:noProof/>
              </w:rPr>
              <w:fldChar w:fldCharType="end"/>
            </w:r>
          </w:hyperlink>
        </w:p>
        <w:p w14:paraId="254C9416" w14:textId="2A75FF17"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3" w:history="1">
            <w:r w:rsidRPr="004D3753">
              <w:rPr>
                <w:rStyle w:val="Hyperlink"/>
                <w:noProof/>
              </w:rPr>
              <w:t>7 Termination and Change of Engagement</w:t>
            </w:r>
            <w:r>
              <w:rPr>
                <w:noProof/>
              </w:rPr>
              <w:tab/>
            </w:r>
            <w:r>
              <w:rPr>
                <w:noProof/>
              </w:rPr>
              <w:fldChar w:fldCharType="begin"/>
            </w:r>
            <w:r>
              <w:rPr>
                <w:noProof/>
              </w:rPr>
              <w:instrText xml:space="preserve"> PAGEREF _Toc237809863 \h </w:instrText>
            </w:r>
            <w:r>
              <w:rPr>
                <w:noProof/>
              </w:rPr>
            </w:r>
            <w:r>
              <w:rPr>
                <w:noProof/>
              </w:rPr>
              <w:fldChar w:fldCharType="separate"/>
            </w:r>
            <w:r w:rsidR="00E12E39">
              <w:rPr>
                <w:noProof/>
              </w:rPr>
              <w:t>8</w:t>
            </w:r>
            <w:r>
              <w:rPr>
                <w:noProof/>
              </w:rPr>
              <w:fldChar w:fldCharType="end"/>
            </w:r>
          </w:hyperlink>
        </w:p>
        <w:p w14:paraId="05D9C45F" w14:textId="0D6FE286"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4" w:history="1">
            <w:r w:rsidRPr="004D3753">
              <w:rPr>
                <w:rStyle w:val="Hyperlink"/>
                <w:noProof/>
              </w:rPr>
              <w:t>8 Contractors and Third-Party Personnel</w:t>
            </w:r>
            <w:r>
              <w:rPr>
                <w:noProof/>
              </w:rPr>
              <w:tab/>
            </w:r>
            <w:r>
              <w:rPr>
                <w:noProof/>
              </w:rPr>
              <w:fldChar w:fldCharType="begin"/>
            </w:r>
            <w:r>
              <w:rPr>
                <w:noProof/>
              </w:rPr>
              <w:instrText xml:space="preserve"> PAGEREF _Toc237809864 \h </w:instrText>
            </w:r>
            <w:r>
              <w:rPr>
                <w:noProof/>
              </w:rPr>
            </w:r>
            <w:r>
              <w:rPr>
                <w:noProof/>
              </w:rPr>
              <w:fldChar w:fldCharType="separate"/>
            </w:r>
            <w:r w:rsidR="00E12E39">
              <w:rPr>
                <w:noProof/>
              </w:rPr>
              <w:t>8</w:t>
            </w:r>
            <w:r>
              <w:rPr>
                <w:noProof/>
              </w:rPr>
              <w:fldChar w:fldCharType="end"/>
            </w:r>
          </w:hyperlink>
        </w:p>
        <w:p w14:paraId="0E4F22B8" w14:textId="1A2135E7"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5" w:history="1">
            <w:r w:rsidRPr="004D3753">
              <w:rPr>
                <w:rStyle w:val="Hyperlink"/>
                <w:noProof/>
              </w:rPr>
              <w:t>9 Access Provisioning at Onboarding</w:t>
            </w:r>
            <w:r>
              <w:rPr>
                <w:noProof/>
              </w:rPr>
              <w:tab/>
            </w:r>
            <w:r>
              <w:rPr>
                <w:noProof/>
              </w:rPr>
              <w:fldChar w:fldCharType="begin"/>
            </w:r>
            <w:r>
              <w:rPr>
                <w:noProof/>
              </w:rPr>
              <w:instrText xml:space="preserve"> PAGEREF _Toc237809865 \h </w:instrText>
            </w:r>
            <w:r>
              <w:rPr>
                <w:noProof/>
              </w:rPr>
            </w:r>
            <w:r>
              <w:rPr>
                <w:noProof/>
              </w:rPr>
              <w:fldChar w:fldCharType="separate"/>
            </w:r>
            <w:r w:rsidR="00E12E39">
              <w:rPr>
                <w:noProof/>
              </w:rPr>
              <w:t>9</w:t>
            </w:r>
            <w:r>
              <w:rPr>
                <w:noProof/>
              </w:rPr>
              <w:fldChar w:fldCharType="end"/>
            </w:r>
          </w:hyperlink>
        </w:p>
        <w:p w14:paraId="0CF394C9" w14:textId="153B1638"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6" w:history="1">
            <w:r w:rsidRPr="004D3753">
              <w:rPr>
                <w:rStyle w:val="Hyperlink"/>
                <w:noProof/>
              </w:rPr>
              <w:t>10 Departure and Access Revocation</w:t>
            </w:r>
            <w:r>
              <w:rPr>
                <w:noProof/>
              </w:rPr>
              <w:tab/>
            </w:r>
            <w:r>
              <w:rPr>
                <w:noProof/>
              </w:rPr>
              <w:fldChar w:fldCharType="begin"/>
            </w:r>
            <w:r>
              <w:rPr>
                <w:noProof/>
              </w:rPr>
              <w:instrText xml:space="preserve"> PAGEREF _Toc237809866 \h </w:instrText>
            </w:r>
            <w:r>
              <w:rPr>
                <w:noProof/>
              </w:rPr>
            </w:r>
            <w:r>
              <w:rPr>
                <w:noProof/>
              </w:rPr>
              <w:fldChar w:fldCharType="separate"/>
            </w:r>
            <w:r w:rsidR="00E12E39">
              <w:rPr>
                <w:noProof/>
              </w:rPr>
              <w:t>9</w:t>
            </w:r>
            <w:r>
              <w:rPr>
                <w:noProof/>
              </w:rPr>
              <w:fldChar w:fldCharType="end"/>
            </w:r>
          </w:hyperlink>
        </w:p>
        <w:p w14:paraId="779F8F60" w14:textId="4926BC59"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7" w:history="1">
            <w:r w:rsidRPr="004D3753">
              <w:rPr>
                <w:rStyle w:val="Hyperlink"/>
                <w:noProof/>
              </w:rPr>
              <w:t>11 Personnel Security for AI-Assisted Work</w:t>
            </w:r>
            <w:r>
              <w:rPr>
                <w:noProof/>
              </w:rPr>
              <w:tab/>
            </w:r>
            <w:r>
              <w:rPr>
                <w:noProof/>
              </w:rPr>
              <w:fldChar w:fldCharType="begin"/>
            </w:r>
            <w:r>
              <w:rPr>
                <w:noProof/>
              </w:rPr>
              <w:instrText xml:space="preserve"> PAGEREF _Toc237809867 \h </w:instrText>
            </w:r>
            <w:r>
              <w:rPr>
                <w:noProof/>
              </w:rPr>
            </w:r>
            <w:r>
              <w:rPr>
                <w:noProof/>
              </w:rPr>
              <w:fldChar w:fldCharType="separate"/>
            </w:r>
            <w:r w:rsidR="00E12E39">
              <w:rPr>
                <w:noProof/>
              </w:rPr>
              <w:t>10</w:t>
            </w:r>
            <w:r>
              <w:rPr>
                <w:noProof/>
              </w:rPr>
              <w:fldChar w:fldCharType="end"/>
            </w:r>
          </w:hyperlink>
        </w:p>
        <w:p w14:paraId="3F4C4418" w14:textId="220F1F9E"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8" w:history="1">
            <w:r w:rsidRPr="004D3753">
              <w:rPr>
                <w:rStyle w:val="Hyperlink"/>
                <w:noProof/>
              </w:rPr>
              <w:t>12 Enforcement</w:t>
            </w:r>
            <w:r>
              <w:rPr>
                <w:noProof/>
              </w:rPr>
              <w:tab/>
            </w:r>
            <w:r>
              <w:rPr>
                <w:noProof/>
              </w:rPr>
              <w:fldChar w:fldCharType="begin"/>
            </w:r>
            <w:r>
              <w:rPr>
                <w:noProof/>
              </w:rPr>
              <w:instrText xml:space="preserve"> PAGEREF _Toc237809868 \h </w:instrText>
            </w:r>
            <w:r>
              <w:rPr>
                <w:noProof/>
              </w:rPr>
            </w:r>
            <w:r>
              <w:rPr>
                <w:noProof/>
              </w:rPr>
              <w:fldChar w:fldCharType="separate"/>
            </w:r>
            <w:r w:rsidR="00E12E39">
              <w:rPr>
                <w:noProof/>
              </w:rPr>
              <w:t>10</w:t>
            </w:r>
            <w:r>
              <w:rPr>
                <w:noProof/>
              </w:rPr>
              <w:fldChar w:fldCharType="end"/>
            </w:r>
          </w:hyperlink>
        </w:p>
        <w:p w14:paraId="6BDD2E0C" w14:textId="67E8C8B7"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69" w:history="1">
            <w:r w:rsidRPr="004D3753">
              <w:rPr>
                <w:rStyle w:val="Hyperlink"/>
                <w:noProof/>
              </w:rPr>
              <w:t>13 Exceptions</w:t>
            </w:r>
            <w:r>
              <w:rPr>
                <w:noProof/>
              </w:rPr>
              <w:tab/>
            </w:r>
            <w:r>
              <w:rPr>
                <w:noProof/>
              </w:rPr>
              <w:fldChar w:fldCharType="begin"/>
            </w:r>
            <w:r>
              <w:rPr>
                <w:noProof/>
              </w:rPr>
              <w:instrText xml:space="preserve"> PAGEREF _Toc237809869 \h </w:instrText>
            </w:r>
            <w:r>
              <w:rPr>
                <w:noProof/>
              </w:rPr>
            </w:r>
            <w:r>
              <w:rPr>
                <w:noProof/>
              </w:rPr>
              <w:fldChar w:fldCharType="separate"/>
            </w:r>
            <w:r w:rsidR="00E12E39">
              <w:rPr>
                <w:noProof/>
              </w:rPr>
              <w:t>10</w:t>
            </w:r>
            <w:r>
              <w:rPr>
                <w:noProof/>
              </w:rPr>
              <w:fldChar w:fldCharType="end"/>
            </w:r>
          </w:hyperlink>
        </w:p>
        <w:p w14:paraId="1F3C80B1" w14:textId="1FF56A26"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70" w:history="1">
            <w:r w:rsidRPr="004D3753">
              <w:rPr>
                <w:rStyle w:val="Hyperlink"/>
                <w:noProof/>
              </w:rPr>
              <w:t>14 Reference</w:t>
            </w:r>
            <w:r>
              <w:rPr>
                <w:noProof/>
              </w:rPr>
              <w:tab/>
            </w:r>
            <w:r>
              <w:rPr>
                <w:noProof/>
              </w:rPr>
              <w:fldChar w:fldCharType="begin"/>
            </w:r>
            <w:r>
              <w:rPr>
                <w:noProof/>
              </w:rPr>
              <w:instrText xml:space="preserve"> PAGEREF _Toc237809870 \h </w:instrText>
            </w:r>
            <w:r>
              <w:rPr>
                <w:noProof/>
              </w:rPr>
            </w:r>
            <w:r>
              <w:rPr>
                <w:noProof/>
              </w:rPr>
              <w:fldChar w:fldCharType="separate"/>
            </w:r>
            <w:r w:rsidR="00E12E39">
              <w:rPr>
                <w:noProof/>
              </w:rPr>
              <w:t>10</w:t>
            </w:r>
            <w:r>
              <w:rPr>
                <w:noProof/>
              </w:rPr>
              <w:fldChar w:fldCharType="end"/>
            </w:r>
          </w:hyperlink>
        </w:p>
        <w:p w14:paraId="6F21C337" w14:textId="0A9F30D9" w:rsidR="00DE1A6D" w:rsidRDefault="00DE1A6D">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9871" w:history="1">
            <w:r w:rsidRPr="004D3753">
              <w:rPr>
                <w:rStyle w:val="Hyperlink"/>
                <w:noProof/>
              </w:rPr>
              <w:t>15 Document Policy History</w:t>
            </w:r>
            <w:r>
              <w:rPr>
                <w:noProof/>
              </w:rPr>
              <w:tab/>
            </w:r>
            <w:r>
              <w:rPr>
                <w:noProof/>
              </w:rPr>
              <w:fldChar w:fldCharType="begin"/>
            </w:r>
            <w:r>
              <w:rPr>
                <w:noProof/>
              </w:rPr>
              <w:instrText xml:space="preserve"> PAGEREF _Toc237809871 \h </w:instrText>
            </w:r>
            <w:r>
              <w:rPr>
                <w:noProof/>
              </w:rPr>
            </w:r>
            <w:r>
              <w:rPr>
                <w:noProof/>
              </w:rPr>
              <w:fldChar w:fldCharType="separate"/>
            </w:r>
            <w:r w:rsidR="00E12E39">
              <w:rPr>
                <w:noProof/>
              </w:rPr>
              <w:t>11</w:t>
            </w:r>
            <w:r>
              <w:rPr>
                <w:noProof/>
              </w:rPr>
              <w:fldChar w:fldCharType="end"/>
            </w:r>
          </w:hyperlink>
        </w:p>
        <w:p w14:paraId="703028C4" w14:textId="7D4B08AB" w:rsidR="0019039B" w:rsidRDefault="00000000" w:rsidP="007A2335">
          <w:pPr>
            <w:suppressLineNumbers/>
          </w:pPr>
          <w:r>
            <w:fldChar w:fldCharType="end"/>
          </w:r>
        </w:p>
      </w:sdtContent>
    </w:sdt>
    <w:p w14:paraId="0298CF82" w14:textId="77777777" w:rsidR="0019039B" w:rsidRDefault="00000000" w:rsidP="007A2335">
      <w:pPr>
        <w:suppressLineNumbers/>
        <w:sectPr w:rsidR="0019039B">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pPr>
      <w:r>
        <w:rPr>
          <w:color w:val="262626"/>
        </w:rPr>
        <w:br w:type="page"/>
      </w:r>
    </w:p>
    <w:p w14:paraId="3B5D5BB5" w14:textId="77777777" w:rsidR="0019039B" w:rsidRDefault="00000000">
      <w:pPr>
        <w:pStyle w:val="Heading1"/>
        <w:keepNext/>
        <w:spacing w:before="240" w:after="80"/>
      </w:pPr>
      <w:bookmarkStart w:id="1" w:name="_Toc900001"/>
      <w:bookmarkStart w:id="2" w:name="_Toc237809857"/>
      <w:r>
        <w:rPr>
          <w:color w:val="404040" w:themeColor="text1" w:themeTint="BF"/>
        </w:rPr>
        <w:lastRenderedPageBreak/>
        <w:t>Overview and Purpose</w:t>
      </w:r>
      <w:bookmarkEnd w:id="1"/>
      <w:bookmarkEnd w:id="2"/>
    </w:p>
    <w:p w14:paraId="0794126A" w14:textId="77777777" w:rsidR="0019039B" w:rsidRDefault="00000000">
      <w:pPr>
        <w:pStyle w:val="BodyText9"/>
        <w:spacing w:after="120"/>
        <w:jc w:val="both"/>
      </w:pPr>
      <w:r>
        <w:rPr>
          <w:color w:val="404040" w:themeColor="text1" w:themeTint="BF"/>
        </w:rPr>
        <w:t>PromptHalo Technologies (“the Company”) manages personnel security across the employment lifecycle so that individuals with access to Company and customer data are trustworthy, competent, and aware of their responsibilities. This Human Resources Security Policy defines requirements before, during, and at the end of employment or engagement.</w:t>
      </w:r>
    </w:p>
    <w:p w14:paraId="569326F3" w14:textId="77777777" w:rsidR="0019039B" w:rsidRDefault="00000000">
      <w:pPr>
        <w:pStyle w:val="Heading1"/>
        <w:keepNext/>
        <w:spacing w:before="240" w:after="80"/>
      </w:pPr>
      <w:bookmarkStart w:id="3" w:name="_Toc900002"/>
      <w:bookmarkStart w:id="4" w:name="_Toc237809858"/>
      <w:r>
        <w:rPr>
          <w:color w:val="404040" w:themeColor="text1" w:themeTint="BF"/>
        </w:rPr>
        <w:t>Scope</w:t>
      </w:r>
      <w:bookmarkEnd w:id="3"/>
      <w:bookmarkEnd w:id="4"/>
    </w:p>
    <w:p w14:paraId="664A2C30" w14:textId="77777777" w:rsidR="0019039B" w:rsidRDefault="00000000">
      <w:pPr>
        <w:pStyle w:val="BodyText9"/>
        <w:spacing w:after="120"/>
        <w:jc w:val="both"/>
      </w:pPr>
      <w:r>
        <w:rPr>
          <w:color w:val="404040" w:themeColor="text1" w:themeTint="BF"/>
        </w:rPr>
        <w:t>This policy applies to all candidates, employees, officers, contractors, consultants, interns, and temporary workers of the Company.</w:t>
      </w:r>
    </w:p>
    <w:p w14:paraId="468E2D91" w14:textId="77777777" w:rsidR="00A95F5B" w:rsidRDefault="00000000">
      <w:pPr>
        <w:pStyle w:val="BodyText9"/>
        <w:spacing w:after="120"/>
        <w:jc w:val="both"/>
      </w:pPr>
      <w:r>
        <w:rPr>
          <w:color w:val="404040" w:themeColor="text1" w:themeTint="BF"/>
        </w:rPr>
        <w:t xml:space="preserve">Every requirement in this policy applies only so far as it is lawful and customary in the place where the person works. Personnel are engaged in several jurisdictions, and screening, record retention and disciplinary practice differ between them. Where a requirement cannot lawfully be met locally, the Company records that fact against the person's engagement and applies the nearest lawful equivalent; it does not treat the position as a deficiency.  </w:t>
      </w:r>
      <w:r>
        <w:rPr>
          <w:rFonts w:ascii="Calibri Light" w:eastAsia="Calibri Light" w:hAnsi="Calibri Light" w:cs="Calibri Light"/>
          <w:color w:val="404040" w:themeColor="text1" w:themeTint="BF"/>
          <w:sz w:val="18"/>
        </w:rPr>
        <w:t>[SOC 2: CC1.1, CC1.4, CC5.3]</w:t>
      </w:r>
    </w:p>
    <w:p w14:paraId="5776DE61" w14:textId="77777777" w:rsidR="00A95F5B" w:rsidRDefault="00000000">
      <w:pPr>
        <w:pStyle w:val="BodyText9"/>
        <w:spacing w:after="120"/>
        <w:jc w:val="both"/>
      </w:pPr>
      <w:r>
        <w:rPr>
          <w:color w:val="404040" w:themeColor="text1" w:themeTint="BF"/>
        </w:rPr>
        <w:t xml:space="preserve">Where this policy calls for a check, a record or a tool, the Company uses the most cost-optimal option that satisfies the requirement. A free or already-owned mechanism is preferred to a paid one, a shared record to a new system, and an existing cadence to a new one. Nothing in this policy requires the purchase of a human resources platform, a screening subscription or a learning management system.  </w:t>
      </w:r>
      <w:r>
        <w:rPr>
          <w:rFonts w:ascii="Calibri Light" w:eastAsia="Calibri Light" w:hAnsi="Calibri Light" w:cs="Calibri Light"/>
          <w:color w:val="404040" w:themeColor="text1" w:themeTint="BF"/>
          <w:sz w:val="18"/>
        </w:rPr>
        <w:t>[SOC 2: CC1.4, CC5.3]</w:t>
      </w:r>
    </w:p>
    <w:p w14:paraId="063E0CC1" w14:textId="77777777" w:rsidR="0019039B" w:rsidRDefault="00000000">
      <w:pPr>
        <w:pStyle w:val="Heading1"/>
        <w:keepNext/>
        <w:spacing w:before="240" w:after="80"/>
      </w:pPr>
      <w:bookmarkStart w:id="5" w:name="_Toc900003"/>
      <w:bookmarkStart w:id="6" w:name="_Toc237809859"/>
      <w:r>
        <w:rPr>
          <w:color w:val="404040" w:themeColor="text1" w:themeTint="BF"/>
        </w:rPr>
        <w:t>Roles and Definitions</w:t>
      </w:r>
      <w:bookmarkEnd w:id="5"/>
      <w:bookmarkEnd w:id="6"/>
    </w:p>
    <w:p w14:paraId="157BEF9A" w14:textId="77777777" w:rsidR="00030D97" w:rsidRDefault="00000000">
      <w:pPr>
        <w:pStyle w:val="BodyText9"/>
        <w:numPr>
          <w:ilvl w:val="0"/>
          <w:numId w:val="8"/>
        </w:numPr>
        <w:spacing w:after="120"/>
        <w:jc w:val="both"/>
      </w:pPr>
      <w:r>
        <w:rPr>
          <w:color w:val="404040" w:themeColor="text1" w:themeTint="BF"/>
        </w:rPr>
        <w:t>“The Company” refers to PromptHalo Technologies.</w:t>
      </w:r>
    </w:p>
    <w:p w14:paraId="4EA3B638" w14:textId="77777777" w:rsidR="00030D97" w:rsidRDefault="00000000">
      <w:pPr>
        <w:pStyle w:val="BodyText9"/>
        <w:numPr>
          <w:ilvl w:val="0"/>
          <w:numId w:val="8"/>
        </w:numPr>
        <w:spacing w:after="120"/>
        <w:jc w:val="both"/>
      </w:pPr>
      <w:r>
        <w:rPr>
          <w:color w:val="404040" w:themeColor="text1" w:themeTint="BF"/>
        </w:rPr>
        <w:t>The CEO or, in their absence, the Security Officer (the “Accountable Party”) owns this policy, oversees its implementation and enforcement, and may delegate specific duties to a designee.</w:t>
      </w:r>
      <w:r>
        <w:rPr>
          <w:color w:val="262626"/>
          <w:szCs w:val="18"/>
        </w:rPr>
        <w:t xml:space="preserve">  </w:t>
      </w:r>
      <w:r>
        <w:rPr>
          <w:rFonts w:ascii="Calibri Light" w:eastAsia="Calibri Light" w:hAnsi="Calibri Light" w:cs="Calibri Light"/>
          <w:color w:val="404040" w:themeColor="text1" w:themeTint="BF"/>
          <w:sz w:val="18"/>
        </w:rPr>
        <w:t>[SOC 2: CC1.3]</w:t>
      </w:r>
    </w:p>
    <w:p w14:paraId="799262EC" w14:textId="77777777" w:rsidR="00030D97" w:rsidRDefault="00000000">
      <w:pPr>
        <w:pStyle w:val="BodyText9"/>
        <w:numPr>
          <w:ilvl w:val="0"/>
          <w:numId w:val="8"/>
        </w:numPr>
        <w:spacing w:after="120"/>
        <w:jc w:val="both"/>
      </w:pPr>
      <w:r>
        <w:rPr>
          <w:color w:val="404040" w:themeColor="text1" w:themeTint="BF"/>
        </w:rPr>
        <w:t>The Information Security Steering Committee approves this policy and reviews it at least annually.</w:t>
      </w:r>
      <w:r>
        <w:rPr>
          <w:color w:val="262626"/>
          <w:szCs w:val="18"/>
        </w:rPr>
        <w:t xml:space="preserve">  </w:t>
      </w:r>
      <w:r>
        <w:rPr>
          <w:rFonts w:ascii="Calibri Light" w:eastAsia="Calibri Light" w:hAnsi="Calibri Light" w:cs="Calibri Light"/>
          <w:color w:val="404040" w:themeColor="text1" w:themeTint="BF"/>
          <w:sz w:val="18"/>
        </w:rPr>
        <w:t>[SOC 2: CC1.2, CC5.3]</w:t>
      </w:r>
    </w:p>
    <w:p w14:paraId="7FE9FD1A" w14:textId="77777777" w:rsidR="00030D97" w:rsidRDefault="00000000">
      <w:pPr>
        <w:pStyle w:val="Heading1"/>
        <w:keepNext/>
        <w:spacing w:before="240" w:after="80"/>
      </w:pPr>
      <w:bookmarkStart w:id="7" w:name="_Toc237809860"/>
      <w:r>
        <w:rPr>
          <w:color w:val="404040" w:themeColor="text1" w:themeTint="BF"/>
        </w:rPr>
        <w:t>Terminology</w:t>
      </w:r>
      <w:bookmarkEnd w:id="7"/>
    </w:p>
    <w:p w14:paraId="4E9FDAEF" w14:textId="77777777" w:rsidR="00030D97" w:rsidRDefault="00000000">
      <w:pPr>
        <w:spacing w:after="120"/>
        <w:jc w:val="both"/>
        <w:rPr>
          <w:color w:val="262626" w:themeColor="text1" w:themeTint="D9"/>
        </w:rPr>
      </w:pPr>
      <w:r>
        <w:rPr>
          <w:szCs w:val="22"/>
        </w:rPr>
        <w:t>The following terms have the meanings given below wherever they appear in this policy.</w:t>
      </w:r>
    </w:p>
    <w:p w14:paraId="659EF2D7" w14:textId="77777777" w:rsidR="00E320B5" w:rsidRDefault="00000000">
      <w:pPr>
        <w:pStyle w:val="BodyText9"/>
        <w:numPr>
          <w:ilvl w:val="0"/>
          <w:numId w:val="9"/>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1DD71127" w14:textId="77777777" w:rsidR="00E320B5" w:rsidRDefault="00000000">
      <w:pPr>
        <w:pStyle w:val="BodyText9"/>
        <w:numPr>
          <w:ilvl w:val="0"/>
          <w:numId w:val="9"/>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5EB9BFFC" w14:textId="77777777" w:rsidR="00030D97" w:rsidRDefault="00000000">
      <w:pPr>
        <w:pStyle w:val="BodyText9"/>
        <w:numPr>
          <w:ilvl w:val="0"/>
          <w:numId w:val="9"/>
        </w:numPr>
        <w:spacing w:after="120"/>
        <w:jc w:val="both"/>
      </w:pPr>
      <w:r>
        <w:rPr>
          <w:b/>
          <w:color w:val="404040" w:themeColor="text1" w:themeTint="BF"/>
        </w:rPr>
        <w:t>Contractor</w:t>
      </w:r>
      <w:r>
        <w:rPr>
          <w:color w:val="404040" w:themeColor="text1" w:themeTint="BF"/>
        </w:rPr>
        <w:t xml:space="preserve"> — an individual engaged under a contract for services rather than employment, who holds Company or client access.</w:t>
      </w:r>
    </w:p>
    <w:p w14:paraId="170716F1" w14:textId="77777777" w:rsidR="00E320B5" w:rsidRDefault="00000000">
      <w:pPr>
        <w:pStyle w:val="BodyText9"/>
        <w:numPr>
          <w:ilvl w:val="0"/>
          <w:numId w:val="9"/>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0607E0B7" w14:textId="77777777" w:rsidR="00E320B5" w:rsidRDefault="00000000">
      <w:pPr>
        <w:pStyle w:val="BodyText9"/>
        <w:numPr>
          <w:ilvl w:val="0"/>
          <w:numId w:val="9"/>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74472B1" w14:textId="77777777" w:rsidR="00E320B5" w:rsidRDefault="00000000">
      <w:pPr>
        <w:pStyle w:val="BodyText9"/>
        <w:numPr>
          <w:ilvl w:val="0"/>
          <w:numId w:val="9"/>
        </w:numPr>
        <w:spacing w:after="120"/>
        <w:jc w:val="both"/>
      </w:pPr>
      <w:r>
        <w:rPr>
          <w:b/>
          <w:color w:val="404040" w:themeColor="text1" w:themeTint="BF"/>
        </w:rPr>
        <w:lastRenderedPageBreak/>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w:t>
      </w:r>
      <w:r>
        <w:rPr>
          <w:rFonts w:ascii="Calibri Light" w:eastAsia="Calibri Light" w:hAnsi="Calibri Light" w:cs="Calibri Light"/>
          <w:color w:val="404040" w:themeColor="text1" w:themeTint="BF"/>
          <w:sz w:val="18"/>
        </w:rPr>
        <w:t>[SOC 2: CC1.2, CC1.3]</w:t>
      </w:r>
    </w:p>
    <w:p w14:paraId="17F0E292" w14:textId="77777777" w:rsidR="00030D97" w:rsidRDefault="00000000">
      <w:pPr>
        <w:pStyle w:val="BodyText9"/>
        <w:numPr>
          <w:ilvl w:val="0"/>
          <w:numId w:val="9"/>
        </w:numPr>
        <w:spacing w:after="120"/>
        <w:jc w:val="both"/>
      </w:pPr>
      <w:r>
        <w:rPr>
          <w:b/>
          <w:color w:val="404040" w:themeColor="text1" w:themeTint="BF"/>
        </w:rPr>
        <w:t>Joiner, mover, leaver</w:t>
      </w:r>
      <w:r>
        <w:rPr>
          <w:color w:val="404040" w:themeColor="text1" w:themeTint="BF"/>
        </w:rPr>
        <w:t xml:space="preserve"> — the three events that change a person’s access: starting, changing role, and departing.</w:t>
      </w:r>
    </w:p>
    <w:p w14:paraId="0F30AEAB" w14:textId="77777777" w:rsidR="00030D97" w:rsidRDefault="00000000">
      <w:pPr>
        <w:pStyle w:val="BodyText9"/>
        <w:numPr>
          <w:ilvl w:val="0"/>
          <w:numId w:val="9"/>
        </w:numPr>
        <w:spacing w:after="120"/>
        <w:jc w:val="both"/>
      </w:pPr>
      <w:r>
        <w:rPr>
          <w:b/>
          <w:color w:val="404040" w:themeColor="text1" w:themeTint="BF"/>
        </w:rPr>
        <w:t>Offboarding record</w:t>
      </w:r>
      <w:r>
        <w:rPr>
          <w:color w:val="404040" w:themeColor="text1" w:themeTint="BF"/>
        </w:rPr>
        <w:t xml:space="preserve"> — the dated evidence that a departure was processed, including access revocation timestamps and asset return.</w:t>
      </w:r>
    </w:p>
    <w:p w14:paraId="59A98F5D" w14:textId="77777777" w:rsidR="00030D97" w:rsidRDefault="00000000">
      <w:pPr>
        <w:pStyle w:val="BodyText9"/>
        <w:numPr>
          <w:ilvl w:val="0"/>
          <w:numId w:val="9"/>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58EDDA4B" w14:textId="77777777" w:rsidR="00030D97" w:rsidRDefault="00000000">
      <w:pPr>
        <w:pStyle w:val="BodyText9"/>
        <w:numPr>
          <w:ilvl w:val="0"/>
          <w:numId w:val="9"/>
        </w:numPr>
        <w:spacing w:after="120"/>
        <w:jc w:val="both"/>
      </w:pPr>
      <w:r>
        <w:rPr>
          <w:b/>
          <w:color w:val="404040" w:themeColor="text1" w:themeTint="BF"/>
        </w:rPr>
        <w:t>Sanctions process</w:t>
      </w:r>
      <w:r>
        <w:rPr>
          <w:color w:val="404040" w:themeColor="text1" w:themeTint="BF"/>
        </w:rPr>
        <w:t xml:space="preserve"> — the documented and consistently applied process for addressing policy violations.</w:t>
      </w:r>
    </w:p>
    <w:p w14:paraId="37DC6496" w14:textId="77777777" w:rsidR="00030D97" w:rsidRDefault="00000000">
      <w:pPr>
        <w:pStyle w:val="BodyText9"/>
        <w:numPr>
          <w:ilvl w:val="0"/>
          <w:numId w:val="9"/>
        </w:numPr>
        <w:spacing w:after="120"/>
        <w:jc w:val="both"/>
      </w:pPr>
      <w:r>
        <w:rPr>
          <w:b/>
          <w:color w:val="404040" w:themeColor="text1" w:themeTint="BF"/>
        </w:rPr>
        <w:t>Screening</w:t>
      </w:r>
      <w:r>
        <w:rPr>
          <w:color w:val="404040" w:themeColor="text1" w:themeTint="BF"/>
        </w:rPr>
        <w:t xml:space="preserve"> — identity verification and background checks proportionate to the role and permitted by applicable law.</w:t>
      </w:r>
    </w:p>
    <w:p w14:paraId="1D0B9334" w14:textId="77777777" w:rsidR="00E320B5" w:rsidRDefault="00000000">
      <w:pPr>
        <w:pStyle w:val="BodyText9"/>
        <w:numPr>
          <w:ilvl w:val="0"/>
          <w:numId w:val="9"/>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601AFB05" w14:textId="77777777" w:rsidR="00E320B5" w:rsidRDefault="00000000">
      <w:pPr>
        <w:pStyle w:val="BodyText9"/>
        <w:numPr>
          <w:ilvl w:val="0"/>
          <w:numId w:val="9"/>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061CD373" w14:textId="77777777" w:rsidR="00E320B5" w:rsidRDefault="00000000">
      <w:pPr>
        <w:pStyle w:val="BodyText9"/>
        <w:numPr>
          <w:ilvl w:val="0"/>
          <w:numId w:val="9"/>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1AE89415" w14:textId="77777777" w:rsidR="00030D97" w:rsidRDefault="00000000">
      <w:pPr>
        <w:pStyle w:val="BodyText9"/>
        <w:numPr>
          <w:ilvl w:val="0"/>
          <w:numId w:val="9"/>
        </w:numPr>
        <w:spacing w:after="120"/>
        <w:jc w:val="both"/>
      </w:pPr>
      <w:r>
        <w:rPr>
          <w:b/>
          <w:color w:val="404040" w:themeColor="text1" w:themeTint="BF"/>
        </w:rPr>
        <w:t>Trusted role</w:t>
      </w:r>
      <w:r>
        <w:rPr>
          <w:color w:val="404040" w:themeColor="text1" w:themeTint="BF"/>
        </w:rPr>
        <w:t xml:space="preserve"> — a role holding administrative access to production, customer data, or the identity provider.</w:t>
      </w:r>
    </w:p>
    <w:p w14:paraId="6785B109" w14:textId="77777777" w:rsidR="0019039B" w:rsidRDefault="00000000">
      <w:pPr>
        <w:pStyle w:val="Heading1"/>
        <w:keepNext/>
        <w:spacing w:before="240" w:after="80"/>
      </w:pPr>
      <w:bookmarkStart w:id="8" w:name="_Toc900004"/>
      <w:bookmarkStart w:id="9" w:name="_Toc237809861"/>
      <w:r>
        <w:rPr>
          <w:color w:val="404040" w:themeColor="text1" w:themeTint="BF"/>
        </w:rPr>
        <w:t>Prior to Employment or Engagement</w:t>
      </w:r>
      <w:bookmarkEnd w:id="8"/>
      <w:bookmarkEnd w:id="9"/>
    </w:p>
    <w:p w14:paraId="0EE58415" w14:textId="77777777" w:rsidR="00E320B5" w:rsidRDefault="00000000">
      <w:pPr>
        <w:pStyle w:val="BodyText9"/>
        <w:numPr>
          <w:ilvl w:val="0"/>
          <w:numId w:val="3"/>
        </w:numPr>
        <w:spacing w:after="120"/>
        <w:jc w:val="both"/>
      </w:pPr>
      <w:r>
        <w:rPr>
          <w:color w:val="404040" w:themeColor="text1" w:themeTint="BF"/>
        </w:rPr>
        <w:t xml:space="preserve">Before anyone is given access to Confidential or Restricted information, the Company confirms who they are and carries out checks proportionate to the access involved and permitted by local law. Identity and right to work is the baseline for everyone; anything beyond that is set by the tier in the Screening Standard. Where a contractor is engaged through a firm, that firm's written confirmation that it has screened them is accepted in place of the Company repeating the check.  </w:t>
      </w:r>
      <w:r>
        <w:rPr>
          <w:rFonts w:ascii="Calibri Light" w:eastAsia="Calibri Light" w:hAnsi="Calibri Light" w:cs="Calibri Light"/>
          <w:color w:val="404040" w:themeColor="text1" w:themeTint="BF"/>
          <w:sz w:val="18"/>
        </w:rPr>
        <w:t>[SOC 2: CC1.1, CC1.4 · HIPAA §164.308(a)(3)]</w:t>
      </w:r>
    </w:p>
    <w:p w14:paraId="1608DCFE" w14:textId="77777777" w:rsidR="00E320B5" w:rsidRDefault="00000000">
      <w:pPr>
        <w:pStyle w:val="BodyText9"/>
        <w:numPr>
          <w:ilvl w:val="0"/>
          <w:numId w:val="3"/>
        </w:numPr>
        <w:spacing w:after="120"/>
        <w:jc w:val="both"/>
      </w:pPr>
      <w:r>
        <w:rPr>
          <w:color w:val="404040" w:themeColor="text1" w:themeTint="BF"/>
        </w:rPr>
        <w:t xml:space="preserve">The screening record notes the tier applied, the date and who reviewed it. It is completed before access is granted, and access is not set up until it exists.  </w:t>
      </w:r>
      <w:r>
        <w:rPr>
          <w:rFonts w:ascii="Calibri Light" w:eastAsia="Calibri Light" w:hAnsi="Calibri Light" w:cs="Calibri Light"/>
          <w:color w:val="404040" w:themeColor="text1" w:themeTint="BF"/>
          <w:sz w:val="18"/>
        </w:rPr>
        <w:t>[SOC 2: CC1.1, CC1.4]</w:t>
      </w:r>
    </w:p>
    <w:p w14:paraId="6D12BB10" w14:textId="77777777" w:rsidR="00E320B5" w:rsidRDefault="00000000">
      <w:pPr>
        <w:pStyle w:val="BodyText9"/>
        <w:numPr>
          <w:ilvl w:val="0"/>
          <w:numId w:val="3"/>
        </w:numPr>
        <w:spacing w:after="120"/>
        <w:jc w:val="both"/>
      </w:pPr>
      <w:r>
        <w:rPr>
          <w:color w:val="404040" w:themeColor="text1" w:themeTint="BF"/>
        </w:rPr>
        <w:t xml:space="preserve">Engagements are conditioned on a signed agreement covering confidentiality, intellectual property and acceptance of the Company's security policies, including the Code of Conduct.  </w:t>
      </w:r>
      <w:r>
        <w:rPr>
          <w:rFonts w:ascii="Calibri Light" w:eastAsia="Calibri Light" w:hAnsi="Calibri Light" w:cs="Calibri Light"/>
          <w:color w:val="404040" w:themeColor="text1" w:themeTint="BF"/>
          <w:sz w:val="18"/>
        </w:rPr>
        <w:t>[SOC 2: CC1.5, CC2.2]</w:t>
      </w:r>
    </w:p>
    <w:p w14:paraId="029F36E6" w14:textId="77777777" w:rsidR="00E320B5" w:rsidRDefault="00000000">
      <w:pPr>
        <w:pStyle w:val="BodyText9"/>
        <w:numPr>
          <w:ilvl w:val="0"/>
          <w:numId w:val="3"/>
        </w:numPr>
        <w:spacing w:after="120"/>
        <w:jc w:val="both"/>
      </w:pPr>
      <w:r>
        <w:rPr>
          <w:color w:val="404040" w:themeColor="text1" w:themeTint="BF"/>
        </w:rPr>
        <w:t xml:space="preserve">Each role has a short description — a paragraph is enough — setting out what the role is responsible for securing and any skill or certification the Company relies on. Four to six of these </w:t>
      </w:r>
      <w:r>
        <w:rPr>
          <w:color w:val="404040" w:themeColor="text1" w:themeTint="BF"/>
        </w:rPr>
        <w:lastRenderedPageBreak/>
        <w:t xml:space="preserve">cover the Company at its current size, and a certification a person relies on is confirmed once at engagement rather than re-verified.  </w:t>
      </w:r>
      <w:r>
        <w:rPr>
          <w:rFonts w:ascii="Calibri Light" w:eastAsia="Calibri Light" w:hAnsi="Calibri Light" w:cs="Calibri Light"/>
          <w:color w:val="404040" w:themeColor="text1" w:themeTint="BF"/>
          <w:sz w:val="18"/>
        </w:rPr>
        <w:t>[SOC 2: CC1.4, CC1.3]</w:t>
      </w:r>
    </w:p>
    <w:p w14:paraId="3109C031" w14:textId="77777777" w:rsidR="00A95F5B" w:rsidRDefault="00000000">
      <w:pPr>
        <w:pStyle w:val="BodyText9"/>
        <w:numPr>
          <w:ilvl w:val="0"/>
          <w:numId w:val="3"/>
        </w:numPr>
        <w:spacing w:after="120"/>
        <w:jc w:val="both"/>
      </w:pPr>
      <w:r>
        <w:rPr>
          <w:color w:val="404040" w:themeColor="text1" w:themeTint="BF"/>
        </w:rPr>
        <w:t xml:space="preserve">Screening is carried out to the extent permitted and customary in the person's jurisdiction. Where a criminal record check is unlawful, restricted or disproportionate locally, identity and right-to-work confirmation is sufficient and the reason is noted on the screening record. The least expensive lawful route is used: a self-declaration with documentary evidence, or the engaging firm's written confirmation, in preference to a paid screening service.  </w:t>
      </w:r>
      <w:r>
        <w:rPr>
          <w:rFonts w:ascii="Calibri Light" w:eastAsia="Calibri Light" w:hAnsi="Calibri Light" w:cs="Calibri Light"/>
          <w:color w:val="404040" w:themeColor="text1" w:themeTint="BF"/>
          <w:sz w:val="18"/>
        </w:rPr>
        <w:t>[SOC 2: CC1.1, CC1.4 · HIPAA §164.308(a)(3)]</w:t>
      </w:r>
    </w:p>
    <w:p w14:paraId="5E1ED8D7" w14:textId="77777777" w:rsidR="0019039B" w:rsidRDefault="00000000">
      <w:pPr>
        <w:pStyle w:val="Heading1"/>
        <w:keepNext/>
        <w:spacing w:before="240" w:after="80"/>
      </w:pPr>
      <w:bookmarkStart w:id="10" w:name="_Toc900005"/>
      <w:bookmarkStart w:id="11" w:name="_Toc237809862"/>
      <w:r>
        <w:rPr>
          <w:color w:val="404040" w:themeColor="text1" w:themeTint="BF"/>
        </w:rPr>
        <w:t>During Employment or Engagement</w:t>
      </w:r>
      <w:bookmarkEnd w:id="10"/>
      <w:bookmarkEnd w:id="11"/>
    </w:p>
    <w:p w14:paraId="6071940F" w14:textId="77777777" w:rsidR="00E320B5" w:rsidRDefault="00000000">
      <w:pPr>
        <w:pStyle w:val="BodyText9"/>
        <w:numPr>
          <w:ilvl w:val="0"/>
          <w:numId w:val="4"/>
        </w:numPr>
        <w:spacing w:after="120"/>
        <w:jc w:val="both"/>
      </w:pPr>
      <w:r>
        <w:rPr>
          <w:color w:val="404040" w:themeColor="text1" w:themeTint="BF"/>
        </w:rPr>
        <w:t xml:space="preserve">Everyone completes security awareness training when they join and once a year after that, and accepts the Company's policies on the same cadence. The acceptance record shows the individual, the version accepted and the date, and acceptances are reset when a policy materially changes so that what is held is acceptance of the current version.  </w:t>
      </w:r>
      <w:r>
        <w:rPr>
          <w:rFonts w:ascii="Calibri Light" w:eastAsia="Calibri Light" w:hAnsi="Calibri Light" w:cs="Calibri Light"/>
          <w:color w:val="404040" w:themeColor="text1" w:themeTint="BF"/>
          <w:sz w:val="18"/>
        </w:rPr>
        <w:t>[SOC 2: CC1.1, CC1.4, CC2.2]</w:t>
      </w:r>
    </w:p>
    <w:p w14:paraId="0049E922" w14:textId="77777777" w:rsidR="00E320B5" w:rsidRDefault="00000000">
      <w:pPr>
        <w:pStyle w:val="BodyText9"/>
        <w:numPr>
          <w:ilvl w:val="0"/>
          <w:numId w:val="4"/>
        </w:numPr>
        <w:spacing w:after="120"/>
        <w:jc w:val="both"/>
      </w:pPr>
      <w:r>
        <w:rPr>
          <w:color w:val="404040" w:themeColor="text1" w:themeTint="BF"/>
        </w:rPr>
        <w:t xml:space="preserve">Access is granted, changed and reviewed under the Access Control Policy as roles change.  </w:t>
      </w:r>
      <w:r>
        <w:rPr>
          <w:rFonts w:ascii="Calibri Light" w:eastAsia="Calibri Light" w:hAnsi="Calibri Light" w:cs="Calibri Light"/>
          <w:color w:val="404040" w:themeColor="text1" w:themeTint="BF"/>
          <w:sz w:val="18"/>
        </w:rPr>
        <w:t>[SOC 2: CC6.2, CC6.3]</w:t>
      </w:r>
    </w:p>
    <w:p w14:paraId="2E815D1F" w14:textId="77777777" w:rsidR="00E320B5" w:rsidRDefault="00000000">
      <w:pPr>
        <w:pStyle w:val="BodyText9"/>
        <w:numPr>
          <w:ilvl w:val="0"/>
          <w:numId w:val="4"/>
        </w:numPr>
        <w:spacing w:after="120"/>
        <w:jc w:val="both"/>
      </w:pPr>
      <w:r>
        <w:rPr>
          <w:color w:val="404040" w:themeColor="text1" w:themeTint="BF"/>
        </w:rPr>
        <w:t xml:space="preserve">Anyone who becomes aware of a role change, an extended absence or a conduct concern bearing on system access tells the Security Officer. The Company has no management layer, so this sits with whoever knows rather than necessarily with a manager unless the manager resides.  </w:t>
      </w:r>
      <w:r>
        <w:rPr>
          <w:rFonts w:ascii="Calibri Light" w:eastAsia="Calibri Light" w:hAnsi="Calibri Light" w:cs="Calibri Light"/>
          <w:color w:val="404040" w:themeColor="text1" w:themeTint="BF"/>
          <w:sz w:val="18"/>
        </w:rPr>
        <w:t>[SOC 2: CC1.5, CC6.2]</w:t>
      </w:r>
    </w:p>
    <w:p w14:paraId="33DE48B4" w14:textId="47C28DD7" w:rsidR="00E320B5" w:rsidRDefault="00000000">
      <w:pPr>
        <w:pStyle w:val="BodyText9"/>
        <w:numPr>
          <w:ilvl w:val="0"/>
          <w:numId w:val="4"/>
        </w:numPr>
        <w:spacing w:after="120"/>
        <w:jc w:val="both"/>
      </w:pPr>
      <w:r>
        <w:rPr>
          <w:color w:val="404040" w:themeColor="text1" w:themeTint="BF"/>
        </w:rPr>
        <w:t xml:space="preserve">Once a year the CEO </w:t>
      </w:r>
      <w:r w:rsidR="00DE1A6D">
        <w:rPr>
          <w:color w:val="404040" w:themeColor="text1" w:themeTint="BF"/>
        </w:rPr>
        <w:t xml:space="preserve">or CEO’s delegate </w:t>
      </w:r>
      <w:r>
        <w:rPr>
          <w:color w:val="404040" w:themeColor="text1" w:themeTint="BF"/>
        </w:rPr>
        <w:t xml:space="preserve">records, in a single dated note covering everyone, that each person's security and control responsibilities have been discussed and are being met. The Company runs no formal performance cycle and this note is what satisfies the requirement; it is made in the same sitting as the annual control environment assessment.  </w:t>
      </w:r>
      <w:r>
        <w:rPr>
          <w:rFonts w:ascii="Calibri Light" w:eastAsia="Calibri Light" w:hAnsi="Calibri Light" w:cs="Calibri Light"/>
          <w:color w:val="404040" w:themeColor="text1" w:themeTint="BF"/>
          <w:sz w:val="18"/>
        </w:rPr>
        <w:t>[SOC 2: CC1.5]</w:t>
      </w:r>
    </w:p>
    <w:p w14:paraId="7197EC77" w14:textId="77777777" w:rsidR="00E320B5" w:rsidRDefault="00000000">
      <w:pPr>
        <w:pStyle w:val="BodyText9"/>
        <w:numPr>
          <w:ilvl w:val="0"/>
          <w:numId w:val="4"/>
        </w:numPr>
        <w:spacing w:after="120"/>
        <w:jc w:val="both"/>
      </w:pPr>
      <w:r>
        <w:rPr>
          <w:color w:val="404040" w:themeColor="text1" w:themeTint="BF"/>
        </w:rPr>
        <w:t xml:space="preserve">Where a policy is breached, the Security Officer sets out the finding and recommends what should happen, and the CEO decides, records the decision and applies it consistently. Each case gets a short dated note of the finding, the decision and the reason for it, written even where the decision is to do nothing further, and any departure from how a comparable case was handled is explained in that note.  </w:t>
      </w:r>
      <w:r>
        <w:rPr>
          <w:rFonts w:ascii="Calibri Light" w:eastAsia="Calibri Light" w:hAnsi="Calibri Light" w:cs="Calibri Light"/>
          <w:color w:val="404040" w:themeColor="text1" w:themeTint="BF"/>
          <w:sz w:val="18"/>
        </w:rPr>
        <w:t>[SOC 2: CC1.1, CC1.5]</w:t>
      </w:r>
    </w:p>
    <w:p w14:paraId="6C579195" w14:textId="77777777" w:rsidR="00E320B5" w:rsidRDefault="00000000">
      <w:pPr>
        <w:pStyle w:val="BodyText9"/>
        <w:numPr>
          <w:ilvl w:val="0"/>
          <w:numId w:val="4"/>
        </w:numPr>
        <w:spacing w:after="120"/>
        <w:jc w:val="both"/>
      </w:pPr>
      <w:r>
        <w:rPr>
          <w:color w:val="404040" w:themeColor="text1" w:themeTint="BF"/>
        </w:rPr>
        <w:t xml:space="preserve">Personnel acknowledge the Code of Conduct's remote working expectations — the device measures, and handling screens, conversations and printed material away from a Company location — inside the same annual acceptance. There is no separate remote working form.  </w:t>
      </w:r>
      <w:r>
        <w:rPr>
          <w:rFonts w:ascii="Calibri Light" w:eastAsia="Calibri Light" w:hAnsi="Calibri Light" w:cs="Calibri Light"/>
          <w:color w:val="404040" w:themeColor="text1" w:themeTint="BF"/>
          <w:sz w:val="18"/>
        </w:rPr>
        <w:t>[SOC 2: CC1.4, CC6.4]</w:t>
      </w:r>
    </w:p>
    <w:p w14:paraId="7678E0CF" w14:textId="77777777" w:rsidR="00A95F5B" w:rsidRDefault="00000000">
      <w:pPr>
        <w:pStyle w:val="BodyText9"/>
        <w:numPr>
          <w:ilvl w:val="0"/>
          <w:numId w:val="4"/>
        </w:numPr>
        <w:spacing w:after="120"/>
        <w:jc w:val="both"/>
      </w:pPr>
      <w:r>
        <w:rPr>
          <w:color w:val="404040" w:themeColor="text1" w:themeTint="BF"/>
        </w:rPr>
        <w:t xml:space="preserve">Training may be delivered through free or already-licensed material — the provider's own security modules, a short internally written briefing, or open courseware — provided completion is recorded. A paid awareness platform is not required at the Company's current size.  </w:t>
      </w:r>
      <w:r>
        <w:rPr>
          <w:rFonts w:ascii="Calibri Light" w:eastAsia="Calibri Light" w:hAnsi="Calibri Light" w:cs="Calibri Light"/>
          <w:color w:val="404040" w:themeColor="text1" w:themeTint="BF"/>
          <w:sz w:val="18"/>
        </w:rPr>
        <w:t>[SOC 2: CC1.4, CC2.2]</w:t>
      </w:r>
    </w:p>
    <w:p w14:paraId="165563C2" w14:textId="77777777" w:rsidR="0019039B" w:rsidRDefault="00000000">
      <w:pPr>
        <w:pStyle w:val="Heading1"/>
        <w:keepNext/>
        <w:spacing w:before="240" w:after="80"/>
      </w:pPr>
      <w:bookmarkStart w:id="12" w:name="_Toc900006"/>
      <w:bookmarkStart w:id="13" w:name="_Toc237809863"/>
      <w:r>
        <w:rPr>
          <w:color w:val="404040" w:themeColor="text1" w:themeTint="BF"/>
        </w:rPr>
        <w:lastRenderedPageBreak/>
        <w:t>Termination and Change of Engagement</w:t>
      </w:r>
      <w:bookmarkEnd w:id="12"/>
      <w:bookmarkEnd w:id="13"/>
    </w:p>
    <w:p w14:paraId="64E0B502" w14:textId="77777777" w:rsidR="009963BA" w:rsidRDefault="00000000">
      <w:pPr>
        <w:pStyle w:val="BodyText9"/>
        <w:numPr>
          <w:ilvl w:val="0"/>
          <w:numId w:val="5"/>
        </w:numPr>
        <w:spacing w:after="120"/>
        <w:jc w:val="both"/>
      </w:pPr>
      <w:r>
        <w:rPr>
          <w:color w:val="404040" w:themeColor="text1" w:themeTint="BF"/>
        </w:rPr>
        <w:t xml:space="preserve">Access is revoked when someone leaves or their role changes, on the timing and by the steps set out in Section 10. That section is the operative one; this section states the obligation, not a second process.  </w:t>
      </w:r>
      <w:r>
        <w:rPr>
          <w:rFonts w:ascii="Calibri Light" w:eastAsia="Calibri Light" w:hAnsi="Calibri Light" w:cs="Calibri Light"/>
          <w:color w:val="404040" w:themeColor="text1" w:themeTint="BF"/>
          <w:sz w:val="18"/>
        </w:rPr>
        <w:t>[SOC 2: CC6.2, CC6.3]</w:t>
      </w:r>
    </w:p>
    <w:p w14:paraId="1B8CFC06" w14:textId="77777777" w:rsidR="009963BA" w:rsidRDefault="00000000">
      <w:pPr>
        <w:pStyle w:val="BodyText9"/>
        <w:numPr>
          <w:ilvl w:val="0"/>
          <w:numId w:val="5"/>
        </w:numPr>
        <w:spacing w:after="120"/>
        <w:jc w:val="both"/>
      </w:pPr>
      <w:r>
        <w:rPr>
          <w:color w:val="404040" w:themeColor="text1" w:themeTint="BF"/>
        </w:rPr>
        <w:t xml:space="preserve">Company equipment and credentials are returned, and the person confirms they have deleted Company information from their own devices and accounts. Confidentiality obligations continue after the engagement ends and are restated in the departure note.  </w:t>
      </w:r>
      <w:r>
        <w:rPr>
          <w:rFonts w:ascii="Calibri Light" w:eastAsia="Calibri Light" w:hAnsi="Calibri Light" w:cs="Calibri Light"/>
          <w:color w:val="404040" w:themeColor="text1" w:themeTint="BF"/>
          <w:sz w:val="18"/>
        </w:rPr>
        <w:t>[SOC 2: CC6.5, CC1.1 · HIPAA §164.310(d)(1)]</w:t>
      </w:r>
    </w:p>
    <w:p w14:paraId="0AAD340C" w14:textId="77777777" w:rsidR="00030D97" w:rsidRDefault="00000000">
      <w:pPr>
        <w:pStyle w:val="Heading1"/>
        <w:keepNext/>
        <w:spacing w:before="240" w:after="80"/>
      </w:pPr>
      <w:bookmarkStart w:id="14" w:name="_Toc237809864"/>
      <w:r>
        <w:rPr>
          <w:color w:val="404040" w:themeColor="text1" w:themeTint="BF"/>
        </w:rPr>
        <w:t>Contractors and Third-Party Personnel</w:t>
      </w:r>
      <w:bookmarkEnd w:id="14"/>
    </w:p>
    <w:p w14:paraId="31B256E0" w14:textId="77777777" w:rsidR="00030D97" w:rsidRDefault="00000000">
      <w:pPr>
        <w:spacing w:after="120"/>
        <w:jc w:val="both"/>
        <w:rPr>
          <w:color w:val="262626" w:themeColor="text1" w:themeTint="D9"/>
        </w:rPr>
      </w:pPr>
      <w:r>
        <w:rPr>
          <w:szCs w:val="22"/>
        </w:rPr>
        <w:t>The Company engages contractors and consultants alongside employees. Their access is often equivalent, so their controls shall be equivalent. Where an obligation cannot be imposed by employment, it shall be imposed by contract.</w:t>
      </w:r>
    </w:p>
    <w:p w14:paraId="21BB90CA" w14:textId="77777777" w:rsidR="009963BA" w:rsidRDefault="00000000">
      <w:pPr>
        <w:pStyle w:val="BodyText9"/>
        <w:numPr>
          <w:ilvl w:val="0"/>
          <w:numId w:val="10"/>
        </w:numPr>
        <w:spacing w:after="120"/>
        <w:jc w:val="both"/>
      </w:pPr>
      <w:r>
        <w:rPr>
          <w:color w:val="404040" w:themeColor="text1" w:themeTint="BF"/>
        </w:rPr>
        <w:t xml:space="preserve">Contractors, consultants and fractional personnel are held to the same screening, security awareness training and policy acknowledgment requirements as employees, proportionate to the access they hold and to the extent lawful where they work. Almost everyone engaged by the Company works on this basis, so this is the ordinary case rather than an exception.  </w:t>
      </w:r>
      <w:r>
        <w:rPr>
          <w:rFonts w:ascii="Calibri Light" w:eastAsia="Calibri Light" w:hAnsi="Calibri Light" w:cs="Calibri Light"/>
          <w:color w:val="404040" w:themeColor="text1" w:themeTint="BF"/>
          <w:sz w:val="18"/>
        </w:rPr>
        <w:t>[SOC 2: CC1.4, CC1.1 · HIPAA §164.308(a)(3)]</w:t>
      </w:r>
    </w:p>
    <w:p w14:paraId="33AE5ED0" w14:textId="77777777" w:rsidR="009963BA" w:rsidRDefault="00000000">
      <w:pPr>
        <w:pStyle w:val="BodyText9"/>
        <w:numPr>
          <w:ilvl w:val="0"/>
          <w:numId w:val="10"/>
        </w:numPr>
        <w:spacing w:after="120"/>
        <w:jc w:val="both"/>
      </w:pPr>
      <w:r>
        <w:rPr>
          <w:color w:val="404040" w:themeColor="text1" w:themeTint="BF"/>
        </w:rPr>
        <w:t xml:space="preserve">Where an engaging firm carries out the screening, or where local employment or data protection law limits what the Company may ask of someone directly, the firm's written confirmation that equivalent checks were completed is kept in place of the underlying record. The Company does not ask anyone to submit to a check that would be unlawful where they work.  </w:t>
      </w:r>
      <w:r>
        <w:rPr>
          <w:rFonts w:ascii="Calibri Light" w:eastAsia="Calibri Light" w:hAnsi="Calibri Light" w:cs="Calibri Light"/>
          <w:color w:val="404040" w:themeColor="text1" w:themeTint="BF"/>
          <w:sz w:val="18"/>
        </w:rPr>
        <w:t>[SOC 2: CC1.4, CC9.2]</w:t>
      </w:r>
    </w:p>
    <w:p w14:paraId="43782BB4" w14:textId="77777777" w:rsidR="009963BA" w:rsidRDefault="00000000">
      <w:pPr>
        <w:pStyle w:val="BodyText9"/>
        <w:numPr>
          <w:ilvl w:val="0"/>
          <w:numId w:val="10"/>
        </w:numPr>
        <w:spacing w:after="120"/>
        <w:jc w:val="both"/>
      </w:pPr>
      <w:r>
        <w:rPr>
          <w:color w:val="404040" w:themeColor="text1" w:themeTint="BF"/>
        </w:rPr>
        <w:t xml:space="preserve">The simplest way to hold contractors to the same set is to assign them the same policy, training and screening items as employees in whatever the Company already uses to keep track of people. Where it keeps no such system, one shared list serves the same purpose. No particular platform is required.  </w:t>
      </w:r>
      <w:r>
        <w:rPr>
          <w:rFonts w:ascii="Calibri Light" w:eastAsia="Calibri Light" w:hAnsi="Calibri Light" w:cs="Calibri Light"/>
          <w:color w:val="404040" w:themeColor="text1" w:themeTint="BF"/>
          <w:sz w:val="18"/>
        </w:rPr>
        <w:t>[SOC 2: CC1.4, CC5.3]</w:t>
      </w:r>
    </w:p>
    <w:p w14:paraId="74315F92" w14:textId="77777777" w:rsidR="009963BA" w:rsidRDefault="00000000">
      <w:pPr>
        <w:pStyle w:val="BodyText9"/>
        <w:numPr>
          <w:ilvl w:val="0"/>
          <w:numId w:val="10"/>
        </w:numPr>
        <w:spacing w:after="120"/>
        <w:jc w:val="both"/>
      </w:pPr>
      <w:r>
        <w:rPr>
          <w:color w:val="404040" w:themeColor="text1" w:themeTint="BF"/>
        </w:rPr>
        <w:t xml:space="preserve">Engagement terms incorporate the Code of Conduct and the Acceptable Use Policy by name, together with the confidentiality and intellectual property terms required of employees.  </w:t>
      </w:r>
      <w:r>
        <w:rPr>
          <w:rFonts w:ascii="Calibri Light" w:eastAsia="Calibri Light" w:hAnsi="Calibri Light" w:cs="Calibri Light"/>
          <w:color w:val="404040" w:themeColor="text1" w:themeTint="BF"/>
          <w:sz w:val="18"/>
        </w:rPr>
        <w:t>[SOC 2: CC1.1, CC9.2]</w:t>
      </w:r>
    </w:p>
    <w:p w14:paraId="252C534F" w14:textId="77777777" w:rsidR="009963BA" w:rsidRDefault="00000000">
      <w:pPr>
        <w:pStyle w:val="BodyText9"/>
        <w:numPr>
          <w:ilvl w:val="0"/>
          <w:numId w:val="10"/>
        </w:numPr>
        <w:spacing w:after="120"/>
        <w:jc w:val="both"/>
      </w:pPr>
      <w:r>
        <w:rPr>
          <w:color w:val="404040" w:themeColor="text1" w:themeTint="BF"/>
        </w:rPr>
        <w:t xml:space="preserve">Every contractor has a named internal sponsor accountable for their access, their onboarding and starting their offboarding. At this size that is usually the person who engaged them.  </w:t>
      </w:r>
      <w:r>
        <w:rPr>
          <w:rFonts w:ascii="Calibri Light" w:eastAsia="Calibri Light" w:hAnsi="Calibri Light" w:cs="Calibri Light"/>
          <w:color w:val="404040" w:themeColor="text1" w:themeTint="BF"/>
          <w:sz w:val="18"/>
        </w:rPr>
        <w:t>[SOC 2: CC1.3, CC6.2]</w:t>
      </w:r>
    </w:p>
    <w:p w14:paraId="3084CD80" w14:textId="77777777" w:rsidR="009963BA" w:rsidRDefault="00000000">
      <w:pPr>
        <w:pStyle w:val="BodyText9"/>
        <w:numPr>
          <w:ilvl w:val="0"/>
          <w:numId w:val="10"/>
        </w:numPr>
        <w:spacing w:after="120"/>
        <w:jc w:val="both"/>
      </w:pPr>
      <w:r>
        <w:rPr>
          <w:color w:val="404040" w:themeColor="text1" w:themeTint="BF"/>
        </w:rPr>
        <w:t xml:space="preserve">Each engagement carries an end date — recorded in the identity provider where it supports one, and otherwise on the personnel list — so that access lapses rather than persisting unnoticed. Access is reviewed at renewal and at the access review under the Access Control Policy, and access is suspended where someone has not worked on an engagement for ninety days.  </w:t>
      </w:r>
      <w:r>
        <w:rPr>
          <w:rFonts w:ascii="Calibri Light" w:eastAsia="Calibri Light" w:hAnsi="Calibri Light" w:cs="Calibri Light"/>
          <w:color w:val="404040" w:themeColor="text1" w:themeTint="BF"/>
          <w:sz w:val="18"/>
        </w:rPr>
        <w:t>[SOC 2: CC6.2, CC6.3]</w:t>
      </w:r>
    </w:p>
    <w:p w14:paraId="71CC6C22" w14:textId="77777777" w:rsidR="009963BA" w:rsidRDefault="00000000">
      <w:pPr>
        <w:pStyle w:val="BodyText9"/>
        <w:numPr>
          <w:ilvl w:val="0"/>
          <w:numId w:val="10"/>
        </w:numPr>
        <w:spacing w:after="120"/>
        <w:jc w:val="both"/>
      </w:pPr>
      <w:r>
        <w:rPr>
          <w:color w:val="404040" w:themeColor="text1" w:themeTint="BF"/>
        </w:rPr>
        <w:t xml:space="preserve">Where a contractor works from equipment the Company does not manage, work is done in the Company's cloud services under the conditions in the Code of Conduct, and Confidential or Restricted information is not stored locally.  </w:t>
      </w:r>
      <w:r>
        <w:rPr>
          <w:rFonts w:ascii="Calibri Light" w:eastAsia="Calibri Light" w:hAnsi="Calibri Light" w:cs="Calibri Light"/>
          <w:color w:val="404040" w:themeColor="text1" w:themeTint="BF"/>
          <w:sz w:val="18"/>
        </w:rPr>
        <w:t>[SOC 2: CC6.4, C1.1 · GDPR Art. 32]</w:t>
      </w:r>
    </w:p>
    <w:p w14:paraId="4A5D3CE0" w14:textId="77777777" w:rsidR="00030D97" w:rsidRDefault="00000000">
      <w:pPr>
        <w:pStyle w:val="Heading1"/>
        <w:keepNext/>
        <w:spacing w:before="240" w:after="80"/>
      </w:pPr>
      <w:bookmarkStart w:id="15" w:name="_Toc237809865"/>
      <w:r>
        <w:rPr>
          <w:color w:val="404040" w:themeColor="text1" w:themeTint="BF"/>
        </w:rPr>
        <w:lastRenderedPageBreak/>
        <w:t>Access Provisioning at Onboarding</w:t>
      </w:r>
      <w:bookmarkEnd w:id="15"/>
    </w:p>
    <w:p w14:paraId="75F54632" w14:textId="77777777" w:rsidR="00030D97" w:rsidRDefault="00000000">
      <w:pPr>
        <w:spacing w:after="120"/>
        <w:jc w:val="both"/>
        <w:rPr>
          <w:color w:val="262626" w:themeColor="text1" w:themeTint="D9"/>
        </w:rPr>
      </w:pPr>
      <w:r>
        <w:rPr>
          <w:szCs w:val="22"/>
        </w:rPr>
        <w:t>The Company uses a single identity provider, and joiners are provisioned through it. Provisioning is where least privilege is either established or lost.</w:t>
      </w:r>
    </w:p>
    <w:p w14:paraId="5D92F0C9" w14:textId="77777777" w:rsidR="00030D97" w:rsidRDefault="00000000">
      <w:pPr>
        <w:pStyle w:val="BodyText9"/>
        <w:numPr>
          <w:ilvl w:val="0"/>
          <w:numId w:val="11"/>
        </w:numPr>
        <w:spacing w:after="120"/>
        <w:jc w:val="both"/>
      </w:pPr>
      <w:r>
        <w:rPr>
          <w:color w:val="404040" w:themeColor="text1" w:themeTint="BF"/>
        </w:rPr>
        <w:t>Access shall be requested and approved before it is granted, and the request record shall name the approver and the date.</w:t>
      </w:r>
      <w:r>
        <w:rPr>
          <w:color w:val="262626"/>
          <w:szCs w:val="18"/>
        </w:rPr>
        <w:t xml:space="preserve">  </w:t>
      </w:r>
      <w:r>
        <w:rPr>
          <w:rFonts w:ascii="Calibri Light" w:eastAsia="Calibri Light" w:hAnsi="Calibri Light" w:cs="Calibri Light"/>
          <w:color w:val="404040" w:themeColor="text1" w:themeTint="BF"/>
          <w:sz w:val="18"/>
        </w:rPr>
        <w:t>[SOC 2: CC6.2 · HIPAA §164.308(a)(4)]</w:t>
      </w:r>
    </w:p>
    <w:p w14:paraId="692C3C30" w14:textId="77777777" w:rsidR="00030D97" w:rsidRDefault="00000000">
      <w:pPr>
        <w:pStyle w:val="BodyText9"/>
        <w:numPr>
          <w:ilvl w:val="0"/>
          <w:numId w:val="11"/>
        </w:numPr>
        <w:spacing w:after="120"/>
        <w:jc w:val="both"/>
      </w:pPr>
      <w:r>
        <w:rPr>
          <w:color w:val="404040" w:themeColor="text1" w:themeTint="BF"/>
        </w:rPr>
        <w:t>New personnel shall be granted a defined baseline role appropriate to their position rather than access copied from an existing user, since copied access propagates entitlements nobody has reviewed.</w:t>
      </w:r>
      <w:r>
        <w:rPr>
          <w:color w:val="262626"/>
          <w:szCs w:val="18"/>
        </w:rPr>
        <w:t xml:space="preserve">  </w:t>
      </w:r>
      <w:r>
        <w:rPr>
          <w:rFonts w:ascii="Calibri Light" w:eastAsia="Calibri Light" w:hAnsi="Calibri Light" w:cs="Calibri Light"/>
          <w:color w:val="404040" w:themeColor="text1" w:themeTint="BF"/>
          <w:sz w:val="18"/>
        </w:rPr>
        <w:t>[SOC 2: CC6.3]</w:t>
      </w:r>
    </w:p>
    <w:p w14:paraId="610DF03A" w14:textId="77777777" w:rsidR="00030D97" w:rsidRDefault="00000000">
      <w:pPr>
        <w:pStyle w:val="BodyText9"/>
        <w:numPr>
          <w:ilvl w:val="0"/>
          <w:numId w:val="11"/>
        </w:numPr>
        <w:spacing w:after="120"/>
        <w:jc w:val="both"/>
      </w:pPr>
      <w:r>
        <w:rPr>
          <w:color w:val="404040" w:themeColor="text1" w:themeTint="BF"/>
        </w:rPr>
        <w:t>Access to production systems, customer data and Google Workspace administration is approved separately by the CEO or her delegate.</w:t>
      </w:r>
      <w:r>
        <w:rPr>
          <w:color w:val="262626"/>
          <w:szCs w:val="18"/>
        </w:rPr>
        <w:t xml:space="preserve">  </w:t>
      </w:r>
      <w:r>
        <w:rPr>
          <w:rFonts w:ascii="Calibri Light" w:eastAsia="Calibri Light" w:hAnsi="Calibri Light" w:cs="Calibri Light"/>
          <w:color w:val="404040" w:themeColor="text1" w:themeTint="BF"/>
          <w:sz w:val="18"/>
        </w:rPr>
        <w:t>[SOC 2: CC6.3]</w:t>
      </w:r>
    </w:p>
    <w:p w14:paraId="6EC5C566" w14:textId="77777777" w:rsidR="00030D97" w:rsidRDefault="00000000">
      <w:pPr>
        <w:pStyle w:val="BodyText9"/>
        <w:numPr>
          <w:ilvl w:val="0"/>
          <w:numId w:val="11"/>
        </w:numPr>
        <w:spacing w:after="120"/>
        <w:jc w:val="both"/>
      </w:pPr>
      <w:r>
        <w:rPr>
          <w:color w:val="404040" w:themeColor="text1" w:themeTint="BF"/>
        </w:rPr>
        <w:t>Applications shall be reached through single sign-on wherever technically possible, so that a single suspension at departure removes access everywhere.</w:t>
      </w:r>
      <w:r>
        <w:rPr>
          <w:color w:val="262626"/>
          <w:szCs w:val="18"/>
        </w:rPr>
        <w:t xml:space="preserve">  </w:t>
      </w:r>
      <w:r>
        <w:rPr>
          <w:rFonts w:ascii="Calibri Light" w:eastAsia="Calibri Light" w:hAnsi="Calibri Light" w:cs="Calibri Light"/>
          <w:color w:val="404040" w:themeColor="text1" w:themeTint="BF"/>
          <w:sz w:val="18"/>
        </w:rPr>
        <w:t>[SOC 2: CC6.1, CC6.2]</w:t>
      </w:r>
    </w:p>
    <w:p w14:paraId="3432BC36" w14:textId="77777777" w:rsidR="00030D97" w:rsidRDefault="00000000">
      <w:pPr>
        <w:pStyle w:val="BodyText9"/>
        <w:numPr>
          <w:ilvl w:val="0"/>
          <w:numId w:val="11"/>
        </w:numPr>
        <w:spacing w:after="120"/>
        <w:jc w:val="both"/>
      </w:pPr>
      <w:r>
        <w:rPr>
          <w:color w:val="404040" w:themeColor="text1" w:themeTint="BF"/>
        </w:rPr>
        <w:t>Onboarding shall not be marked complete until policy acknowledgement and initial security training are recorded.</w:t>
      </w:r>
      <w:r>
        <w:rPr>
          <w:color w:val="262626"/>
          <w:szCs w:val="18"/>
        </w:rPr>
        <w:t xml:space="preserve">  </w:t>
      </w:r>
      <w:r>
        <w:rPr>
          <w:rFonts w:ascii="Calibri Light" w:eastAsia="Calibri Light" w:hAnsi="Calibri Light" w:cs="Calibri Light"/>
          <w:color w:val="404040" w:themeColor="text1" w:themeTint="BF"/>
          <w:sz w:val="18"/>
        </w:rPr>
        <w:t>[SOC 2: CC1.4, CC2.2]</w:t>
      </w:r>
    </w:p>
    <w:p w14:paraId="196B3B83" w14:textId="77777777" w:rsidR="00E320B5" w:rsidRDefault="00000000">
      <w:pPr>
        <w:pStyle w:val="BodyText9"/>
        <w:numPr>
          <w:ilvl w:val="0"/>
          <w:numId w:val="11"/>
        </w:numPr>
        <w:spacing w:after="120"/>
        <w:jc w:val="both"/>
      </w:pPr>
      <w:r>
        <w:rPr>
          <w:color w:val="404040" w:themeColor="text1" w:themeTint="BF"/>
        </w:rPr>
        <w:t xml:space="preserve">The onboarding checklist shall be completed and retained for every joiner, employee or contractor alike, covering policy acceptance, training assignment, screening record, access granted in AWS, GitHub and the Google Workspace identity provider, other relevant resources, and any equipment issued. The completed checklist is the evidence that onboarding occurred; a joiner without one is a finding.  </w:t>
      </w:r>
      <w:r>
        <w:rPr>
          <w:rFonts w:ascii="Calibri Light" w:eastAsia="Calibri Light" w:hAnsi="Calibri Light" w:cs="Calibri Light"/>
          <w:color w:val="404040" w:themeColor="text1" w:themeTint="BF"/>
          <w:sz w:val="18"/>
        </w:rPr>
        <w:t>[SOC 2: CC1.4, CC6.2]</w:t>
      </w:r>
    </w:p>
    <w:p w14:paraId="41D6C68A" w14:textId="77777777" w:rsidR="00030D97" w:rsidRDefault="00000000">
      <w:pPr>
        <w:pStyle w:val="Heading1"/>
        <w:keepNext/>
        <w:spacing w:before="240" w:after="80"/>
      </w:pPr>
      <w:bookmarkStart w:id="16" w:name="_Toc237809866"/>
      <w:r>
        <w:rPr>
          <w:color w:val="404040" w:themeColor="text1" w:themeTint="BF"/>
        </w:rPr>
        <w:t>Departure and Access Revocation</w:t>
      </w:r>
      <w:bookmarkEnd w:id="16"/>
    </w:p>
    <w:p w14:paraId="678B6D94" w14:textId="77777777" w:rsidR="00030D97" w:rsidRDefault="00000000">
      <w:pPr>
        <w:spacing w:after="120"/>
        <w:jc w:val="both"/>
        <w:rPr>
          <w:color w:val="262626" w:themeColor="text1" w:themeTint="D9"/>
        </w:rPr>
      </w:pPr>
      <w:r>
        <w:rPr>
          <w:szCs w:val="22"/>
        </w:rPr>
        <w:t>The personnel list is the authoritative trigger for revocation. Everything downstream depends on that entry being made promptly and accurately.</w:t>
      </w:r>
    </w:p>
    <w:p w14:paraId="6AF7B19C" w14:textId="77777777" w:rsidR="00E320B5" w:rsidRDefault="00000000">
      <w:pPr>
        <w:pStyle w:val="BodyText9"/>
        <w:numPr>
          <w:ilvl w:val="0"/>
          <w:numId w:val="12"/>
        </w:numPr>
        <w:spacing w:after="120"/>
        <w:jc w:val="both"/>
      </w:pPr>
      <w:r>
        <w:rPr>
          <w:color w:val="404040" w:themeColor="text1" w:themeTint="BF"/>
        </w:rPr>
        <w:t xml:space="preserve">The Company runs no human resources system. A departure is recorded on the personnel list by the Security Officer or the person's sponsor, and that entry is what triggers offboarding. A departure agreed in conversation is not complete until it is written there.  </w:t>
      </w:r>
      <w:r>
        <w:rPr>
          <w:rFonts w:ascii="Calibri Light" w:eastAsia="Calibri Light" w:hAnsi="Calibri Light" w:cs="Calibri Light"/>
          <w:color w:val="404040" w:themeColor="text1" w:themeTint="BF"/>
          <w:sz w:val="18"/>
        </w:rPr>
        <w:t>[SOC 2: CC6.2 · HIPAA §164.308(a)(3)(ii)(C)]</w:t>
      </w:r>
    </w:p>
    <w:p w14:paraId="3B65AEA0" w14:textId="77777777" w:rsidR="00E320B5" w:rsidRDefault="00000000">
      <w:pPr>
        <w:pStyle w:val="BodyText9"/>
        <w:numPr>
          <w:ilvl w:val="0"/>
          <w:numId w:val="12"/>
        </w:numPr>
        <w:spacing w:after="120"/>
        <w:jc w:val="both"/>
      </w:pPr>
      <w:r>
        <w:rPr>
          <w:color w:val="404040" w:themeColor="text1" w:themeTint="BF"/>
        </w:rPr>
        <w:t xml:space="preserve">Google Workspace access, AWS access, and other resources as relevant is suspended on the last working day, and immediately where the departure is involuntary. The suspension timestamp is the evidence and no separate record is needed.  </w:t>
      </w:r>
      <w:r>
        <w:rPr>
          <w:rFonts w:ascii="Calibri Light" w:eastAsia="Calibri Light" w:hAnsi="Calibri Light" w:cs="Calibri Light"/>
          <w:color w:val="404040" w:themeColor="text1" w:themeTint="BF"/>
          <w:sz w:val="18"/>
        </w:rPr>
        <w:t>[SOC 2: CC6.2]</w:t>
      </w:r>
    </w:p>
    <w:p w14:paraId="46E8FAD4" w14:textId="77777777" w:rsidR="00E320B5" w:rsidRDefault="00000000">
      <w:pPr>
        <w:pStyle w:val="BodyText9"/>
        <w:numPr>
          <w:ilvl w:val="0"/>
          <w:numId w:val="12"/>
        </w:numPr>
        <w:spacing w:after="120"/>
        <w:jc w:val="both"/>
      </w:pPr>
      <w:r>
        <w:rPr>
          <w:color w:val="404040" w:themeColor="text1" w:themeTint="BF"/>
        </w:rPr>
        <w:t xml:space="preserve">Access that does not run through Google Workspace sign-in is listed by name on the offboarding checklist and removed one by one — AWS, GitHub, any shared credential in the password manager, and any third-party model or AI service. The list is short at this size and is kept current as tools change.  </w:t>
      </w:r>
      <w:r>
        <w:rPr>
          <w:rFonts w:ascii="Calibri Light" w:eastAsia="Calibri Light" w:hAnsi="Calibri Light" w:cs="Calibri Light"/>
          <w:color w:val="404040" w:themeColor="text1" w:themeTint="BF"/>
          <w:sz w:val="18"/>
        </w:rPr>
        <w:t>[SOC 2: CC6.2, CC6.3]</w:t>
      </w:r>
    </w:p>
    <w:p w14:paraId="72EB7486" w14:textId="77777777" w:rsidR="00E320B5" w:rsidRDefault="00000000">
      <w:pPr>
        <w:pStyle w:val="BodyText9"/>
        <w:numPr>
          <w:ilvl w:val="0"/>
          <w:numId w:val="12"/>
        </w:numPr>
        <w:spacing w:after="120"/>
        <w:jc w:val="both"/>
      </w:pPr>
      <w:r>
        <w:rPr>
          <w:color w:val="404040" w:themeColor="text1" w:themeTint="BF"/>
        </w:rPr>
        <w:t xml:space="preserve">The offboarding checklist is completed and kept for every departure, and records the date access was removed. Where the person owned an agent or an automated workflow, that ownership is passed to someone else before their access goes.  </w:t>
      </w:r>
      <w:r>
        <w:rPr>
          <w:rFonts w:ascii="Calibri Light" w:eastAsia="Calibri Light" w:hAnsi="Calibri Light" w:cs="Calibri Light"/>
          <w:color w:val="404040" w:themeColor="text1" w:themeTint="BF"/>
          <w:sz w:val="18"/>
        </w:rPr>
        <w:t>[SOC 2: CC6.2, CC1.3]</w:t>
      </w:r>
    </w:p>
    <w:p w14:paraId="4DE22CE5" w14:textId="77777777" w:rsidR="00030D97" w:rsidRDefault="00000000">
      <w:pPr>
        <w:pStyle w:val="Heading1"/>
        <w:keepNext/>
        <w:spacing w:before="240" w:after="80"/>
      </w:pPr>
      <w:bookmarkStart w:id="17" w:name="_Toc237809867"/>
      <w:r>
        <w:rPr>
          <w:color w:val="404040" w:themeColor="text1" w:themeTint="BF"/>
        </w:rPr>
        <w:lastRenderedPageBreak/>
        <w:t>Personnel Security for AI-Assisted Work</w:t>
      </w:r>
      <w:bookmarkEnd w:id="17"/>
    </w:p>
    <w:p w14:paraId="78E11C8A" w14:textId="77777777" w:rsidR="00030D97" w:rsidRDefault="00000000">
      <w:pPr>
        <w:spacing w:after="120"/>
        <w:jc w:val="both"/>
        <w:rPr>
          <w:color w:val="262626" w:themeColor="text1" w:themeTint="D9"/>
        </w:rPr>
      </w:pPr>
      <w:r>
        <w:rPr>
          <w:szCs w:val="22"/>
        </w:rPr>
        <w:t>Personnel use assistive and agentic AI tools in the course of their work. The obligations below sit with the individual and are established at onboarding.</w:t>
      </w:r>
    </w:p>
    <w:p w14:paraId="6F10C1AE" w14:textId="77777777" w:rsidR="009963BA" w:rsidRDefault="00000000">
      <w:pPr>
        <w:pStyle w:val="BodyText9"/>
        <w:numPr>
          <w:ilvl w:val="0"/>
          <w:numId w:val="13"/>
        </w:numPr>
        <w:spacing w:after="120"/>
        <w:jc w:val="both"/>
      </w:pPr>
      <w:r>
        <w:rPr>
          <w:color w:val="404040" w:themeColor="text1" w:themeTint="BF"/>
        </w:rPr>
        <w:t xml:space="preserve">AI tools are used through Company accounts rather than personal ones, and Company or client information is not entered into free or consumer tiers of any AI service. Which tools are approved is maintained under the AI Governance Policy; this policy does not keep a second list.  </w:t>
      </w:r>
      <w:r>
        <w:rPr>
          <w:rFonts w:ascii="Calibri Light" w:eastAsia="Calibri Light" w:hAnsi="Calibri Light" w:cs="Calibri Light"/>
          <w:color w:val="404040" w:themeColor="text1" w:themeTint="BF"/>
          <w:sz w:val="18"/>
        </w:rPr>
        <w:t>[SOC 2: CC1.1, CC6.1]</w:t>
      </w:r>
    </w:p>
    <w:p w14:paraId="70E33176" w14:textId="77777777" w:rsidR="009963BA" w:rsidRDefault="00000000">
      <w:pPr>
        <w:pStyle w:val="BodyText9"/>
        <w:numPr>
          <w:ilvl w:val="0"/>
          <w:numId w:val="13"/>
        </w:numPr>
        <w:spacing w:after="120"/>
        <w:jc w:val="both"/>
      </w:pPr>
      <w:r>
        <w:rPr>
          <w:color w:val="404040" w:themeColor="text1" w:themeTint="BF"/>
        </w:rPr>
        <w:t xml:space="preserve">Training at onboarding and annually covers which classifications may be entered into which tools, and the rule that a named person remains accountable for any output relied upon.  </w:t>
      </w:r>
      <w:r>
        <w:rPr>
          <w:rFonts w:ascii="Calibri Light" w:eastAsia="Calibri Light" w:hAnsi="Calibri Light" w:cs="Calibri Light"/>
          <w:color w:val="404040" w:themeColor="text1" w:themeTint="BF"/>
          <w:sz w:val="18"/>
        </w:rPr>
        <w:t>[SOC 2: CC1.4]</w:t>
      </w:r>
    </w:p>
    <w:p w14:paraId="56ED6271" w14:textId="77777777" w:rsidR="009963BA" w:rsidRDefault="00000000">
      <w:pPr>
        <w:pStyle w:val="BodyText9"/>
        <w:numPr>
          <w:ilvl w:val="0"/>
          <w:numId w:val="13"/>
        </w:numPr>
        <w:spacing w:after="120"/>
        <w:jc w:val="both"/>
      </w:pPr>
      <w:r>
        <w:rPr>
          <w:color w:val="404040" w:themeColor="text1" w:themeTint="BF"/>
        </w:rPr>
        <w:t xml:space="preserve">Where someone owns an agent or an automated workflow, that ownership is recorded against their role and passed to someone else during offboarding, before their access is removed.  </w:t>
      </w:r>
      <w:r>
        <w:rPr>
          <w:rFonts w:ascii="Calibri Light" w:eastAsia="Calibri Light" w:hAnsi="Calibri Light" w:cs="Calibri Light"/>
          <w:color w:val="404040" w:themeColor="text1" w:themeTint="BF"/>
          <w:sz w:val="18"/>
        </w:rPr>
        <w:t>[SOC 2: CC1.3, CC6.2]</w:t>
      </w:r>
    </w:p>
    <w:p w14:paraId="6BE67C83" w14:textId="77777777" w:rsidR="009963BA" w:rsidRDefault="00000000">
      <w:pPr>
        <w:pStyle w:val="BodyText9"/>
        <w:numPr>
          <w:ilvl w:val="0"/>
          <w:numId w:val="13"/>
        </w:numPr>
        <w:spacing w:after="120"/>
        <w:jc w:val="both"/>
      </w:pPr>
      <w:r>
        <w:rPr>
          <w:color w:val="404040" w:themeColor="text1" w:themeTint="BF"/>
        </w:rPr>
        <w:t xml:space="preserve">AI-generated work is not presented as verified unless the person has verified it, and concerns about output quality are raised rather than passed on.  </w:t>
      </w:r>
      <w:r>
        <w:rPr>
          <w:rFonts w:ascii="Calibri Light" w:eastAsia="Calibri Light" w:hAnsi="Calibri Light" w:cs="Calibri Light"/>
          <w:color w:val="404040" w:themeColor="text1" w:themeTint="BF"/>
          <w:sz w:val="18"/>
        </w:rPr>
        <w:t>[SOC 2: CC1.1]</w:t>
      </w:r>
    </w:p>
    <w:p w14:paraId="0443AA46" w14:textId="77777777" w:rsidR="0019039B" w:rsidRDefault="00000000">
      <w:pPr>
        <w:pStyle w:val="Heading1"/>
        <w:keepNext/>
        <w:spacing w:before="240" w:after="80"/>
      </w:pPr>
      <w:bookmarkStart w:id="18" w:name="_Toc900007"/>
      <w:bookmarkStart w:id="19" w:name="_Toc237809868"/>
      <w:r>
        <w:rPr>
          <w:color w:val="404040" w:themeColor="text1" w:themeTint="BF"/>
        </w:rPr>
        <w:t>Enforcement</w:t>
      </w:r>
      <w:bookmarkEnd w:id="18"/>
      <w:bookmarkEnd w:id="19"/>
    </w:p>
    <w:p w14:paraId="32E7FC7F" w14:textId="77777777" w:rsidR="0019039B" w:rsidRDefault="00000000">
      <w:pPr>
        <w:pStyle w:val="BodyText9"/>
        <w:numPr>
          <w:ilvl w:val="0"/>
          <w:numId w:val="6"/>
        </w:numPr>
        <w:spacing w:after="120"/>
        <w:jc w:val="both"/>
      </w:pPr>
      <w:r>
        <w:rPr>
          <w:color w:val="404040" w:themeColor="text1" w:themeTint="BF"/>
        </w:rPr>
        <w:t>Violations of this policy may result in disciplinary action up to and including termination of employment or engagement, and, where applicable, civil or criminal referral.</w:t>
      </w:r>
    </w:p>
    <w:p w14:paraId="08CE6F67" w14:textId="77777777" w:rsidR="0019039B" w:rsidRDefault="00000000">
      <w:pPr>
        <w:pStyle w:val="BodyText9"/>
        <w:numPr>
          <w:ilvl w:val="0"/>
          <w:numId w:val="6"/>
        </w:numPr>
        <w:spacing w:after="120"/>
        <w:jc w:val="both"/>
      </w:pPr>
      <w:r>
        <w:rPr>
          <w:color w:val="404040" w:themeColor="text1" w:themeTint="BF"/>
        </w:rPr>
        <w:t>Disciplinary decisions shall be documented by the Security Officer and applied consistently, in accordance with the Company's personnel sanctions process.</w:t>
      </w:r>
    </w:p>
    <w:p w14:paraId="72947F08" w14:textId="77777777" w:rsidR="0019039B" w:rsidRDefault="00000000">
      <w:pPr>
        <w:pStyle w:val="Heading1"/>
        <w:keepNext/>
        <w:spacing w:before="240" w:after="80"/>
      </w:pPr>
      <w:bookmarkStart w:id="20" w:name="_Toc900008"/>
      <w:bookmarkStart w:id="21" w:name="_Toc237809869"/>
      <w:r>
        <w:rPr>
          <w:color w:val="404040" w:themeColor="text1" w:themeTint="BF"/>
        </w:rPr>
        <w:t>Exceptions</w:t>
      </w:r>
      <w:bookmarkEnd w:id="20"/>
      <w:bookmarkEnd w:id="21"/>
    </w:p>
    <w:p w14:paraId="45DA5416" w14:textId="77777777" w:rsidR="0019039B"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before taking effect. Approved exceptions shall be documented, risk-assessed, time-bound, and reviewed at least annually.</w:t>
      </w:r>
    </w:p>
    <w:p w14:paraId="63D8A555" w14:textId="77777777" w:rsidR="0019039B" w:rsidRDefault="00000000">
      <w:pPr>
        <w:pStyle w:val="Heading1"/>
        <w:keepNext/>
        <w:spacing w:before="240" w:after="80"/>
      </w:pPr>
      <w:bookmarkStart w:id="22" w:name="_Toc900009"/>
      <w:bookmarkStart w:id="23" w:name="_Toc237809870"/>
      <w:r>
        <w:rPr>
          <w:color w:val="404040" w:themeColor="text1" w:themeTint="BF"/>
        </w:rPr>
        <w:t>Reference</w:t>
      </w:r>
      <w:bookmarkEnd w:id="22"/>
      <w:bookmarkEnd w:id="23"/>
    </w:p>
    <w:p w14:paraId="094BA9D0" w14:textId="77777777" w:rsidR="0019039B" w:rsidRDefault="00000000">
      <w:pPr>
        <w:pStyle w:val="BodyText9"/>
        <w:numPr>
          <w:ilvl w:val="0"/>
          <w:numId w:val="7"/>
        </w:numPr>
        <w:spacing w:after="120"/>
        <w:jc w:val="both"/>
      </w:pPr>
      <w:r>
        <w:rPr>
          <w:rFonts w:ascii="Calibri Light" w:eastAsia="Calibri Light" w:hAnsi="Calibri Light" w:cs="Calibri Light"/>
          <w:color w:val="404040" w:themeColor="text1" w:themeTint="BF"/>
          <w:sz w:val="18"/>
        </w:rPr>
        <w:t>SOC 2 Trust Services Criteria</w:t>
      </w:r>
      <w:r>
        <w:rPr>
          <w:color w:val="404040" w:themeColor="text1" w:themeTint="BF"/>
        </w:rPr>
        <w:t xml:space="preserve"> (</w:t>
      </w:r>
      <w:r>
        <w:rPr>
          <w:rFonts w:ascii="Calibri Light" w:eastAsia="Calibri Light" w:hAnsi="Calibri Light" w:cs="Calibri Light"/>
          <w:color w:val="404040" w:themeColor="text1" w:themeTint="BF"/>
          <w:sz w:val="18"/>
        </w:rPr>
        <w:t>CC1.4</w:t>
      </w:r>
      <w:r>
        <w:rPr>
          <w:color w:val="404040" w:themeColor="text1" w:themeTint="BF"/>
        </w:rPr>
        <w:t xml:space="preserve">, </w:t>
      </w:r>
      <w:r>
        <w:rPr>
          <w:rFonts w:ascii="Calibri Light" w:eastAsia="Calibri Light" w:hAnsi="Calibri Light" w:cs="Calibri Light"/>
          <w:color w:val="404040" w:themeColor="text1" w:themeTint="BF"/>
          <w:sz w:val="18"/>
        </w:rPr>
        <w:t>CC1.5</w:t>
      </w:r>
      <w:r>
        <w:rPr>
          <w:color w:val="404040" w:themeColor="text1" w:themeTint="BF"/>
        </w:rPr>
        <w:t>)</w:t>
      </w:r>
    </w:p>
    <w:p w14:paraId="36BE54AC" w14:textId="77777777" w:rsidR="0019039B" w:rsidRDefault="00000000">
      <w:pPr>
        <w:pStyle w:val="BodyText9"/>
        <w:numPr>
          <w:ilvl w:val="0"/>
          <w:numId w:val="7"/>
        </w:numPr>
        <w:spacing w:after="120"/>
        <w:jc w:val="both"/>
      </w:pPr>
      <w:r>
        <w:rPr>
          <w:color w:val="404040" w:themeColor="text1" w:themeTint="BF"/>
        </w:rPr>
        <w:t>Human Resources Security Policy</w:t>
      </w:r>
    </w:p>
    <w:p w14:paraId="3EC32898" w14:textId="77777777" w:rsidR="0019039B" w:rsidRDefault="00000000">
      <w:pPr>
        <w:pStyle w:val="BodyText9"/>
        <w:numPr>
          <w:ilvl w:val="0"/>
          <w:numId w:val="7"/>
        </w:numPr>
        <w:spacing w:after="120"/>
        <w:jc w:val="both"/>
      </w:pPr>
      <w:r>
        <w:rPr>
          <w:color w:val="404040" w:themeColor="text1" w:themeTint="BF"/>
        </w:rPr>
        <w:t>Security Awareness and Training Policy</w:t>
      </w:r>
    </w:p>
    <w:p w14:paraId="5FF92E73" w14:textId="77777777" w:rsidR="0019039B" w:rsidRDefault="00000000">
      <w:pPr>
        <w:pStyle w:val="BodyText9"/>
        <w:numPr>
          <w:ilvl w:val="0"/>
          <w:numId w:val="7"/>
        </w:numPr>
        <w:spacing w:after="120"/>
        <w:jc w:val="both"/>
      </w:pPr>
      <w:r>
        <w:rPr>
          <w:color w:val="404040" w:themeColor="text1" w:themeTint="BF"/>
        </w:rPr>
        <w:t>Access Control Policy</w:t>
      </w:r>
    </w:p>
    <w:p w14:paraId="7577ECCF" w14:textId="77777777" w:rsidR="00030D97" w:rsidRDefault="00000000">
      <w:pPr>
        <w:pStyle w:val="BodyText9"/>
        <w:numPr>
          <w:ilvl w:val="0"/>
          <w:numId w:val="7"/>
        </w:numPr>
        <w:spacing w:after="120"/>
        <w:jc w:val="both"/>
      </w:pPr>
      <w:r>
        <w:rPr>
          <w:color w:val="404040" w:themeColor="text1" w:themeTint="BF"/>
        </w:rPr>
        <w:t>Code of Conduct (POL-COC-001)</w:t>
      </w:r>
    </w:p>
    <w:p w14:paraId="14C4A4C8" w14:textId="77777777" w:rsidR="00030D97" w:rsidRDefault="00000000">
      <w:pPr>
        <w:pStyle w:val="BodyText9"/>
        <w:numPr>
          <w:ilvl w:val="0"/>
          <w:numId w:val="7"/>
        </w:numPr>
        <w:spacing w:after="120"/>
        <w:jc w:val="both"/>
      </w:pPr>
      <w:r>
        <w:rPr>
          <w:color w:val="404040" w:themeColor="text1" w:themeTint="BF"/>
        </w:rPr>
        <w:t>Access Control Policy</w:t>
      </w:r>
    </w:p>
    <w:p w14:paraId="56F24F91" w14:textId="77777777" w:rsidR="00030D97" w:rsidRDefault="00000000">
      <w:pPr>
        <w:pStyle w:val="BodyText9"/>
        <w:numPr>
          <w:ilvl w:val="0"/>
          <w:numId w:val="7"/>
        </w:numPr>
        <w:spacing w:after="120"/>
        <w:jc w:val="both"/>
      </w:pPr>
      <w:r>
        <w:rPr>
          <w:color w:val="404040" w:themeColor="text1" w:themeTint="BF"/>
        </w:rPr>
        <w:t>Acceptable Use Policy</w:t>
      </w:r>
    </w:p>
    <w:p w14:paraId="28E34F62" w14:textId="77777777" w:rsidR="00030D97" w:rsidRDefault="00000000">
      <w:pPr>
        <w:pStyle w:val="BodyText9"/>
        <w:numPr>
          <w:ilvl w:val="0"/>
          <w:numId w:val="7"/>
        </w:numPr>
        <w:spacing w:after="120"/>
        <w:jc w:val="both"/>
      </w:pPr>
      <w:r>
        <w:rPr>
          <w:color w:val="404040" w:themeColor="text1" w:themeTint="BF"/>
        </w:rPr>
        <w:t>Security Awareness and Training Policy</w:t>
      </w:r>
    </w:p>
    <w:p w14:paraId="3369370C" w14:textId="77777777" w:rsidR="00030D97" w:rsidRDefault="00000000">
      <w:pPr>
        <w:pStyle w:val="BodyText9"/>
        <w:numPr>
          <w:ilvl w:val="0"/>
          <w:numId w:val="7"/>
        </w:numPr>
        <w:spacing w:after="120"/>
        <w:jc w:val="both"/>
      </w:pPr>
      <w:r>
        <w:rPr>
          <w:color w:val="404040" w:themeColor="text1" w:themeTint="BF"/>
        </w:rPr>
        <w:t>Vendor Management Policy</w:t>
      </w:r>
    </w:p>
    <w:p w14:paraId="66719608" w14:textId="77777777" w:rsidR="00030D97" w:rsidRDefault="00000000">
      <w:pPr>
        <w:pStyle w:val="BodyText9"/>
        <w:numPr>
          <w:ilvl w:val="0"/>
          <w:numId w:val="7"/>
        </w:numPr>
        <w:spacing w:after="120"/>
        <w:jc w:val="both"/>
      </w:pPr>
      <w:r>
        <w:rPr>
          <w:rFonts w:ascii="Calibri Light" w:eastAsia="Calibri Light" w:hAnsi="Calibri Light" w:cs="Calibri Light"/>
          <w:color w:val="404040" w:themeColor="text1" w:themeTint="BF"/>
          <w:sz w:val="18"/>
        </w:rPr>
        <w:lastRenderedPageBreak/>
        <w:t>HIPAA Security Rule</w:t>
      </w:r>
      <w:r>
        <w:rPr>
          <w:color w:val="404040" w:themeColor="text1" w:themeTint="BF"/>
        </w:rPr>
        <w:t xml:space="preserve">, </w:t>
      </w:r>
      <w:r>
        <w:rPr>
          <w:rFonts w:ascii="Calibri Light" w:eastAsia="Calibri Light" w:hAnsi="Calibri Light" w:cs="Calibri Light"/>
          <w:color w:val="404040" w:themeColor="text1" w:themeTint="BF"/>
          <w:sz w:val="18"/>
        </w:rPr>
        <w:t>45 CFR §164.308(a)(3)</w:t>
      </w:r>
      <w:r>
        <w:rPr>
          <w:color w:val="404040" w:themeColor="text1" w:themeTint="BF"/>
        </w:rPr>
        <w:t xml:space="preserve"> and </w:t>
      </w:r>
      <w:r>
        <w:rPr>
          <w:rFonts w:ascii="Calibri Light" w:eastAsia="Calibri Light" w:hAnsi="Calibri Light" w:cs="Calibri Light"/>
          <w:color w:val="404040" w:themeColor="text1" w:themeTint="BF"/>
          <w:sz w:val="18"/>
        </w:rPr>
        <w:t>§164.308(a)(5)</w:t>
      </w:r>
    </w:p>
    <w:p w14:paraId="2E95A678" w14:textId="77777777" w:rsidR="00030D97" w:rsidRDefault="00000000">
      <w:pPr>
        <w:pStyle w:val="BodyText9"/>
        <w:numPr>
          <w:ilvl w:val="0"/>
          <w:numId w:val="7"/>
        </w:numPr>
        <w:spacing w:after="120"/>
        <w:jc w:val="both"/>
      </w:pPr>
      <w:r>
        <w:rPr>
          <w:color w:val="404040" w:themeColor="text1" w:themeTint="BF"/>
        </w:rPr>
        <w:t>EU General Data Protection Regulation, Articles 5, 6 and 32</w:t>
      </w:r>
    </w:p>
    <w:p w14:paraId="3E202335" w14:textId="77777777" w:rsidR="0019039B" w:rsidRDefault="00000000" w:rsidP="00BF0F18">
      <w:pPr>
        <w:pStyle w:val="Heading1"/>
        <w:spacing w:after="160"/>
      </w:pPr>
      <w:bookmarkStart w:id="24" w:name="_Toc237809871"/>
      <w:r>
        <w:rPr>
          <w:caps/>
          <w:sz w:val="32"/>
        </w:rPr>
        <w:t>Document Policy History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304"/>
        <w:gridCol w:w="5616"/>
      </w:tblGrid>
      <w:tr w:rsidR="0019039B" w14:paraId="40505F36" w14:textId="77777777" w:rsidTr="00DE44EE">
        <w:trPr>
          <w:tblHeader/>
        </w:trPr>
        <w:tc>
          <w:tcPr>
            <w:tcW w:w="1440"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71F38B62" w14:textId="77777777" w:rsidR="0019039B" w:rsidRDefault="00000000" w:rsidP="00DE44EE">
            <w:pPr>
              <w:spacing w:before="40" w:after="40" w:line="240" w:lineRule="auto"/>
            </w:pPr>
            <w:r>
              <w:rPr>
                <w:b/>
                <w:sz w:val="20"/>
              </w:rPr>
              <w:t>Version</w:t>
            </w:r>
          </w:p>
        </w:tc>
        <w:tc>
          <w:tcPr>
            <w:tcW w:w="2304"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2737145B" w14:textId="77777777" w:rsidR="0019039B" w:rsidRDefault="00000000" w:rsidP="00DE44EE">
            <w:pPr>
              <w:spacing w:before="40" w:after="40" w:line="240" w:lineRule="auto"/>
            </w:pPr>
            <w:r>
              <w:rPr>
                <w:b/>
                <w:sz w:val="20"/>
              </w:rPr>
              <w:t>Date</w:t>
            </w:r>
          </w:p>
        </w:tc>
        <w:tc>
          <w:tcPr>
            <w:tcW w:w="5616" w:type="dxa"/>
            <w:tcBorders>
              <w:top w:val="single" w:sz="4" w:space="0" w:color="BFCDD4"/>
              <w:left w:val="single" w:sz="4" w:space="0" w:color="BFCDD4"/>
              <w:bottom w:val="single" w:sz="2" w:space="0" w:color="595959" w:themeColor="text1" w:themeTint="A6"/>
              <w:right w:val="single" w:sz="4" w:space="0" w:color="BFCDD4"/>
            </w:tcBorders>
            <w:tcMar>
              <w:top w:w="26" w:type="dxa"/>
              <w:left w:w="92" w:type="dxa"/>
              <w:bottom w:w="26" w:type="dxa"/>
              <w:right w:w="92" w:type="dxa"/>
            </w:tcMar>
            <w:vAlign w:val="center"/>
          </w:tcPr>
          <w:p w14:paraId="0714B42A" w14:textId="77777777" w:rsidR="0019039B" w:rsidRDefault="00000000" w:rsidP="00DE44EE">
            <w:pPr>
              <w:spacing w:before="40" w:after="40" w:line="240" w:lineRule="auto"/>
            </w:pPr>
            <w:r>
              <w:rPr>
                <w:b/>
                <w:sz w:val="20"/>
              </w:rPr>
              <w:t>Description</w:t>
            </w:r>
          </w:p>
        </w:tc>
      </w:tr>
      <w:tr w:rsidR="0019039B" w14:paraId="17A703D8" w14:textId="77777777" w:rsidTr="00DE44EE">
        <w:tc>
          <w:tcPr>
            <w:tcW w:w="1440"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66617E0C" w14:textId="77777777" w:rsidR="0019039B" w:rsidRDefault="009B6824" w:rsidP="00DE44EE">
            <w:pPr>
              <w:spacing w:before="40" w:after="40" w:line="240" w:lineRule="auto"/>
            </w:pPr>
            <w:r>
              <w:rPr>
                <w:sz w:val="20"/>
              </w:rPr>
              <w:t>1.0</w:t>
            </w:r>
          </w:p>
        </w:tc>
        <w:tc>
          <w:tcPr>
            <w:tcW w:w="2304"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452D6D9F" w14:textId="77777777" w:rsidR="0019039B" w:rsidRDefault="009B6824" w:rsidP="00DE44EE">
            <w:pPr>
              <w:spacing w:before="40" w:after="40" w:line="240" w:lineRule="auto"/>
            </w:pPr>
            <w:r>
              <w:rPr>
                <w:sz w:val="20"/>
              </w:rPr>
              <w:t>July 23, 2026</w:t>
            </w:r>
          </w:p>
        </w:tc>
        <w:tc>
          <w:tcPr>
            <w:tcW w:w="5616" w:type="dxa"/>
            <w:tcBorders>
              <w:top w:val="single" w:sz="2" w:space="0" w:color="595959" w:themeColor="text1" w:themeTint="A6"/>
              <w:left w:val="single" w:sz="4" w:space="0" w:color="BFCDD4"/>
              <w:bottom w:val="single" w:sz="4" w:space="0" w:color="BFCDD4"/>
              <w:right w:val="single" w:sz="4" w:space="0" w:color="BFCDD4"/>
            </w:tcBorders>
            <w:tcMar>
              <w:top w:w="26" w:type="dxa"/>
              <w:left w:w="92" w:type="dxa"/>
              <w:bottom w:w="26" w:type="dxa"/>
              <w:right w:w="92" w:type="dxa"/>
            </w:tcMar>
            <w:vAlign w:val="center"/>
          </w:tcPr>
          <w:p w14:paraId="7AD34FBD" w14:textId="77777777" w:rsidR="0019039B" w:rsidRDefault="00000000" w:rsidP="00DE44EE">
            <w:pPr>
              <w:spacing w:before="40" w:after="40" w:line="240" w:lineRule="auto"/>
            </w:pPr>
            <w:r>
              <w:rPr>
                <w:sz w:val="20"/>
              </w:rPr>
              <w:t>Initial policy release</w:t>
            </w:r>
          </w:p>
        </w:tc>
      </w:tr>
    </w:tbl>
    <w:p w14:paraId="7D4B2472" w14:textId="77777777" w:rsidR="00034BEA" w:rsidRDefault="00034BEA"/>
    <w:sectPr w:rsidR="00034BEA">
      <w:headerReference w:type="default" r:id="rId12"/>
      <w:footerReference w:type="default" r:id="rId13"/>
      <w:headerReference w:type="first" r:id="rId14"/>
      <w:footerReference w:type="first" r:id="rId15"/>
      <w:pgSz w:w="12240" w:h="15840"/>
      <w:pgMar w:top="1440" w:right="1440" w:bottom="1440" w:left="1440" w:header="720" w:footer="720" w:gutter="0"/>
      <w:lnNumType w:countBy="1" w:start="1" w:distance="360" w:restart="newSecti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A48B14" w14:textId="77777777" w:rsidR="00D202C9" w:rsidRDefault="00D202C9" w:rsidP="007A2335">
      <w:r>
        <w:separator/>
      </w:r>
    </w:p>
  </w:endnote>
  <w:endnote w:type="continuationSeparator" w:id="0">
    <w:p w14:paraId="621917B2" w14:textId="77777777" w:rsidR="00D202C9" w:rsidRDefault="00D202C9" w:rsidP="007A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3F011" w14:textId="77777777" w:rsidR="00806760" w:rsidRDefault="00000000">
    <w:pPr>
      <w:suppressLineNumbers/>
      <w:pBdr>
        <w:top w:val="single" w:sz="6" w:space="4" w:color="1B4965"/>
      </w:pBdr>
      <w:spacing w:before="160" w:after="0"/>
      <w:jc w:val="center"/>
    </w:pPr>
    <w:r>
      <w:rPr>
        <w:color w:val="404040"/>
        <w:sz w:val="17"/>
      </w:rPr>
      <w:t xml:space="preserve">PromptHalo Technologies   ·   Internal   ·   POL-HRS-001   ·   Version 1.0   ·   Page </w:t>
    </w:r>
    <w:r>
      <w:rPr>
        <w:color w:val="404040"/>
        <w:sz w:val="17"/>
      </w:rPr>
      <w:fldChar w:fldCharType="begin"/>
    </w:r>
    <w:r>
      <w:rPr>
        <w:color w:val="404040"/>
        <w:sz w:val="17"/>
      </w:rPr>
      <w:instrText xml:space="preserve"> PAGE </w:instrText>
    </w:r>
    <w:r>
      <w:rPr>
        <w:color w:val="404040"/>
        <w:sz w:val="17"/>
      </w:rPr>
      <w:fldChar w:fldCharType="separate"/>
    </w:r>
    <w:r>
      <w:rPr>
        <w:color w:val="404040"/>
        <w:sz w:val="17"/>
      </w:rPr>
      <w:t>1</w:t>
    </w:r>
    <w:r>
      <w:rPr>
        <w:color w:val="404040"/>
        <w:sz w:val="17"/>
      </w:rPr>
      <w:fldChar w:fldCharType="end"/>
    </w:r>
    <w:r>
      <w:rPr>
        <w:color w:val="404040"/>
        <w:sz w:val="17"/>
      </w:rPr>
      <w:t xml:space="preserve"> of </w:t>
    </w:r>
    <w:r>
      <w:rPr>
        <w:color w:val="404040"/>
        <w:sz w:val="17"/>
      </w:rPr>
      <w:fldChar w:fldCharType="begin"/>
    </w:r>
    <w:r>
      <w:rPr>
        <w:color w:val="404040"/>
        <w:sz w:val="17"/>
      </w:rPr>
      <w:instrText xml:space="preserve"> NUMPAGES </w:instrText>
    </w:r>
    <w:r>
      <w:rPr>
        <w:color w:val="404040"/>
        <w:sz w:val="17"/>
      </w:rPr>
      <w:fldChar w:fldCharType="separate"/>
    </w:r>
    <w:r>
      <w:rPr>
        <w:color w:val="404040"/>
        <w:sz w:val="17"/>
      </w:rPr>
      <w:t>1</w:t>
    </w:r>
    <w:r>
      <w:rPr>
        <w:color w:val="40404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8EA15" w14:textId="77777777" w:rsidR="00806760" w:rsidRDefault="008067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E7B78" w14:textId="77777777" w:rsidR="00806760" w:rsidRDefault="00000000">
    <w:pPr>
      <w:suppressLineNumbers/>
      <w:pBdr>
        <w:top w:val="single" w:sz="6" w:space="4" w:color="1B4965"/>
      </w:pBdr>
      <w:spacing w:before="160" w:after="0"/>
      <w:jc w:val="center"/>
    </w:pPr>
    <w:r>
      <w:rPr>
        <w:color w:val="404040"/>
        <w:sz w:val="17"/>
      </w:rPr>
      <w:t xml:space="preserve">PromptHalo Technologies   ·   Internal   ·   POL-HRS-001   ·   Version 1.0   ·   Page </w:t>
    </w:r>
    <w:r>
      <w:rPr>
        <w:color w:val="404040"/>
        <w:sz w:val="17"/>
      </w:rPr>
      <w:fldChar w:fldCharType="begin"/>
    </w:r>
    <w:r>
      <w:rPr>
        <w:color w:val="404040"/>
        <w:sz w:val="17"/>
      </w:rPr>
      <w:instrText xml:space="preserve"> PAGE </w:instrText>
    </w:r>
    <w:r>
      <w:rPr>
        <w:color w:val="404040"/>
        <w:sz w:val="17"/>
      </w:rPr>
      <w:fldChar w:fldCharType="separate"/>
    </w:r>
    <w:r>
      <w:rPr>
        <w:color w:val="404040"/>
        <w:sz w:val="17"/>
      </w:rPr>
      <w:t>1</w:t>
    </w:r>
    <w:r>
      <w:rPr>
        <w:color w:val="404040"/>
        <w:sz w:val="17"/>
      </w:rPr>
      <w:fldChar w:fldCharType="end"/>
    </w:r>
    <w:r>
      <w:rPr>
        <w:color w:val="404040"/>
        <w:sz w:val="17"/>
      </w:rPr>
      <w:t xml:space="preserve"> of </w:t>
    </w:r>
    <w:r>
      <w:rPr>
        <w:color w:val="404040"/>
        <w:sz w:val="17"/>
      </w:rPr>
      <w:fldChar w:fldCharType="begin"/>
    </w:r>
    <w:r>
      <w:rPr>
        <w:color w:val="404040"/>
        <w:sz w:val="17"/>
      </w:rPr>
      <w:instrText xml:space="preserve"> NUMPAGES </w:instrText>
    </w:r>
    <w:r>
      <w:rPr>
        <w:color w:val="404040"/>
        <w:sz w:val="17"/>
      </w:rPr>
      <w:fldChar w:fldCharType="separate"/>
    </w:r>
    <w:r>
      <w:rPr>
        <w:color w:val="404040"/>
        <w:sz w:val="17"/>
      </w:rPr>
      <w:t>1</w:t>
    </w:r>
    <w:r>
      <w:rPr>
        <w:color w:val="404040"/>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B70B8" w14:textId="77777777" w:rsidR="00806760" w:rsidRDefault="008067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7B2A0" w14:textId="77777777" w:rsidR="00D202C9" w:rsidRDefault="00D202C9" w:rsidP="007A2335">
      <w:r>
        <w:separator/>
      </w:r>
    </w:p>
  </w:footnote>
  <w:footnote w:type="continuationSeparator" w:id="0">
    <w:p w14:paraId="121AD0B2" w14:textId="77777777" w:rsidR="00D202C9" w:rsidRDefault="00D202C9" w:rsidP="007A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ECFAC" w14:textId="77777777" w:rsidR="00806760" w:rsidRDefault="00000000">
    <w:pPr>
      <w:suppressLineNumbers/>
      <w:pBdr>
        <w:bottom w:val="single" w:sz="6" w:space="4" w:color="1B4965"/>
      </w:pBdr>
      <w:spacing w:after="160"/>
      <w:jc w:val="center"/>
    </w:pPr>
    <w:r>
      <w:rPr>
        <w:b/>
        <w:caps/>
        <w:color w:val="1B4965"/>
        <w:spacing w:val="12"/>
        <w:sz w:val="17"/>
      </w:rPr>
      <w:t>HUMAN RESOURCES SECURITY POLICY   ·   INTERNAL   ·   POL-HRS-001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36A8DE" w14:textId="77777777" w:rsidR="00806760" w:rsidRDefault="0080676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F4C98" w14:textId="77777777" w:rsidR="00806760" w:rsidRDefault="00000000">
    <w:pPr>
      <w:suppressLineNumbers/>
      <w:pBdr>
        <w:bottom w:val="single" w:sz="6" w:space="4" w:color="1B4965"/>
      </w:pBdr>
      <w:spacing w:after="160"/>
      <w:jc w:val="center"/>
    </w:pPr>
    <w:r>
      <w:rPr>
        <w:b/>
        <w:caps/>
        <w:color w:val="1B4965"/>
        <w:spacing w:val="12"/>
        <w:sz w:val="17"/>
      </w:rPr>
      <w:t>HUMAN RESOURCES SECURITY POLICY   ·   INTERNAL   ·   POL-HRS-001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764F3" w14:textId="77777777" w:rsidR="00806760" w:rsidRDefault="008067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E64E4F"/>
    <w:multiLevelType w:val="hybridMultilevel"/>
    <w:tmpl w:val="2C8E9C2C"/>
    <w:lvl w:ilvl="0" w:tplc="BA025874">
      <w:start w:val="1"/>
      <w:numFmt w:val="decimal"/>
      <w:pStyle w:val="Emphasis-Normal"/>
      <w:lvlText w:val="%1."/>
      <w:lvlJc w:val="left"/>
      <w:pPr>
        <w:ind w:left="620" w:hanging="360"/>
      </w:pPr>
    </w:lvl>
    <w:lvl w:ilvl="1" w:tplc="4D3C4E8E">
      <w:numFmt w:val="decimal"/>
      <w:lvlText w:val=""/>
      <w:lvlJc w:val="left"/>
    </w:lvl>
    <w:lvl w:ilvl="2" w:tplc="36D62C64">
      <w:numFmt w:val="decimal"/>
      <w:lvlText w:val=""/>
      <w:lvlJc w:val="left"/>
    </w:lvl>
    <w:lvl w:ilvl="3" w:tplc="61C64CB0">
      <w:numFmt w:val="decimal"/>
      <w:lvlText w:val=""/>
      <w:lvlJc w:val="left"/>
    </w:lvl>
    <w:lvl w:ilvl="4" w:tplc="4C7814C8">
      <w:numFmt w:val="decimal"/>
      <w:lvlText w:val=""/>
      <w:lvlJc w:val="left"/>
    </w:lvl>
    <w:lvl w:ilvl="5" w:tplc="AA1C702E">
      <w:numFmt w:val="decimal"/>
      <w:lvlText w:val=""/>
      <w:lvlJc w:val="left"/>
    </w:lvl>
    <w:lvl w:ilvl="6" w:tplc="0D0C0B62">
      <w:numFmt w:val="decimal"/>
      <w:lvlText w:val=""/>
      <w:lvlJc w:val="left"/>
    </w:lvl>
    <w:lvl w:ilvl="7" w:tplc="EA94D312">
      <w:numFmt w:val="decimal"/>
      <w:lvlText w:val=""/>
      <w:lvlJc w:val="left"/>
    </w:lvl>
    <w:lvl w:ilvl="8" w:tplc="EC4A645C">
      <w:numFmt w:val="decimal"/>
      <w:lvlText w:val=""/>
      <w:lvlJc w:val="left"/>
    </w:lvl>
  </w:abstractNum>
  <w:abstractNum w:abstractNumId="1" w15:restartNumberingAfterBreak="0">
    <w:nsid w:val="6BF7350F"/>
    <w:multiLevelType w:val="multilevel"/>
    <w:tmpl w:val="AF968384"/>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06503434">
    <w:abstractNumId w:val="1"/>
    <w:lvlOverride w:ilvl="0">
      <w:startOverride w:val="1"/>
    </w:lvlOverride>
  </w:num>
  <w:num w:numId="2" w16cid:durableId="541553592">
    <w:abstractNumId w:val="0"/>
    <w:lvlOverride w:ilvl="0">
      <w:startOverride w:val="1"/>
    </w:lvlOverride>
  </w:num>
  <w:num w:numId="3" w16cid:durableId="328677340">
    <w:abstractNumId w:val="0"/>
    <w:lvlOverride w:ilvl="0">
      <w:startOverride w:val="1"/>
    </w:lvlOverride>
  </w:num>
  <w:num w:numId="4" w16cid:durableId="280302400">
    <w:abstractNumId w:val="0"/>
    <w:lvlOverride w:ilvl="0">
      <w:startOverride w:val="1"/>
    </w:lvlOverride>
  </w:num>
  <w:num w:numId="5" w16cid:durableId="2065984931">
    <w:abstractNumId w:val="0"/>
    <w:lvlOverride w:ilvl="0">
      <w:startOverride w:val="1"/>
    </w:lvlOverride>
  </w:num>
  <w:num w:numId="6" w16cid:durableId="60181386">
    <w:abstractNumId w:val="0"/>
    <w:lvlOverride w:ilvl="0">
      <w:startOverride w:val="1"/>
    </w:lvlOverride>
  </w:num>
  <w:num w:numId="7" w16cid:durableId="2043355369">
    <w:abstractNumId w:val="0"/>
    <w:lvlOverride w:ilvl="0">
      <w:startOverride w:val="1"/>
    </w:lvlOverride>
  </w:num>
  <w:num w:numId="8" w16cid:durableId="1090856910">
    <w:abstractNumId w:val="0"/>
    <w:lvlOverride w:ilvl="0">
      <w:startOverride w:val="1"/>
    </w:lvlOverride>
  </w:num>
  <w:num w:numId="9" w16cid:durableId="994532567">
    <w:abstractNumId w:val="0"/>
    <w:lvlOverride w:ilvl="0">
      <w:startOverride w:val="1"/>
    </w:lvlOverride>
  </w:num>
  <w:num w:numId="10" w16cid:durableId="544949245">
    <w:abstractNumId w:val="0"/>
    <w:lvlOverride w:ilvl="0">
      <w:startOverride w:val="1"/>
    </w:lvlOverride>
  </w:num>
  <w:num w:numId="11" w16cid:durableId="1845510527">
    <w:abstractNumId w:val="0"/>
    <w:lvlOverride w:ilvl="0">
      <w:startOverride w:val="1"/>
    </w:lvlOverride>
  </w:num>
  <w:num w:numId="12" w16cid:durableId="1902673383">
    <w:abstractNumId w:val="0"/>
    <w:lvlOverride w:ilvl="0">
      <w:startOverride w:val="1"/>
    </w:lvlOverride>
  </w:num>
  <w:num w:numId="13" w16cid:durableId="993606234">
    <w:abstractNumId w:val="0"/>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9B"/>
    <w:rsid w:val="00030D97"/>
    <w:rsid w:val="00034BEA"/>
    <w:rsid w:val="000C0711"/>
    <w:rsid w:val="0019039B"/>
    <w:rsid w:val="001E6297"/>
    <w:rsid w:val="001E6320"/>
    <w:rsid w:val="0026559D"/>
    <w:rsid w:val="002A676A"/>
    <w:rsid w:val="00423E23"/>
    <w:rsid w:val="005A1C95"/>
    <w:rsid w:val="00676D65"/>
    <w:rsid w:val="006A3C41"/>
    <w:rsid w:val="007A2335"/>
    <w:rsid w:val="00806760"/>
    <w:rsid w:val="00811F88"/>
    <w:rsid w:val="008E0219"/>
    <w:rsid w:val="009018D5"/>
    <w:rsid w:val="009774EC"/>
    <w:rsid w:val="009963BA"/>
    <w:rsid w:val="009B6824"/>
    <w:rsid w:val="009D5E35"/>
    <w:rsid w:val="00A95F5B"/>
    <w:rsid w:val="00AD092D"/>
    <w:rsid w:val="00B83663"/>
    <w:rsid w:val="00BE3B75"/>
    <w:rsid w:val="00BF0F18"/>
    <w:rsid w:val="00C36987"/>
    <w:rsid w:val="00CB5DD7"/>
    <w:rsid w:val="00D202C9"/>
    <w:rsid w:val="00D232B4"/>
    <w:rsid w:val="00DA7615"/>
    <w:rsid w:val="00DB3D11"/>
    <w:rsid w:val="00DE1A6D"/>
    <w:rsid w:val="00DE44EE"/>
    <w:rsid w:val="00E12E39"/>
    <w:rsid w:val="00E320B5"/>
    <w:rsid w:val="00F12058"/>
    <w:rsid w:val="00F63FA8"/>
    <w:rsid w:val="00F82FA5"/>
    <w:rsid w:val="00FD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059AC"/>
  <w15:docId w15:val="{12292B02-3FE6-1B41-A08E-4407A5E6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4A4835"/>
    <w:rPr>
      <w:color w:val="605E5C"/>
      <w:shd w:val="clear" w:color="auto" w:fill="E1DFDD"/>
    </w:rPr>
  </w:style>
  <w:style w:type="paragraph" w:styleId="Header">
    <w:name w:val="header"/>
    <w:basedOn w:val="Normal"/>
    <w:link w:val="HeaderChar"/>
    <w:uiPriority w:val="99"/>
    <w:unhideWhenUsed/>
    <w:rsid w:val="004A4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35"/>
    <w:rPr>
      <w:color w:val="404040" w:themeColor="text1" w:themeTint="BF"/>
    </w:rPr>
  </w:style>
  <w:style w:type="paragraph" w:styleId="Footer">
    <w:name w:val="footer"/>
    <w:basedOn w:val="Normal"/>
    <w:link w:val="FooterChar"/>
    <w:uiPriority w:val="99"/>
    <w:unhideWhenUsed/>
    <w:rsid w:val="004A4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character" w:styleId="Emphasis">
    <w:name w:val="Emphasis"/>
    <w:uiPriority w:val="20"/>
    <w:qFormat/>
    <w:rsid w:val="009B6824"/>
    <w:rPr>
      <w:b/>
      <w:i/>
      <w:spacing w:val="10"/>
    </w:r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Normal">
    <w:name w:val="Emphasis-Normal"/>
    <w:basedOn w:val="BodyText9"/>
    <w:qFormat/>
    <w:rsid w:val="0026559D"/>
    <w:pPr>
      <w:numPr>
        <w:numId w:val="2"/>
      </w:numPr>
    </w:pPr>
  </w:style>
  <w:style w:type="character" w:styleId="LineNumber">
    <w:name w:val="line number"/>
    <w:basedOn w:val="DefaultParagraphFont"/>
    <w:uiPriority w:val="99"/>
    <w:semiHidden/>
    <w:unhideWhenUsed/>
    <w:rPr>
      <w:rFonts w:ascii="Calibri Light" w:hAnsi="Calibri Light"/>
      <w:color w:val="C9CFD4"/>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2819</Words>
  <Characters>16071</Characters>
  <Application>Microsoft Office Word</Application>
  <DocSecurity>0</DocSecurity>
  <Lines>133</Lines>
  <Paragraphs>37</Paragraphs>
  <ScaleCrop>false</ScaleCrop>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POL-HRS-001 — Human Resources Security Policy</dc:title>
  <dc:subject>PromptHalo Information Security Program</dc:subject>
  <dc:creator>PromptHalo Security Officer</dc:creator>
  <dc:description>Version 1.0</dc:description>
  <cp:lastModifiedBy>Praveen Sharma</cp:lastModifiedBy>
  <cp:revision>3</cp:revision>
  <cp:lastPrinted>2026-08-18T00:16:00Z</cp:lastPrinted>
  <dcterms:created xsi:type="dcterms:W3CDTF">2026-08-18T00:16:00Z</dcterms:created>
  <dcterms:modified xsi:type="dcterms:W3CDTF">2026-08-18T00:16:00Z</dcterms:modified>
  <cp:category>Internal</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Name">
    <vt:lpwstr>PromptHalo</vt:lpwstr>
  </property>
  <property fmtid="{D5CDD505-2E9C-101B-9397-08002B2CF9AE}" pid="3" name="DocTitle">
    <vt:lpwstr>Human Resources Security Policy</vt:lpwstr>
  </property>
  <property fmtid="{D5CDD505-2E9C-101B-9397-08002B2CF9AE}" pid="4" name="DocId">
    <vt:lpwstr>POL-HRS-001</vt:lpwstr>
  </property>
  <property fmtid="{D5CDD505-2E9C-101B-9397-08002B2CF9AE}" pid="5" name="PolicyVersion">
    <vt:lpwstr>1.0</vt:lpwstr>
  </property>
  <property fmtid="{D5CDD505-2E9C-101B-9397-08002B2CF9AE}" pid="6" name="PolicyDate">
    <vt:lpwstr>July 19, 2026</vt:lpwstr>
  </property>
  <property fmtid="{D5CDD505-2E9C-101B-9397-08002B2CF9AE}" pid="7" name="PolicyExpiry">
    <vt:lpwstr>July 19, 2027</vt:lpwstr>
  </property>
  <property fmtid="{D5CDD505-2E9C-101B-9397-08002B2CF9AE}" pid="8" name="SecurityOfficer">
    <vt:lpwstr>Praveen Sharma</vt:lpwstr>
  </property>
  <property fmtid="{D5CDD505-2E9C-101B-9397-08002B2CF9AE}" pid="9" name="Contact">
    <vt:lpwstr>security@prompthalo.com</vt:lpwstr>
  </property>
  <property fmtid="{D5CDD505-2E9C-101B-9397-08002B2CF9AE}" pid="10" name="DocOwner">
    <vt:lpwstr>Chief Executive Officer — Accountable Party</vt:lpwstr>
  </property>
  <property fmtid="{D5CDD505-2E9C-101B-9397-08002B2CF9AE}" pid="11" name="DocAuthor">
    <vt:lpwstr>Security Officer</vt:lpwstr>
  </property>
  <property fmtid="{D5CDD505-2E9C-101B-9397-08002B2CF9AE}" pid="12" name="ReviewCycle">
    <vt:lpwstr>Annual, or upon significant change to systems, threats, or obligations</vt:lpwstr>
  </property>
  <property fmtid="{D5CDD505-2E9C-101B-9397-08002B2CF9AE}" pid="13" name="Supersedes">
    <vt:lpwstr>N/A</vt:lpwstr>
  </property>
  <property fmtid="{D5CDD505-2E9C-101B-9397-08002B2CF9AE}" pid="14" name="Audience">
    <vt:lpwstr>All personnel, including employees, contractors, consultants and interns</vt:lpwstr>
  </property>
</Properties>
</file>