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3B051" w14:textId="77777777" w:rsidR="008C321D" w:rsidRDefault="008C321D">
      <w:pPr>
        <w:pStyle w:val="Title"/>
        <w:suppressLineNumbers/>
        <w:spacing w:after="240"/>
        <w:jc w:val="center"/>
        <w:rPr>
          <w:rStyle w:val="Emphasis"/>
          <w:rFonts w:eastAsia="Times New Roman"/>
          <w:b w:val="0"/>
          <w:i w:val="0"/>
          <w:smallCaps/>
          <w:color w:val="074F6A"/>
          <w:spacing w:val="0"/>
          <w:sz w:val="52"/>
          <w:szCs w:val="52"/>
        </w:rPr>
      </w:pPr>
    </w:p>
    <w:p w14:paraId="15DFDD28" w14:textId="77777777" w:rsidR="008C321D" w:rsidRDefault="008C321D">
      <w:pPr>
        <w:pStyle w:val="Title"/>
        <w:suppressLineNumbers/>
        <w:spacing w:after="240"/>
        <w:jc w:val="center"/>
        <w:rPr>
          <w:rStyle w:val="Emphasis"/>
          <w:rFonts w:eastAsia="Times New Roman"/>
          <w:b w:val="0"/>
          <w:i w:val="0"/>
          <w:smallCaps/>
          <w:color w:val="074F6A"/>
          <w:spacing w:val="0"/>
          <w:sz w:val="52"/>
          <w:szCs w:val="52"/>
        </w:rPr>
      </w:pPr>
    </w:p>
    <w:p w14:paraId="4834172E" w14:textId="77777777" w:rsidR="008C321D" w:rsidRDefault="008C321D">
      <w:pPr>
        <w:pStyle w:val="Title"/>
        <w:suppressLineNumbers/>
        <w:spacing w:after="240"/>
        <w:jc w:val="center"/>
        <w:rPr>
          <w:rStyle w:val="Emphasis"/>
          <w:rFonts w:eastAsia="Times New Roman"/>
          <w:b w:val="0"/>
          <w:i w:val="0"/>
          <w:smallCaps/>
          <w:color w:val="074F6A"/>
          <w:spacing w:val="0"/>
          <w:sz w:val="52"/>
          <w:szCs w:val="52"/>
        </w:rPr>
      </w:pPr>
    </w:p>
    <w:p w14:paraId="116A1CC6" w14:textId="77777777" w:rsidR="008C321D"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ACCESS CONTROL POLICY</w:t>
      </w:r>
    </w:p>
    <w:p w14:paraId="2EDEA256" w14:textId="77777777" w:rsidR="008C321D" w:rsidRDefault="008C321D">
      <w:pPr>
        <w:pStyle w:val="Title"/>
        <w:suppressLineNumbers/>
        <w:spacing w:after="240"/>
        <w:jc w:val="center"/>
        <w:rPr>
          <w:rStyle w:val="Emphasis"/>
          <w:rFonts w:eastAsia="Times New Roman"/>
          <w:b w:val="0"/>
          <w:i w:val="0"/>
          <w:smallCaps/>
          <w:color w:val="074F6A"/>
          <w:spacing w:val="0"/>
          <w:sz w:val="52"/>
          <w:szCs w:val="52"/>
        </w:rPr>
      </w:pPr>
    </w:p>
    <w:p w14:paraId="2E067EE1" w14:textId="77777777" w:rsidR="008C321D" w:rsidRDefault="008C321D">
      <w:pPr>
        <w:pStyle w:val="Title"/>
        <w:suppressLineNumbers/>
        <w:spacing w:after="240"/>
        <w:jc w:val="center"/>
        <w:rPr>
          <w:rStyle w:val="Emphasis"/>
          <w:rFonts w:eastAsia="Times New Roman"/>
          <w:b w:val="0"/>
          <w:i w:val="0"/>
          <w:smallCaps/>
          <w:color w:val="074F6A"/>
          <w:spacing w:val="0"/>
          <w:sz w:val="52"/>
          <w:szCs w:val="52"/>
        </w:rPr>
      </w:pPr>
    </w:p>
    <w:p w14:paraId="4A3E5C13" w14:textId="77777777" w:rsidR="008C321D"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555F12AD" w14:textId="77777777" w:rsidR="008C321D"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3B5C6584" w14:textId="77777777" w:rsidR="008C321D"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2AF5DA8" w14:textId="77777777" w:rsidR="008C321D" w:rsidRDefault="008C321D">
      <w:pPr>
        <w:suppressLineNumbers/>
        <w:spacing w:after="40" w:line="240" w:lineRule="auto"/>
        <w:jc w:val="center"/>
      </w:pPr>
    </w:p>
    <w:p w14:paraId="7CA8D4AA" w14:textId="77777777" w:rsidR="008C321D" w:rsidRDefault="008C321D">
      <w:pPr>
        <w:suppressLineNumbers/>
        <w:spacing w:after="40" w:line="240" w:lineRule="auto"/>
        <w:jc w:val="center"/>
      </w:pPr>
    </w:p>
    <w:p w14:paraId="73F36767" w14:textId="77777777" w:rsidR="008C321D" w:rsidRDefault="008C321D">
      <w:pPr>
        <w:suppressLineNumbers/>
        <w:spacing w:after="40" w:line="240" w:lineRule="auto"/>
        <w:jc w:val="center"/>
      </w:pPr>
    </w:p>
    <w:p w14:paraId="5BD2DEF7" w14:textId="77777777" w:rsidR="008C321D" w:rsidRDefault="008C321D">
      <w:pPr>
        <w:suppressLineNumbers/>
        <w:spacing w:after="40" w:line="240" w:lineRule="auto"/>
        <w:jc w:val="center"/>
      </w:pPr>
    </w:p>
    <w:p w14:paraId="43C09002" w14:textId="77777777" w:rsidR="008C321D" w:rsidRDefault="008C321D">
      <w:pPr>
        <w:suppressLineNumbers/>
        <w:spacing w:after="40" w:line="240" w:lineRule="auto"/>
        <w:jc w:val="center"/>
      </w:pPr>
    </w:p>
    <w:p w14:paraId="4D61743E" w14:textId="77777777" w:rsidR="008C321D" w:rsidRDefault="00000000">
      <w:pPr>
        <w:suppressLineNumbers/>
        <w:spacing w:after="40" w:line="240" w:lineRule="auto"/>
        <w:jc w:val="center"/>
      </w:pPr>
      <w:bookmarkStart w:id="0" w:name="EffectiveDate"/>
      <w:r>
        <w:rPr>
          <w:noProof/>
        </w:rPr>
        <w:drawing>
          <wp:inline distT="0" distB="0" distL="0" distR="0" wp14:anchorId="6086AC6E" wp14:editId="2991F1DF">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2EB54E5C" w14:textId="77777777" w:rsidR="008C321D"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8C321D" w14:paraId="68C05DB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C8BDF1C" w14:textId="77777777" w:rsidR="008C321D"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1CFB1E26" w14:textId="77777777" w:rsidR="008C321D" w:rsidRDefault="00000000">
            <w:pPr>
              <w:pStyle w:val="BodyText9"/>
              <w:suppressLineNumbers/>
              <w:spacing w:before="40" w:after="40" w:line="240" w:lineRule="auto"/>
            </w:pPr>
            <w:r>
              <w:rPr>
                <w:b/>
                <w:color w:val="404040" w:themeColor="text1" w:themeTint="BF"/>
                <w:sz w:val="20"/>
                <w:szCs w:val="20"/>
              </w:rPr>
              <w:t>Governance, Ethics, and Security</w:t>
            </w:r>
          </w:p>
        </w:tc>
      </w:tr>
      <w:tr w:rsidR="008C321D" w14:paraId="346C05E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D7FB04" w14:textId="77777777" w:rsidR="008C321D"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16C59183" w14:textId="77777777" w:rsidR="008C321D" w:rsidRDefault="00000000">
            <w:pPr>
              <w:pStyle w:val="BodyText9"/>
              <w:suppressLineNumbers/>
              <w:spacing w:before="40" w:after="40" w:line="240" w:lineRule="auto"/>
            </w:pPr>
            <w:r>
              <w:rPr>
                <w:color w:val="404040" w:themeColor="text1" w:themeTint="BF"/>
                <w:sz w:val="20"/>
              </w:rPr>
              <w:t>Access Control Policy</w:t>
            </w:r>
          </w:p>
        </w:tc>
      </w:tr>
      <w:tr w:rsidR="008C321D" w14:paraId="661D884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2AB141" w14:textId="77777777" w:rsidR="008C321D"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13DED1A6" w14:textId="77777777" w:rsidR="008C321D" w:rsidRDefault="00000000">
            <w:pPr>
              <w:pStyle w:val="BodyText9"/>
              <w:suppressLineNumbers/>
              <w:spacing w:before="40" w:after="40" w:line="240" w:lineRule="auto"/>
            </w:pPr>
            <w:r>
              <w:rPr>
                <w:color w:val="404040" w:themeColor="text1" w:themeTint="BF"/>
                <w:sz w:val="20"/>
              </w:rPr>
              <w:t>POL-AC-001</w:t>
            </w:r>
          </w:p>
        </w:tc>
      </w:tr>
      <w:tr w:rsidR="008C321D" w14:paraId="300453C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01BD66" w14:textId="77777777" w:rsidR="008C321D"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5BCBAEF8" w14:textId="77777777" w:rsidR="008C321D" w:rsidRDefault="00000000">
            <w:pPr>
              <w:pStyle w:val="BodyText9"/>
              <w:suppressLineNumbers/>
              <w:spacing w:before="40" w:after="40" w:line="240" w:lineRule="auto"/>
            </w:pPr>
            <w:r>
              <w:rPr>
                <w:color w:val="404040" w:themeColor="text1" w:themeTint="BF"/>
                <w:sz w:val="20"/>
              </w:rPr>
              <w:t>1.0</w:t>
            </w:r>
          </w:p>
        </w:tc>
      </w:tr>
      <w:tr w:rsidR="008C321D" w14:paraId="795A2B3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10F0AE1" w14:textId="77777777" w:rsidR="008C321D"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92130CF" w14:textId="77777777" w:rsidR="008C321D" w:rsidRDefault="00000000">
            <w:pPr>
              <w:pStyle w:val="BodyText9"/>
              <w:suppressLineNumbers/>
              <w:spacing w:before="40" w:after="40" w:line="240" w:lineRule="auto"/>
            </w:pPr>
            <w:r>
              <w:rPr>
                <w:color w:val="404040" w:themeColor="text1" w:themeTint="BF"/>
                <w:sz w:val="20"/>
              </w:rPr>
              <w:t>August 18, 2026</w:t>
            </w:r>
          </w:p>
        </w:tc>
      </w:tr>
      <w:tr w:rsidR="008C321D" w14:paraId="3770D5E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3390220" w14:textId="77777777" w:rsidR="008C321D"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D1345FE" w14:textId="77777777" w:rsidR="008C321D" w:rsidRDefault="00000000">
            <w:pPr>
              <w:pStyle w:val="BodyText9"/>
              <w:suppressLineNumbers/>
              <w:spacing w:before="40" w:after="40" w:line="240" w:lineRule="auto"/>
            </w:pPr>
            <w:r>
              <w:rPr>
                <w:color w:val="404040" w:themeColor="text1" w:themeTint="BF"/>
                <w:sz w:val="20"/>
              </w:rPr>
              <w:t>Information Security Steering Committee</w:t>
            </w:r>
          </w:p>
        </w:tc>
      </w:tr>
      <w:tr w:rsidR="008C321D" w14:paraId="1D50166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C9B97A" w14:textId="77777777" w:rsidR="008C321D"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BDD8BFC" w14:textId="77777777" w:rsidR="008C321D" w:rsidRDefault="00000000">
            <w:pPr>
              <w:pStyle w:val="BodyText9"/>
              <w:suppressLineNumbers/>
              <w:spacing w:before="40" w:after="40" w:line="240" w:lineRule="auto"/>
            </w:pPr>
            <w:r>
              <w:rPr>
                <w:color w:val="404040" w:themeColor="text1" w:themeTint="BF"/>
                <w:sz w:val="20"/>
              </w:rPr>
              <w:t>August 18, 2026</w:t>
            </w:r>
          </w:p>
        </w:tc>
      </w:tr>
      <w:tr w:rsidR="008C321D" w14:paraId="00AB11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477DDFC" w14:textId="77777777" w:rsidR="008C321D"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58BD65A" w14:textId="77777777" w:rsidR="008C321D" w:rsidRDefault="00000000">
            <w:pPr>
              <w:pStyle w:val="BodyText9"/>
              <w:suppressLineNumbers/>
              <w:spacing w:before="40" w:after="40" w:line="240" w:lineRule="auto"/>
            </w:pPr>
            <w:r>
              <w:rPr>
                <w:color w:val="404040" w:themeColor="text1" w:themeTint="BF"/>
                <w:sz w:val="20"/>
              </w:rPr>
              <w:t>August 18, 2027</w:t>
            </w:r>
          </w:p>
        </w:tc>
      </w:tr>
      <w:tr w:rsidR="008C321D" w14:paraId="4CA93D0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DC40301" w14:textId="77777777" w:rsidR="008C321D"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23B40825" w14:textId="77777777" w:rsidR="008C321D" w:rsidRDefault="00000000">
            <w:pPr>
              <w:pStyle w:val="BodyText9"/>
              <w:suppressLineNumbers/>
              <w:spacing w:before="40" w:after="40" w:line="240" w:lineRule="auto"/>
            </w:pPr>
            <w:r>
              <w:rPr>
                <w:color w:val="404040" w:themeColor="text1" w:themeTint="BF"/>
                <w:sz w:val="20"/>
              </w:rPr>
              <w:t>Internal</w:t>
            </w:r>
          </w:p>
        </w:tc>
      </w:tr>
      <w:tr w:rsidR="008C321D" w14:paraId="6084020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396D0E5" w14:textId="77777777" w:rsidR="008C321D"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1BD8A022" w14:textId="77777777" w:rsidR="008C321D" w:rsidRPr="00CB6FE4" w:rsidRDefault="00000000">
            <w:pPr>
              <w:pStyle w:val="BodyText9"/>
              <w:suppressLineNumbers/>
              <w:spacing w:before="40" w:after="40" w:line="240" w:lineRule="auto"/>
              <w:rPr>
                <w:color w:val="404040" w:themeColor="text1" w:themeTint="BF"/>
                <w:sz w:val="20"/>
              </w:rPr>
            </w:pPr>
            <w:r w:rsidRPr="00CB6FE4">
              <w:rPr>
                <w:color w:val="404040" w:themeColor="text1" w:themeTint="BF"/>
                <w:sz w:val="20"/>
              </w:rPr>
              <w:fldChar w:fldCharType="begin"/>
            </w:r>
            <w:r w:rsidRPr="00CB6FE4">
              <w:rPr>
                <w:color w:val="404040" w:themeColor="text1" w:themeTint="BF"/>
                <w:sz w:val="20"/>
              </w:rPr>
              <w:instrText xml:space="preserve"> DOCPROPERTY "DocOwner"</w:instrText>
            </w:r>
            <w:r w:rsidRPr="00CB6FE4">
              <w:rPr>
                <w:color w:val="404040" w:themeColor="text1" w:themeTint="BF"/>
                <w:sz w:val="20"/>
              </w:rPr>
              <w:fldChar w:fldCharType="separate"/>
            </w:r>
            <w:r w:rsidRPr="00CB6FE4">
              <w:rPr>
                <w:color w:val="404040" w:themeColor="text1" w:themeTint="BF"/>
                <w:sz w:val="20"/>
              </w:rPr>
              <w:t>Chief Executive Officer — Accountable Party</w:t>
            </w:r>
            <w:r w:rsidRPr="00CB6FE4">
              <w:rPr>
                <w:color w:val="404040" w:themeColor="text1" w:themeTint="BF"/>
                <w:sz w:val="20"/>
              </w:rPr>
              <w:fldChar w:fldCharType="end"/>
            </w:r>
          </w:p>
        </w:tc>
      </w:tr>
      <w:tr w:rsidR="008C321D" w14:paraId="68F732C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34DCF68" w14:textId="77777777" w:rsidR="008C321D"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1B1AA9F7" w14:textId="77777777" w:rsidR="008C321D" w:rsidRPr="00CB6FE4"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8C321D" w14:paraId="0D737DA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E6327FF" w14:textId="77777777" w:rsidR="008C321D"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6D025493" w14:textId="77777777" w:rsidR="008C321D" w:rsidRPr="00CB6FE4" w:rsidRDefault="00000000">
            <w:pPr>
              <w:pStyle w:val="BodyText9"/>
              <w:suppressLineNumbers/>
              <w:spacing w:before="40" w:after="40" w:line="240" w:lineRule="auto"/>
              <w:rPr>
                <w:color w:val="404040" w:themeColor="text1" w:themeTint="BF"/>
                <w:sz w:val="20"/>
              </w:rPr>
            </w:pPr>
            <w:r w:rsidRPr="00CB6FE4">
              <w:rPr>
                <w:color w:val="404040" w:themeColor="text1" w:themeTint="BF"/>
                <w:sz w:val="20"/>
              </w:rPr>
              <w:fldChar w:fldCharType="begin"/>
            </w:r>
            <w:r w:rsidRPr="00CB6FE4">
              <w:rPr>
                <w:color w:val="404040" w:themeColor="text1" w:themeTint="BF"/>
                <w:sz w:val="20"/>
              </w:rPr>
              <w:instrText xml:space="preserve"> DOCPROPERTY "ReviewCycle"</w:instrText>
            </w:r>
            <w:r w:rsidRPr="00CB6FE4">
              <w:rPr>
                <w:color w:val="404040" w:themeColor="text1" w:themeTint="BF"/>
                <w:sz w:val="20"/>
              </w:rPr>
              <w:fldChar w:fldCharType="separate"/>
            </w:r>
            <w:r w:rsidRPr="00CB6FE4">
              <w:rPr>
                <w:color w:val="404040" w:themeColor="text1" w:themeTint="BF"/>
                <w:sz w:val="20"/>
              </w:rPr>
              <w:t>Annual, or upon material change</w:t>
            </w:r>
            <w:r w:rsidRPr="00CB6FE4">
              <w:rPr>
                <w:color w:val="404040" w:themeColor="text1" w:themeTint="BF"/>
                <w:sz w:val="20"/>
              </w:rPr>
              <w:fldChar w:fldCharType="end"/>
            </w:r>
          </w:p>
        </w:tc>
      </w:tr>
      <w:tr w:rsidR="008C321D" w14:paraId="3C1531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2A8E31D" w14:textId="77777777" w:rsidR="008C321D"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441D88C8" w14:textId="77777777" w:rsidR="008C321D" w:rsidRPr="00CB6FE4"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8C321D" w14:paraId="4463408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4247AD0" w14:textId="77777777" w:rsidR="008C321D"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56884245" w14:textId="77777777" w:rsidR="008C321D" w:rsidRPr="00CB6FE4" w:rsidRDefault="00000000">
            <w:pPr>
              <w:pStyle w:val="BodyText9"/>
              <w:suppressLineNumbers/>
              <w:spacing w:before="40" w:after="40" w:line="240" w:lineRule="auto"/>
              <w:rPr>
                <w:color w:val="404040" w:themeColor="text1" w:themeTint="BF"/>
                <w:sz w:val="20"/>
              </w:rPr>
            </w:pPr>
            <w:r w:rsidRPr="00CB6FE4">
              <w:rPr>
                <w:color w:val="404040" w:themeColor="text1" w:themeTint="BF"/>
                <w:sz w:val="20"/>
              </w:rPr>
              <w:fldChar w:fldCharType="begin"/>
            </w:r>
            <w:r w:rsidRPr="00CB6FE4">
              <w:rPr>
                <w:color w:val="404040" w:themeColor="text1" w:themeTint="BF"/>
                <w:sz w:val="20"/>
              </w:rPr>
              <w:instrText xml:space="preserve"> DOCPROPERTY "Audience"</w:instrText>
            </w:r>
            <w:r w:rsidRPr="00CB6FE4">
              <w:rPr>
                <w:color w:val="404040" w:themeColor="text1" w:themeTint="BF"/>
                <w:sz w:val="20"/>
              </w:rPr>
              <w:fldChar w:fldCharType="separate"/>
            </w:r>
            <w:r w:rsidRPr="00CB6FE4">
              <w:rPr>
                <w:color w:val="404040" w:themeColor="text1" w:themeTint="BF"/>
                <w:sz w:val="20"/>
              </w:rPr>
              <w:t>All personnel, including employees and contractors</w:t>
            </w:r>
            <w:r w:rsidRPr="00CB6FE4">
              <w:rPr>
                <w:color w:val="404040" w:themeColor="text1" w:themeTint="BF"/>
                <w:sz w:val="20"/>
              </w:rPr>
              <w:fldChar w:fldCharType="end"/>
            </w:r>
          </w:p>
        </w:tc>
      </w:tr>
    </w:tbl>
    <w:p w14:paraId="2EB09294" w14:textId="77777777" w:rsidR="008C321D" w:rsidRDefault="008C321D">
      <w:pPr>
        <w:suppressLineNumbers/>
        <w:rPr>
          <w:rStyle w:val="Strong"/>
        </w:rPr>
      </w:pPr>
    </w:p>
    <w:p w14:paraId="46F40F6E" w14:textId="77777777" w:rsidR="008C321D"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8C321D" w14:paraId="2023EBE8"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C00DCBC" w14:textId="77777777" w:rsidR="008C321D"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6820CFBE" w14:textId="77777777" w:rsidR="008C321D"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4DCE95BF" w14:textId="77777777" w:rsidR="008C321D"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0953A58B" w14:textId="77777777" w:rsidR="008C321D"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69028136" w14:textId="77777777" w:rsidR="008C321D" w:rsidRDefault="00000000">
            <w:pPr>
              <w:pStyle w:val="BodyText9"/>
              <w:suppressLineNumbers/>
              <w:spacing w:before="40" w:after="40" w:line="240" w:lineRule="auto"/>
            </w:pPr>
            <w:r>
              <w:rPr>
                <w:b/>
                <w:color w:val="404040" w:themeColor="text1" w:themeTint="BF"/>
                <w:sz w:val="20"/>
                <w:szCs w:val="20"/>
              </w:rPr>
              <w:t>Date</w:t>
            </w:r>
          </w:p>
        </w:tc>
      </w:tr>
      <w:tr w:rsidR="008C321D" w14:paraId="58B53E72"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D1DDD5A" w14:textId="77777777" w:rsidR="008C321D"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1DC196C5" w14:textId="77777777" w:rsidR="008C321D"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6C1CB93" w14:textId="77777777" w:rsidR="008C321D"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3AB8F3B" w14:textId="77777777" w:rsidR="008C321D" w:rsidRDefault="008C321D">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7A2B98E" w14:textId="77777777" w:rsidR="008C321D" w:rsidRDefault="00000000">
            <w:pPr>
              <w:pStyle w:val="BodyText9"/>
              <w:suppressLineNumbers/>
              <w:spacing w:before="40" w:after="40" w:line="240" w:lineRule="auto"/>
            </w:pPr>
            <w:r>
              <w:rPr>
                <w:color w:val="404040" w:themeColor="text1" w:themeTint="BF"/>
                <w:sz w:val="20"/>
              </w:rPr>
              <w:t>August 18, 2026</w:t>
            </w:r>
          </w:p>
        </w:tc>
      </w:tr>
      <w:tr w:rsidR="008C321D" w14:paraId="1474B76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C298EA8" w14:textId="77777777" w:rsidR="008C321D"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1528472" w14:textId="77777777" w:rsidR="008C321D"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75AFD2D7" w14:textId="77777777" w:rsidR="008C321D"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538829B" w14:textId="77777777" w:rsidR="008C321D" w:rsidRDefault="008C321D">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3F761EF" w14:textId="77777777" w:rsidR="008C321D" w:rsidRDefault="00000000">
            <w:pPr>
              <w:pStyle w:val="BodyText9"/>
              <w:suppressLineNumbers/>
              <w:spacing w:before="40" w:after="40" w:line="240" w:lineRule="auto"/>
            </w:pPr>
            <w:r>
              <w:rPr>
                <w:color w:val="404040" w:themeColor="text1" w:themeTint="BF"/>
                <w:sz w:val="20"/>
              </w:rPr>
              <w:t>August 18, 2026</w:t>
            </w:r>
          </w:p>
        </w:tc>
      </w:tr>
    </w:tbl>
    <w:p w14:paraId="5CAD09B7" w14:textId="77777777" w:rsidR="008C321D" w:rsidRDefault="008C321D">
      <w:pPr>
        <w:suppressLineNumbers/>
        <w:rPr>
          <w:rStyle w:val="Strong"/>
        </w:rPr>
      </w:pPr>
    </w:p>
    <w:p w14:paraId="755A91C3" w14:textId="77777777" w:rsidR="008C321D" w:rsidRDefault="00000000">
      <w:pPr>
        <w:suppressLineNumbers/>
        <w:spacing w:before="360" w:after="160"/>
      </w:pPr>
      <w:r>
        <w:rPr>
          <w:rStyle w:val="Strong"/>
          <w:caps/>
        </w:rPr>
        <w:t>COMPLIANCE</w:t>
      </w:r>
    </w:p>
    <w:p w14:paraId="2E96CF57" w14:textId="57F7025C" w:rsidR="008C321D" w:rsidRDefault="00000000">
      <w:pPr>
        <w:pStyle w:val="BodyText9"/>
        <w:suppressLineNumbers/>
        <w:spacing w:after="120"/>
        <w:jc w:val="both"/>
      </w:pPr>
      <w:r>
        <w:rPr>
          <w:color w:val="404040" w:themeColor="text1" w:themeTint="BF"/>
        </w:rPr>
        <w:t xml:space="preserve">This Policy is </w:t>
      </w:r>
      <w:r w:rsidR="00CB6FE4">
        <w:rPr>
          <w:color w:val="404040" w:themeColor="text1" w:themeTint="BF"/>
        </w:rPr>
        <w:t>authorized</w:t>
      </w:r>
      <w:r>
        <w:rPr>
          <w:color w:val="404040" w:themeColor="text1" w:themeTint="BF"/>
        </w:rPr>
        <w:t xml:space="preserve"> by the Information Security Policy (POL-ISP-001) and supports the SOC 2 Trust Services Criteria CC1.4, CC4.1, CC5.2, CC6.1, CC6.2 and CC6.3, HIPAA Security Rule 45 CFR §164.308(a)(3) and §164.308(a)(4), and GDPR Article 32. It is written for a remote, largely fractional team working in AWS, GitHub and Google Workspace from their own laptops.</w:t>
      </w:r>
    </w:p>
    <w:p w14:paraId="6A9D0CDA" w14:textId="77777777" w:rsidR="008C321D" w:rsidRDefault="008C321D">
      <w:pPr>
        <w:pStyle w:val="BodyText9"/>
        <w:suppressLineNumbers/>
      </w:pPr>
    </w:p>
    <w:p w14:paraId="725555C1" w14:textId="77777777" w:rsidR="0072199C" w:rsidRDefault="0072199C">
      <w:pPr>
        <w:suppressLineNumbers/>
        <w:spacing w:before="360" w:after="160"/>
        <w:rPr>
          <w:rStyle w:val="Strong"/>
          <w:caps/>
        </w:rPr>
      </w:pPr>
    </w:p>
    <w:p w14:paraId="2602F5A4" w14:textId="145A96BC" w:rsidR="008C321D" w:rsidRDefault="00000000">
      <w:pPr>
        <w:suppressLineNumbers/>
        <w:spacing w:before="360" w:after="160"/>
        <w:rPr>
          <w:rStyle w:val="Strong"/>
        </w:rPr>
      </w:pPr>
      <w:r>
        <w:rPr>
          <w:rStyle w:val="Strong"/>
          <w:caps/>
        </w:rPr>
        <w:lastRenderedPageBreak/>
        <w:t>DOCUMENT VALIDITY</w:t>
      </w:r>
    </w:p>
    <w:p w14:paraId="5A966460" w14:textId="77777777" w:rsidR="008C321D"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5695A1DF" w14:textId="77777777" w:rsidR="008C321D" w:rsidRDefault="00000000">
      <w:pPr>
        <w:suppressLineNumbers/>
      </w:pPr>
      <w:r>
        <w:br w:type="page"/>
      </w:r>
    </w:p>
    <w:p w14:paraId="06322F9C" w14:textId="77777777" w:rsidR="00CB6FE4" w:rsidRDefault="00000000">
      <w:pPr>
        <w:suppressLineNumbers/>
        <w:spacing w:after="160"/>
        <w:rPr>
          <w:noProof/>
        </w:rPr>
      </w:pPr>
      <w:r>
        <w:rPr>
          <w:rStyle w:val="Strong"/>
          <w:caps/>
        </w:rPr>
        <w:lastRenderedPageBreak/>
        <w:t>TABLE OF CONTENTS</w:t>
      </w:r>
      <w:r w:rsidR="00CB6FE4">
        <w:rPr>
          <w:rStyle w:val="Strong"/>
          <w:caps/>
        </w:rPr>
        <w:fldChar w:fldCharType="begin"/>
      </w:r>
      <w:r w:rsidR="00CB6FE4">
        <w:rPr>
          <w:rStyle w:val="Strong"/>
          <w:caps/>
        </w:rPr>
        <w:instrText xml:space="preserve"> TOC \o "1-3" \h \z \u </w:instrText>
      </w:r>
      <w:r w:rsidR="00CB6FE4">
        <w:rPr>
          <w:rStyle w:val="Strong"/>
          <w:caps/>
        </w:rPr>
        <w:fldChar w:fldCharType="separate"/>
      </w:r>
    </w:p>
    <w:p w14:paraId="4E5933BC" w14:textId="240401EA"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897" w:history="1">
        <w:r w:rsidRPr="00AF2BFF">
          <w:rPr>
            <w:rStyle w:val="Hyperlink"/>
            <w:noProof/>
          </w:rPr>
          <w:t>1 Overview and Purpose</w:t>
        </w:r>
        <w:r>
          <w:rPr>
            <w:noProof/>
            <w:webHidden/>
          </w:rPr>
          <w:tab/>
        </w:r>
        <w:r>
          <w:rPr>
            <w:noProof/>
            <w:webHidden/>
          </w:rPr>
          <w:fldChar w:fldCharType="begin"/>
        </w:r>
        <w:r>
          <w:rPr>
            <w:noProof/>
            <w:webHidden/>
          </w:rPr>
          <w:instrText xml:space="preserve"> PAGEREF _Toc237816897 \h </w:instrText>
        </w:r>
        <w:r>
          <w:rPr>
            <w:noProof/>
            <w:webHidden/>
          </w:rPr>
        </w:r>
        <w:r>
          <w:rPr>
            <w:noProof/>
            <w:webHidden/>
          </w:rPr>
          <w:fldChar w:fldCharType="separate"/>
        </w:r>
        <w:r w:rsidR="0072199C">
          <w:rPr>
            <w:noProof/>
            <w:webHidden/>
          </w:rPr>
          <w:t>5</w:t>
        </w:r>
        <w:r>
          <w:rPr>
            <w:noProof/>
            <w:webHidden/>
          </w:rPr>
          <w:fldChar w:fldCharType="end"/>
        </w:r>
      </w:hyperlink>
    </w:p>
    <w:p w14:paraId="4F2298C0" w14:textId="171DB33E"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898" w:history="1">
        <w:r w:rsidRPr="00AF2BFF">
          <w:rPr>
            <w:rStyle w:val="Hyperlink"/>
            <w:noProof/>
          </w:rPr>
          <w:t>2 Scope</w:t>
        </w:r>
        <w:r>
          <w:rPr>
            <w:noProof/>
            <w:webHidden/>
          </w:rPr>
          <w:tab/>
        </w:r>
        <w:r>
          <w:rPr>
            <w:noProof/>
            <w:webHidden/>
          </w:rPr>
          <w:fldChar w:fldCharType="begin"/>
        </w:r>
        <w:r>
          <w:rPr>
            <w:noProof/>
            <w:webHidden/>
          </w:rPr>
          <w:instrText xml:space="preserve"> PAGEREF _Toc237816898 \h </w:instrText>
        </w:r>
        <w:r>
          <w:rPr>
            <w:noProof/>
            <w:webHidden/>
          </w:rPr>
        </w:r>
        <w:r>
          <w:rPr>
            <w:noProof/>
            <w:webHidden/>
          </w:rPr>
          <w:fldChar w:fldCharType="separate"/>
        </w:r>
        <w:r w:rsidR="0072199C">
          <w:rPr>
            <w:noProof/>
            <w:webHidden/>
          </w:rPr>
          <w:t>5</w:t>
        </w:r>
        <w:r>
          <w:rPr>
            <w:noProof/>
            <w:webHidden/>
          </w:rPr>
          <w:fldChar w:fldCharType="end"/>
        </w:r>
      </w:hyperlink>
    </w:p>
    <w:p w14:paraId="7D4AD556" w14:textId="578413AB"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899" w:history="1">
        <w:r w:rsidRPr="00AF2BFF">
          <w:rPr>
            <w:rStyle w:val="Hyperlink"/>
            <w:noProof/>
          </w:rPr>
          <w:t>3 Roles and Definitions</w:t>
        </w:r>
        <w:r>
          <w:rPr>
            <w:noProof/>
            <w:webHidden/>
          </w:rPr>
          <w:tab/>
        </w:r>
        <w:r>
          <w:rPr>
            <w:noProof/>
            <w:webHidden/>
          </w:rPr>
          <w:fldChar w:fldCharType="begin"/>
        </w:r>
        <w:r>
          <w:rPr>
            <w:noProof/>
            <w:webHidden/>
          </w:rPr>
          <w:instrText xml:space="preserve"> PAGEREF _Toc237816899 \h </w:instrText>
        </w:r>
        <w:r>
          <w:rPr>
            <w:noProof/>
            <w:webHidden/>
          </w:rPr>
        </w:r>
        <w:r>
          <w:rPr>
            <w:noProof/>
            <w:webHidden/>
          </w:rPr>
          <w:fldChar w:fldCharType="separate"/>
        </w:r>
        <w:r w:rsidR="0072199C">
          <w:rPr>
            <w:noProof/>
            <w:webHidden/>
          </w:rPr>
          <w:t>5</w:t>
        </w:r>
        <w:r>
          <w:rPr>
            <w:noProof/>
            <w:webHidden/>
          </w:rPr>
          <w:fldChar w:fldCharType="end"/>
        </w:r>
      </w:hyperlink>
    </w:p>
    <w:p w14:paraId="3AE75168" w14:textId="16E3AC20"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0" w:history="1">
        <w:r w:rsidRPr="00AF2BFF">
          <w:rPr>
            <w:rStyle w:val="Hyperlink"/>
            <w:noProof/>
          </w:rPr>
          <w:t>4 Terminology</w:t>
        </w:r>
        <w:r>
          <w:rPr>
            <w:noProof/>
            <w:webHidden/>
          </w:rPr>
          <w:tab/>
        </w:r>
        <w:r>
          <w:rPr>
            <w:noProof/>
            <w:webHidden/>
          </w:rPr>
          <w:fldChar w:fldCharType="begin"/>
        </w:r>
        <w:r>
          <w:rPr>
            <w:noProof/>
            <w:webHidden/>
          </w:rPr>
          <w:instrText xml:space="preserve"> PAGEREF _Toc237816900 \h </w:instrText>
        </w:r>
        <w:r>
          <w:rPr>
            <w:noProof/>
            <w:webHidden/>
          </w:rPr>
        </w:r>
        <w:r>
          <w:rPr>
            <w:noProof/>
            <w:webHidden/>
          </w:rPr>
          <w:fldChar w:fldCharType="separate"/>
        </w:r>
        <w:r w:rsidR="0072199C">
          <w:rPr>
            <w:noProof/>
            <w:webHidden/>
          </w:rPr>
          <w:t>5</w:t>
        </w:r>
        <w:r>
          <w:rPr>
            <w:noProof/>
            <w:webHidden/>
          </w:rPr>
          <w:fldChar w:fldCharType="end"/>
        </w:r>
      </w:hyperlink>
    </w:p>
    <w:p w14:paraId="572AE4B6" w14:textId="6BECF2A7"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1" w:history="1">
        <w:r w:rsidRPr="00AF2BFF">
          <w:rPr>
            <w:rStyle w:val="Hyperlink"/>
            <w:noProof/>
          </w:rPr>
          <w:t>5 How Access Is Granted</w:t>
        </w:r>
        <w:r>
          <w:rPr>
            <w:noProof/>
            <w:webHidden/>
          </w:rPr>
          <w:tab/>
        </w:r>
        <w:r>
          <w:rPr>
            <w:noProof/>
            <w:webHidden/>
          </w:rPr>
          <w:fldChar w:fldCharType="begin"/>
        </w:r>
        <w:r>
          <w:rPr>
            <w:noProof/>
            <w:webHidden/>
          </w:rPr>
          <w:instrText xml:space="preserve"> PAGEREF _Toc237816901 \h </w:instrText>
        </w:r>
        <w:r>
          <w:rPr>
            <w:noProof/>
            <w:webHidden/>
          </w:rPr>
        </w:r>
        <w:r>
          <w:rPr>
            <w:noProof/>
            <w:webHidden/>
          </w:rPr>
          <w:fldChar w:fldCharType="separate"/>
        </w:r>
        <w:r w:rsidR="0072199C">
          <w:rPr>
            <w:noProof/>
            <w:webHidden/>
          </w:rPr>
          <w:t>6</w:t>
        </w:r>
        <w:r>
          <w:rPr>
            <w:noProof/>
            <w:webHidden/>
          </w:rPr>
          <w:fldChar w:fldCharType="end"/>
        </w:r>
      </w:hyperlink>
    </w:p>
    <w:p w14:paraId="23950378" w14:textId="5229DFB6"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2" w:history="1">
        <w:r w:rsidRPr="00AF2BFF">
          <w:rPr>
            <w:rStyle w:val="Hyperlink"/>
            <w:noProof/>
          </w:rPr>
          <w:t>6 Privileged and Non-Human Access</w:t>
        </w:r>
        <w:r>
          <w:rPr>
            <w:noProof/>
            <w:webHidden/>
          </w:rPr>
          <w:tab/>
        </w:r>
        <w:r>
          <w:rPr>
            <w:noProof/>
            <w:webHidden/>
          </w:rPr>
          <w:fldChar w:fldCharType="begin"/>
        </w:r>
        <w:r>
          <w:rPr>
            <w:noProof/>
            <w:webHidden/>
          </w:rPr>
          <w:instrText xml:space="preserve"> PAGEREF _Toc237816902 \h </w:instrText>
        </w:r>
        <w:r>
          <w:rPr>
            <w:noProof/>
            <w:webHidden/>
          </w:rPr>
        </w:r>
        <w:r>
          <w:rPr>
            <w:noProof/>
            <w:webHidden/>
          </w:rPr>
          <w:fldChar w:fldCharType="separate"/>
        </w:r>
        <w:r w:rsidR="0072199C">
          <w:rPr>
            <w:noProof/>
            <w:webHidden/>
          </w:rPr>
          <w:t>7</w:t>
        </w:r>
        <w:r>
          <w:rPr>
            <w:noProof/>
            <w:webHidden/>
          </w:rPr>
          <w:fldChar w:fldCharType="end"/>
        </w:r>
      </w:hyperlink>
    </w:p>
    <w:p w14:paraId="26B2D4E8" w14:textId="3DBC01D4"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3" w:history="1">
        <w:r w:rsidRPr="00AF2BFF">
          <w:rPr>
            <w:rStyle w:val="Hyperlink"/>
            <w:noProof/>
          </w:rPr>
          <w:t>7 Access to Client Systems</w:t>
        </w:r>
        <w:r>
          <w:rPr>
            <w:noProof/>
            <w:webHidden/>
          </w:rPr>
          <w:tab/>
        </w:r>
        <w:r>
          <w:rPr>
            <w:noProof/>
            <w:webHidden/>
          </w:rPr>
          <w:fldChar w:fldCharType="begin"/>
        </w:r>
        <w:r>
          <w:rPr>
            <w:noProof/>
            <w:webHidden/>
          </w:rPr>
          <w:instrText xml:space="preserve"> PAGEREF _Toc237816903 \h </w:instrText>
        </w:r>
        <w:r>
          <w:rPr>
            <w:noProof/>
            <w:webHidden/>
          </w:rPr>
        </w:r>
        <w:r>
          <w:rPr>
            <w:noProof/>
            <w:webHidden/>
          </w:rPr>
          <w:fldChar w:fldCharType="separate"/>
        </w:r>
        <w:r w:rsidR="0072199C">
          <w:rPr>
            <w:noProof/>
            <w:webHidden/>
          </w:rPr>
          <w:t>7</w:t>
        </w:r>
        <w:r>
          <w:rPr>
            <w:noProof/>
            <w:webHidden/>
          </w:rPr>
          <w:fldChar w:fldCharType="end"/>
        </w:r>
      </w:hyperlink>
    </w:p>
    <w:p w14:paraId="359E989B" w14:textId="1C7BE5E4"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4" w:history="1">
        <w:r w:rsidRPr="00AF2BFF">
          <w:rPr>
            <w:rStyle w:val="Hyperlink"/>
            <w:noProof/>
          </w:rPr>
          <w:t>8 Joiners, Movers and Leavers</w:t>
        </w:r>
        <w:r>
          <w:rPr>
            <w:noProof/>
            <w:webHidden/>
          </w:rPr>
          <w:tab/>
        </w:r>
        <w:r>
          <w:rPr>
            <w:noProof/>
            <w:webHidden/>
          </w:rPr>
          <w:fldChar w:fldCharType="begin"/>
        </w:r>
        <w:r>
          <w:rPr>
            <w:noProof/>
            <w:webHidden/>
          </w:rPr>
          <w:instrText xml:space="preserve"> PAGEREF _Toc237816904 \h </w:instrText>
        </w:r>
        <w:r>
          <w:rPr>
            <w:noProof/>
            <w:webHidden/>
          </w:rPr>
        </w:r>
        <w:r>
          <w:rPr>
            <w:noProof/>
            <w:webHidden/>
          </w:rPr>
          <w:fldChar w:fldCharType="separate"/>
        </w:r>
        <w:r w:rsidR="0072199C">
          <w:rPr>
            <w:noProof/>
            <w:webHidden/>
          </w:rPr>
          <w:t>7</w:t>
        </w:r>
        <w:r>
          <w:rPr>
            <w:noProof/>
            <w:webHidden/>
          </w:rPr>
          <w:fldChar w:fldCharType="end"/>
        </w:r>
      </w:hyperlink>
    </w:p>
    <w:p w14:paraId="2051415C" w14:textId="223CA00F"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5" w:history="1">
        <w:r w:rsidRPr="00AF2BFF">
          <w:rPr>
            <w:rStyle w:val="Hyperlink"/>
            <w:noProof/>
          </w:rPr>
          <w:t>9 Access Reviews</w:t>
        </w:r>
        <w:r>
          <w:rPr>
            <w:noProof/>
            <w:webHidden/>
          </w:rPr>
          <w:tab/>
        </w:r>
        <w:r>
          <w:rPr>
            <w:noProof/>
            <w:webHidden/>
          </w:rPr>
          <w:fldChar w:fldCharType="begin"/>
        </w:r>
        <w:r>
          <w:rPr>
            <w:noProof/>
            <w:webHidden/>
          </w:rPr>
          <w:instrText xml:space="preserve"> PAGEREF _Toc237816905 \h </w:instrText>
        </w:r>
        <w:r>
          <w:rPr>
            <w:noProof/>
            <w:webHidden/>
          </w:rPr>
        </w:r>
        <w:r>
          <w:rPr>
            <w:noProof/>
            <w:webHidden/>
          </w:rPr>
          <w:fldChar w:fldCharType="separate"/>
        </w:r>
        <w:r w:rsidR="0072199C">
          <w:rPr>
            <w:noProof/>
            <w:webHidden/>
          </w:rPr>
          <w:t>8</w:t>
        </w:r>
        <w:r>
          <w:rPr>
            <w:noProof/>
            <w:webHidden/>
          </w:rPr>
          <w:fldChar w:fldCharType="end"/>
        </w:r>
      </w:hyperlink>
    </w:p>
    <w:p w14:paraId="68453219" w14:textId="2EA238F9"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6" w:history="1">
        <w:r w:rsidRPr="00AF2BFF">
          <w:rPr>
            <w:rStyle w:val="Hyperlink"/>
            <w:noProof/>
          </w:rPr>
          <w:t>10 Records</w:t>
        </w:r>
        <w:r>
          <w:rPr>
            <w:noProof/>
            <w:webHidden/>
          </w:rPr>
          <w:tab/>
        </w:r>
        <w:r>
          <w:rPr>
            <w:noProof/>
            <w:webHidden/>
          </w:rPr>
          <w:fldChar w:fldCharType="begin"/>
        </w:r>
        <w:r>
          <w:rPr>
            <w:noProof/>
            <w:webHidden/>
          </w:rPr>
          <w:instrText xml:space="preserve"> PAGEREF _Toc237816906 \h </w:instrText>
        </w:r>
        <w:r>
          <w:rPr>
            <w:noProof/>
            <w:webHidden/>
          </w:rPr>
        </w:r>
        <w:r>
          <w:rPr>
            <w:noProof/>
            <w:webHidden/>
          </w:rPr>
          <w:fldChar w:fldCharType="separate"/>
        </w:r>
        <w:r w:rsidR="0072199C">
          <w:rPr>
            <w:noProof/>
            <w:webHidden/>
          </w:rPr>
          <w:t>8</w:t>
        </w:r>
        <w:r>
          <w:rPr>
            <w:noProof/>
            <w:webHidden/>
          </w:rPr>
          <w:fldChar w:fldCharType="end"/>
        </w:r>
      </w:hyperlink>
    </w:p>
    <w:p w14:paraId="419FD474" w14:textId="15E4BF10"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7" w:history="1">
        <w:r w:rsidRPr="00AF2BFF">
          <w:rPr>
            <w:rStyle w:val="Hyperlink"/>
            <w:noProof/>
          </w:rPr>
          <w:t>11 Exceptions</w:t>
        </w:r>
        <w:r>
          <w:rPr>
            <w:noProof/>
            <w:webHidden/>
          </w:rPr>
          <w:tab/>
        </w:r>
        <w:r>
          <w:rPr>
            <w:noProof/>
            <w:webHidden/>
          </w:rPr>
          <w:fldChar w:fldCharType="begin"/>
        </w:r>
        <w:r>
          <w:rPr>
            <w:noProof/>
            <w:webHidden/>
          </w:rPr>
          <w:instrText xml:space="preserve"> PAGEREF _Toc237816907 \h </w:instrText>
        </w:r>
        <w:r>
          <w:rPr>
            <w:noProof/>
            <w:webHidden/>
          </w:rPr>
        </w:r>
        <w:r>
          <w:rPr>
            <w:noProof/>
            <w:webHidden/>
          </w:rPr>
          <w:fldChar w:fldCharType="separate"/>
        </w:r>
        <w:r w:rsidR="0072199C">
          <w:rPr>
            <w:noProof/>
            <w:webHidden/>
          </w:rPr>
          <w:t>8</w:t>
        </w:r>
        <w:r>
          <w:rPr>
            <w:noProof/>
            <w:webHidden/>
          </w:rPr>
          <w:fldChar w:fldCharType="end"/>
        </w:r>
      </w:hyperlink>
    </w:p>
    <w:p w14:paraId="2BA64B25" w14:textId="4070EE59"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8" w:history="1">
        <w:r w:rsidRPr="00AF2BFF">
          <w:rPr>
            <w:rStyle w:val="Hyperlink"/>
            <w:noProof/>
          </w:rPr>
          <w:t>12 Reference</w:t>
        </w:r>
        <w:r>
          <w:rPr>
            <w:noProof/>
            <w:webHidden/>
          </w:rPr>
          <w:tab/>
        </w:r>
        <w:r>
          <w:rPr>
            <w:noProof/>
            <w:webHidden/>
          </w:rPr>
          <w:fldChar w:fldCharType="begin"/>
        </w:r>
        <w:r>
          <w:rPr>
            <w:noProof/>
            <w:webHidden/>
          </w:rPr>
          <w:instrText xml:space="preserve"> PAGEREF _Toc237816908 \h </w:instrText>
        </w:r>
        <w:r>
          <w:rPr>
            <w:noProof/>
            <w:webHidden/>
          </w:rPr>
        </w:r>
        <w:r>
          <w:rPr>
            <w:noProof/>
            <w:webHidden/>
          </w:rPr>
          <w:fldChar w:fldCharType="separate"/>
        </w:r>
        <w:r w:rsidR="0072199C">
          <w:rPr>
            <w:noProof/>
            <w:webHidden/>
          </w:rPr>
          <w:t>8</w:t>
        </w:r>
        <w:r>
          <w:rPr>
            <w:noProof/>
            <w:webHidden/>
          </w:rPr>
          <w:fldChar w:fldCharType="end"/>
        </w:r>
      </w:hyperlink>
    </w:p>
    <w:p w14:paraId="259D9E96" w14:textId="602082C7" w:rsidR="00CB6FE4" w:rsidRDefault="00CB6F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6909" w:history="1">
        <w:r w:rsidRPr="00AF2BFF">
          <w:rPr>
            <w:rStyle w:val="Hyperlink"/>
            <w:noProof/>
          </w:rPr>
          <w:t>13 Document Policy History</w:t>
        </w:r>
        <w:r>
          <w:rPr>
            <w:noProof/>
            <w:webHidden/>
          </w:rPr>
          <w:tab/>
        </w:r>
        <w:r>
          <w:rPr>
            <w:noProof/>
            <w:webHidden/>
          </w:rPr>
          <w:fldChar w:fldCharType="begin"/>
        </w:r>
        <w:r>
          <w:rPr>
            <w:noProof/>
            <w:webHidden/>
          </w:rPr>
          <w:instrText xml:space="preserve"> PAGEREF _Toc237816909 \h </w:instrText>
        </w:r>
        <w:r>
          <w:rPr>
            <w:noProof/>
            <w:webHidden/>
          </w:rPr>
        </w:r>
        <w:r>
          <w:rPr>
            <w:noProof/>
            <w:webHidden/>
          </w:rPr>
          <w:fldChar w:fldCharType="separate"/>
        </w:r>
        <w:r w:rsidR="0072199C">
          <w:rPr>
            <w:noProof/>
            <w:webHidden/>
          </w:rPr>
          <w:t>9</w:t>
        </w:r>
        <w:r>
          <w:rPr>
            <w:noProof/>
            <w:webHidden/>
          </w:rPr>
          <w:fldChar w:fldCharType="end"/>
        </w:r>
      </w:hyperlink>
    </w:p>
    <w:p w14:paraId="456FD089" w14:textId="5BA98638" w:rsidR="008C321D" w:rsidRDefault="00CB6FE4">
      <w:pPr>
        <w:suppressLineNumbers/>
        <w:spacing w:after="160"/>
        <w:rPr>
          <w:rStyle w:val="Strong"/>
        </w:rPr>
      </w:pPr>
      <w:r>
        <w:rPr>
          <w:rStyle w:val="Strong"/>
          <w:caps/>
        </w:rPr>
        <w:fldChar w:fldCharType="end"/>
      </w:r>
    </w:p>
    <w:sdt>
      <w:sdtPr>
        <w:id w:val="-1157292465"/>
        <w:docPartObj>
          <w:docPartGallery w:val="Table of Contents"/>
          <w:docPartUnique/>
        </w:docPartObj>
      </w:sdtPr>
      <w:sdtContent>
        <w:p w14:paraId="6DA00084" w14:textId="77777777" w:rsidR="008C321D" w:rsidRDefault="00000000">
          <w:pPr>
            <w:sectPr w:rsidR="008C321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2E40C59C" w14:textId="77777777" w:rsidR="008C321D" w:rsidRDefault="00000000">
      <w:pPr>
        <w:pStyle w:val="Heading1"/>
        <w:keepNext/>
        <w:numPr>
          <w:ilvl w:val="0"/>
          <w:numId w:val="12"/>
        </w:numPr>
        <w:spacing w:before="240" w:after="80"/>
      </w:pPr>
      <w:bookmarkStart w:id="1" w:name="_S501"/>
      <w:bookmarkStart w:id="2" w:name="_Toc237816897"/>
      <w:r>
        <w:lastRenderedPageBreak/>
        <w:t>Overview and Purpose</w:t>
      </w:r>
      <w:bookmarkEnd w:id="1"/>
      <w:bookmarkEnd w:id="2"/>
    </w:p>
    <w:p w14:paraId="05E9BCAE" w14:textId="2E15E941" w:rsidR="008C321D" w:rsidRDefault="00000000">
      <w:pPr>
        <w:pStyle w:val="BodyText9"/>
        <w:spacing w:after="120"/>
        <w:jc w:val="both"/>
      </w:pPr>
      <w:r>
        <w:rPr>
          <w:color w:val="404040" w:themeColor="text1" w:themeTint="BF"/>
        </w:rPr>
        <w:t xml:space="preserve">Access is where most of what SOC 2 tests </w:t>
      </w:r>
      <w:r w:rsidR="0072199C">
        <w:rPr>
          <w:color w:val="404040" w:themeColor="text1" w:themeTint="BF"/>
        </w:rPr>
        <w:t>lives</w:t>
      </w:r>
      <w:r>
        <w:rPr>
          <w:color w:val="404040" w:themeColor="text1" w:themeTint="BF"/>
        </w:rPr>
        <w:t>: who can reach what, how they got it, and how it goes away. PromptHalo Technologies (“the Company”) is a small remote team in AWS, GitHub and Google Workspace, and this Policy sets access on that basis.</w:t>
      </w:r>
    </w:p>
    <w:p w14:paraId="72F80BDE" w14:textId="77777777" w:rsidR="008C321D" w:rsidRDefault="00000000">
      <w:pPr>
        <w:pStyle w:val="BodyText9"/>
        <w:spacing w:after="120"/>
        <w:jc w:val="both"/>
      </w:pPr>
      <w:r>
        <w:rPr>
          <w:color w:val="404040" w:themeColor="text1" w:themeTint="BF"/>
        </w:rPr>
        <w:t>Two things carry the risk: access granted without a record, and access that outlives the reason for it. Everything below serves one of those two.</w:t>
      </w:r>
    </w:p>
    <w:p w14:paraId="30EC2761" w14:textId="77777777" w:rsidR="008C321D" w:rsidRDefault="00000000">
      <w:pPr>
        <w:pStyle w:val="Heading1"/>
        <w:keepNext/>
        <w:numPr>
          <w:ilvl w:val="0"/>
          <w:numId w:val="12"/>
        </w:numPr>
        <w:spacing w:before="240" w:after="80"/>
      </w:pPr>
      <w:bookmarkStart w:id="3" w:name="_S502"/>
      <w:bookmarkStart w:id="4" w:name="_Toc237816898"/>
      <w:r>
        <w:t>Scope</w:t>
      </w:r>
      <w:bookmarkEnd w:id="3"/>
      <w:bookmarkEnd w:id="4"/>
    </w:p>
    <w:p w14:paraId="6EAF8515" w14:textId="77777777" w:rsidR="008C321D" w:rsidRDefault="00000000">
      <w:pPr>
        <w:pStyle w:val="BodyText9"/>
        <w:spacing w:after="120"/>
        <w:jc w:val="both"/>
      </w:pPr>
      <w:r>
        <w:rPr>
          <w:color w:val="404040" w:themeColor="text1" w:themeTint="BF"/>
        </w:rPr>
        <w:t>This Policy applies to access to Company systems — Google Workspace, AWS, GitHub, the password manager and any other account the Company holds data in — and to access the Company holds inside client environments.</w:t>
      </w:r>
    </w:p>
    <w:p w14:paraId="5E917674" w14:textId="77777777" w:rsidR="008C321D" w:rsidRDefault="00000000">
      <w:pPr>
        <w:pStyle w:val="BodyText9"/>
        <w:spacing w:after="120"/>
        <w:jc w:val="both"/>
      </w:pPr>
      <w:r>
        <w:rPr>
          <w:color w:val="404040" w:themeColor="text1" w:themeTint="BF"/>
        </w:rPr>
        <w:t>It covers people and non-human identities alike: service accounts, automations and agents. It does not reach a person's own device, which is addressed in the Acceptable Use Policy.</w:t>
      </w:r>
    </w:p>
    <w:p w14:paraId="0D7A3BB3" w14:textId="77777777" w:rsidR="008C321D" w:rsidRDefault="00000000">
      <w:pPr>
        <w:pStyle w:val="Heading1"/>
        <w:keepNext/>
        <w:numPr>
          <w:ilvl w:val="0"/>
          <w:numId w:val="12"/>
        </w:numPr>
        <w:spacing w:before="240" w:after="80"/>
      </w:pPr>
      <w:bookmarkStart w:id="5" w:name="_S503"/>
      <w:bookmarkStart w:id="6" w:name="_Toc237816899"/>
      <w:r>
        <w:t>Roles and Definitions</w:t>
      </w:r>
      <w:bookmarkEnd w:id="5"/>
      <w:bookmarkEnd w:id="6"/>
    </w:p>
    <w:p w14:paraId="255109A9" w14:textId="77777777" w:rsidR="008C321D" w:rsidRDefault="00000000">
      <w:pPr>
        <w:pStyle w:val="Emphasis-Normal"/>
        <w:numPr>
          <w:ilvl w:val="0"/>
          <w:numId w:val="3"/>
        </w:numPr>
        <w:spacing w:after="120"/>
        <w:jc w:val="both"/>
      </w:pPr>
      <w:r>
        <w:rPr>
          <w:color w:val="404040" w:themeColor="text1" w:themeTint="BF"/>
        </w:rPr>
        <w:t>"The Company" refers to PromptHalo Technologies.</w:t>
      </w:r>
    </w:p>
    <w:p w14:paraId="30EC64BF" w14:textId="77777777" w:rsidR="008C321D"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77E1D0BF" w14:textId="77777777" w:rsidR="008C321D"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2D1215AA" w14:textId="77777777" w:rsidR="008C321D" w:rsidRDefault="00000000">
      <w:pPr>
        <w:pStyle w:val="Emphasis-Normal"/>
        <w:numPr>
          <w:ilvl w:val="0"/>
          <w:numId w:val="3"/>
        </w:numPr>
        <w:spacing w:after="120"/>
        <w:jc w:val="both"/>
      </w:pPr>
      <w:r>
        <w:rPr>
          <w:color w:val="404040" w:themeColor="text1" w:themeTint="BF"/>
        </w:rPr>
        <w:t xml:space="preserve">The Accountable Party approves access to production, customer data and administrative functions. Where the Accountable Party is also the requester, the CEO confirms the grant instead and the confirmation is recorded — at this size the same person will sometimes be both, and recording it is the answer.  </w:t>
      </w:r>
      <w:r>
        <w:rPr>
          <w:rFonts w:ascii="Calibri Light" w:eastAsia="Calibri Light" w:hAnsi="Calibri Light" w:cs="Calibri Light"/>
          <w:color w:val="404040" w:themeColor="text1" w:themeTint="BF"/>
          <w:sz w:val="18"/>
        </w:rPr>
        <w:t>[SOC 2: CC6.3, CC5.2]</w:t>
      </w:r>
    </w:p>
    <w:p w14:paraId="29D5F25A" w14:textId="77777777" w:rsidR="008C321D" w:rsidRDefault="00000000">
      <w:pPr>
        <w:pStyle w:val="Emphasis-Normal"/>
        <w:numPr>
          <w:ilvl w:val="0"/>
          <w:numId w:val="3"/>
        </w:numPr>
        <w:spacing w:after="120"/>
        <w:jc w:val="both"/>
      </w:pPr>
      <w:r>
        <w:rPr>
          <w:color w:val="404040" w:themeColor="text1" w:themeTint="BF"/>
        </w:rPr>
        <w:t xml:space="preserve">Every non-human identity has a named human owner.  </w:t>
      </w:r>
      <w:r>
        <w:rPr>
          <w:rFonts w:ascii="Calibri Light" w:eastAsia="Calibri Light" w:hAnsi="Calibri Light" w:cs="Calibri Light"/>
          <w:color w:val="404040" w:themeColor="text1" w:themeTint="BF"/>
          <w:sz w:val="18"/>
        </w:rPr>
        <w:t>[SOC 2: CC6.3]</w:t>
      </w:r>
    </w:p>
    <w:p w14:paraId="0FBF2723" w14:textId="77777777" w:rsidR="008C321D" w:rsidRDefault="00000000">
      <w:pPr>
        <w:pStyle w:val="Heading1"/>
        <w:keepNext/>
        <w:numPr>
          <w:ilvl w:val="0"/>
          <w:numId w:val="12"/>
        </w:numPr>
        <w:spacing w:before="240" w:after="80"/>
      </w:pPr>
      <w:bookmarkStart w:id="7" w:name="_S504"/>
      <w:bookmarkStart w:id="8" w:name="_Toc237816900"/>
      <w:r>
        <w:t>Terminology</w:t>
      </w:r>
      <w:bookmarkEnd w:id="7"/>
      <w:bookmarkEnd w:id="8"/>
    </w:p>
    <w:p w14:paraId="334D2549" w14:textId="77777777" w:rsidR="008C321D" w:rsidRDefault="00000000">
      <w:pPr>
        <w:pStyle w:val="BodyText9"/>
        <w:spacing w:after="120"/>
        <w:jc w:val="both"/>
      </w:pPr>
      <w:r>
        <w:rPr>
          <w:color w:val="404040" w:themeColor="text1" w:themeTint="BF"/>
        </w:rPr>
        <w:t>The following terms have the meanings given below wherever they appear in this policy.</w:t>
      </w:r>
    </w:p>
    <w:p w14:paraId="319C2482" w14:textId="77777777" w:rsidR="008C321D"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4E31518A" w14:textId="77777777" w:rsidR="008C321D" w:rsidRDefault="00000000">
      <w:pPr>
        <w:pStyle w:val="Emphasis-Normal"/>
        <w:numPr>
          <w:ilvl w:val="0"/>
          <w:numId w:val="4"/>
        </w:numPr>
        <w:spacing w:after="120"/>
        <w:jc w:val="both"/>
      </w:pPr>
      <w:r>
        <w:rPr>
          <w:b/>
          <w:color w:val="404040" w:themeColor="text1" w:themeTint="BF"/>
        </w:rPr>
        <w:t>Break-glass credential</w:t>
      </w:r>
      <w:r>
        <w:rPr>
          <w:color w:val="404040" w:themeColor="text1" w:themeTint="BF"/>
        </w:rPr>
        <w:t xml:space="preserve"> — an emergency credential held for use when normal access fails, kept under hardware multi-factor authentication.</w:t>
      </w:r>
    </w:p>
    <w:p w14:paraId="5511EB74" w14:textId="77777777" w:rsidR="008C321D"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2B82B68E" w14:textId="77777777" w:rsidR="008C321D"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50A23143" w14:textId="77777777" w:rsidR="008C321D" w:rsidRDefault="00000000">
      <w:pPr>
        <w:pStyle w:val="Emphasis-Normal"/>
        <w:numPr>
          <w:ilvl w:val="0"/>
          <w:numId w:val="4"/>
        </w:numPr>
        <w:spacing w:after="120"/>
        <w:jc w:val="both"/>
      </w:pPr>
      <w:r>
        <w:rPr>
          <w:b/>
          <w:color w:val="404040" w:themeColor="text1" w:themeTint="BF"/>
        </w:rPr>
        <w:lastRenderedPageBreak/>
        <w:t>Deficiency</w:t>
      </w:r>
      <w:r>
        <w:rPr>
          <w:color w:val="404040" w:themeColor="text1" w:themeTint="BF"/>
        </w:rPr>
        <w:t xml:space="preserve"> — a control that is absent, not operating as described, or not producing evidence.</w:t>
      </w:r>
    </w:p>
    <w:p w14:paraId="7948C2B5" w14:textId="77777777" w:rsidR="008C321D" w:rsidRDefault="00000000">
      <w:pPr>
        <w:pStyle w:val="Emphasis-Normal"/>
        <w:numPr>
          <w:ilvl w:val="0"/>
          <w:numId w:val="4"/>
        </w:numPr>
        <w:spacing w:after="120"/>
        <w:jc w:val="both"/>
      </w:pPr>
      <w:r>
        <w:rPr>
          <w:b/>
          <w:color w:val="404040" w:themeColor="text1" w:themeTint="BF"/>
        </w:rPr>
        <w:t>Identity provider</w:t>
      </w:r>
      <w:r>
        <w:rPr>
          <w:color w:val="404040" w:themeColor="text1" w:themeTint="BF"/>
        </w:rPr>
        <w:t xml:space="preserve"> — Google Workspace, through which people authenticate to Company systems.</w:t>
      </w:r>
    </w:p>
    <w:p w14:paraId="7762A51E" w14:textId="77777777" w:rsidR="008C321D"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1E656A69" w14:textId="77777777" w:rsidR="008C321D" w:rsidRDefault="00000000">
      <w:pPr>
        <w:pStyle w:val="Emphasis-Normal"/>
        <w:numPr>
          <w:ilvl w:val="0"/>
          <w:numId w:val="4"/>
        </w:numPr>
        <w:spacing w:after="120"/>
        <w:jc w:val="both"/>
      </w:pPr>
      <w:r>
        <w:rPr>
          <w:b/>
          <w:color w:val="404040" w:themeColor="text1" w:themeTint="BF"/>
        </w:rPr>
        <w:t>Non-human identity</w:t>
      </w:r>
      <w:r>
        <w:rPr>
          <w:color w:val="404040" w:themeColor="text1" w:themeTint="BF"/>
        </w:rPr>
        <w:t xml:space="preserve"> — a service account, automation or agent that acts on Company systems under its own credentials.</w:t>
      </w:r>
    </w:p>
    <w:p w14:paraId="33AFF106" w14:textId="77777777" w:rsidR="008C321D"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7FBE3377" w14:textId="77777777" w:rsidR="008C321D" w:rsidRDefault="00000000">
      <w:pPr>
        <w:pStyle w:val="Emphasis-Normal"/>
        <w:numPr>
          <w:ilvl w:val="0"/>
          <w:numId w:val="4"/>
        </w:numPr>
        <w:spacing w:after="120"/>
        <w:jc w:val="both"/>
      </w:pPr>
      <w:r>
        <w:rPr>
          <w:b/>
          <w:color w:val="404040" w:themeColor="text1" w:themeTint="BF"/>
        </w:rPr>
        <w:t>Privileged access</w:t>
      </w:r>
      <w:r>
        <w:rPr>
          <w:color w:val="404040" w:themeColor="text1" w:themeTint="BF"/>
        </w:rPr>
        <w:t xml:space="preserve"> — administrative access to production, to customer data, or to the identity provider.</w:t>
      </w:r>
    </w:p>
    <w:p w14:paraId="3EC95697" w14:textId="77777777" w:rsidR="008C321D"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D0BAA28" w14:textId="77777777" w:rsidR="008C321D"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538BAF6D" w14:textId="77777777" w:rsidR="008C321D"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30D5BBD8" w14:textId="77777777" w:rsidR="008C321D" w:rsidRDefault="00000000">
      <w:pPr>
        <w:pStyle w:val="Heading1"/>
        <w:keepNext/>
        <w:numPr>
          <w:ilvl w:val="0"/>
          <w:numId w:val="12"/>
        </w:numPr>
        <w:spacing w:before="240" w:after="80"/>
      </w:pPr>
      <w:bookmarkStart w:id="9" w:name="_S505"/>
      <w:bookmarkStart w:id="10" w:name="_Toc237816901"/>
      <w:r>
        <w:t>How Access Is Granted</w:t>
      </w:r>
      <w:bookmarkEnd w:id="9"/>
      <w:bookmarkEnd w:id="10"/>
    </w:p>
    <w:p w14:paraId="12941FBE" w14:textId="77777777" w:rsidR="008C321D" w:rsidRDefault="00000000">
      <w:pPr>
        <w:pStyle w:val="Emphasis-Normal"/>
        <w:numPr>
          <w:ilvl w:val="0"/>
          <w:numId w:val="5"/>
        </w:numPr>
        <w:spacing w:after="120"/>
        <w:jc w:val="both"/>
      </w:pPr>
      <w:r>
        <w:rPr>
          <w:color w:val="404040" w:themeColor="text1" w:themeTint="BF"/>
        </w:rPr>
        <w:t xml:space="preserve">Access is denied by default and granted on least privilege to a named individual identity. Shared logins are not used.  </w:t>
      </w:r>
      <w:r>
        <w:rPr>
          <w:rFonts w:ascii="Calibri Light" w:eastAsia="Calibri Light" w:hAnsi="Calibri Light" w:cs="Calibri Light"/>
          <w:color w:val="404040" w:themeColor="text1" w:themeTint="BF"/>
          <w:sz w:val="18"/>
        </w:rPr>
        <w:t>[SOC 2: CC6.1]</w:t>
      </w:r>
    </w:p>
    <w:p w14:paraId="5792806F" w14:textId="77777777" w:rsidR="008C321D" w:rsidRDefault="00000000">
      <w:pPr>
        <w:pStyle w:val="Emphasis-Normal"/>
        <w:numPr>
          <w:ilvl w:val="0"/>
          <w:numId w:val="5"/>
        </w:numPr>
        <w:spacing w:after="120"/>
        <w:jc w:val="both"/>
      </w:pPr>
      <w:r>
        <w:rPr>
          <w:color w:val="404040" w:themeColor="text1" w:themeTint="BF"/>
        </w:rPr>
        <w:t xml:space="preserve">Access is requested and approved before it is granted, and the record shows who asked, who approved, what was granted and when. An email thread is a sufficient record; a ticketing system is not required.  </w:t>
      </w:r>
      <w:r>
        <w:rPr>
          <w:rFonts w:ascii="Calibri Light" w:eastAsia="Calibri Light" w:hAnsi="Calibri Light" w:cs="Calibri Light"/>
          <w:color w:val="404040" w:themeColor="text1" w:themeTint="BF"/>
          <w:sz w:val="18"/>
        </w:rPr>
        <w:t>[SOC 2: CC6.2 · HIPAA §164.308(a)(4)]</w:t>
      </w:r>
    </w:p>
    <w:p w14:paraId="2A55F5F2" w14:textId="77777777" w:rsidR="008C321D" w:rsidRDefault="00000000">
      <w:pPr>
        <w:pStyle w:val="Emphasis-Normal"/>
        <w:numPr>
          <w:ilvl w:val="0"/>
          <w:numId w:val="5"/>
        </w:numPr>
        <w:spacing w:after="120"/>
        <w:jc w:val="both"/>
      </w:pPr>
      <w:r>
        <w:rPr>
          <w:color w:val="404040" w:themeColor="text1" w:themeTint="BF"/>
        </w:rPr>
        <w:t xml:space="preserve">New people get a defined baseline for their role rather than a copy of someone else's access. Copied access carries entitlements nobody has reviewed, and it is how privilege accumulates quietly.  </w:t>
      </w:r>
      <w:r>
        <w:rPr>
          <w:rFonts w:ascii="Calibri Light" w:eastAsia="Calibri Light" w:hAnsi="Calibri Light" w:cs="Calibri Light"/>
          <w:color w:val="404040" w:themeColor="text1" w:themeTint="BF"/>
          <w:sz w:val="18"/>
        </w:rPr>
        <w:t>[SOC 2: CC6.2]</w:t>
      </w:r>
    </w:p>
    <w:p w14:paraId="3EC913AA" w14:textId="77777777" w:rsidR="008C321D" w:rsidRDefault="00000000">
      <w:pPr>
        <w:pStyle w:val="Emphasis-Normal"/>
        <w:numPr>
          <w:ilvl w:val="0"/>
          <w:numId w:val="5"/>
        </w:numPr>
        <w:spacing w:after="120"/>
        <w:jc w:val="both"/>
      </w:pPr>
      <w:r>
        <w:rPr>
          <w:color w:val="404040" w:themeColor="text1" w:themeTint="BF"/>
        </w:rPr>
        <w:t xml:space="preserve">Screening is completed and recorded before access to production systems or customer data is granted, under the Screening Standard.  </w:t>
      </w:r>
      <w:r>
        <w:rPr>
          <w:rFonts w:ascii="Calibri Light" w:eastAsia="Calibri Light" w:hAnsi="Calibri Light" w:cs="Calibri Light"/>
          <w:color w:val="404040" w:themeColor="text1" w:themeTint="BF"/>
          <w:sz w:val="18"/>
        </w:rPr>
        <w:t>[SOC 2: CC1.4 · HIPAA §164.308(a)(3)]</w:t>
      </w:r>
    </w:p>
    <w:p w14:paraId="430436ED" w14:textId="77777777" w:rsidR="008C321D" w:rsidRDefault="00000000">
      <w:pPr>
        <w:pStyle w:val="Emphasis-Normal"/>
        <w:numPr>
          <w:ilvl w:val="0"/>
          <w:numId w:val="5"/>
        </w:numPr>
        <w:spacing w:after="120"/>
        <w:jc w:val="both"/>
      </w:pPr>
      <w:r>
        <w:rPr>
          <w:color w:val="404040" w:themeColor="text1" w:themeTint="BF"/>
        </w:rPr>
        <w:t xml:space="preserve">People authenticate through Google Workspace, and applications use single sign-on wherever they support it, so that one suspension at departure removes access in most places at once.  </w:t>
      </w:r>
      <w:r>
        <w:rPr>
          <w:rFonts w:ascii="Calibri Light" w:eastAsia="Calibri Light" w:hAnsi="Calibri Light" w:cs="Calibri Light"/>
          <w:color w:val="404040" w:themeColor="text1" w:themeTint="BF"/>
          <w:sz w:val="18"/>
        </w:rPr>
        <w:t>[SOC 2: CC6.1]</w:t>
      </w:r>
    </w:p>
    <w:p w14:paraId="13BBF798" w14:textId="77777777" w:rsidR="008C321D" w:rsidRDefault="00000000">
      <w:pPr>
        <w:pStyle w:val="Heading1"/>
        <w:keepNext/>
        <w:numPr>
          <w:ilvl w:val="0"/>
          <w:numId w:val="12"/>
        </w:numPr>
        <w:spacing w:before="240" w:after="80"/>
      </w:pPr>
      <w:bookmarkStart w:id="11" w:name="_S506"/>
      <w:bookmarkStart w:id="12" w:name="_Toc237816902"/>
      <w:r>
        <w:lastRenderedPageBreak/>
        <w:t>Privileged and Non-Human Access</w:t>
      </w:r>
      <w:bookmarkEnd w:id="11"/>
      <w:bookmarkEnd w:id="12"/>
    </w:p>
    <w:p w14:paraId="2D163F5D" w14:textId="77777777" w:rsidR="008C321D" w:rsidRDefault="00000000">
      <w:pPr>
        <w:pStyle w:val="Emphasis-Normal"/>
        <w:numPr>
          <w:ilvl w:val="0"/>
          <w:numId w:val="6"/>
        </w:numPr>
        <w:spacing w:after="120"/>
        <w:jc w:val="both"/>
      </w:pPr>
      <w:r>
        <w:rPr>
          <w:color w:val="404040" w:themeColor="text1" w:themeTint="BF"/>
        </w:rPr>
        <w:t xml:space="preserve">Privileged access is granted only where the role requires it, approved separately, and held apart from the day-to-day account where the platform allows.  </w:t>
      </w:r>
      <w:r>
        <w:rPr>
          <w:rFonts w:ascii="Calibri Light" w:eastAsia="Calibri Light" w:hAnsi="Calibri Light" w:cs="Calibri Light"/>
          <w:color w:val="404040" w:themeColor="text1" w:themeTint="BF"/>
          <w:sz w:val="18"/>
        </w:rPr>
        <w:t>[SOC 2: CC6.3]</w:t>
      </w:r>
    </w:p>
    <w:p w14:paraId="49898EA7" w14:textId="77777777" w:rsidR="008C321D" w:rsidRDefault="00000000">
      <w:pPr>
        <w:pStyle w:val="Emphasis-Normal"/>
        <w:numPr>
          <w:ilvl w:val="0"/>
          <w:numId w:val="6"/>
        </w:numPr>
        <w:spacing w:after="120"/>
        <w:jc w:val="both"/>
      </w:pPr>
      <w:r>
        <w:rPr>
          <w:color w:val="404040" w:themeColor="text1" w:themeTint="BF"/>
        </w:rPr>
        <w:t xml:space="preserve">Break-glass credentials are held in the password manager under hardware multi-factor authentication, their use raises an alert, and each use is recorded with the reason.  </w:t>
      </w:r>
      <w:r>
        <w:rPr>
          <w:rFonts w:ascii="Calibri Light" w:eastAsia="Calibri Light" w:hAnsi="Calibri Light" w:cs="Calibri Light"/>
          <w:color w:val="404040" w:themeColor="text1" w:themeTint="BF"/>
          <w:sz w:val="18"/>
        </w:rPr>
        <w:t>[SOC 2: CC6.3, CC7.2]</w:t>
      </w:r>
    </w:p>
    <w:p w14:paraId="3D327B87" w14:textId="77777777" w:rsidR="008C321D" w:rsidRDefault="00000000">
      <w:pPr>
        <w:pStyle w:val="Emphasis-Normal"/>
        <w:numPr>
          <w:ilvl w:val="0"/>
          <w:numId w:val="6"/>
        </w:numPr>
        <w:spacing w:after="120"/>
        <w:jc w:val="both"/>
      </w:pPr>
      <w:r>
        <w:rPr>
          <w:color w:val="404040" w:themeColor="text1" w:themeTint="BF"/>
        </w:rPr>
        <w:t xml:space="preserve">Non-human identities — service accounts, automations and agents — are inventoried with a named human owner, their purpose, what they can reach, and how their credentials are held. They are reviewed alongside people.  </w:t>
      </w:r>
      <w:r>
        <w:rPr>
          <w:rFonts w:ascii="Calibri Light" w:eastAsia="Calibri Light" w:hAnsi="Calibri Light" w:cs="Calibri Light"/>
          <w:color w:val="404040" w:themeColor="text1" w:themeTint="BF"/>
          <w:sz w:val="18"/>
        </w:rPr>
        <w:t>[SOC 2: CC6.3, CC2.1]</w:t>
      </w:r>
    </w:p>
    <w:p w14:paraId="54B9C23C" w14:textId="77777777" w:rsidR="008C321D" w:rsidRDefault="00000000">
      <w:pPr>
        <w:pStyle w:val="Emphasis-Normal"/>
        <w:numPr>
          <w:ilvl w:val="0"/>
          <w:numId w:val="6"/>
        </w:numPr>
        <w:spacing w:after="120"/>
        <w:jc w:val="both"/>
      </w:pPr>
      <w:r>
        <w:rPr>
          <w:color w:val="404040" w:themeColor="text1" w:themeTint="BF"/>
        </w:rPr>
        <w:t xml:space="preserve">Production and non-production are separated at the cloud account boundary, with permission sets granting only what a role needs in each. The configuration is in the Cloud Platform Standard.  </w:t>
      </w:r>
      <w:r>
        <w:rPr>
          <w:rFonts w:ascii="Calibri Light" w:eastAsia="Calibri Light" w:hAnsi="Calibri Light" w:cs="Calibri Light"/>
          <w:color w:val="404040" w:themeColor="text1" w:themeTint="BF"/>
          <w:sz w:val="18"/>
        </w:rPr>
        <w:t>[SOC 2: CC5.2]</w:t>
      </w:r>
    </w:p>
    <w:p w14:paraId="755D499E" w14:textId="77777777" w:rsidR="008C321D" w:rsidRDefault="00000000">
      <w:pPr>
        <w:pStyle w:val="Emphasis-Normal"/>
        <w:numPr>
          <w:ilvl w:val="0"/>
          <w:numId w:val="6"/>
        </w:numPr>
        <w:spacing w:after="120"/>
        <w:jc w:val="both"/>
      </w:pPr>
      <w:r>
        <w:rPr>
          <w:color w:val="404040" w:themeColor="text1" w:themeTint="BF"/>
        </w:rPr>
        <w:t xml:space="preserve">Segregation of duties is applied where practicable. Where the Company's size prevents it, the compensating control is named in the Annual Control Environment Assessment rather than left unstated.  </w:t>
      </w:r>
      <w:r>
        <w:rPr>
          <w:rFonts w:ascii="Calibri Light" w:eastAsia="Calibri Light" w:hAnsi="Calibri Light" w:cs="Calibri Light"/>
          <w:color w:val="404040" w:themeColor="text1" w:themeTint="BF"/>
          <w:sz w:val="18"/>
        </w:rPr>
        <w:t>[SOC 2: CC5.2, CC1.3]</w:t>
      </w:r>
    </w:p>
    <w:p w14:paraId="16DE19BA" w14:textId="77777777" w:rsidR="008C321D" w:rsidRDefault="00000000">
      <w:pPr>
        <w:pStyle w:val="Heading1"/>
        <w:keepNext/>
        <w:numPr>
          <w:ilvl w:val="0"/>
          <w:numId w:val="12"/>
        </w:numPr>
        <w:spacing w:before="240" w:after="80"/>
      </w:pPr>
      <w:bookmarkStart w:id="13" w:name="_S507"/>
      <w:bookmarkStart w:id="14" w:name="_Toc237816903"/>
      <w:r>
        <w:t>Access to Client Systems</w:t>
      </w:r>
      <w:bookmarkEnd w:id="13"/>
      <w:bookmarkEnd w:id="14"/>
    </w:p>
    <w:p w14:paraId="618DBAA0" w14:textId="1ABB2611" w:rsidR="008C321D" w:rsidRDefault="00000000">
      <w:pPr>
        <w:pStyle w:val="Emphasis-Normal"/>
        <w:numPr>
          <w:ilvl w:val="0"/>
          <w:numId w:val="7"/>
        </w:numPr>
        <w:spacing w:after="120"/>
        <w:jc w:val="both"/>
      </w:pPr>
      <w:r>
        <w:rPr>
          <w:color w:val="404040" w:themeColor="text1" w:themeTint="BF"/>
        </w:rPr>
        <w:t xml:space="preserve">Access the Company holds inside a client environment is granted only under the engagement agreement, limited to the scope </w:t>
      </w:r>
      <w:r w:rsidR="00CB6FE4">
        <w:rPr>
          <w:color w:val="404040" w:themeColor="text1" w:themeTint="BF"/>
        </w:rPr>
        <w:t>authorized</w:t>
      </w:r>
      <w:r>
        <w:rPr>
          <w:color w:val="404040" w:themeColor="text1" w:themeTint="BF"/>
        </w:rPr>
        <w:t xml:space="preserve">, and given up when the engagement ends.  </w:t>
      </w:r>
      <w:r>
        <w:rPr>
          <w:rFonts w:ascii="Calibri Light" w:eastAsia="Calibri Light" w:hAnsi="Calibri Light" w:cs="Calibri Light"/>
          <w:color w:val="404040" w:themeColor="text1" w:themeTint="BF"/>
          <w:sz w:val="18"/>
        </w:rPr>
        <w:t>[SOC 2: CC6.3 · C1.1]</w:t>
      </w:r>
    </w:p>
    <w:p w14:paraId="153D85F6" w14:textId="77777777" w:rsidR="008C321D" w:rsidRDefault="00000000">
      <w:pPr>
        <w:pStyle w:val="Emphasis-Normal"/>
        <w:numPr>
          <w:ilvl w:val="0"/>
          <w:numId w:val="7"/>
        </w:numPr>
        <w:spacing w:after="120"/>
        <w:jc w:val="both"/>
      </w:pPr>
      <w:r>
        <w:rPr>
          <w:color w:val="404040" w:themeColor="text1" w:themeTint="BF"/>
        </w:rPr>
        <w:t xml:space="preserve">Standing access to a client estate is the Company's largest insider risk and is reviewed at the monthly sitting under the Logging and Monitoring Policy, not only at the quarterly review.  </w:t>
      </w:r>
      <w:r>
        <w:rPr>
          <w:rFonts w:ascii="Calibri Light" w:eastAsia="Calibri Light" w:hAnsi="Calibri Light" w:cs="Calibri Light"/>
          <w:color w:val="404040" w:themeColor="text1" w:themeTint="BF"/>
          <w:sz w:val="18"/>
        </w:rPr>
        <w:t>[SOC 2: CC6.3, CC3.3]</w:t>
      </w:r>
    </w:p>
    <w:p w14:paraId="7448EF2D" w14:textId="77777777" w:rsidR="008C321D" w:rsidRDefault="00000000">
      <w:pPr>
        <w:pStyle w:val="Heading1"/>
        <w:keepNext/>
        <w:numPr>
          <w:ilvl w:val="0"/>
          <w:numId w:val="12"/>
        </w:numPr>
        <w:spacing w:before="240" w:after="80"/>
      </w:pPr>
      <w:bookmarkStart w:id="15" w:name="_S508"/>
      <w:bookmarkStart w:id="16" w:name="_Toc237816904"/>
      <w:r>
        <w:t>Joiners, Movers and Leavers</w:t>
      </w:r>
      <w:bookmarkEnd w:id="15"/>
      <w:bookmarkEnd w:id="16"/>
    </w:p>
    <w:p w14:paraId="2D0C961F" w14:textId="77777777" w:rsidR="008C321D" w:rsidRDefault="00000000">
      <w:pPr>
        <w:pStyle w:val="Emphasis-Normal"/>
        <w:numPr>
          <w:ilvl w:val="0"/>
          <w:numId w:val="8"/>
        </w:numPr>
        <w:spacing w:after="120"/>
        <w:jc w:val="both"/>
      </w:pPr>
      <w:r>
        <w:rPr>
          <w:color w:val="404040" w:themeColor="text1" w:themeTint="BF"/>
        </w:rPr>
        <w:t xml:space="preserve">Access changes with the role. A person moving to different work has access adjusted, not accumulated — the mover case is the one most often missed.  </w:t>
      </w:r>
      <w:r>
        <w:rPr>
          <w:rFonts w:ascii="Calibri Light" w:eastAsia="Calibri Light" w:hAnsi="Calibri Light" w:cs="Calibri Light"/>
          <w:color w:val="404040" w:themeColor="text1" w:themeTint="BF"/>
          <w:sz w:val="18"/>
        </w:rPr>
        <w:t>[SOC 2: CC6.2]</w:t>
      </w:r>
    </w:p>
    <w:p w14:paraId="56E7F801" w14:textId="77777777" w:rsidR="008C321D" w:rsidRDefault="00000000">
      <w:pPr>
        <w:pStyle w:val="Emphasis-Normal"/>
        <w:numPr>
          <w:ilvl w:val="0"/>
          <w:numId w:val="8"/>
        </w:numPr>
        <w:spacing w:after="120"/>
        <w:jc w:val="both"/>
      </w:pPr>
      <w:r>
        <w:rPr>
          <w:color w:val="404040" w:themeColor="text1" w:themeTint="BF"/>
        </w:rPr>
        <w:t xml:space="preserve">Access is revoked within one business day of departure, and immediately where the departure is involuntary. The Google Workspace suspension timestamp is the evidence.  </w:t>
      </w:r>
      <w:r>
        <w:rPr>
          <w:rFonts w:ascii="Calibri Light" w:eastAsia="Calibri Light" w:hAnsi="Calibri Light" w:cs="Calibri Light"/>
          <w:color w:val="404040" w:themeColor="text1" w:themeTint="BF"/>
          <w:sz w:val="18"/>
        </w:rPr>
        <w:t>[SOC 2: CC6.2 · HIPAA §164.308(a)(3)(ii)(C)]</w:t>
      </w:r>
    </w:p>
    <w:p w14:paraId="1C2228EA" w14:textId="77777777" w:rsidR="008C321D" w:rsidRDefault="00000000">
      <w:pPr>
        <w:pStyle w:val="Emphasis-Normal"/>
        <w:numPr>
          <w:ilvl w:val="0"/>
          <w:numId w:val="8"/>
        </w:numPr>
        <w:spacing w:after="120"/>
        <w:jc w:val="both"/>
      </w:pPr>
      <w:r>
        <w:rPr>
          <w:color w:val="404040" w:themeColor="text1" w:themeTint="BF"/>
        </w:rPr>
        <w:t xml:space="preserve">Access that does not run through single sign-on is listed by name on the offboarding checklist and removed one by one — AWS, GitHub, shared credentials in the password manager, and any third-party AI service.  </w:t>
      </w:r>
      <w:r>
        <w:rPr>
          <w:rFonts w:ascii="Calibri Light" w:eastAsia="Calibri Light" w:hAnsi="Calibri Light" w:cs="Calibri Light"/>
          <w:color w:val="404040" w:themeColor="text1" w:themeTint="BF"/>
          <w:sz w:val="18"/>
        </w:rPr>
        <w:t>[SOC 2: CC6.2, CC6.3]</w:t>
      </w:r>
    </w:p>
    <w:p w14:paraId="658857B9" w14:textId="77777777" w:rsidR="008C321D" w:rsidRDefault="00000000">
      <w:pPr>
        <w:pStyle w:val="Emphasis-Normal"/>
        <w:numPr>
          <w:ilvl w:val="0"/>
          <w:numId w:val="8"/>
        </w:numPr>
        <w:spacing w:after="120"/>
        <w:jc w:val="both"/>
      </w:pPr>
      <w:r>
        <w:rPr>
          <w:color w:val="404040" w:themeColor="text1" w:themeTint="BF"/>
        </w:rPr>
        <w:t xml:space="preserve">Contractor identities carry an engagement end date so access lapses if the engagement is not renewed. Most of the Company is engaged this way, so this is the ordinary path.  </w:t>
      </w:r>
      <w:r>
        <w:rPr>
          <w:rFonts w:ascii="Calibri Light" w:eastAsia="Calibri Light" w:hAnsi="Calibri Light" w:cs="Calibri Light"/>
          <w:color w:val="404040" w:themeColor="text1" w:themeTint="BF"/>
          <w:sz w:val="18"/>
        </w:rPr>
        <w:t>[SOC 2: CC6.2]</w:t>
      </w:r>
    </w:p>
    <w:p w14:paraId="3A9A2F52" w14:textId="77777777" w:rsidR="008C321D" w:rsidRDefault="00000000">
      <w:pPr>
        <w:pStyle w:val="Emphasis-Normal"/>
        <w:numPr>
          <w:ilvl w:val="0"/>
          <w:numId w:val="8"/>
        </w:numPr>
        <w:spacing w:after="120"/>
        <w:jc w:val="both"/>
      </w:pPr>
      <w:r>
        <w:rPr>
          <w:color w:val="404040" w:themeColor="text1" w:themeTint="BF"/>
        </w:rPr>
        <w:t xml:space="preserve">A complete joiner, mover and leaver population for the period is retained, so that the reviews below have a denominator.  </w:t>
      </w:r>
      <w:r>
        <w:rPr>
          <w:rFonts w:ascii="Calibri Light" w:eastAsia="Calibri Light" w:hAnsi="Calibri Light" w:cs="Calibri Light"/>
          <w:color w:val="404040" w:themeColor="text1" w:themeTint="BF"/>
          <w:sz w:val="18"/>
        </w:rPr>
        <w:t>[SOC 2: CC6.2, CC2.1]</w:t>
      </w:r>
    </w:p>
    <w:p w14:paraId="481631D5" w14:textId="77777777" w:rsidR="008C321D" w:rsidRDefault="00000000">
      <w:pPr>
        <w:pStyle w:val="Heading1"/>
        <w:keepNext/>
        <w:numPr>
          <w:ilvl w:val="0"/>
          <w:numId w:val="12"/>
        </w:numPr>
        <w:spacing w:before="240" w:after="80"/>
      </w:pPr>
      <w:bookmarkStart w:id="17" w:name="_S509"/>
      <w:bookmarkStart w:id="18" w:name="_Toc237816905"/>
      <w:r>
        <w:lastRenderedPageBreak/>
        <w:t>Access Reviews</w:t>
      </w:r>
      <w:bookmarkEnd w:id="17"/>
      <w:bookmarkEnd w:id="18"/>
    </w:p>
    <w:p w14:paraId="16829871" w14:textId="0A2B5E6E" w:rsidR="008C321D" w:rsidRDefault="00000000">
      <w:pPr>
        <w:pStyle w:val="BodyText9"/>
        <w:spacing w:after="120"/>
        <w:jc w:val="both"/>
      </w:pPr>
      <w:r>
        <w:rPr>
          <w:color w:val="404040" w:themeColor="text1" w:themeTint="BF"/>
        </w:rPr>
        <w:t xml:space="preserve">This is the control most likely to fail on timing rather than design. Four occurrences are needed in a twelve-month </w:t>
      </w:r>
      <w:r w:rsidR="00CB6FE4">
        <w:rPr>
          <w:color w:val="404040" w:themeColor="text1" w:themeTint="BF"/>
        </w:rPr>
        <w:t>period,</w:t>
      </w:r>
      <w:r>
        <w:rPr>
          <w:color w:val="404040" w:themeColor="text1" w:themeTint="BF"/>
        </w:rPr>
        <w:t xml:space="preserve"> and a missed quarter cannot be recreated afterwards.</w:t>
      </w:r>
    </w:p>
    <w:p w14:paraId="2B1ED548" w14:textId="365DD4FC" w:rsidR="008C321D" w:rsidRDefault="00092775">
      <w:pPr>
        <w:pStyle w:val="p1"/>
        <w:numPr>
          <w:ilvl w:val="0"/>
          <w:numId w:val="9"/>
        </w:numPr>
      </w:pPr>
      <w:r w:rsidRPr="00092775">
        <w:rPr>
          <w:rFonts w:ascii="Calibri" w:eastAsia="Calibri" w:hAnsi="Calibri" w:cs="Calibri"/>
          <w:color w:val="404040" w:themeColor="text1" w:themeTint="BF"/>
          <w:sz w:val="22"/>
          <w:szCs w:val="22"/>
        </w:rPr>
        <w:t xml:space="preserve">Access to systems within the audit boundary is reviewed </w:t>
      </w:r>
      <w:r>
        <w:rPr>
          <w:rFonts w:ascii="Calibri" w:eastAsia="Calibri" w:hAnsi="Calibri" w:cs="Calibri"/>
          <w:color w:val="404040" w:themeColor="text1" w:themeTint="BF"/>
          <w:sz w:val="22"/>
          <w:szCs w:val="22"/>
        </w:rPr>
        <w:t>quarterly or yearly</w:t>
      </w:r>
      <w:r w:rsidRPr="00092775">
        <w:rPr>
          <w:rFonts w:ascii="Calibri" w:eastAsia="Calibri" w:hAnsi="Calibri" w:cs="Calibri"/>
          <w:color w:val="404040" w:themeColor="text1" w:themeTint="BF"/>
          <w:sz w:val="22"/>
          <w:szCs w:val="22"/>
        </w:rPr>
        <w:t>, as applicable, to confirm that access remains appropriate. Any necessary changes or removals are documented.</w:t>
      </w:r>
      <w:r w:rsidRPr="00092775">
        <w:rPr>
          <w:color w:val="404040" w:themeColor="text1" w:themeTint="BF"/>
        </w:rPr>
        <w:t xml:space="preserve">  </w:t>
      </w:r>
      <w:r w:rsidRPr="00092775">
        <w:rPr>
          <w:rFonts w:ascii="Calibri Light" w:eastAsia="Calibri Light" w:hAnsi="Calibri Light" w:cs="Calibri Light"/>
          <w:color w:val="404040" w:themeColor="text1" w:themeTint="BF"/>
          <w:sz w:val="18"/>
        </w:rPr>
        <w:t>[SOC 2: CC6.3, CC4.1]</w:t>
      </w:r>
    </w:p>
    <w:p w14:paraId="58E907C4" w14:textId="77777777" w:rsidR="008C321D" w:rsidRDefault="00000000">
      <w:pPr>
        <w:pStyle w:val="Emphasis-Normal"/>
        <w:numPr>
          <w:ilvl w:val="0"/>
          <w:numId w:val="9"/>
        </w:numPr>
        <w:spacing w:after="120"/>
        <w:jc w:val="both"/>
      </w:pPr>
      <w:r>
        <w:rPr>
          <w:color w:val="404040" w:themeColor="text1" w:themeTint="BF"/>
        </w:rPr>
        <w:t xml:space="preserve">Removals identified by a review are actioned and the action recorded. A review that identifies removals and does not complete them is worse evidence than no review, because it shows the Company knew.  </w:t>
      </w:r>
      <w:r>
        <w:rPr>
          <w:rFonts w:ascii="Calibri Light" w:eastAsia="Calibri Light" w:hAnsi="Calibri Light" w:cs="Calibri Light"/>
          <w:color w:val="404040" w:themeColor="text1" w:themeTint="BF"/>
          <w:sz w:val="18"/>
        </w:rPr>
        <w:t>[SOC 2: CC6.3]</w:t>
      </w:r>
    </w:p>
    <w:p w14:paraId="7EDBD785" w14:textId="77777777" w:rsidR="008C321D" w:rsidRDefault="00000000">
      <w:pPr>
        <w:pStyle w:val="Emphasis-Normal"/>
        <w:numPr>
          <w:ilvl w:val="0"/>
          <w:numId w:val="9"/>
        </w:numPr>
        <w:spacing w:after="120"/>
        <w:jc w:val="both"/>
      </w:pPr>
      <w:r>
        <w:rPr>
          <w:color w:val="404040" w:themeColor="text1" w:themeTint="BF"/>
        </w:rPr>
        <w:t xml:space="preserve">Non-human identities and client-environment access are included in the same review rather than handled separately.  </w:t>
      </w:r>
      <w:r>
        <w:rPr>
          <w:rFonts w:ascii="Calibri Light" w:eastAsia="Calibri Light" w:hAnsi="Calibri Light" w:cs="Calibri Light"/>
          <w:color w:val="404040" w:themeColor="text1" w:themeTint="BF"/>
          <w:sz w:val="18"/>
        </w:rPr>
        <w:t>[SOC 2: CC6.3]</w:t>
      </w:r>
    </w:p>
    <w:p w14:paraId="52E80A0B" w14:textId="77777777" w:rsidR="008C321D" w:rsidRDefault="00000000">
      <w:pPr>
        <w:pStyle w:val="Emphasis-Normal"/>
        <w:numPr>
          <w:ilvl w:val="0"/>
          <w:numId w:val="9"/>
        </w:numPr>
        <w:spacing w:after="120"/>
        <w:jc w:val="both"/>
      </w:pPr>
      <w:r>
        <w:rPr>
          <w:color w:val="404040" w:themeColor="text1" w:themeTint="BF"/>
        </w:rPr>
        <w:t xml:space="preserve">An export from each platform on the review date, with decisions recorded against it, is a sufficient record. At this size the whole review is an hour.  </w:t>
      </w:r>
      <w:r>
        <w:rPr>
          <w:rFonts w:ascii="Calibri Light" w:eastAsia="Calibri Light" w:hAnsi="Calibri Light" w:cs="Calibri Light"/>
          <w:color w:val="404040" w:themeColor="text1" w:themeTint="BF"/>
          <w:sz w:val="18"/>
        </w:rPr>
        <w:t>[SOC 2: CC4.1, CC6.3]</w:t>
      </w:r>
    </w:p>
    <w:p w14:paraId="2AD62416" w14:textId="77777777" w:rsidR="008C321D" w:rsidRDefault="00000000">
      <w:pPr>
        <w:pStyle w:val="Heading1"/>
        <w:keepNext/>
        <w:numPr>
          <w:ilvl w:val="0"/>
          <w:numId w:val="12"/>
        </w:numPr>
        <w:spacing w:before="240" w:after="80"/>
      </w:pPr>
      <w:bookmarkStart w:id="19" w:name="_S510"/>
      <w:bookmarkStart w:id="20" w:name="_Toc237816906"/>
      <w:r>
        <w:t>Records</w:t>
      </w:r>
      <w:bookmarkEnd w:id="19"/>
      <w:bookmarkEnd w:id="20"/>
    </w:p>
    <w:p w14:paraId="74331C88" w14:textId="77777777" w:rsidR="008C321D" w:rsidRDefault="00000000">
      <w:pPr>
        <w:pStyle w:val="Emphasis-Normal"/>
        <w:numPr>
          <w:ilvl w:val="0"/>
          <w:numId w:val="10"/>
        </w:numPr>
        <w:spacing w:after="120"/>
        <w:jc w:val="both"/>
      </w:pPr>
      <w:r>
        <w:rPr>
          <w:color w:val="404040" w:themeColor="text1" w:themeTint="BF"/>
        </w:rPr>
        <w:t xml:space="preserve">Access requests and approvals, including CEO confirmations where the approver was the requester.  </w:t>
      </w:r>
      <w:r>
        <w:rPr>
          <w:rFonts w:ascii="Calibri Light" w:eastAsia="Calibri Light" w:hAnsi="Calibri Light" w:cs="Calibri Light"/>
          <w:color w:val="404040" w:themeColor="text1" w:themeTint="BF"/>
          <w:sz w:val="18"/>
        </w:rPr>
        <w:t>[SOC 2: CC6.2]</w:t>
      </w:r>
    </w:p>
    <w:p w14:paraId="67DA849D" w14:textId="77777777" w:rsidR="008C321D" w:rsidRDefault="00000000">
      <w:pPr>
        <w:pStyle w:val="Emphasis-Normal"/>
        <w:numPr>
          <w:ilvl w:val="0"/>
          <w:numId w:val="10"/>
        </w:numPr>
        <w:spacing w:after="120"/>
        <w:jc w:val="both"/>
      </w:pPr>
      <w:r>
        <w:rPr>
          <w:color w:val="404040" w:themeColor="text1" w:themeTint="BF"/>
        </w:rPr>
        <w:t xml:space="preserve">Four quarterly access review records a year, with populations and decisions.  </w:t>
      </w:r>
      <w:r>
        <w:rPr>
          <w:rFonts w:ascii="Calibri Light" w:eastAsia="Calibri Light" w:hAnsi="Calibri Light" w:cs="Calibri Light"/>
          <w:color w:val="404040" w:themeColor="text1" w:themeTint="BF"/>
          <w:sz w:val="18"/>
        </w:rPr>
        <w:t>[SOC 2: CC6.3, CC4.1]</w:t>
      </w:r>
    </w:p>
    <w:p w14:paraId="451E7AF0" w14:textId="77777777" w:rsidR="008C321D" w:rsidRDefault="00000000">
      <w:pPr>
        <w:pStyle w:val="Emphasis-Normal"/>
        <w:numPr>
          <w:ilvl w:val="0"/>
          <w:numId w:val="10"/>
        </w:numPr>
        <w:spacing w:after="120"/>
        <w:jc w:val="both"/>
      </w:pPr>
      <w:r>
        <w:rPr>
          <w:color w:val="404040" w:themeColor="text1" w:themeTint="BF"/>
        </w:rPr>
        <w:t xml:space="preserve">The joiner, mover and leaver population for the period.  </w:t>
      </w:r>
      <w:r>
        <w:rPr>
          <w:rFonts w:ascii="Calibri Light" w:eastAsia="Calibri Light" w:hAnsi="Calibri Light" w:cs="Calibri Light"/>
          <w:color w:val="404040" w:themeColor="text1" w:themeTint="BF"/>
          <w:sz w:val="18"/>
        </w:rPr>
        <w:t>[SOC 2: CC6.2]</w:t>
      </w:r>
    </w:p>
    <w:p w14:paraId="3D5F255A" w14:textId="77777777" w:rsidR="008C321D" w:rsidRDefault="00000000">
      <w:pPr>
        <w:pStyle w:val="Emphasis-Normal"/>
        <w:numPr>
          <w:ilvl w:val="0"/>
          <w:numId w:val="10"/>
        </w:numPr>
        <w:spacing w:after="120"/>
        <w:jc w:val="both"/>
      </w:pPr>
      <w:r>
        <w:rPr>
          <w:color w:val="404040" w:themeColor="text1" w:themeTint="BF"/>
        </w:rPr>
        <w:t xml:space="preserve">The non-human identity inventory with owners.  </w:t>
      </w:r>
      <w:r>
        <w:rPr>
          <w:rFonts w:ascii="Calibri Light" w:eastAsia="Calibri Light" w:hAnsi="Calibri Light" w:cs="Calibri Light"/>
          <w:color w:val="404040" w:themeColor="text1" w:themeTint="BF"/>
          <w:sz w:val="18"/>
        </w:rPr>
        <w:t>[SOC 2: CC6.3]</w:t>
      </w:r>
    </w:p>
    <w:p w14:paraId="0628B136" w14:textId="77777777" w:rsidR="008C321D" w:rsidRDefault="00000000">
      <w:pPr>
        <w:pStyle w:val="Emphasis-Normal"/>
        <w:numPr>
          <w:ilvl w:val="0"/>
          <w:numId w:val="10"/>
        </w:numPr>
        <w:spacing w:after="120"/>
        <w:jc w:val="both"/>
      </w:pPr>
      <w:r>
        <w:rPr>
          <w:color w:val="404040" w:themeColor="text1" w:themeTint="BF"/>
        </w:rPr>
        <w:t xml:space="preserve">Break-glass use records.  </w:t>
      </w:r>
      <w:r>
        <w:rPr>
          <w:rFonts w:ascii="Calibri Light" w:eastAsia="Calibri Light" w:hAnsi="Calibri Light" w:cs="Calibri Light"/>
          <w:color w:val="404040" w:themeColor="text1" w:themeTint="BF"/>
          <w:sz w:val="18"/>
        </w:rPr>
        <w:t>[SOC 2: CC6.3]</w:t>
      </w:r>
    </w:p>
    <w:p w14:paraId="62230AFB" w14:textId="77777777" w:rsidR="008C321D" w:rsidRDefault="00000000">
      <w:pPr>
        <w:pStyle w:val="Heading1"/>
        <w:keepNext/>
        <w:numPr>
          <w:ilvl w:val="0"/>
          <w:numId w:val="12"/>
        </w:numPr>
        <w:spacing w:before="240" w:after="80"/>
      </w:pPr>
      <w:bookmarkStart w:id="21" w:name="_S511"/>
      <w:bookmarkStart w:id="22" w:name="_Toc237816907"/>
      <w:r>
        <w:t>Exceptions</w:t>
      </w:r>
      <w:bookmarkEnd w:id="21"/>
      <w:bookmarkEnd w:id="22"/>
    </w:p>
    <w:p w14:paraId="75691905" w14:textId="77777777" w:rsidR="008C321D" w:rsidRDefault="00000000">
      <w:pPr>
        <w:pStyle w:val="BodyText9"/>
        <w:spacing w:after="120"/>
        <w:jc w:val="both"/>
      </w:pPr>
      <w:r>
        <w:rPr>
          <w:color w:val="404040" w:themeColor="text1" w:themeTint="BF"/>
        </w:rPr>
        <w:t>Where a requirement of this Policy cannot be met — an application that does not support single sign-on, or a platform without separate privileged accounts — the position is recorded by the Accountable Party with the compensating measure and a review date. Where no exceptions are in force, that is recorded affirmatively at the annual review.</w:t>
      </w:r>
    </w:p>
    <w:p w14:paraId="5BF1CCDA" w14:textId="77777777" w:rsidR="008C321D" w:rsidRDefault="00000000">
      <w:pPr>
        <w:pStyle w:val="Heading1"/>
        <w:keepNext/>
        <w:numPr>
          <w:ilvl w:val="0"/>
          <w:numId w:val="12"/>
        </w:numPr>
        <w:spacing w:before="240" w:after="80"/>
      </w:pPr>
      <w:bookmarkStart w:id="23" w:name="_S512"/>
      <w:bookmarkStart w:id="24" w:name="_Toc237816908"/>
      <w:r>
        <w:t>Reference</w:t>
      </w:r>
      <w:bookmarkEnd w:id="23"/>
      <w:bookmarkEnd w:id="24"/>
    </w:p>
    <w:p w14:paraId="664CA095" w14:textId="798F6853" w:rsidR="008C321D" w:rsidRDefault="00000000">
      <w:pPr>
        <w:pStyle w:val="Emphasis-Normal"/>
        <w:numPr>
          <w:ilvl w:val="0"/>
          <w:numId w:val="11"/>
        </w:numPr>
        <w:spacing w:after="120"/>
        <w:jc w:val="both"/>
      </w:pPr>
      <w:r>
        <w:rPr>
          <w:color w:val="404040" w:themeColor="text1" w:themeTint="BF"/>
        </w:rPr>
        <w:t xml:space="preserve">SOC 2 Trust Services Criteria, Security </w:t>
      </w:r>
      <w:r w:rsidR="00CB6FE4">
        <w:rPr>
          <w:color w:val="404040" w:themeColor="text1" w:themeTint="BF"/>
        </w:rPr>
        <w:t>category [</w:t>
      </w:r>
      <w:r>
        <w:rPr>
          <w:rFonts w:ascii="Calibri Light" w:eastAsia="Calibri Light" w:hAnsi="Calibri Light" w:cs="Calibri Light"/>
          <w:color w:val="404040" w:themeColor="text1" w:themeTint="BF"/>
          <w:sz w:val="18"/>
        </w:rPr>
        <w:t>CC1.4, CC4.1, CC5.2, CC6.1, CC6.2, CC6.3]</w:t>
      </w:r>
    </w:p>
    <w:p w14:paraId="24B968B8" w14:textId="722936E1" w:rsidR="008C321D" w:rsidRDefault="00000000">
      <w:pPr>
        <w:pStyle w:val="Emphasis-Normal"/>
        <w:numPr>
          <w:ilvl w:val="0"/>
          <w:numId w:val="11"/>
        </w:numPr>
        <w:spacing w:after="120"/>
        <w:jc w:val="both"/>
      </w:pPr>
      <w:r>
        <w:rPr>
          <w:color w:val="404040" w:themeColor="text1" w:themeTint="BF"/>
        </w:rPr>
        <w:t xml:space="preserve">POL-ISP-001 Information Security </w:t>
      </w:r>
      <w:r w:rsidR="00CB6FE4">
        <w:rPr>
          <w:color w:val="404040" w:themeColor="text1" w:themeTint="BF"/>
        </w:rPr>
        <w:t>Policy [</w:t>
      </w:r>
      <w:r>
        <w:rPr>
          <w:rFonts w:ascii="Calibri Light" w:eastAsia="Calibri Light" w:hAnsi="Calibri Light" w:cs="Calibri Light"/>
          <w:color w:val="404040" w:themeColor="text1" w:themeTint="BF"/>
          <w:sz w:val="18"/>
        </w:rPr>
        <w:t>SOC 2: CC5.3]</w:t>
      </w:r>
    </w:p>
    <w:p w14:paraId="77F32698" w14:textId="01FFF80C" w:rsidR="008C321D" w:rsidRDefault="00000000">
      <w:pPr>
        <w:pStyle w:val="Emphasis-Normal"/>
        <w:numPr>
          <w:ilvl w:val="0"/>
          <w:numId w:val="11"/>
        </w:numPr>
        <w:spacing w:after="120"/>
        <w:jc w:val="both"/>
      </w:pPr>
      <w:r>
        <w:rPr>
          <w:color w:val="404040" w:themeColor="text1" w:themeTint="BF"/>
        </w:rPr>
        <w:t xml:space="preserve">STD-SCR-001 Screening </w:t>
      </w:r>
      <w:r w:rsidR="00CB6FE4">
        <w:rPr>
          <w:color w:val="404040" w:themeColor="text1" w:themeTint="BF"/>
        </w:rPr>
        <w:t>Standard [</w:t>
      </w:r>
      <w:r>
        <w:rPr>
          <w:rFonts w:ascii="Calibri Light" w:eastAsia="Calibri Light" w:hAnsi="Calibri Light" w:cs="Calibri Light"/>
          <w:color w:val="404040" w:themeColor="text1" w:themeTint="BF"/>
          <w:sz w:val="18"/>
        </w:rPr>
        <w:t>SOC 2: CC1.4]</w:t>
      </w:r>
    </w:p>
    <w:p w14:paraId="461C878F" w14:textId="297EAA41" w:rsidR="008C321D" w:rsidRDefault="00000000">
      <w:pPr>
        <w:pStyle w:val="Emphasis-Normal"/>
        <w:numPr>
          <w:ilvl w:val="0"/>
          <w:numId w:val="11"/>
        </w:numPr>
        <w:spacing w:after="120"/>
        <w:jc w:val="both"/>
      </w:pPr>
      <w:r>
        <w:rPr>
          <w:color w:val="404040" w:themeColor="text1" w:themeTint="BF"/>
        </w:rPr>
        <w:t xml:space="preserve">STD-CLD-001 Cloud Platform </w:t>
      </w:r>
      <w:r w:rsidR="00CB6FE4">
        <w:rPr>
          <w:color w:val="404040" w:themeColor="text1" w:themeTint="BF"/>
        </w:rPr>
        <w:t>Standard [</w:t>
      </w:r>
      <w:r>
        <w:rPr>
          <w:rFonts w:ascii="Calibri Light" w:eastAsia="Calibri Light" w:hAnsi="Calibri Light" w:cs="Calibri Light"/>
          <w:color w:val="404040" w:themeColor="text1" w:themeTint="BF"/>
          <w:sz w:val="18"/>
        </w:rPr>
        <w:t>SOC 2: CC5.2, CC6.1]</w:t>
      </w:r>
    </w:p>
    <w:p w14:paraId="4F8959D5" w14:textId="2F416987" w:rsidR="008C321D" w:rsidRDefault="00000000">
      <w:pPr>
        <w:pStyle w:val="Emphasis-Normal"/>
        <w:numPr>
          <w:ilvl w:val="0"/>
          <w:numId w:val="11"/>
        </w:numPr>
        <w:spacing w:after="120"/>
        <w:jc w:val="both"/>
      </w:pPr>
      <w:r>
        <w:rPr>
          <w:color w:val="404040" w:themeColor="text1" w:themeTint="BF"/>
        </w:rPr>
        <w:t xml:space="preserve">POL-LOG-001 Logging and Monitoring </w:t>
      </w:r>
      <w:r w:rsidR="00CB6FE4">
        <w:rPr>
          <w:color w:val="404040" w:themeColor="text1" w:themeTint="BF"/>
        </w:rPr>
        <w:t>Policy [</w:t>
      </w:r>
      <w:r>
        <w:rPr>
          <w:rFonts w:ascii="Calibri Light" w:eastAsia="Calibri Light" w:hAnsi="Calibri Light" w:cs="Calibri Light"/>
          <w:color w:val="404040" w:themeColor="text1" w:themeTint="BF"/>
          <w:sz w:val="18"/>
        </w:rPr>
        <w:t>SOC 2: CC7.2]</w:t>
      </w:r>
    </w:p>
    <w:p w14:paraId="634814E5" w14:textId="170F7E97" w:rsidR="008C321D" w:rsidRDefault="00000000">
      <w:pPr>
        <w:pStyle w:val="Emphasis-Normal"/>
        <w:numPr>
          <w:ilvl w:val="0"/>
          <w:numId w:val="11"/>
        </w:numPr>
        <w:spacing w:after="120"/>
        <w:jc w:val="both"/>
      </w:pPr>
      <w:r>
        <w:rPr>
          <w:color w:val="404040" w:themeColor="text1" w:themeTint="BF"/>
        </w:rPr>
        <w:t xml:space="preserve">POL-HRS-001 Human Resources Security </w:t>
      </w:r>
      <w:r w:rsidR="00CB6FE4">
        <w:rPr>
          <w:color w:val="404040" w:themeColor="text1" w:themeTint="BF"/>
        </w:rPr>
        <w:t>Policy [</w:t>
      </w:r>
      <w:r>
        <w:rPr>
          <w:rFonts w:ascii="Calibri Light" w:eastAsia="Calibri Light" w:hAnsi="Calibri Light" w:cs="Calibri Light"/>
          <w:color w:val="404040" w:themeColor="text1" w:themeTint="BF"/>
          <w:sz w:val="18"/>
        </w:rPr>
        <w:t>SOC 2: CC6.2]</w:t>
      </w:r>
    </w:p>
    <w:p w14:paraId="5F569132" w14:textId="082071E9" w:rsidR="008C321D" w:rsidRDefault="00000000">
      <w:pPr>
        <w:pStyle w:val="Emphasis-Normal"/>
        <w:numPr>
          <w:ilvl w:val="0"/>
          <w:numId w:val="11"/>
        </w:numPr>
        <w:spacing w:after="120"/>
        <w:jc w:val="both"/>
      </w:pPr>
      <w:r>
        <w:rPr>
          <w:color w:val="404040" w:themeColor="text1" w:themeTint="BF"/>
        </w:rPr>
        <w:lastRenderedPageBreak/>
        <w:t xml:space="preserve">POL-PWD-001 Password and Authentication </w:t>
      </w:r>
      <w:r w:rsidR="00092775">
        <w:rPr>
          <w:color w:val="404040" w:themeColor="text1" w:themeTint="BF"/>
        </w:rPr>
        <w:t>Policy [</w:t>
      </w:r>
      <w:r>
        <w:rPr>
          <w:rFonts w:ascii="Calibri Light" w:eastAsia="Calibri Light" w:hAnsi="Calibri Light" w:cs="Calibri Light"/>
          <w:color w:val="404040" w:themeColor="text1" w:themeTint="BF"/>
          <w:sz w:val="18"/>
        </w:rPr>
        <w:t>SOC 2: CC6.1]</w:t>
      </w:r>
    </w:p>
    <w:p w14:paraId="170D1C9C" w14:textId="64DEB80B" w:rsidR="008C321D" w:rsidRDefault="00000000">
      <w:pPr>
        <w:pStyle w:val="Emphasis-Normal"/>
        <w:numPr>
          <w:ilvl w:val="0"/>
          <w:numId w:val="11"/>
        </w:numPr>
        <w:spacing w:after="120"/>
        <w:jc w:val="both"/>
      </w:pPr>
      <w:r>
        <w:rPr>
          <w:color w:val="404040" w:themeColor="text1" w:themeTint="BF"/>
        </w:rPr>
        <w:t xml:space="preserve">FRM-CE-001 Annual Control Environment </w:t>
      </w:r>
      <w:r w:rsidR="00092775">
        <w:rPr>
          <w:color w:val="404040" w:themeColor="text1" w:themeTint="BF"/>
        </w:rPr>
        <w:t>Assessment [</w:t>
      </w:r>
      <w:r>
        <w:rPr>
          <w:rFonts w:ascii="Calibri Light" w:eastAsia="Calibri Light" w:hAnsi="Calibri Light" w:cs="Calibri Light"/>
          <w:color w:val="404040" w:themeColor="text1" w:themeTint="BF"/>
          <w:sz w:val="18"/>
        </w:rPr>
        <w:t>SOC 2: CC5.2]</w:t>
      </w:r>
    </w:p>
    <w:p w14:paraId="6D0F404C" w14:textId="77777777" w:rsidR="008C321D" w:rsidRDefault="00000000">
      <w:pPr>
        <w:pStyle w:val="Emphasis-Normal"/>
        <w:numPr>
          <w:ilvl w:val="0"/>
          <w:numId w:val="11"/>
        </w:numPr>
        <w:spacing w:after="120"/>
        <w:jc w:val="both"/>
      </w:pPr>
      <w:r>
        <w:rPr>
          <w:color w:val="404040" w:themeColor="text1" w:themeTint="BF"/>
        </w:rPr>
        <w:t>HIPAA Security Rule, 45 CFR §164.308(a)(3) and §164.308(a)(4)</w:t>
      </w:r>
    </w:p>
    <w:p w14:paraId="7D228337" w14:textId="77777777" w:rsidR="008C321D" w:rsidRDefault="00000000">
      <w:pPr>
        <w:pStyle w:val="Emphasis-Normal"/>
        <w:numPr>
          <w:ilvl w:val="0"/>
          <w:numId w:val="11"/>
        </w:numPr>
        <w:spacing w:after="120"/>
        <w:jc w:val="both"/>
      </w:pPr>
      <w:r>
        <w:rPr>
          <w:color w:val="404040" w:themeColor="text1" w:themeTint="BF"/>
        </w:rPr>
        <w:t>EU General Data Protection Regulation, Article 32</w:t>
      </w:r>
    </w:p>
    <w:p w14:paraId="3010CC7E" w14:textId="77777777" w:rsidR="008C321D" w:rsidRDefault="00000000" w:rsidP="00CB6FE4">
      <w:pPr>
        <w:pStyle w:val="Heading1"/>
      </w:pPr>
      <w:bookmarkStart w:id="25" w:name="_Toc236674048"/>
      <w:bookmarkStart w:id="26" w:name="_Toc237816909"/>
      <w:r>
        <w:t>Document Policy History</w:t>
      </w:r>
      <w:bookmarkEnd w:id="25"/>
      <w:bookmarkEnd w:id="26"/>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8C321D" w14:paraId="4BA2FC78"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0F81CCD3" w14:textId="77777777" w:rsidR="008C321D"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019B8656" w14:textId="77777777" w:rsidR="008C321D"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467D2FE3" w14:textId="77777777" w:rsidR="008C321D" w:rsidRDefault="00000000">
            <w:pPr>
              <w:suppressLineNumbers/>
              <w:spacing w:before="40" w:after="40" w:line="240" w:lineRule="auto"/>
            </w:pPr>
            <w:r>
              <w:rPr>
                <w:b/>
                <w:sz w:val="20"/>
              </w:rPr>
              <w:t>Description</w:t>
            </w:r>
          </w:p>
        </w:tc>
      </w:tr>
      <w:tr w:rsidR="008C321D" w14:paraId="646AFA61"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46BC6734" w14:textId="77777777" w:rsidR="008C321D"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44D0070A" w14:textId="77777777" w:rsidR="008C321D"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7BAAD99B" w14:textId="77777777" w:rsidR="008C321D" w:rsidRDefault="00000000">
            <w:pPr>
              <w:suppressLineNumbers/>
              <w:spacing w:before="40" w:after="40" w:line="240" w:lineRule="auto"/>
            </w:pPr>
            <w:r>
              <w:rPr>
                <w:sz w:val="20"/>
              </w:rPr>
              <w:t>Initial policy release</w:t>
            </w:r>
          </w:p>
        </w:tc>
      </w:tr>
    </w:tbl>
    <w:p w14:paraId="77144ACE" w14:textId="77777777" w:rsidR="008C321D" w:rsidRDefault="008C321D"/>
    <w:sectPr w:rsidR="008C321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9DE15" w14:textId="77777777" w:rsidR="0018719B" w:rsidRDefault="0018719B">
      <w:pPr>
        <w:spacing w:after="0" w:line="240" w:lineRule="auto"/>
      </w:pPr>
      <w:r>
        <w:separator/>
      </w:r>
    </w:p>
  </w:endnote>
  <w:endnote w:type="continuationSeparator" w:id="0">
    <w:p w14:paraId="7C2F7E1E" w14:textId="77777777" w:rsidR="0018719B" w:rsidRDefault="00187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0ED13" w14:textId="77777777" w:rsidR="008C321D" w:rsidRDefault="008C32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B3AA1" w14:textId="77777777" w:rsidR="008C321D" w:rsidRDefault="00000000">
    <w:pPr>
      <w:suppressLineNumbers/>
      <w:pBdr>
        <w:top w:val="single" w:sz="6" w:space="4" w:color="1B4965"/>
      </w:pBdr>
      <w:spacing w:before="160" w:after="0"/>
      <w:jc w:val="center"/>
    </w:pPr>
    <w:r>
      <w:rPr>
        <w:sz w:val="17"/>
      </w:rPr>
      <w:t xml:space="preserve">PromptHalo Technologies   ·   Internal   ·   POL-AC-001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3B23A" w14:textId="77777777" w:rsidR="008C321D" w:rsidRDefault="008C321D">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79839" w14:textId="77777777" w:rsidR="008C321D" w:rsidRDefault="008C321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05D7D3" w14:textId="77777777" w:rsidR="008C321D" w:rsidRDefault="00000000">
    <w:pPr>
      <w:suppressLineNumbers/>
      <w:pBdr>
        <w:top w:val="single" w:sz="6" w:space="4" w:color="1B4965"/>
      </w:pBdr>
      <w:spacing w:before="160" w:after="0"/>
      <w:jc w:val="center"/>
    </w:pPr>
    <w:r>
      <w:rPr>
        <w:sz w:val="17"/>
      </w:rPr>
      <w:t xml:space="preserve">PromptHalo Technologies   ·   Internal   ·   POL-AC-001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1DD25" w14:textId="77777777" w:rsidR="008C321D" w:rsidRDefault="008C321D">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CD5D40" w14:textId="77777777" w:rsidR="0018719B" w:rsidRDefault="0018719B">
      <w:pPr>
        <w:spacing w:after="0" w:line="240" w:lineRule="auto"/>
      </w:pPr>
      <w:r>
        <w:separator/>
      </w:r>
    </w:p>
  </w:footnote>
  <w:footnote w:type="continuationSeparator" w:id="0">
    <w:p w14:paraId="3ECAF9B9" w14:textId="77777777" w:rsidR="0018719B" w:rsidRDefault="00187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B9D6A" w14:textId="77777777" w:rsidR="008C321D" w:rsidRDefault="008C32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138AE" w14:textId="77777777" w:rsidR="008C321D" w:rsidRDefault="00000000">
    <w:pPr>
      <w:suppressLineNumbers/>
      <w:pBdr>
        <w:bottom w:val="single" w:sz="6" w:space="4" w:color="1B4965"/>
      </w:pBdr>
      <w:spacing w:after="160"/>
      <w:jc w:val="center"/>
    </w:pPr>
    <w:r>
      <w:rPr>
        <w:b/>
        <w:caps/>
        <w:spacing w:val="12"/>
        <w:sz w:val="17"/>
      </w:rPr>
      <w:t>ACCESS CONTROL POLICY   ·   INTERNAL   ·   POL-AC-001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4CCC4C" w14:textId="77777777" w:rsidR="008C321D" w:rsidRDefault="008C321D">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99A1C" w14:textId="77777777" w:rsidR="008C321D" w:rsidRDefault="008C321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9B55E2" w14:textId="77777777" w:rsidR="008C321D" w:rsidRDefault="00000000">
    <w:pPr>
      <w:suppressLineNumbers/>
      <w:pBdr>
        <w:bottom w:val="single" w:sz="6" w:space="4" w:color="1B4965"/>
      </w:pBdr>
      <w:spacing w:after="160"/>
      <w:jc w:val="center"/>
    </w:pPr>
    <w:r>
      <w:rPr>
        <w:b/>
        <w:caps/>
        <w:spacing w:val="12"/>
        <w:sz w:val="17"/>
      </w:rPr>
      <w:t>ACCESS CONTROL POLICY   ·   INTERNAL   ·   POL-AC-001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0D957" w14:textId="77777777" w:rsidR="008C321D" w:rsidRDefault="008C321D">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BC52B7"/>
    <w:multiLevelType w:val="multilevel"/>
    <w:tmpl w:val="EA2E89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521C88"/>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DBD3ECE"/>
    <w:multiLevelType w:val="multilevel"/>
    <w:tmpl w:val="4A343546"/>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234045977">
    <w:abstractNumId w:val="2"/>
  </w:num>
  <w:num w:numId="2" w16cid:durableId="372970911">
    <w:abstractNumId w:val="1"/>
  </w:num>
  <w:num w:numId="3" w16cid:durableId="1266840934">
    <w:abstractNumId w:val="0"/>
    <w:lvlOverride w:ilvl="0">
      <w:startOverride w:val="1"/>
    </w:lvlOverride>
  </w:num>
  <w:num w:numId="4" w16cid:durableId="545607870">
    <w:abstractNumId w:val="0"/>
    <w:lvlOverride w:ilvl="0">
      <w:startOverride w:val="1"/>
    </w:lvlOverride>
  </w:num>
  <w:num w:numId="5" w16cid:durableId="676224952">
    <w:abstractNumId w:val="0"/>
    <w:lvlOverride w:ilvl="0">
      <w:startOverride w:val="1"/>
    </w:lvlOverride>
  </w:num>
  <w:num w:numId="6" w16cid:durableId="1059133746">
    <w:abstractNumId w:val="0"/>
    <w:lvlOverride w:ilvl="0">
      <w:startOverride w:val="1"/>
    </w:lvlOverride>
  </w:num>
  <w:num w:numId="7" w16cid:durableId="1620140050">
    <w:abstractNumId w:val="0"/>
    <w:lvlOverride w:ilvl="0">
      <w:startOverride w:val="1"/>
    </w:lvlOverride>
  </w:num>
  <w:num w:numId="8" w16cid:durableId="636227840">
    <w:abstractNumId w:val="0"/>
    <w:lvlOverride w:ilvl="0">
      <w:startOverride w:val="1"/>
    </w:lvlOverride>
  </w:num>
  <w:num w:numId="9" w16cid:durableId="974601312">
    <w:abstractNumId w:val="0"/>
    <w:lvlOverride w:ilvl="0">
      <w:startOverride w:val="1"/>
    </w:lvlOverride>
  </w:num>
  <w:num w:numId="10" w16cid:durableId="2029018743">
    <w:abstractNumId w:val="0"/>
    <w:lvlOverride w:ilvl="0">
      <w:startOverride w:val="1"/>
    </w:lvlOverride>
  </w:num>
  <w:num w:numId="11" w16cid:durableId="1755471984">
    <w:abstractNumId w:val="0"/>
    <w:lvlOverride w:ilvl="0">
      <w:startOverride w:val="1"/>
    </w:lvlOverride>
  </w:num>
  <w:num w:numId="12" w16cid:durableId="1371877601">
    <w:abstractNumId w:val="2"/>
    <w:lvlOverride w:ilvl="0">
      <w:startOverride w:val="1"/>
    </w:lvlOverride>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21D"/>
    <w:rsid w:val="00065CDC"/>
    <w:rsid w:val="00092775"/>
    <w:rsid w:val="0018719B"/>
    <w:rsid w:val="006141DF"/>
    <w:rsid w:val="0072199C"/>
    <w:rsid w:val="008523CA"/>
    <w:rsid w:val="008C321D"/>
    <w:rsid w:val="00CB6FE4"/>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ACD3A02"/>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2775"/>
    <w:pPr>
      <w:suppressAutoHyphens w:val="0"/>
      <w:spacing w:before="100" w:beforeAutospacing="1" w:after="100" w:afterAutospacing="1" w:line="240" w:lineRule="auto"/>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1812</Words>
  <Characters>10332</Characters>
  <Application>Microsoft Office Word</Application>
  <DocSecurity>0</DocSecurity>
  <Lines>86</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2026-08-18T00:17:00Z</cp:lastPrinted>
  <dcterms:created xsi:type="dcterms:W3CDTF">2026-08-18T00:17:00Z</dcterms:created>
  <dcterms:modified xsi:type="dcterms:W3CDTF">2026-08-18T00:17:00Z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