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61881" w14:textId="77777777" w:rsidR="00F55B91" w:rsidRDefault="00F55B91">
      <w:pPr>
        <w:pStyle w:val="Title"/>
        <w:suppressLineNumbers/>
        <w:spacing w:after="240"/>
        <w:jc w:val="center"/>
        <w:rPr>
          <w:rStyle w:val="Emphasis"/>
          <w:rFonts w:eastAsia="Times New Roman"/>
          <w:b w:val="0"/>
          <w:i w:val="0"/>
          <w:smallCaps/>
          <w:color w:val="074F6A"/>
          <w:spacing w:val="0"/>
          <w:sz w:val="52"/>
          <w:szCs w:val="52"/>
        </w:rPr>
      </w:pPr>
    </w:p>
    <w:p w14:paraId="2266E402" w14:textId="77777777" w:rsidR="00F55B91" w:rsidRDefault="00F55B91">
      <w:pPr>
        <w:pStyle w:val="Title"/>
        <w:suppressLineNumbers/>
        <w:spacing w:after="240"/>
        <w:jc w:val="center"/>
        <w:rPr>
          <w:rStyle w:val="Emphasis"/>
          <w:rFonts w:eastAsia="Times New Roman"/>
          <w:b w:val="0"/>
          <w:i w:val="0"/>
          <w:smallCaps/>
          <w:color w:val="074F6A"/>
          <w:spacing w:val="0"/>
          <w:sz w:val="52"/>
          <w:szCs w:val="52"/>
        </w:rPr>
      </w:pPr>
    </w:p>
    <w:p w14:paraId="6045DDB7" w14:textId="77777777" w:rsidR="00F55B91" w:rsidRDefault="00F55B91">
      <w:pPr>
        <w:pStyle w:val="Title"/>
        <w:suppressLineNumbers/>
        <w:spacing w:after="240"/>
        <w:jc w:val="center"/>
        <w:rPr>
          <w:rStyle w:val="Emphasis"/>
          <w:rFonts w:eastAsia="Times New Roman"/>
          <w:b w:val="0"/>
          <w:i w:val="0"/>
          <w:smallCaps/>
          <w:color w:val="074F6A"/>
          <w:spacing w:val="0"/>
          <w:sz w:val="52"/>
          <w:szCs w:val="52"/>
        </w:rPr>
      </w:pPr>
    </w:p>
    <w:p w14:paraId="7357B023" w14:textId="77777777" w:rsidR="00F55B91"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ARTIFICIAL INTELLIGENCE GOVERNANCE POLICY</w:t>
      </w:r>
    </w:p>
    <w:p w14:paraId="060D15D2" w14:textId="77777777" w:rsidR="00F55B91" w:rsidRDefault="00F55B91">
      <w:pPr>
        <w:pStyle w:val="Title"/>
        <w:suppressLineNumbers/>
        <w:spacing w:after="240"/>
        <w:jc w:val="center"/>
        <w:rPr>
          <w:rStyle w:val="Emphasis"/>
          <w:rFonts w:eastAsia="Times New Roman"/>
          <w:b w:val="0"/>
          <w:i w:val="0"/>
          <w:smallCaps/>
          <w:color w:val="074F6A"/>
          <w:spacing w:val="0"/>
          <w:sz w:val="52"/>
          <w:szCs w:val="52"/>
        </w:rPr>
      </w:pPr>
    </w:p>
    <w:p w14:paraId="3F0ACA5E" w14:textId="77777777" w:rsidR="00F55B91" w:rsidRDefault="00F55B91">
      <w:pPr>
        <w:pStyle w:val="Title"/>
        <w:suppressLineNumbers/>
        <w:spacing w:after="240"/>
        <w:jc w:val="center"/>
        <w:rPr>
          <w:rStyle w:val="Emphasis"/>
          <w:rFonts w:eastAsia="Times New Roman"/>
          <w:b w:val="0"/>
          <w:i w:val="0"/>
          <w:smallCaps/>
          <w:color w:val="074F6A"/>
          <w:spacing w:val="0"/>
          <w:sz w:val="52"/>
          <w:szCs w:val="52"/>
        </w:rPr>
      </w:pPr>
    </w:p>
    <w:p w14:paraId="1C025104" w14:textId="77777777" w:rsidR="00F55B91"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1FEACA44" w14:textId="77777777" w:rsidR="00F55B91"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0D5E54F1" w14:textId="77777777" w:rsidR="00F55B91"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76ED6AE7" w14:textId="77777777" w:rsidR="00F55B91" w:rsidRDefault="00F55B91">
      <w:pPr>
        <w:suppressLineNumbers/>
        <w:spacing w:after="40" w:line="240" w:lineRule="auto"/>
        <w:jc w:val="center"/>
      </w:pPr>
    </w:p>
    <w:p w14:paraId="0D2B1975" w14:textId="77777777" w:rsidR="00F55B91" w:rsidRDefault="00F55B91">
      <w:pPr>
        <w:suppressLineNumbers/>
        <w:spacing w:after="40" w:line="240" w:lineRule="auto"/>
        <w:jc w:val="center"/>
      </w:pPr>
    </w:p>
    <w:p w14:paraId="497C4271" w14:textId="77777777" w:rsidR="00F55B91" w:rsidRDefault="00F55B91">
      <w:pPr>
        <w:suppressLineNumbers/>
        <w:spacing w:after="40" w:line="240" w:lineRule="auto"/>
        <w:jc w:val="center"/>
      </w:pPr>
    </w:p>
    <w:p w14:paraId="3F0DD7F2" w14:textId="77777777" w:rsidR="00F55B91" w:rsidRDefault="00F55B91">
      <w:pPr>
        <w:suppressLineNumbers/>
        <w:spacing w:after="40" w:line="240" w:lineRule="auto"/>
        <w:jc w:val="center"/>
      </w:pPr>
    </w:p>
    <w:p w14:paraId="1122322A" w14:textId="77777777" w:rsidR="00F55B91" w:rsidRDefault="00F55B91">
      <w:pPr>
        <w:suppressLineNumbers/>
        <w:spacing w:after="40" w:line="240" w:lineRule="auto"/>
        <w:jc w:val="center"/>
      </w:pPr>
    </w:p>
    <w:p w14:paraId="67EB212A" w14:textId="77777777" w:rsidR="00F55B91" w:rsidRDefault="00000000">
      <w:pPr>
        <w:suppressLineNumbers/>
        <w:spacing w:after="40" w:line="240" w:lineRule="auto"/>
        <w:jc w:val="center"/>
      </w:pPr>
      <w:bookmarkStart w:id="0" w:name="EffectiveDate"/>
      <w:r>
        <w:rPr>
          <w:noProof/>
        </w:rPr>
        <w:drawing>
          <wp:inline distT="0" distB="0" distL="0" distR="0" wp14:anchorId="4BAE5C8E" wp14:editId="7B218541">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2643308" w14:textId="77777777" w:rsidR="00F55B91"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F55B91" w14:paraId="0CBF3BE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9068D87" w14:textId="77777777" w:rsidR="00F55B91"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B7042CB" w14:textId="77777777" w:rsidR="00F55B91" w:rsidRDefault="00000000">
            <w:pPr>
              <w:pStyle w:val="BodyText9"/>
              <w:suppressLineNumbers/>
              <w:spacing w:before="40" w:after="40" w:line="240" w:lineRule="auto"/>
            </w:pPr>
            <w:r>
              <w:rPr>
                <w:b/>
                <w:color w:val="404040" w:themeColor="text1" w:themeTint="BF"/>
                <w:sz w:val="20"/>
                <w:szCs w:val="20"/>
              </w:rPr>
              <w:t>Governance, Ethics, and Security</w:t>
            </w:r>
          </w:p>
        </w:tc>
      </w:tr>
      <w:tr w:rsidR="00F55B91" w14:paraId="4E9D4F9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F6A5581" w14:textId="77777777" w:rsidR="00F55B91"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4D5EF301" w14:textId="77777777" w:rsidR="00F55B91" w:rsidRDefault="00000000">
            <w:pPr>
              <w:pStyle w:val="BodyText9"/>
              <w:suppressLineNumbers/>
              <w:spacing w:before="40" w:after="40" w:line="240" w:lineRule="auto"/>
            </w:pPr>
            <w:r>
              <w:rPr>
                <w:color w:val="404040" w:themeColor="text1" w:themeTint="BF"/>
                <w:sz w:val="20"/>
              </w:rPr>
              <w:t>Artificial Intelligence Governance Policy</w:t>
            </w:r>
          </w:p>
        </w:tc>
      </w:tr>
      <w:tr w:rsidR="00F55B91" w14:paraId="501F565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035915" w14:textId="77777777" w:rsidR="00F55B91"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0F7D2C76" w14:textId="77777777" w:rsidR="00F55B91" w:rsidRDefault="00000000">
            <w:pPr>
              <w:pStyle w:val="BodyText9"/>
              <w:suppressLineNumbers/>
              <w:spacing w:before="40" w:after="40" w:line="240" w:lineRule="auto"/>
            </w:pPr>
            <w:r>
              <w:rPr>
                <w:color w:val="404040" w:themeColor="text1" w:themeTint="BF"/>
                <w:sz w:val="20"/>
              </w:rPr>
              <w:t>POL-AI-001</w:t>
            </w:r>
          </w:p>
        </w:tc>
      </w:tr>
      <w:tr w:rsidR="00F55B91" w14:paraId="6A214D9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3F957A" w14:textId="77777777" w:rsidR="00F55B91"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B5655AA" w14:textId="77777777" w:rsidR="00F55B91" w:rsidRDefault="00000000">
            <w:pPr>
              <w:pStyle w:val="BodyText9"/>
              <w:suppressLineNumbers/>
              <w:spacing w:before="40" w:after="40" w:line="240" w:lineRule="auto"/>
            </w:pPr>
            <w:r>
              <w:rPr>
                <w:color w:val="404040" w:themeColor="text1" w:themeTint="BF"/>
                <w:sz w:val="20"/>
              </w:rPr>
              <w:t>1.0</w:t>
            </w:r>
          </w:p>
        </w:tc>
      </w:tr>
      <w:tr w:rsidR="00F55B91" w14:paraId="1BDCD83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AABB823" w14:textId="77777777" w:rsidR="00F55B91"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8C3D55B" w14:textId="77777777" w:rsidR="00F55B91" w:rsidRDefault="00000000">
            <w:pPr>
              <w:pStyle w:val="BodyText9"/>
              <w:suppressLineNumbers/>
              <w:spacing w:before="40" w:after="40" w:line="240" w:lineRule="auto"/>
            </w:pPr>
            <w:r>
              <w:rPr>
                <w:color w:val="404040" w:themeColor="text1" w:themeTint="BF"/>
                <w:sz w:val="20"/>
              </w:rPr>
              <w:t>August 18, 2026</w:t>
            </w:r>
          </w:p>
        </w:tc>
      </w:tr>
      <w:tr w:rsidR="00F55B91" w14:paraId="20C371B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25F1C0F" w14:textId="77777777" w:rsidR="00F55B91"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15C424C6" w14:textId="77777777" w:rsidR="00F55B91" w:rsidRDefault="00000000">
            <w:pPr>
              <w:pStyle w:val="BodyText9"/>
              <w:suppressLineNumbers/>
              <w:spacing w:before="40" w:after="40" w:line="240" w:lineRule="auto"/>
            </w:pPr>
            <w:r>
              <w:rPr>
                <w:color w:val="404040" w:themeColor="text1" w:themeTint="BF"/>
                <w:sz w:val="20"/>
              </w:rPr>
              <w:t>Information Security Steering Committee</w:t>
            </w:r>
          </w:p>
        </w:tc>
      </w:tr>
      <w:tr w:rsidR="00F55B91" w14:paraId="1D75846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ED286F" w14:textId="77777777" w:rsidR="00F55B91"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1934E658" w14:textId="77777777" w:rsidR="00F55B91" w:rsidRDefault="00000000">
            <w:pPr>
              <w:pStyle w:val="BodyText9"/>
              <w:suppressLineNumbers/>
              <w:spacing w:before="40" w:after="40" w:line="240" w:lineRule="auto"/>
            </w:pPr>
            <w:r>
              <w:rPr>
                <w:color w:val="404040" w:themeColor="text1" w:themeTint="BF"/>
                <w:sz w:val="20"/>
              </w:rPr>
              <w:t>August 18, 2026</w:t>
            </w:r>
          </w:p>
        </w:tc>
      </w:tr>
      <w:tr w:rsidR="00F55B91" w14:paraId="457AC62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065335E" w14:textId="77777777" w:rsidR="00F55B91"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706FB9" w14:textId="77777777" w:rsidR="00F55B91" w:rsidRDefault="00000000">
            <w:pPr>
              <w:pStyle w:val="BodyText9"/>
              <w:suppressLineNumbers/>
              <w:spacing w:before="40" w:after="40" w:line="240" w:lineRule="auto"/>
            </w:pPr>
            <w:r>
              <w:rPr>
                <w:color w:val="404040" w:themeColor="text1" w:themeTint="BF"/>
                <w:sz w:val="20"/>
              </w:rPr>
              <w:t>August 18, 2027</w:t>
            </w:r>
          </w:p>
        </w:tc>
      </w:tr>
      <w:tr w:rsidR="00F55B91" w14:paraId="6433A37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20FA321" w14:textId="77777777" w:rsidR="00F55B91"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CF1D2DF" w14:textId="77777777" w:rsidR="00F55B91" w:rsidRDefault="00000000">
            <w:pPr>
              <w:pStyle w:val="BodyText9"/>
              <w:suppressLineNumbers/>
              <w:spacing w:before="40" w:after="40" w:line="240" w:lineRule="auto"/>
            </w:pPr>
            <w:r>
              <w:rPr>
                <w:color w:val="404040" w:themeColor="text1" w:themeTint="BF"/>
                <w:sz w:val="20"/>
              </w:rPr>
              <w:t>Internal</w:t>
            </w:r>
          </w:p>
        </w:tc>
      </w:tr>
      <w:tr w:rsidR="00F55B91" w14:paraId="13717D9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C128F4E" w14:textId="77777777" w:rsidR="00F55B91"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5F1067F8" w14:textId="77777777" w:rsidR="00F55B91" w:rsidRPr="00FE1413" w:rsidRDefault="00000000">
            <w:pPr>
              <w:pStyle w:val="BodyText9"/>
              <w:suppressLineNumbers/>
              <w:spacing w:before="40" w:after="40" w:line="240" w:lineRule="auto"/>
              <w:rPr>
                <w:color w:val="404040" w:themeColor="text1" w:themeTint="BF"/>
                <w:sz w:val="20"/>
              </w:rPr>
            </w:pPr>
            <w:r w:rsidRPr="00FE1413">
              <w:rPr>
                <w:color w:val="404040" w:themeColor="text1" w:themeTint="BF"/>
                <w:sz w:val="20"/>
              </w:rPr>
              <w:fldChar w:fldCharType="begin"/>
            </w:r>
            <w:r w:rsidRPr="00FE1413">
              <w:rPr>
                <w:color w:val="404040" w:themeColor="text1" w:themeTint="BF"/>
                <w:sz w:val="20"/>
              </w:rPr>
              <w:instrText xml:space="preserve"> DOCPROPERTY "DocOwner"</w:instrText>
            </w:r>
            <w:r w:rsidRPr="00FE1413">
              <w:rPr>
                <w:color w:val="404040" w:themeColor="text1" w:themeTint="BF"/>
                <w:sz w:val="20"/>
              </w:rPr>
              <w:fldChar w:fldCharType="separate"/>
            </w:r>
            <w:r w:rsidRPr="00FE1413">
              <w:rPr>
                <w:color w:val="404040" w:themeColor="text1" w:themeTint="BF"/>
                <w:sz w:val="20"/>
              </w:rPr>
              <w:t>Chief Executive Officer — Accountable Party</w:t>
            </w:r>
            <w:r w:rsidRPr="00FE1413">
              <w:rPr>
                <w:color w:val="404040" w:themeColor="text1" w:themeTint="BF"/>
                <w:sz w:val="20"/>
              </w:rPr>
              <w:fldChar w:fldCharType="end"/>
            </w:r>
          </w:p>
        </w:tc>
      </w:tr>
      <w:tr w:rsidR="00F55B91" w14:paraId="7F79860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3ECFF27" w14:textId="77777777" w:rsidR="00F55B91"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36052C19" w14:textId="77777777" w:rsidR="00F55B91" w:rsidRPr="00FE1413"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F55B91" w14:paraId="0E1A0BC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416ED24" w14:textId="77777777" w:rsidR="00F55B91"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E946601" w14:textId="77777777" w:rsidR="00F55B91" w:rsidRPr="00FE1413" w:rsidRDefault="00000000">
            <w:pPr>
              <w:pStyle w:val="BodyText9"/>
              <w:suppressLineNumbers/>
              <w:spacing w:before="40" w:after="40" w:line="240" w:lineRule="auto"/>
              <w:rPr>
                <w:color w:val="404040" w:themeColor="text1" w:themeTint="BF"/>
                <w:sz w:val="20"/>
              </w:rPr>
            </w:pPr>
            <w:r w:rsidRPr="00FE1413">
              <w:rPr>
                <w:color w:val="404040" w:themeColor="text1" w:themeTint="BF"/>
                <w:sz w:val="20"/>
              </w:rPr>
              <w:fldChar w:fldCharType="begin"/>
            </w:r>
            <w:r w:rsidRPr="00FE1413">
              <w:rPr>
                <w:color w:val="404040" w:themeColor="text1" w:themeTint="BF"/>
                <w:sz w:val="20"/>
              </w:rPr>
              <w:instrText xml:space="preserve"> DOCPROPERTY "ReviewCycle"</w:instrText>
            </w:r>
            <w:r w:rsidRPr="00FE1413">
              <w:rPr>
                <w:color w:val="404040" w:themeColor="text1" w:themeTint="BF"/>
                <w:sz w:val="20"/>
              </w:rPr>
              <w:fldChar w:fldCharType="separate"/>
            </w:r>
            <w:r w:rsidRPr="00FE1413">
              <w:rPr>
                <w:color w:val="404040" w:themeColor="text1" w:themeTint="BF"/>
                <w:sz w:val="20"/>
              </w:rPr>
              <w:t>Annual, or upon material change</w:t>
            </w:r>
            <w:r w:rsidRPr="00FE1413">
              <w:rPr>
                <w:color w:val="404040" w:themeColor="text1" w:themeTint="BF"/>
                <w:sz w:val="20"/>
              </w:rPr>
              <w:fldChar w:fldCharType="end"/>
            </w:r>
          </w:p>
        </w:tc>
      </w:tr>
      <w:tr w:rsidR="00F55B91" w14:paraId="331A1C2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843B6B4" w14:textId="77777777" w:rsidR="00F55B91"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8C4DB33" w14:textId="77777777" w:rsidR="00F55B91" w:rsidRPr="00FE1413"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F55B91" w14:paraId="2654A66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B5E759" w14:textId="77777777" w:rsidR="00F55B91"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5C78EE23" w14:textId="77777777" w:rsidR="00F55B91" w:rsidRPr="00FE1413" w:rsidRDefault="00000000">
            <w:pPr>
              <w:pStyle w:val="BodyText9"/>
              <w:suppressLineNumbers/>
              <w:spacing w:before="40" w:after="40" w:line="240" w:lineRule="auto"/>
              <w:rPr>
                <w:color w:val="404040" w:themeColor="text1" w:themeTint="BF"/>
                <w:sz w:val="20"/>
              </w:rPr>
            </w:pPr>
            <w:r w:rsidRPr="00FE1413">
              <w:rPr>
                <w:color w:val="404040" w:themeColor="text1" w:themeTint="BF"/>
                <w:sz w:val="20"/>
              </w:rPr>
              <w:fldChar w:fldCharType="begin"/>
            </w:r>
            <w:r w:rsidRPr="00FE1413">
              <w:rPr>
                <w:color w:val="404040" w:themeColor="text1" w:themeTint="BF"/>
                <w:sz w:val="20"/>
              </w:rPr>
              <w:instrText xml:space="preserve"> DOCPROPERTY "Audience"</w:instrText>
            </w:r>
            <w:r w:rsidRPr="00FE1413">
              <w:rPr>
                <w:color w:val="404040" w:themeColor="text1" w:themeTint="BF"/>
                <w:sz w:val="20"/>
              </w:rPr>
              <w:fldChar w:fldCharType="separate"/>
            </w:r>
            <w:r w:rsidRPr="00FE1413">
              <w:rPr>
                <w:color w:val="404040" w:themeColor="text1" w:themeTint="BF"/>
                <w:sz w:val="20"/>
              </w:rPr>
              <w:t>All personnel, including employees and contractors</w:t>
            </w:r>
            <w:r w:rsidRPr="00FE1413">
              <w:rPr>
                <w:color w:val="404040" w:themeColor="text1" w:themeTint="BF"/>
                <w:sz w:val="20"/>
              </w:rPr>
              <w:fldChar w:fldCharType="end"/>
            </w:r>
          </w:p>
        </w:tc>
      </w:tr>
    </w:tbl>
    <w:p w14:paraId="187FC623" w14:textId="77777777" w:rsidR="00F55B91" w:rsidRDefault="00F55B91">
      <w:pPr>
        <w:suppressLineNumbers/>
        <w:rPr>
          <w:rStyle w:val="Strong"/>
        </w:rPr>
      </w:pPr>
    </w:p>
    <w:p w14:paraId="78E0D998" w14:textId="77777777" w:rsidR="00F55B91"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F55B91" w14:paraId="6643AF70"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650894DA" w14:textId="77777777" w:rsidR="00F55B91"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154359F9" w14:textId="77777777" w:rsidR="00F55B91"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53DF52B6" w14:textId="77777777" w:rsidR="00F55B91"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3975053B" w14:textId="77777777" w:rsidR="00F55B91"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59567E9A" w14:textId="77777777" w:rsidR="00F55B91" w:rsidRDefault="00000000">
            <w:pPr>
              <w:pStyle w:val="BodyText9"/>
              <w:suppressLineNumbers/>
              <w:spacing w:before="40" w:after="40" w:line="240" w:lineRule="auto"/>
            </w:pPr>
            <w:r>
              <w:rPr>
                <w:b/>
                <w:color w:val="404040" w:themeColor="text1" w:themeTint="BF"/>
                <w:sz w:val="20"/>
                <w:szCs w:val="20"/>
              </w:rPr>
              <w:t>Date</w:t>
            </w:r>
          </w:p>
        </w:tc>
      </w:tr>
      <w:tr w:rsidR="00F55B91" w14:paraId="5B3C5DE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DAE3F31" w14:textId="77777777" w:rsidR="00F55B91"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30BB1D08" w14:textId="77777777" w:rsidR="00F55B91"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15559AC5" w14:textId="77777777" w:rsidR="00F55B91"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101F2966" w14:textId="77777777" w:rsidR="00F55B91" w:rsidRDefault="00F55B91">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683D984" w14:textId="77777777" w:rsidR="00F55B91" w:rsidRDefault="00000000">
            <w:pPr>
              <w:pStyle w:val="BodyText9"/>
              <w:suppressLineNumbers/>
              <w:spacing w:before="40" w:after="40" w:line="240" w:lineRule="auto"/>
            </w:pPr>
            <w:r>
              <w:rPr>
                <w:color w:val="404040" w:themeColor="text1" w:themeTint="BF"/>
                <w:sz w:val="20"/>
              </w:rPr>
              <w:t>August 18, 2026</w:t>
            </w:r>
          </w:p>
        </w:tc>
      </w:tr>
      <w:tr w:rsidR="00F55B91" w14:paraId="11CD6A4B"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5EBC65B" w14:textId="77777777" w:rsidR="00F55B91"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31255D90" w14:textId="77777777" w:rsidR="00F55B91"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01832240" w14:textId="77777777" w:rsidR="00F55B91"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1EC5A8ED" w14:textId="77777777" w:rsidR="00F55B91" w:rsidRDefault="00F55B91">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FEE3E01" w14:textId="77777777" w:rsidR="00F55B91" w:rsidRDefault="00000000">
            <w:pPr>
              <w:pStyle w:val="BodyText9"/>
              <w:suppressLineNumbers/>
              <w:spacing w:before="40" w:after="40" w:line="240" w:lineRule="auto"/>
            </w:pPr>
            <w:r>
              <w:rPr>
                <w:color w:val="404040" w:themeColor="text1" w:themeTint="BF"/>
                <w:sz w:val="20"/>
              </w:rPr>
              <w:t>August 18, 2026</w:t>
            </w:r>
          </w:p>
        </w:tc>
      </w:tr>
    </w:tbl>
    <w:p w14:paraId="10738ABD" w14:textId="77777777" w:rsidR="00F55B91" w:rsidRDefault="00F55B91">
      <w:pPr>
        <w:suppressLineNumbers/>
        <w:rPr>
          <w:rStyle w:val="Strong"/>
        </w:rPr>
      </w:pPr>
    </w:p>
    <w:p w14:paraId="3B9E3B6E" w14:textId="77777777" w:rsidR="00F55B91" w:rsidRDefault="00000000">
      <w:pPr>
        <w:suppressLineNumbers/>
        <w:spacing w:before="360" w:after="160"/>
      </w:pPr>
      <w:r>
        <w:rPr>
          <w:rStyle w:val="Strong"/>
          <w:caps/>
        </w:rPr>
        <w:t>COMPLIANCE</w:t>
      </w:r>
    </w:p>
    <w:p w14:paraId="405AC716" w14:textId="3E749826" w:rsidR="00F55B91" w:rsidRDefault="00000000">
      <w:pPr>
        <w:pStyle w:val="BodyText9"/>
        <w:suppressLineNumbers/>
        <w:spacing w:after="120"/>
        <w:jc w:val="both"/>
      </w:pPr>
      <w:r>
        <w:rPr>
          <w:color w:val="404040" w:themeColor="text1" w:themeTint="BF"/>
        </w:rPr>
        <w:t xml:space="preserve">This Policy is </w:t>
      </w:r>
      <w:r w:rsidR="00FE1413">
        <w:rPr>
          <w:color w:val="404040" w:themeColor="text1" w:themeTint="BF"/>
        </w:rPr>
        <w:t>authorized</w:t>
      </w:r>
      <w:r>
        <w:rPr>
          <w:color w:val="404040" w:themeColor="text1" w:themeTint="BF"/>
        </w:rPr>
        <w:t xml:space="preserve"> by the Information Security Policy (POL-ISP-001) and supports the SOC 2 Trust Services Criteria CC1.1, CC3.4, CC6.1, CC6.7, CC7.2, CC7.3, CC8.1 and CC9.2, and GDPR Articles 5, 6, 28 and 32. It governs how the Company builds with and uses AI; it does not restate controls owned by other documents.</w:t>
      </w:r>
    </w:p>
    <w:p w14:paraId="75946A3C" w14:textId="77777777" w:rsidR="00F55B91" w:rsidRDefault="00F55B91">
      <w:pPr>
        <w:pStyle w:val="BodyText9"/>
        <w:suppressLineNumbers/>
      </w:pPr>
    </w:p>
    <w:p w14:paraId="59BC786E" w14:textId="77777777" w:rsidR="00F55B91" w:rsidRDefault="00000000">
      <w:pPr>
        <w:suppressLineNumbers/>
        <w:spacing w:before="360" w:after="160"/>
        <w:rPr>
          <w:rStyle w:val="Strong"/>
        </w:rPr>
      </w:pPr>
      <w:r>
        <w:rPr>
          <w:rStyle w:val="Strong"/>
          <w:caps/>
        </w:rPr>
        <w:t>DOCUMENT VALIDITY</w:t>
      </w:r>
    </w:p>
    <w:p w14:paraId="2E64FEBC" w14:textId="77777777" w:rsidR="00F55B91"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738D45EA" w14:textId="77777777" w:rsidR="00F55B91" w:rsidRDefault="00000000">
      <w:pPr>
        <w:suppressLineNumbers/>
      </w:pPr>
      <w:r>
        <w:br w:type="page"/>
      </w:r>
    </w:p>
    <w:p w14:paraId="42EE5EE6" w14:textId="77777777" w:rsidR="00FE1413" w:rsidRDefault="00000000">
      <w:pPr>
        <w:suppressLineNumbers/>
        <w:spacing w:after="160"/>
        <w:rPr>
          <w:noProof/>
        </w:rPr>
      </w:pPr>
      <w:r>
        <w:rPr>
          <w:rStyle w:val="Strong"/>
          <w:caps/>
        </w:rPr>
        <w:lastRenderedPageBreak/>
        <w:t>TABLE OF CONTENTS</w:t>
      </w:r>
      <w:r w:rsidR="00FE1413">
        <w:rPr>
          <w:rStyle w:val="Strong"/>
          <w:caps/>
        </w:rPr>
        <w:fldChar w:fldCharType="begin"/>
      </w:r>
      <w:r w:rsidR="00FE1413">
        <w:rPr>
          <w:rStyle w:val="Strong"/>
          <w:caps/>
        </w:rPr>
        <w:instrText xml:space="preserve"> TOC \o "1-3" \h \z \u </w:instrText>
      </w:r>
      <w:r w:rsidR="00FE1413">
        <w:rPr>
          <w:rStyle w:val="Strong"/>
          <w:caps/>
        </w:rPr>
        <w:fldChar w:fldCharType="separate"/>
      </w:r>
    </w:p>
    <w:p w14:paraId="4DBB839B" w14:textId="73C3D58C"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46" w:history="1">
        <w:r w:rsidRPr="00ED2FC7">
          <w:rPr>
            <w:rStyle w:val="Hyperlink"/>
            <w:noProof/>
          </w:rPr>
          <w:t>1 Overview and Purpose</w:t>
        </w:r>
        <w:r>
          <w:rPr>
            <w:noProof/>
            <w:webHidden/>
          </w:rPr>
          <w:tab/>
        </w:r>
        <w:r>
          <w:rPr>
            <w:noProof/>
            <w:webHidden/>
          </w:rPr>
          <w:fldChar w:fldCharType="begin"/>
        </w:r>
        <w:r>
          <w:rPr>
            <w:noProof/>
            <w:webHidden/>
          </w:rPr>
          <w:instrText xml:space="preserve"> PAGEREF _Toc237815946 \h </w:instrText>
        </w:r>
        <w:r>
          <w:rPr>
            <w:noProof/>
            <w:webHidden/>
          </w:rPr>
        </w:r>
        <w:r>
          <w:rPr>
            <w:noProof/>
            <w:webHidden/>
          </w:rPr>
          <w:fldChar w:fldCharType="separate"/>
        </w:r>
        <w:r w:rsidR="0049620A">
          <w:rPr>
            <w:noProof/>
            <w:webHidden/>
          </w:rPr>
          <w:t>5</w:t>
        </w:r>
        <w:r>
          <w:rPr>
            <w:noProof/>
            <w:webHidden/>
          </w:rPr>
          <w:fldChar w:fldCharType="end"/>
        </w:r>
      </w:hyperlink>
    </w:p>
    <w:p w14:paraId="2DB4BA49" w14:textId="2381DD47"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47" w:history="1">
        <w:r w:rsidRPr="00ED2FC7">
          <w:rPr>
            <w:rStyle w:val="Hyperlink"/>
            <w:noProof/>
          </w:rPr>
          <w:t>2 Scope</w:t>
        </w:r>
        <w:r>
          <w:rPr>
            <w:noProof/>
            <w:webHidden/>
          </w:rPr>
          <w:tab/>
        </w:r>
        <w:r>
          <w:rPr>
            <w:noProof/>
            <w:webHidden/>
          </w:rPr>
          <w:fldChar w:fldCharType="begin"/>
        </w:r>
        <w:r>
          <w:rPr>
            <w:noProof/>
            <w:webHidden/>
          </w:rPr>
          <w:instrText xml:space="preserve"> PAGEREF _Toc237815947 \h </w:instrText>
        </w:r>
        <w:r>
          <w:rPr>
            <w:noProof/>
            <w:webHidden/>
          </w:rPr>
        </w:r>
        <w:r>
          <w:rPr>
            <w:noProof/>
            <w:webHidden/>
          </w:rPr>
          <w:fldChar w:fldCharType="separate"/>
        </w:r>
        <w:r w:rsidR="0049620A">
          <w:rPr>
            <w:noProof/>
            <w:webHidden/>
          </w:rPr>
          <w:t>5</w:t>
        </w:r>
        <w:r>
          <w:rPr>
            <w:noProof/>
            <w:webHidden/>
          </w:rPr>
          <w:fldChar w:fldCharType="end"/>
        </w:r>
      </w:hyperlink>
    </w:p>
    <w:p w14:paraId="095B485B" w14:textId="0E33A1E3"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48" w:history="1">
        <w:r w:rsidRPr="00ED2FC7">
          <w:rPr>
            <w:rStyle w:val="Hyperlink"/>
            <w:noProof/>
          </w:rPr>
          <w:t>3 Roles and Definitions</w:t>
        </w:r>
        <w:r>
          <w:rPr>
            <w:noProof/>
            <w:webHidden/>
          </w:rPr>
          <w:tab/>
        </w:r>
        <w:r>
          <w:rPr>
            <w:noProof/>
            <w:webHidden/>
          </w:rPr>
          <w:fldChar w:fldCharType="begin"/>
        </w:r>
        <w:r>
          <w:rPr>
            <w:noProof/>
            <w:webHidden/>
          </w:rPr>
          <w:instrText xml:space="preserve"> PAGEREF _Toc237815948 \h </w:instrText>
        </w:r>
        <w:r>
          <w:rPr>
            <w:noProof/>
            <w:webHidden/>
          </w:rPr>
        </w:r>
        <w:r>
          <w:rPr>
            <w:noProof/>
            <w:webHidden/>
          </w:rPr>
          <w:fldChar w:fldCharType="separate"/>
        </w:r>
        <w:r w:rsidR="0049620A">
          <w:rPr>
            <w:noProof/>
            <w:webHidden/>
          </w:rPr>
          <w:t>5</w:t>
        </w:r>
        <w:r>
          <w:rPr>
            <w:noProof/>
            <w:webHidden/>
          </w:rPr>
          <w:fldChar w:fldCharType="end"/>
        </w:r>
      </w:hyperlink>
    </w:p>
    <w:p w14:paraId="0DF389A1" w14:textId="4F6BDFB2"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49" w:history="1">
        <w:r w:rsidRPr="00ED2FC7">
          <w:rPr>
            <w:rStyle w:val="Hyperlink"/>
            <w:noProof/>
          </w:rPr>
          <w:t>4 Terminology</w:t>
        </w:r>
        <w:r>
          <w:rPr>
            <w:noProof/>
            <w:webHidden/>
          </w:rPr>
          <w:tab/>
        </w:r>
        <w:r>
          <w:rPr>
            <w:noProof/>
            <w:webHidden/>
          </w:rPr>
          <w:fldChar w:fldCharType="begin"/>
        </w:r>
        <w:r>
          <w:rPr>
            <w:noProof/>
            <w:webHidden/>
          </w:rPr>
          <w:instrText xml:space="preserve"> PAGEREF _Toc237815949 \h </w:instrText>
        </w:r>
        <w:r>
          <w:rPr>
            <w:noProof/>
            <w:webHidden/>
          </w:rPr>
        </w:r>
        <w:r>
          <w:rPr>
            <w:noProof/>
            <w:webHidden/>
          </w:rPr>
          <w:fldChar w:fldCharType="separate"/>
        </w:r>
        <w:r w:rsidR="0049620A">
          <w:rPr>
            <w:noProof/>
            <w:webHidden/>
          </w:rPr>
          <w:t>5</w:t>
        </w:r>
        <w:r>
          <w:rPr>
            <w:noProof/>
            <w:webHidden/>
          </w:rPr>
          <w:fldChar w:fldCharType="end"/>
        </w:r>
      </w:hyperlink>
    </w:p>
    <w:p w14:paraId="52F38C4D" w14:textId="3561BACC"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0" w:history="1">
        <w:r w:rsidRPr="00ED2FC7">
          <w:rPr>
            <w:rStyle w:val="Hyperlink"/>
            <w:noProof/>
          </w:rPr>
          <w:t>5 Relationship to the Other Policies</w:t>
        </w:r>
        <w:r>
          <w:rPr>
            <w:noProof/>
            <w:webHidden/>
          </w:rPr>
          <w:tab/>
        </w:r>
        <w:r>
          <w:rPr>
            <w:noProof/>
            <w:webHidden/>
          </w:rPr>
          <w:fldChar w:fldCharType="begin"/>
        </w:r>
        <w:r>
          <w:rPr>
            <w:noProof/>
            <w:webHidden/>
          </w:rPr>
          <w:instrText xml:space="preserve"> PAGEREF _Toc237815950 \h </w:instrText>
        </w:r>
        <w:r>
          <w:rPr>
            <w:noProof/>
            <w:webHidden/>
          </w:rPr>
        </w:r>
        <w:r>
          <w:rPr>
            <w:noProof/>
            <w:webHidden/>
          </w:rPr>
          <w:fldChar w:fldCharType="separate"/>
        </w:r>
        <w:r w:rsidR="0049620A">
          <w:rPr>
            <w:noProof/>
            <w:webHidden/>
          </w:rPr>
          <w:t>6</w:t>
        </w:r>
        <w:r>
          <w:rPr>
            <w:noProof/>
            <w:webHidden/>
          </w:rPr>
          <w:fldChar w:fldCharType="end"/>
        </w:r>
      </w:hyperlink>
    </w:p>
    <w:p w14:paraId="645A4342" w14:textId="3FF7BB32"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1" w:history="1">
        <w:r w:rsidRPr="00ED2FC7">
          <w:rPr>
            <w:rStyle w:val="Hyperlink"/>
            <w:noProof/>
          </w:rPr>
          <w:t>6 How Much Scrutiny a Use Attracts</w:t>
        </w:r>
        <w:r>
          <w:rPr>
            <w:noProof/>
            <w:webHidden/>
          </w:rPr>
          <w:tab/>
        </w:r>
        <w:r>
          <w:rPr>
            <w:noProof/>
            <w:webHidden/>
          </w:rPr>
          <w:fldChar w:fldCharType="begin"/>
        </w:r>
        <w:r>
          <w:rPr>
            <w:noProof/>
            <w:webHidden/>
          </w:rPr>
          <w:instrText xml:space="preserve"> PAGEREF _Toc237815951 \h </w:instrText>
        </w:r>
        <w:r>
          <w:rPr>
            <w:noProof/>
            <w:webHidden/>
          </w:rPr>
        </w:r>
        <w:r>
          <w:rPr>
            <w:noProof/>
            <w:webHidden/>
          </w:rPr>
          <w:fldChar w:fldCharType="separate"/>
        </w:r>
        <w:r w:rsidR="0049620A">
          <w:rPr>
            <w:noProof/>
            <w:webHidden/>
          </w:rPr>
          <w:t>7</w:t>
        </w:r>
        <w:r>
          <w:rPr>
            <w:noProof/>
            <w:webHidden/>
          </w:rPr>
          <w:fldChar w:fldCharType="end"/>
        </w:r>
      </w:hyperlink>
    </w:p>
    <w:p w14:paraId="75D31A48" w14:textId="16FE31F0"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2" w:history="1">
        <w:r w:rsidRPr="00ED2FC7">
          <w:rPr>
            <w:rStyle w:val="Hyperlink"/>
            <w:noProof/>
          </w:rPr>
          <w:t>7 The Approved AI Tool Register</w:t>
        </w:r>
        <w:r>
          <w:rPr>
            <w:noProof/>
            <w:webHidden/>
          </w:rPr>
          <w:tab/>
        </w:r>
        <w:r>
          <w:rPr>
            <w:noProof/>
            <w:webHidden/>
          </w:rPr>
          <w:fldChar w:fldCharType="begin"/>
        </w:r>
        <w:r>
          <w:rPr>
            <w:noProof/>
            <w:webHidden/>
          </w:rPr>
          <w:instrText xml:space="preserve"> PAGEREF _Toc237815952 \h </w:instrText>
        </w:r>
        <w:r>
          <w:rPr>
            <w:noProof/>
            <w:webHidden/>
          </w:rPr>
        </w:r>
        <w:r>
          <w:rPr>
            <w:noProof/>
            <w:webHidden/>
          </w:rPr>
          <w:fldChar w:fldCharType="separate"/>
        </w:r>
        <w:r w:rsidR="0049620A">
          <w:rPr>
            <w:noProof/>
            <w:webHidden/>
          </w:rPr>
          <w:t>7</w:t>
        </w:r>
        <w:r>
          <w:rPr>
            <w:noProof/>
            <w:webHidden/>
          </w:rPr>
          <w:fldChar w:fldCharType="end"/>
        </w:r>
      </w:hyperlink>
    </w:p>
    <w:p w14:paraId="3EA43E28" w14:textId="7D0AD854"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3" w:history="1">
        <w:r w:rsidRPr="00ED2FC7">
          <w:rPr>
            <w:rStyle w:val="Hyperlink"/>
            <w:noProof/>
          </w:rPr>
          <w:t>8 Using AI Assistants</w:t>
        </w:r>
        <w:r>
          <w:rPr>
            <w:noProof/>
            <w:webHidden/>
          </w:rPr>
          <w:tab/>
        </w:r>
        <w:r>
          <w:rPr>
            <w:noProof/>
            <w:webHidden/>
          </w:rPr>
          <w:fldChar w:fldCharType="begin"/>
        </w:r>
        <w:r>
          <w:rPr>
            <w:noProof/>
            <w:webHidden/>
          </w:rPr>
          <w:instrText xml:space="preserve"> PAGEREF _Toc237815953 \h </w:instrText>
        </w:r>
        <w:r>
          <w:rPr>
            <w:noProof/>
            <w:webHidden/>
          </w:rPr>
        </w:r>
        <w:r>
          <w:rPr>
            <w:noProof/>
            <w:webHidden/>
          </w:rPr>
          <w:fldChar w:fldCharType="separate"/>
        </w:r>
        <w:r w:rsidR="0049620A">
          <w:rPr>
            <w:noProof/>
            <w:webHidden/>
          </w:rPr>
          <w:t>7</w:t>
        </w:r>
        <w:r>
          <w:rPr>
            <w:noProof/>
            <w:webHidden/>
          </w:rPr>
          <w:fldChar w:fldCharType="end"/>
        </w:r>
      </w:hyperlink>
    </w:p>
    <w:p w14:paraId="3DF16411" w14:textId="184E8806"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4" w:history="1">
        <w:r w:rsidRPr="00ED2FC7">
          <w:rPr>
            <w:rStyle w:val="Hyperlink"/>
            <w:noProof/>
          </w:rPr>
          <w:t>9 Model Providers</w:t>
        </w:r>
        <w:r>
          <w:rPr>
            <w:noProof/>
            <w:webHidden/>
          </w:rPr>
          <w:tab/>
        </w:r>
        <w:r>
          <w:rPr>
            <w:noProof/>
            <w:webHidden/>
          </w:rPr>
          <w:fldChar w:fldCharType="begin"/>
        </w:r>
        <w:r>
          <w:rPr>
            <w:noProof/>
            <w:webHidden/>
          </w:rPr>
          <w:instrText xml:space="preserve"> PAGEREF _Toc237815954 \h </w:instrText>
        </w:r>
        <w:r>
          <w:rPr>
            <w:noProof/>
            <w:webHidden/>
          </w:rPr>
        </w:r>
        <w:r>
          <w:rPr>
            <w:noProof/>
            <w:webHidden/>
          </w:rPr>
          <w:fldChar w:fldCharType="separate"/>
        </w:r>
        <w:r w:rsidR="0049620A">
          <w:rPr>
            <w:noProof/>
            <w:webHidden/>
          </w:rPr>
          <w:t>8</w:t>
        </w:r>
        <w:r>
          <w:rPr>
            <w:noProof/>
            <w:webHidden/>
          </w:rPr>
          <w:fldChar w:fldCharType="end"/>
        </w:r>
      </w:hyperlink>
    </w:p>
    <w:p w14:paraId="7098AA5A" w14:textId="7F781230"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5" w:history="1">
        <w:r w:rsidRPr="00ED2FC7">
          <w:rPr>
            <w:rStyle w:val="Hyperlink"/>
            <w:noProof/>
          </w:rPr>
          <w:t>10 Agents and Automation</w:t>
        </w:r>
        <w:r>
          <w:rPr>
            <w:noProof/>
            <w:webHidden/>
          </w:rPr>
          <w:tab/>
        </w:r>
        <w:r>
          <w:rPr>
            <w:noProof/>
            <w:webHidden/>
          </w:rPr>
          <w:fldChar w:fldCharType="begin"/>
        </w:r>
        <w:r>
          <w:rPr>
            <w:noProof/>
            <w:webHidden/>
          </w:rPr>
          <w:instrText xml:space="preserve"> PAGEREF _Toc237815955 \h </w:instrText>
        </w:r>
        <w:r>
          <w:rPr>
            <w:noProof/>
            <w:webHidden/>
          </w:rPr>
        </w:r>
        <w:r>
          <w:rPr>
            <w:noProof/>
            <w:webHidden/>
          </w:rPr>
          <w:fldChar w:fldCharType="separate"/>
        </w:r>
        <w:r w:rsidR="0049620A">
          <w:rPr>
            <w:noProof/>
            <w:webHidden/>
          </w:rPr>
          <w:t>8</w:t>
        </w:r>
        <w:r>
          <w:rPr>
            <w:noProof/>
            <w:webHidden/>
          </w:rPr>
          <w:fldChar w:fldCharType="end"/>
        </w:r>
      </w:hyperlink>
    </w:p>
    <w:p w14:paraId="2BCC3828" w14:textId="167A14F9"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6" w:history="1">
        <w:r w:rsidRPr="00ED2FC7">
          <w:rPr>
            <w:rStyle w:val="Hyperlink"/>
            <w:noProof/>
          </w:rPr>
          <w:t>11 Prompts, Models and Configuration</w:t>
        </w:r>
        <w:r>
          <w:rPr>
            <w:noProof/>
            <w:webHidden/>
          </w:rPr>
          <w:tab/>
        </w:r>
        <w:r>
          <w:rPr>
            <w:noProof/>
            <w:webHidden/>
          </w:rPr>
          <w:fldChar w:fldCharType="begin"/>
        </w:r>
        <w:r>
          <w:rPr>
            <w:noProof/>
            <w:webHidden/>
          </w:rPr>
          <w:instrText xml:space="preserve"> PAGEREF _Toc237815956 \h </w:instrText>
        </w:r>
        <w:r>
          <w:rPr>
            <w:noProof/>
            <w:webHidden/>
          </w:rPr>
        </w:r>
        <w:r>
          <w:rPr>
            <w:noProof/>
            <w:webHidden/>
          </w:rPr>
          <w:fldChar w:fldCharType="separate"/>
        </w:r>
        <w:r w:rsidR="0049620A">
          <w:rPr>
            <w:noProof/>
            <w:webHidden/>
          </w:rPr>
          <w:t>8</w:t>
        </w:r>
        <w:r>
          <w:rPr>
            <w:noProof/>
            <w:webHidden/>
          </w:rPr>
          <w:fldChar w:fldCharType="end"/>
        </w:r>
      </w:hyperlink>
    </w:p>
    <w:p w14:paraId="54931AF1" w14:textId="1C5FC282"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7" w:history="1">
        <w:r w:rsidRPr="00ED2FC7">
          <w:rPr>
            <w:rStyle w:val="Hyperlink"/>
            <w:noProof/>
          </w:rPr>
          <w:t>12 The Check Before Shipping</w:t>
        </w:r>
        <w:r>
          <w:rPr>
            <w:noProof/>
            <w:webHidden/>
          </w:rPr>
          <w:tab/>
        </w:r>
        <w:r>
          <w:rPr>
            <w:noProof/>
            <w:webHidden/>
          </w:rPr>
          <w:fldChar w:fldCharType="begin"/>
        </w:r>
        <w:r>
          <w:rPr>
            <w:noProof/>
            <w:webHidden/>
          </w:rPr>
          <w:instrText xml:space="preserve"> PAGEREF _Toc237815957 \h </w:instrText>
        </w:r>
        <w:r>
          <w:rPr>
            <w:noProof/>
            <w:webHidden/>
          </w:rPr>
        </w:r>
        <w:r>
          <w:rPr>
            <w:noProof/>
            <w:webHidden/>
          </w:rPr>
          <w:fldChar w:fldCharType="separate"/>
        </w:r>
        <w:r w:rsidR="0049620A">
          <w:rPr>
            <w:noProof/>
            <w:webHidden/>
          </w:rPr>
          <w:t>9</w:t>
        </w:r>
        <w:r>
          <w:rPr>
            <w:noProof/>
            <w:webHidden/>
          </w:rPr>
          <w:fldChar w:fldCharType="end"/>
        </w:r>
      </w:hyperlink>
    </w:p>
    <w:p w14:paraId="2A7D632C" w14:textId="7343FC80"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8" w:history="1">
        <w:r w:rsidRPr="00ED2FC7">
          <w:rPr>
            <w:rStyle w:val="Hyperlink"/>
            <w:noProof/>
          </w:rPr>
          <w:t>13 Keeping Up With the Field</w:t>
        </w:r>
        <w:r>
          <w:rPr>
            <w:noProof/>
            <w:webHidden/>
          </w:rPr>
          <w:tab/>
        </w:r>
        <w:r>
          <w:rPr>
            <w:noProof/>
            <w:webHidden/>
          </w:rPr>
          <w:fldChar w:fldCharType="begin"/>
        </w:r>
        <w:r>
          <w:rPr>
            <w:noProof/>
            <w:webHidden/>
          </w:rPr>
          <w:instrText xml:space="preserve"> PAGEREF _Toc237815958 \h </w:instrText>
        </w:r>
        <w:r>
          <w:rPr>
            <w:noProof/>
            <w:webHidden/>
          </w:rPr>
        </w:r>
        <w:r>
          <w:rPr>
            <w:noProof/>
            <w:webHidden/>
          </w:rPr>
          <w:fldChar w:fldCharType="separate"/>
        </w:r>
        <w:r w:rsidR="0049620A">
          <w:rPr>
            <w:noProof/>
            <w:webHidden/>
          </w:rPr>
          <w:t>9</w:t>
        </w:r>
        <w:r>
          <w:rPr>
            <w:noProof/>
            <w:webHidden/>
          </w:rPr>
          <w:fldChar w:fldCharType="end"/>
        </w:r>
      </w:hyperlink>
    </w:p>
    <w:p w14:paraId="27525DBC" w14:textId="711F4850"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59" w:history="1">
        <w:r w:rsidRPr="00ED2FC7">
          <w:rPr>
            <w:rStyle w:val="Hyperlink"/>
            <w:noProof/>
          </w:rPr>
          <w:t>14 Records</w:t>
        </w:r>
        <w:r>
          <w:rPr>
            <w:noProof/>
            <w:webHidden/>
          </w:rPr>
          <w:tab/>
        </w:r>
        <w:r>
          <w:rPr>
            <w:noProof/>
            <w:webHidden/>
          </w:rPr>
          <w:fldChar w:fldCharType="begin"/>
        </w:r>
        <w:r>
          <w:rPr>
            <w:noProof/>
            <w:webHidden/>
          </w:rPr>
          <w:instrText xml:space="preserve"> PAGEREF _Toc237815959 \h </w:instrText>
        </w:r>
        <w:r>
          <w:rPr>
            <w:noProof/>
            <w:webHidden/>
          </w:rPr>
        </w:r>
        <w:r>
          <w:rPr>
            <w:noProof/>
            <w:webHidden/>
          </w:rPr>
          <w:fldChar w:fldCharType="separate"/>
        </w:r>
        <w:r w:rsidR="0049620A">
          <w:rPr>
            <w:noProof/>
            <w:webHidden/>
          </w:rPr>
          <w:t>9</w:t>
        </w:r>
        <w:r>
          <w:rPr>
            <w:noProof/>
            <w:webHidden/>
          </w:rPr>
          <w:fldChar w:fldCharType="end"/>
        </w:r>
      </w:hyperlink>
    </w:p>
    <w:p w14:paraId="1DE2CB78" w14:textId="469C3F7A"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60" w:history="1">
        <w:r w:rsidRPr="00ED2FC7">
          <w:rPr>
            <w:rStyle w:val="Hyperlink"/>
            <w:noProof/>
          </w:rPr>
          <w:t>15 Enforcement</w:t>
        </w:r>
        <w:r>
          <w:rPr>
            <w:noProof/>
            <w:webHidden/>
          </w:rPr>
          <w:tab/>
        </w:r>
        <w:r>
          <w:rPr>
            <w:noProof/>
            <w:webHidden/>
          </w:rPr>
          <w:fldChar w:fldCharType="begin"/>
        </w:r>
        <w:r>
          <w:rPr>
            <w:noProof/>
            <w:webHidden/>
          </w:rPr>
          <w:instrText xml:space="preserve"> PAGEREF _Toc237815960 \h </w:instrText>
        </w:r>
        <w:r>
          <w:rPr>
            <w:noProof/>
            <w:webHidden/>
          </w:rPr>
        </w:r>
        <w:r>
          <w:rPr>
            <w:noProof/>
            <w:webHidden/>
          </w:rPr>
          <w:fldChar w:fldCharType="separate"/>
        </w:r>
        <w:r w:rsidR="0049620A">
          <w:rPr>
            <w:noProof/>
            <w:webHidden/>
          </w:rPr>
          <w:t>10</w:t>
        </w:r>
        <w:r>
          <w:rPr>
            <w:noProof/>
            <w:webHidden/>
          </w:rPr>
          <w:fldChar w:fldCharType="end"/>
        </w:r>
      </w:hyperlink>
    </w:p>
    <w:p w14:paraId="20A469BA" w14:textId="5E6E40C9"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61" w:history="1">
        <w:r w:rsidRPr="00ED2FC7">
          <w:rPr>
            <w:rStyle w:val="Hyperlink"/>
            <w:noProof/>
          </w:rPr>
          <w:t>16 Exceptions</w:t>
        </w:r>
        <w:r>
          <w:rPr>
            <w:noProof/>
            <w:webHidden/>
          </w:rPr>
          <w:tab/>
        </w:r>
        <w:r>
          <w:rPr>
            <w:noProof/>
            <w:webHidden/>
          </w:rPr>
          <w:fldChar w:fldCharType="begin"/>
        </w:r>
        <w:r>
          <w:rPr>
            <w:noProof/>
            <w:webHidden/>
          </w:rPr>
          <w:instrText xml:space="preserve"> PAGEREF _Toc237815961 \h </w:instrText>
        </w:r>
        <w:r>
          <w:rPr>
            <w:noProof/>
            <w:webHidden/>
          </w:rPr>
        </w:r>
        <w:r>
          <w:rPr>
            <w:noProof/>
            <w:webHidden/>
          </w:rPr>
          <w:fldChar w:fldCharType="separate"/>
        </w:r>
        <w:r w:rsidR="0049620A">
          <w:rPr>
            <w:noProof/>
            <w:webHidden/>
          </w:rPr>
          <w:t>10</w:t>
        </w:r>
        <w:r>
          <w:rPr>
            <w:noProof/>
            <w:webHidden/>
          </w:rPr>
          <w:fldChar w:fldCharType="end"/>
        </w:r>
      </w:hyperlink>
    </w:p>
    <w:p w14:paraId="5E78C1B6" w14:textId="240E25BC"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62" w:history="1">
        <w:r w:rsidRPr="00ED2FC7">
          <w:rPr>
            <w:rStyle w:val="Hyperlink"/>
            <w:noProof/>
          </w:rPr>
          <w:t>17 Reference</w:t>
        </w:r>
        <w:r>
          <w:rPr>
            <w:noProof/>
            <w:webHidden/>
          </w:rPr>
          <w:tab/>
        </w:r>
        <w:r>
          <w:rPr>
            <w:noProof/>
            <w:webHidden/>
          </w:rPr>
          <w:fldChar w:fldCharType="begin"/>
        </w:r>
        <w:r>
          <w:rPr>
            <w:noProof/>
            <w:webHidden/>
          </w:rPr>
          <w:instrText xml:space="preserve"> PAGEREF _Toc237815962 \h </w:instrText>
        </w:r>
        <w:r>
          <w:rPr>
            <w:noProof/>
            <w:webHidden/>
          </w:rPr>
        </w:r>
        <w:r>
          <w:rPr>
            <w:noProof/>
            <w:webHidden/>
          </w:rPr>
          <w:fldChar w:fldCharType="separate"/>
        </w:r>
        <w:r w:rsidR="0049620A">
          <w:rPr>
            <w:noProof/>
            <w:webHidden/>
          </w:rPr>
          <w:t>10</w:t>
        </w:r>
        <w:r>
          <w:rPr>
            <w:noProof/>
            <w:webHidden/>
          </w:rPr>
          <w:fldChar w:fldCharType="end"/>
        </w:r>
      </w:hyperlink>
    </w:p>
    <w:p w14:paraId="59AC4559" w14:textId="67FC3168" w:rsidR="00FE1413" w:rsidRDefault="00FE1413">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5963" w:history="1">
        <w:r w:rsidRPr="00ED2FC7">
          <w:rPr>
            <w:rStyle w:val="Hyperlink"/>
            <w:noProof/>
          </w:rPr>
          <w:t>1 Document Policy History</w:t>
        </w:r>
        <w:r>
          <w:rPr>
            <w:noProof/>
            <w:webHidden/>
          </w:rPr>
          <w:tab/>
        </w:r>
        <w:r>
          <w:rPr>
            <w:noProof/>
            <w:webHidden/>
          </w:rPr>
          <w:fldChar w:fldCharType="begin"/>
        </w:r>
        <w:r>
          <w:rPr>
            <w:noProof/>
            <w:webHidden/>
          </w:rPr>
          <w:instrText xml:space="preserve"> PAGEREF _Toc237815963 \h </w:instrText>
        </w:r>
        <w:r>
          <w:rPr>
            <w:noProof/>
            <w:webHidden/>
          </w:rPr>
        </w:r>
        <w:r>
          <w:rPr>
            <w:noProof/>
            <w:webHidden/>
          </w:rPr>
          <w:fldChar w:fldCharType="separate"/>
        </w:r>
        <w:r w:rsidR="0049620A">
          <w:rPr>
            <w:noProof/>
            <w:webHidden/>
          </w:rPr>
          <w:t>10</w:t>
        </w:r>
        <w:r>
          <w:rPr>
            <w:noProof/>
            <w:webHidden/>
          </w:rPr>
          <w:fldChar w:fldCharType="end"/>
        </w:r>
      </w:hyperlink>
    </w:p>
    <w:p w14:paraId="0DC01720" w14:textId="06714846" w:rsidR="00F55B91" w:rsidRDefault="00FE1413">
      <w:pPr>
        <w:suppressLineNumbers/>
        <w:spacing w:after="160"/>
        <w:rPr>
          <w:rStyle w:val="Strong"/>
        </w:rPr>
      </w:pPr>
      <w:r>
        <w:rPr>
          <w:rStyle w:val="Strong"/>
          <w:caps/>
        </w:rPr>
        <w:fldChar w:fldCharType="end"/>
      </w:r>
    </w:p>
    <w:sdt>
      <w:sdtPr>
        <w:id w:val="225582526"/>
        <w:docPartObj>
          <w:docPartGallery w:val="Table of Contents"/>
          <w:docPartUnique/>
        </w:docPartObj>
      </w:sdtPr>
      <w:sdtContent>
        <w:p w14:paraId="1D43D682" w14:textId="77777777" w:rsidR="00F55B91" w:rsidRDefault="00000000">
          <w:pPr>
            <w:sectPr w:rsidR="00F55B9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4E88EF53" w14:textId="77777777" w:rsidR="00F55B91" w:rsidRDefault="00000000">
      <w:pPr>
        <w:pStyle w:val="Heading1"/>
        <w:keepNext/>
        <w:numPr>
          <w:ilvl w:val="0"/>
          <w:numId w:val="18"/>
        </w:numPr>
        <w:spacing w:before="240" w:after="80"/>
      </w:pPr>
      <w:bookmarkStart w:id="1" w:name="_S501"/>
      <w:bookmarkStart w:id="2" w:name="_Toc237815946"/>
      <w:r>
        <w:lastRenderedPageBreak/>
        <w:t>Overview and Purpose</w:t>
      </w:r>
      <w:bookmarkEnd w:id="1"/>
      <w:bookmarkEnd w:id="2"/>
    </w:p>
    <w:p w14:paraId="76522288" w14:textId="77777777" w:rsidR="00F55B91" w:rsidRDefault="00000000">
      <w:pPr>
        <w:pStyle w:val="BodyText9"/>
        <w:spacing w:after="120"/>
        <w:jc w:val="both"/>
      </w:pPr>
      <w:r>
        <w:rPr>
          <w:color w:val="404040" w:themeColor="text1" w:themeTint="BF"/>
        </w:rPr>
        <w:t>PromptHalo Technologies (“the Company”) builds with AI and uses AI in ordinary work. This Policy governs both: which tools may be used and on what data, how models and agents are changed, what is checked before a change is deployed, and who remains accountable for what an AI system produces.</w:t>
      </w:r>
    </w:p>
    <w:p w14:paraId="4803C460" w14:textId="77777777" w:rsidR="00F55B91" w:rsidRDefault="00000000">
      <w:pPr>
        <w:pStyle w:val="BodyText9"/>
        <w:spacing w:after="120"/>
        <w:jc w:val="both"/>
      </w:pPr>
      <w:r>
        <w:rPr>
          <w:color w:val="404040" w:themeColor="text1" w:themeTint="BF"/>
        </w:rPr>
        <w:t>The Company is a small, remote team working in AWS, Google Workspace, GitHub and approved AI services, mostly from personally owned laptops. This Policy is written so that using AI well is the easy path and using it badly is the one that requires a deliberate departure.</w:t>
      </w:r>
    </w:p>
    <w:p w14:paraId="53917236" w14:textId="77777777" w:rsidR="00F55B91" w:rsidRDefault="00000000">
      <w:pPr>
        <w:pStyle w:val="Heading1"/>
        <w:keepNext/>
        <w:numPr>
          <w:ilvl w:val="0"/>
          <w:numId w:val="18"/>
        </w:numPr>
        <w:spacing w:before="240" w:after="80"/>
      </w:pPr>
      <w:bookmarkStart w:id="3" w:name="_S502"/>
      <w:bookmarkStart w:id="4" w:name="_Toc237815947"/>
      <w:r>
        <w:t>Scope</w:t>
      </w:r>
      <w:bookmarkEnd w:id="3"/>
      <w:bookmarkEnd w:id="4"/>
    </w:p>
    <w:p w14:paraId="0DD76B92" w14:textId="77777777" w:rsidR="00F55B91" w:rsidRDefault="00000000">
      <w:pPr>
        <w:pStyle w:val="BodyText9"/>
        <w:spacing w:after="120"/>
        <w:jc w:val="both"/>
      </w:pPr>
      <w:r>
        <w:rPr>
          <w:color w:val="404040" w:themeColor="text1" w:themeTint="BF"/>
        </w:rPr>
        <w:t>This Policy applies to every use of AI for Company or client work: assistants used by personnel, models and inference services the Company builds on, agents that act on systems, and retrieval over Company or client data.</w:t>
      </w:r>
    </w:p>
    <w:p w14:paraId="1C466D60" w14:textId="77777777" w:rsidR="00F55B91" w:rsidRDefault="00000000">
      <w:pPr>
        <w:pStyle w:val="BodyText9"/>
        <w:spacing w:after="120"/>
        <w:jc w:val="both"/>
      </w:pPr>
      <w:r>
        <w:rPr>
          <w:color w:val="404040" w:themeColor="text1" w:themeTint="BF"/>
        </w:rPr>
        <w:t>It does not extend to a person's private use of AI on their own device with no Company or client information involved.</w:t>
      </w:r>
    </w:p>
    <w:p w14:paraId="54DEAB3B" w14:textId="586B8031" w:rsidR="00F55B91" w:rsidRDefault="00000000">
      <w:pPr>
        <w:pStyle w:val="BodyText9"/>
        <w:spacing w:after="120"/>
        <w:jc w:val="both"/>
      </w:pPr>
      <w:r>
        <w:rPr>
          <w:color w:val="404040" w:themeColor="text1" w:themeTint="BF"/>
        </w:rPr>
        <w:t xml:space="preserve">This Policy is written to be the easy path: two rules carry nearly </w:t>
      </w:r>
      <w:r w:rsidR="00FE1413">
        <w:rPr>
          <w:color w:val="404040" w:themeColor="text1" w:themeTint="BF"/>
        </w:rPr>
        <w:t>all</w:t>
      </w:r>
      <w:r>
        <w:rPr>
          <w:color w:val="404040" w:themeColor="text1" w:themeTint="BF"/>
        </w:rPr>
        <w:t xml:space="preserve"> the risk — keep client data out of unapproved tools, and do not let software act on its own authority. Everything else is proportionate to what the use </w:t>
      </w:r>
      <w:r w:rsidR="00FE1413">
        <w:rPr>
          <w:color w:val="404040" w:themeColor="text1" w:themeTint="BF"/>
        </w:rPr>
        <w:t>touches</w:t>
      </w:r>
      <w:r>
        <w:rPr>
          <w:color w:val="404040" w:themeColor="text1" w:themeTint="BF"/>
        </w:rPr>
        <w:t>, and where a requirement here would slow legitimate work without reducing risk, it is not in this Policy.</w:t>
      </w:r>
    </w:p>
    <w:p w14:paraId="7D5BC87A" w14:textId="77777777" w:rsidR="00F55B91" w:rsidRDefault="00000000">
      <w:pPr>
        <w:pStyle w:val="Heading1"/>
        <w:keepNext/>
        <w:numPr>
          <w:ilvl w:val="0"/>
          <w:numId w:val="18"/>
        </w:numPr>
        <w:spacing w:before="240" w:after="80"/>
      </w:pPr>
      <w:bookmarkStart w:id="5" w:name="_S503"/>
      <w:bookmarkStart w:id="6" w:name="_Toc237815948"/>
      <w:r>
        <w:t>Roles and Definitions</w:t>
      </w:r>
      <w:bookmarkEnd w:id="5"/>
      <w:bookmarkEnd w:id="6"/>
    </w:p>
    <w:p w14:paraId="4526EC8D" w14:textId="77777777" w:rsidR="00F55B91" w:rsidRDefault="00000000">
      <w:pPr>
        <w:pStyle w:val="Emphasis-Normal"/>
        <w:numPr>
          <w:ilvl w:val="0"/>
          <w:numId w:val="4"/>
        </w:numPr>
        <w:spacing w:after="120"/>
        <w:jc w:val="both"/>
      </w:pPr>
      <w:r>
        <w:rPr>
          <w:color w:val="404040" w:themeColor="text1" w:themeTint="BF"/>
        </w:rPr>
        <w:t>"The Company" refers to PromptHalo Technologies.</w:t>
      </w:r>
    </w:p>
    <w:p w14:paraId="014DBD36" w14:textId="77777777" w:rsidR="00F55B91" w:rsidRDefault="00000000">
      <w:pPr>
        <w:pStyle w:val="Emphasis-Normal"/>
        <w:numPr>
          <w:ilvl w:val="0"/>
          <w:numId w:val="4"/>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1E6067E2" w14:textId="77777777" w:rsidR="00F55B91" w:rsidRDefault="00000000">
      <w:pPr>
        <w:pStyle w:val="Emphasis-Normal"/>
        <w:numPr>
          <w:ilvl w:val="0"/>
          <w:numId w:val="4"/>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737E0378" w14:textId="77777777" w:rsidR="00F55B91" w:rsidRDefault="00000000">
      <w:pPr>
        <w:pStyle w:val="Emphasis-Normal"/>
        <w:numPr>
          <w:ilvl w:val="0"/>
          <w:numId w:val="4"/>
        </w:numPr>
        <w:spacing w:after="120"/>
        <w:jc w:val="both"/>
      </w:pPr>
      <w:r>
        <w:rPr>
          <w:color w:val="404040" w:themeColor="text1" w:themeTint="BF"/>
        </w:rPr>
        <w:t xml:space="preserve">The Accountable Party maintains the approved AI tool register, decides whether a proposed tool or model may be used and on what classification of data, and records the AI-specific external change review.  </w:t>
      </w:r>
      <w:r>
        <w:rPr>
          <w:rFonts w:ascii="Calibri Light" w:eastAsia="Calibri Light" w:hAnsi="Calibri Light" w:cs="Calibri Light"/>
          <w:color w:val="404040" w:themeColor="text1" w:themeTint="BF"/>
          <w:sz w:val="18"/>
        </w:rPr>
        <w:t>[SOC 2: CC9.2, CC3.4]</w:t>
      </w:r>
    </w:p>
    <w:p w14:paraId="44580B0B" w14:textId="571777A0" w:rsidR="00F55B91" w:rsidRDefault="00000000">
      <w:pPr>
        <w:pStyle w:val="Emphasis-Normal"/>
        <w:numPr>
          <w:ilvl w:val="0"/>
          <w:numId w:val="4"/>
        </w:numPr>
        <w:spacing w:after="120"/>
        <w:jc w:val="both"/>
      </w:pPr>
      <w:r>
        <w:rPr>
          <w:color w:val="404040" w:themeColor="text1" w:themeTint="BF"/>
        </w:rPr>
        <w:t xml:space="preserve">Every agent and every automated workflow </w:t>
      </w:r>
      <w:r w:rsidR="00FE1413">
        <w:rPr>
          <w:color w:val="404040" w:themeColor="text1" w:themeTint="BF"/>
        </w:rPr>
        <w:t>have</w:t>
      </w:r>
      <w:r>
        <w:rPr>
          <w:color w:val="404040" w:themeColor="text1" w:themeTint="BF"/>
        </w:rPr>
        <w:t xml:space="preserve"> a named owner. A named person remains accountable for any AI output the Company relies on; accountability is not transferred to a model.  </w:t>
      </w:r>
      <w:r>
        <w:rPr>
          <w:rFonts w:ascii="Calibri Light" w:eastAsia="Calibri Light" w:hAnsi="Calibri Light" w:cs="Calibri Light"/>
          <w:color w:val="404040" w:themeColor="text1" w:themeTint="BF"/>
          <w:sz w:val="18"/>
        </w:rPr>
        <w:t>[SOC 2: CC1.1, CC1.3]</w:t>
      </w:r>
    </w:p>
    <w:p w14:paraId="00AC6B35" w14:textId="77777777" w:rsidR="00F55B91" w:rsidRDefault="00000000">
      <w:pPr>
        <w:pStyle w:val="Heading1"/>
        <w:keepNext/>
        <w:numPr>
          <w:ilvl w:val="0"/>
          <w:numId w:val="18"/>
        </w:numPr>
        <w:spacing w:before="240" w:after="80"/>
      </w:pPr>
      <w:bookmarkStart w:id="7" w:name="_S504"/>
      <w:bookmarkStart w:id="8" w:name="_Toc237815949"/>
      <w:r>
        <w:t>Terminology</w:t>
      </w:r>
      <w:bookmarkEnd w:id="7"/>
      <w:bookmarkEnd w:id="8"/>
    </w:p>
    <w:p w14:paraId="71998B4B" w14:textId="77777777" w:rsidR="00F55B91" w:rsidRDefault="00000000">
      <w:pPr>
        <w:pStyle w:val="BodyText9"/>
        <w:spacing w:after="120"/>
        <w:jc w:val="both"/>
      </w:pPr>
      <w:r>
        <w:rPr>
          <w:color w:val="404040" w:themeColor="text1" w:themeTint="BF"/>
        </w:rPr>
        <w:t>The following terms have the meanings given below wherever they appear in this policy.</w:t>
      </w:r>
    </w:p>
    <w:p w14:paraId="2A81C18C" w14:textId="77777777" w:rsidR="00F55B91" w:rsidRDefault="00000000">
      <w:pPr>
        <w:pStyle w:val="Emphasis-Normal"/>
        <w:numPr>
          <w:ilvl w:val="0"/>
          <w:numId w:val="5"/>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4EEADC1E" w14:textId="77777777" w:rsidR="00F55B91" w:rsidRDefault="00000000">
      <w:pPr>
        <w:pStyle w:val="Emphasis-Normal"/>
        <w:numPr>
          <w:ilvl w:val="0"/>
          <w:numId w:val="5"/>
        </w:numPr>
        <w:spacing w:after="120"/>
        <w:jc w:val="both"/>
      </w:pPr>
      <w:r>
        <w:rPr>
          <w:b/>
          <w:color w:val="404040" w:themeColor="text1" w:themeTint="BF"/>
        </w:rPr>
        <w:lastRenderedPageBreak/>
        <w:t>Agent</w:t>
      </w:r>
      <w:r>
        <w:rPr>
          <w:color w:val="404040" w:themeColor="text1" w:themeTint="BF"/>
        </w:rPr>
        <w:t xml:space="preserve"> — software that takes actions on Company or client systems using tools or interfaces, rather than only producing text for a person to read.</w:t>
      </w:r>
    </w:p>
    <w:p w14:paraId="230B56F2" w14:textId="77777777" w:rsidR="00F55B91" w:rsidRDefault="00000000">
      <w:pPr>
        <w:pStyle w:val="Emphasis-Normal"/>
        <w:numPr>
          <w:ilvl w:val="0"/>
          <w:numId w:val="5"/>
        </w:numPr>
        <w:spacing w:after="120"/>
        <w:jc w:val="both"/>
      </w:pPr>
      <w:r>
        <w:rPr>
          <w:b/>
          <w:color w:val="404040" w:themeColor="text1" w:themeTint="BF"/>
        </w:rPr>
        <w:t>Approved AI tool</w:t>
      </w:r>
      <w:r>
        <w:rPr>
          <w:color w:val="404040" w:themeColor="text1" w:themeTint="BF"/>
        </w:rPr>
        <w:t xml:space="preserve"> — an AI service on the register at Section 7, reached through a Company account under the terms assessed for it.</w:t>
      </w:r>
    </w:p>
    <w:p w14:paraId="051358E9" w14:textId="77777777" w:rsidR="00F55B91" w:rsidRDefault="00000000">
      <w:pPr>
        <w:pStyle w:val="Emphasis-Normal"/>
        <w:numPr>
          <w:ilvl w:val="0"/>
          <w:numId w:val="5"/>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524691B3" w14:textId="77777777" w:rsidR="00F55B91" w:rsidRDefault="00000000">
      <w:pPr>
        <w:pStyle w:val="Emphasis-Normal"/>
        <w:numPr>
          <w:ilvl w:val="0"/>
          <w:numId w:val="5"/>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78505C90" w14:textId="77777777" w:rsidR="00F55B91" w:rsidRDefault="00000000">
      <w:pPr>
        <w:pStyle w:val="Emphasis-Normal"/>
        <w:numPr>
          <w:ilvl w:val="0"/>
          <w:numId w:val="5"/>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3DFBE6AA" w14:textId="77777777" w:rsidR="00F55B91" w:rsidRDefault="00000000">
      <w:pPr>
        <w:pStyle w:val="Emphasis-Normal"/>
        <w:numPr>
          <w:ilvl w:val="0"/>
          <w:numId w:val="5"/>
        </w:numPr>
        <w:spacing w:after="120"/>
        <w:jc w:val="both"/>
      </w:pPr>
      <w:r>
        <w:rPr>
          <w:b/>
          <w:color w:val="404040" w:themeColor="text1" w:themeTint="BF"/>
        </w:rPr>
        <w:t>Evaluation</w:t>
      </w:r>
      <w:r>
        <w:rPr>
          <w:color w:val="404040" w:themeColor="text1" w:themeTint="BF"/>
        </w:rPr>
        <w:t xml:space="preserve"> — the check performed before an AI change is deployed, described at Section 12.</w:t>
      </w:r>
    </w:p>
    <w:p w14:paraId="03CCE63F" w14:textId="77777777" w:rsidR="00F55B91" w:rsidRDefault="00000000">
      <w:pPr>
        <w:pStyle w:val="Emphasis-Normal"/>
        <w:numPr>
          <w:ilvl w:val="0"/>
          <w:numId w:val="5"/>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66A9B43C" w14:textId="77777777" w:rsidR="00F55B91" w:rsidRDefault="00000000">
      <w:pPr>
        <w:pStyle w:val="Emphasis-Normal"/>
        <w:numPr>
          <w:ilvl w:val="0"/>
          <w:numId w:val="5"/>
        </w:numPr>
        <w:spacing w:after="120"/>
        <w:jc w:val="both"/>
      </w:pPr>
      <w:r>
        <w:rPr>
          <w:b/>
          <w:color w:val="404040" w:themeColor="text1" w:themeTint="BF"/>
        </w:rPr>
        <w:t>Model provider</w:t>
      </w:r>
      <w:r>
        <w:rPr>
          <w:color w:val="404040" w:themeColor="text1" w:themeTint="BF"/>
        </w:rPr>
        <w:t xml:space="preserve"> — a third party supplying a model or inference service, assessed as a vendor and usually a sub-processor.</w:t>
      </w:r>
    </w:p>
    <w:p w14:paraId="1774483A" w14:textId="77777777" w:rsidR="00F55B91" w:rsidRDefault="00000000">
      <w:pPr>
        <w:pStyle w:val="Emphasis-Normal"/>
        <w:numPr>
          <w:ilvl w:val="0"/>
          <w:numId w:val="5"/>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63039828" w14:textId="77777777" w:rsidR="00F55B91" w:rsidRDefault="00000000">
      <w:pPr>
        <w:pStyle w:val="Emphasis-Normal"/>
        <w:numPr>
          <w:ilvl w:val="0"/>
          <w:numId w:val="5"/>
        </w:numPr>
        <w:spacing w:after="120"/>
        <w:jc w:val="both"/>
      </w:pPr>
      <w:r>
        <w:rPr>
          <w:b/>
          <w:color w:val="404040" w:themeColor="text1" w:themeTint="BF"/>
        </w:rPr>
        <w:t>Prompt</w:t>
      </w:r>
      <w:r>
        <w:rPr>
          <w:color w:val="404040" w:themeColor="text1" w:themeTint="BF"/>
        </w:rPr>
        <w:t xml:space="preserve"> — the instruction set given to a model, including system prompts, tool definitions and retrieval configuration.</w:t>
      </w:r>
    </w:p>
    <w:p w14:paraId="1BF1347D" w14:textId="77777777" w:rsidR="00F55B91" w:rsidRDefault="00000000">
      <w:pPr>
        <w:pStyle w:val="Emphasis-Normal"/>
        <w:numPr>
          <w:ilvl w:val="0"/>
          <w:numId w:val="5"/>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0F775FDA" w14:textId="77777777" w:rsidR="00F55B91" w:rsidRDefault="00000000">
      <w:pPr>
        <w:pStyle w:val="Emphasis-Normal"/>
        <w:numPr>
          <w:ilvl w:val="0"/>
          <w:numId w:val="5"/>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71A4E9C3" w14:textId="77777777" w:rsidR="00F55B91" w:rsidRDefault="00000000">
      <w:pPr>
        <w:pStyle w:val="Emphasis-Normal"/>
        <w:numPr>
          <w:ilvl w:val="0"/>
          <w:numId w:val="5"/>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5EA8C730" w14:textId="77777777" w:rsidR="00F55B91" w:rsidRDefault="00000000">
      <w:pPr>
        <w:pStyle w:val="Heading1"/>
        <w:keepNext/>
        <w:numPr>
          <w:ilvl w:val="0"/>
          <w:numId w:val="18"/>
        </w:numPr>
        <w:spacing w:before="240" w:after="80"/>
      </w:pPr>
      <w:bookmarkStart w:id="9" w:name="_S505"/>
      <w:bookmarkStart w:id="10" w:name="_Toc237815950"/>
      <w:r>
        <w:t>Relationship to the Other Policies</w:t>
      </w:r>
      <w:bookmarkEnd w:id="9"/>
      <w:bookmarkEnd w:id="10"/>
    </w:p>
    <w:p w14:paraId="0BEE651E" w14:textId="77777777" w:rsidR="00F55B91" w:rsidRDefault="00000000">
      <w:pPr>
        <w:pStyle w:val="BodyText9"/>
        <w:spacing w:after="120"/>
        <w:jc w:val="both"/>
      </w:pPr>
      <w:r>
        <w:rPr>
          <w:color w:val="404040" w:themeColor="text1" w:themeTint="BF"/>
        </w:rPr>
        <w:t>This Policy states what is specific to AI. Where a requirement already exists elsewhere, this Policy points at it and does not repeat it — a duplicated requirement is one that will be amended in one place and left stale in the other.</w:t>
      </w:r>
    </w:p>
    <w:p w14:paraId="53A9D9DB" w14:textId="77777777" w:rsidR="00F55B91" w:rsidRDefault="00000000">
      <w:pPr>
        <w:pStyle w:val="Emphasis-Normal"/>
        <w:numPr>
          <w:ilvl w:val="0"/>
          <w:numId w:val="6"/>
        </w:numPr>
        <w:spacing w:after="120"/>
        <w:jc w:val="both"/>
      </w:pPr>
      <w:r>
        <w:rPr>
          <w:color w:val="404040" w:themeColor="text1" w:themeTint="BF"/>
        </w:rPr>
        <w:t xml:space="preserve">Change approval, review and deployment for prompts, tool definitions, retrieval configuration, guardrails and model versions follows the Change Management Policy, on the same path as code. This Policy adds only the evaluation at Section 12, which is an additional check and not a separate approval route.  </w:t>
      </w:r>
      <w:r>
        <w:rPr>
          <w:rFonts w:ascii="Calibri Light" w:eastAsia="Calibri Light" w:hAnsi="Calibri Light" w:cs="Calibri Light"/>
          <w:color w:val="404040" w:themeColor="text1" w:themeTint="BF"/>
          <w:sz w:val="18"/>
        </w:rPr>
        <w:t>[SOC 2: CC8.1]</w:t>
      </w:r>
    </w:p>
    <w:p w14:paraId="36179BF9" w14:textId="4F499B02" w:rsidR="00F55B91" w:rsidRDefault="00000000">
      <w:pPr>
        <w:pStyle w:val="Emphasis-Normal"/>
        <w:numPr>
          <w:ilvl w:val="0"/>
          <w:numId w:val="6"/>
        </w:numPr>
        <w:spacing w:after="120"/>
        <w:jc w:val="both"/>
      </w:pPr>
      <w:r>
        <w:rPr>
          <w:color w:val="404040" w:themeColor="text1" w:themeTint="BF"/>
        </w:rPr>
        <w:lastRenderedPageBreak/>
        <w:t xml:space="preserve">Logging of agent and model activity follows the Logging and Monitoring Policy and the Logging Standard. This Policy states what must be </w:t>
      </w:r>
      <w:proofErr w:type="spellStart"/>
      <w:r w:rsidR="00FE1413">
        <w:rPr>
          <w:color w:val="404040" w:themeColor="text1" w:themeTint="BF"/>
        </w:rPr>
        <w:t>reconstructable</w:t>
      </w:r>
      <w:proofErr w:type="spellEnd"/>
      <w:r>
        <w:rPr>
          <w:color w:val="404040" w:themeColor="text1" w:themeTint="BF"/>
        </w:rPr>
        <w:t xml:space="preserve">; those documents state how it is recorded, retained and reviewed.  </w:t>
      </w:r>
      <w:r>
        <w:rPr>
          <w:rFonts w:ascii="Calibri Light" w:eastAsia="Calibri Light" w:hAnsi="Calibri Light" w:cs="Calibri Light"/>
          <w:color w:val="404040" w:themeColor="text1" w:themeTint="BF"/>
          <w:sz w:val="18"/>
        </w:rPr>
        <w:t>[SOC 2: CC7.2]</w:t>
      </w:r>
    </w:p>
    <w:p w14:paraId="42C76B22" w14:textId="77777777" w:rsidR="00F55B91" w:rsidRDefault="00000000">
      <w:pPr>
        <w:pStyle w:val="Emphasis-Normal"/>
        <w:numPr>
          <w:ilvl w:val="0"/>
          <w:numId w:val="6"/>
        </w:numPr>
        <w:spacing w:after="120"/>
        <w:jc w:val="both"/>
      </w:pPr>
      <w:r>
        <w:rPr>
          <w:color w:val="404040" w:themeColor="text1" w:themeTint="BF"/>
        </w:rPr>
        <w:t xml:space="preserve">Model providers are assessed under the Vendor Management Policy. Identities and access for agents follow the Access Control Policy. Incidents follow the Incident Response Policy. Personal use rules for personnel are in the Acceptable Use Policy.  </w:t>
      </w:r>
      <w:r>
        <w:rPr>
          <w:rFonts w:ascii="Calibri Light" w:eastAsia="Calibri Light" w:hAnsi="Calibri Light" w:cs="Calibri Light"/>
          <w:color w:val="404040" w:themeColor="text1" w:themeTint="BF"/>
          <w:sz w:val="18"/>
        </w:rPr>
        <w:t>[SOC 2: CC9.2, CC6.1, CC7.3, CC1.1]</w:t>
      </w:r>
    </w:p>
    <w:p w14:paraId="7765E2B9" w14:textId="77777777" w:rsidR="00F55B91" w:rsidRDefault="00000000">
      <w:pPr>
        <w:pStyle w:val="Heading1"/>
        <w:keepNext/>
        <w:numPr>
          <w:ilvl w:val="0"/>
          <w:numId w:val="18"/>
        </w:numPr>
        <w:spacing w:before="240" w:after="80"/>
      </w:pPr>
      <w:bookmarkStart w:id="11" w:name="_S506"/>
      <w:bookmarkStart w:id="12" w:name="_Toc237815951"/>
      <w:r>
        <w:t>How Much Scrutiny a Use Attracts</w:t>
      </w:r>
      <w:bookmarkEnd w:id="11"/>
      <w:bookmarkEnd w:id="12"/>
    </w:p>
    <w:p w14:paraId="1AB7B837" w14:textId="77777777" w:rsidR="00F55B91" w:rsidRDefault="00000000">
      <w:pPr>
        <w:pStyle w:val="BodyText9"/>
        <w:spacing w:after="120"/>
        <w:jc w:val="both"/>
      </w:pPr>
      <w:r>
        <w:rPr>
          <w:color w:val="404040" w:themeColor="text1" w:themeTint="BF"/>
        </w:rPr>
        <w:t>Two questions decide it: does it touch client information, and can it act rather than advise.</w:t>
      </w:r>
    </w:p>
    <w:p w14:paraId="1522C3C4" w14:textId="77777777" w:rsidR="00F55B91" w:rsidRDefault="00000000">
      <w:pPr>
        <w:pStyle w:val="Emphasis-Normal"/>
        <w:numPr>
          <w:ilvl w:val="0"/>
          <w:numId w:val="7"/>
        </w:numPr>
        <w:spacing w:after="120"/>
        <w:jc w:val="both"/>
      </w:pPr>
      <w:r>
        <w:rPr>
          <w:color w:val="404040" w:themeColor="text1" w:themeTint="BF"/>
        </w:rPr>
        <w:t xml:space="preserve">Using AI — a person prompts a tool and reads the result. Use an approved tool through a Company account and observe the data rules at Section 8. Nothing further is required, and most use here is this.  </w:t>
      </w:r>
      <w:r>
        <w:rPr>
          <w:rFonts w:ascii="Calibri Light" w:eastAsia="Calibri Light" w:hAnsi="Calibri Light" w:cs="Calibri Light"/>
          <w:color w:val="404040" w:themeColor="text1" w:themeTint="BF"/>
          <w:sz w:val="18"/>
        </w:rPr>
        <w:t>[SOC 2: CC6.7]</w:t>
      </w:r>
    </w:p>
    <w:p w14:paraId="71BCE900" w14:textId="77777777" w:rsidR="00F55B91" w:rsidRDefault="00000000">
      <w:pPr>
        <w:pStyle w:val="Emphasis-Normal"/>
        <w:numPr>
          <w:ilvl w:val="0"/>
          <w:numId w:val="7"/>
        </w:numPr>
        <w:spacing w:after="120"/>
        <w:jc w:val="both"/>
      </w:pPr>
      <w:r>
        <w:rPr>
          <w:color w:val="404040" w:themeColor="text1" w:themeTint="BF"/>
        </w:rPr>
        <w:t xml:space="preserve">Shipping AI — a model sits in the path of something the Company delivers, or software acts on systems. This attracts the change handling at Section 11, the check at Section 12, and for anything that acts, the limits at Section 10.  </w:t>
      </w:r>
      <w:r>
        <w:rPr>
          <w:rFonts w:ascii="Calibri Light" w:eastAsia="Calibri Light" w:hAnsi="Calibri Light" w:cs="Calibri Light"/>
          <w:color w:val="404040" w:themeColor="text1" w:themeTint="BF"/>
          <w:sz w:val="18"/>
        </w:rPr>
        <w:t>[SOC 2: CC8.1, CC6.1]</w:t>
      </w:r>
    </w:p>
    <w:p w14:paraId="7743AB0B" w14:textId="77777777" w:rsidR="00F55B91" w:rsidRDefault="00000000">
      <w:pPr>
        <w:pStyle w:val="Emphasis-Normal"/>
        <w:numPr>
          <w:ilvl w:val="0"/>
          <w:numId w:val="7"/>
        </w:numPr>
        <w:spacing w:after="120"/>
        <w:jc w:val="both"/>
      </w:pPr>
      <w:r>
        <w:rPr>
          <w:color w:val="404040" w:themeColor="text1" w:themeTint="BF"/>
        </w:rPr>
        <w:t xml:space="preserve">A use that crosses from the first into the second — an assistant given tools, a prototype put in front of a client — is reassessed before it does. That reassessment is the point of control, not a standing approval process.  </w:t>
      </w:r>
      <w:r>
        <w:rPr>
          <w:rFonts w:ascii="Calibri Light" w:eastAsia="Calibri Light" w:hAnsi="Calibri Light" w:cs="Calibri Light"/>
          <w:color w:val="404040" w:themeColor="text1" w:themeTint="BF"/>
          <w:sz w:val="18"/>
        </w:rPr>
        <w:t>[SOC 2: CC3.4, CC8.1]</w:t>
      </w:r>
    </w:p>
    <w:p w14:paraId="7A05C38C" w14:textId="77777777" w:rsidR="00F55B91" w:rsidRDefault="00000000">
      <w:pPr>
        <w:pStyle w:val="Heading1"/>
        <w:keepNext/>
        <w:numPr>
          <w:ilvl w:val="0"/>
          <w:numId w:val="18"/>
        </w:numPr>
        <w:spacing w:before="240" w:after="80"/>
      </w:pPr>
      <w:bookmarkStart w:id="13" w:name="_S507"/>
      <w:bookmarkStart w:id="14" w:name="_Toc237815952"/>
      <w:r>
        <w:t>The Approved AI Tool Register</w:t>
      </w:r>
      <w:bookmarkEnd w:id="13"/>
      <w:bookmarkEnd w:id="14"/>
    </w:p>
    <w:p w14:paraId="4A2BCA1E" w14:textId="77777777" w:rsidR="00F55B91" w:rsidRDefault="00000000">
      <w:pPr>
        <w:pStyle w:val="BodyText9"/>
        <w:spacing w:after="120"/>
        <w:jc w:val="both"/>
      </w:pPr>
      <w:r>
        <w:rPr>
          <w:color w:val="404040" w:themeColor="text1" w:themeTint="BF"/>
        </w:rPr>
        <w:t>One list, four columns, kept in a sheet. It exists so that people know what they may use without asking each time.</w:t>
      </w:r>
    </w:p>
    <w:p w14:paraId="0CF5CF45" w14:textId="77777777" w:rsidR="00F55B91" w:rsidRDefault="00000000">
      <w:pPr>
        <w:pStyle w:val="Emphasis-Normal"/>
        <w:numPr>
          <w:ilvl w:val="0"/>
          <w:numId w:val="8"/>
        </w:numPr>
        <w:spacing w:after="120"/>
        <w:jc w:val="both"/>
      </w:pPr>
      <w:r>
        <w:rPr>
          <w:color w:val="404040" w:themeColor="text1" w:themeTint="BF"/>
        </w:rPr>
        <w:t xml:space="preserve">For each tool: the provider, the account tier in use, the highest data classification permitted, and the date last looked at. That is the whole record.  </w:t>
      </w:r>
      <w:r>
        <w:rPr>
          <w:rFonts w:ascii="Calibri Light" w:eastAsia="Calibri Light" w:hAnsi="Calibri Light" w:cs="Calibri Light"/>
          <w:color w:val="404040" w:themeColor="text1" w:themeTint="BF"/>
          <w:sz w:val="18"/>
        </w:rPr>
        <w:t>[SOC 2: CC9.2, CC2.1]</w:t>
      </w:r>
    </w:p>
    <w:p w14:paraId="4D1D52E5" w14:textId="77777777" w:rsidR="00F55B91" w:rsidRDefault="00000000">
      <w:pPr>
        <w:pStyle w:val="Emphasis-Normal"/>
        <w:numPr>
          <w:ilvl w:val="0"/>
          <w:numId w:val="8"/>
        </w:numPr>
        <w:spacing w:after="120"/>
        <w:jc w:val="both"/>
      </w:pPr>
      <w:r>
        <w:rPr>
          <w:color w:val="404040" w:themeColor="text1" w:themeTint="BF"/>
        </w:rPr>
        <w:t xml:space="preserve">This is the Company's only list of approved AI tools. Where another policy refers to approved AI tools, it means this one.  </w:t>
      </w:r>
      <w:r>
        <w:rPr>
          <w:rFonts w:ascii="Calibri Light" w:eastAsia="Calibri Light" w:hAnsi="Calibri Light" w:cs="Calibri Light"/>
          <w:color w:val="404040" w:themeColor="text1" w:themeTint="BF"/>
          <w:sz w:val="18"/>
        </w:rPr>
        <w:t>[SOC 2: CC5.3, CC2.1]</w:t>
      </w:r>
    </w:p>
    <w:p w14:paraId="79020A4F" w14:textId="7660BD8E" w:rsidR="00F55B91" w:rsidRDefault="00000000">
      <w:pPr>
        <w:pStyle w:val="Emphasis-Normal"/>
        <w:numPr>
          <w:ilvl w:val="0"/>
          <w:numId w:val="8"/>
        </w:numPr>
        <w:spacing w:after="120"/>
        <w:jc w:val="both"/>
      </w:pPr>
      <w:r>
        <w:rPr>
          <w:color w:val="404040" w:themeColor="text1" w:themeTint="BF"/>
        </w:rPr>
        <w:t xml:space="preserve">Adding a tool should take days, not weeks. Ask the Accountable Party; where the tool will see nothing above Internal, approval is expected to be immediate. A register that lags </w:t>
      </w:r>
      <w:proofErr w:type="gramStart"/>
      <w:r>
        <w:rPr>
          <w:color w:val="404040" w:themeColor="text1" w:themeTint="BF"/>
        </w:rPr>
        <w:t>is</w:t>
      </w:r>
      <w:proofErr w:type="gramEnd"/>
      <w:r>
        <w:rPr>
          <w:color w:val="404040" w:themeColor="text1" w:themeTint="BF"/>
        </w:rPr>
        <w:t xml:space="preserve"> what drives quiet unapproved use, so the speed of this is a </w:t>
      </w:r>
      <w:r w:rsidR="00FE1413">
        <w:rPr>
          <w:color w:val="404040" w:themeColor="text1" w:themeTint="BF"/>
        </w:rPr>
        <w:t>control</w:t>
      </w:r>
      <w:r>
        <w:rPr>
          <w:color w:val="404040" w:themeColor="text1" w:themeTint="BF"/>
        </w:rPr>
        <w:t xml:space="preserve">.  </w:t>
      </w:r>
      <w:r>
        <w:rPr>
          <w:rFonts w:ascii="Calibri Light" w:eastAsia="Calibri Light" w:hAnsi="Calibri Light" w:cs="Calibri Light"/>
          <w:color w:val="404040" w:themeColor="text1" w:themeTint="BF"/>
          <w:sz w:val="18"/>
        </w:rPr>
        <w:t>[SOC 2: CC9.2]</w:t>
      </w:r>
    </w:p>
    <w:p w14:paraId="5E5260D9" w14:textId="77777777" w:rsidR="00F55B91" w:rsidRDefault="00000000">
      <w:pPr>
        <w:pStyle w:val="Emphasis-Normal"/>
        <w:numPr>
          <w:ilvl w:val="0"/>
          <w:numId w:val="8"/>
        </w:numPr>
        <w:spacing w:after="120"/>
        <w:jc w:val="both"/>
      </w:pPr>
      <w:r>
        <w:rPr>
          <w:color w:val="404040" w:themeColor="text1" w:themeTint="BF"/>
        </w:rPr>
        <w:t xml:space="preserve">Looked at once a year, and when a provider announces a change to its terms or retention. No scheduled re-approval of tools that have not changed.  </w:t>
      </w:r>
      <w:r>
        <w:rPr>
          <w:rFonts w:ascii="Calibri Light" w:eastAsia="Calibri Light" w:hAnsi="Calibri Light" w:cs="Calibri Light"/>
          <w:color w:val="404040" w:themeColor="text1" w:themeTint="BF"/>
          <w:sz w:val="18"/>
        </w:rPr>
        <w:t>[SOC 2: CC9.2, CC3.4]</w:t>
      </w:r>
    </w:p>
    <w:p w14:paraId="195A511B" w14:textId="77777777" w:rsidR="00F55B91" w:rsidRDefault="00000000">
      <w:pPr>
        <w:pStyle w:val="Heading1"/>
        <w:keepNext/>
        <w:numPr>
          <w:ilvl w:val="0"/>
          <w:numId w:val="18"/>
        </w:numPr>
        <w:spacing w:before="240" w:after="80"/>
      </w:pPr>
      <w:bookmarkStart w:id="15" w:name="_S508"/>
      <w:bookmarkStart w:id="16" w:name="_Toc237815953"/>
      <w:r>
        <w:t>Using AI Assistants</w:t>
      </w:r>
      <w:bookmarkEnd w:id="15"/>
      <w:bookmarkEnd w:id="16"/>
    </w:p>
    <w:p w14:paraId="38E63E58" w14:textId="77777777" w:rsidR="00F55B91" w:rsidRDefault="00000000">
      <w:pPr>
        <w:pStyle w:val="Emphasis-Normal"/>
        <w:numPr>
          <w:ilvl w:val="0"/>
          <w:numId w:val="9"/>
        </w:numPr>
        <w:spacing w:after="120"/>
        <w:jc w:val="both"/>
      </w:pPr>
      <w:r>
        <w:rPr>
          <w:color w:val="404040" w:themeColor="text1" w:themeTint="BF"/>
        </w:rPr>
        <w:t xml:space="preserve">Use approved tools through Company accounts. Do not put Company or client information into free or consumer tiers, where the terms generally permit the provider to train on what is submitted. This is the rule that matters most and the one with no exceptions.  </w:t>
      </w:r>
      <w:r>
        <w:rPr>
          <w:rFonts w:ascii="Calibri Light" w:eastAsia="Calibri Light" w:hAnsi="Calibri Light" w:cs="Calibri Light"/>
          <w:color w:val="404040" w:themeColor="text1" w:themeTint="BF"/>
          <w:sz w:val="18"/>
        </w:rPr>
        <w:t>[SOC 2: CC6.7 · C1.1]</w:t>
      </w:r>
    </w:p>
    <w:p w14:paraId="73F27F05" w14:textId="77777777" w:rsidR="00F55B91" w:rsidRDefault="00000000">
      <w:pPr>
        <w:pStyle w:val="Emphasis-Normal"/>
        <w:numPr>
          <w:ilvl w:val="0"/>
          <w:numId w:val="9"/>
        </w:numPr>
        <w:spacing w:after="120"/>
        <w:jc w:val="both"/>
      </w:pPr>
      <w:r>
        <w:rPr>
          <w:color w:val="404040" w:themeColor="text1" w:themeTint="BF"/>
        </w:rPr>
        <w:lastRenderedPageBreak/>
        <w:t xml:space="preserve">The classification a tool may receive is the one in the register. Restricted information goes to no external model unless the register records a contractual basis for it.  </w:t>
      </w:r>
      <w:r>
        <w:rPr>
          <w:rFonts w:ascii="Calibri Light" w:eastAsia="Calibri Light" w:hAnsi="Calibri Light" w:cs="Calibri Light"/>
          <w:color w:val="404040" w:themeColor="text1" w:themeTint="BF"/>
          <w:sz w:val="18"/>
        </w:rPr>
        <w:t>[SOC 2: CC6.7 · GDPR Art. 28]</w:t>
      </w:r>
    </w:p>
    <w:p w14:paraId="38FFE6D7" w14:textId="77777777" w:rsidR="00F55B91" w:rsidRDefault="00000000">
      <w:pPr>
        <w:pStyle w:val="Emphasis-Normal"/>
        <w:numPr>
          <w:ilvl w:val="0"/>
          <w:numId w:val="9"/>
        </w:numPr>
        <w:spacing w:after="120"/>
        <w:jc w:val="both"/>
      </w:pPr>
      <w:r>
        <w:rPr>
          <w:color w:val="404040" w:themeColor="text1" w:themeTint="BF"/>
        </w:rPr>
        <w:t xml:space="preserve">Client information is not used to train or fine-tune a model without the client's written agreement.  </w:t>
      </w:r>
      <w:r>
        <w:rPr>
          <w:rFonts w:ascii="Calibri Light" w:eastAsia="Calibri Light" w:hAnsi="Calibri Light" w:cs="Calibri Light"/>
          <w:color w:val="404040" w:themeColor="text1" w:themeTint="BF"/>
          <w:sz w:val="18"/>
        </w:rPr>
        <w:t>[SOC 2: CC9.2 · GDPR Art. 6, 28]</w:t>
      </w:r>
    </w:p>
    <w:p w14:paraId="4C47A1E4" w14:textId="77777777" w:rsidR="00F55B91" w:rsidRDefault="00000000">
      <w:pPr>
        <w:pStyle w:val="Emphasis-Normal"/>
        <w:numPr>
          <w:ilvl w:val="0"/>
          <w:numId w:val="9"/>
        </w:numPr>
        <w:spacing w:after="120"/>
        <w:jc w:val="both"/>
      </w:pPr>
      <w:r>
        <w:rPr>
          <w:color w:val="404040" w:themeColor="text1" w:themeTint="BF"/>
        </w:rPr>
        <w:t xml:space="preserve">Check what you rely on. Do not present AI output as verified unless you verified it. Nobody is expected to check what they are not relying on.  </w:t>
      </w:r>
      <w:r>
        <w:rPr>
          <w:rFonts w:ascii="Calibri Light" w:eastAsia="Calibri Light" w:hAnsi="Calibri Light" w:cs="Calibri Light"/>
          <w:color w:val="404040" w:themeColor="text1" w:themeTint="BF"/>
          <w:sz w:val="18"/>
        </w:rPr>
        <w:t>[SOC 2: CC1.1]</w:t>
      </w:r>
    </w:p>
    <w:p w14:paraId="731A9538" w14:textId="77777777" w:rsidR="00F55B91" w:rsidRDefault="00000000">
      <w:pPr>
        <w:pStyle w:val="Heading1"/>
        <w:keepNext/>
        <w:numPr>
          <w:ilvl w:val="0"/>
          <w:numId w:val="18"/>
        </w:numPr>
        <w:spacing w:before="240" w:after="80"/>
      </w:pPr>
      <w:bookmarkStart w:id="17" w:name="_S509"/>
      <w:bookmarkStart w:id="18" w:name="_Toc237815954"/>
      <w:r>
        <w:t>Model Providers</w:t>
      </w:r>
      <w:bookmarkEnd w:id="17"/>
      <w:bookmarkEnd w:id="18"/>
    </w:p>
    <w:p w14:paraId="5DDB8D0A" w14:textId="77777777" w:rsidR="00F55B91" w:rsidRDefault="00000000">
      <w:pPr>
        <w:pStyle w:val="Emphasis-Normal"/>
        <w:numPr>
          <w:ilvl w:val="0"/>
          <w:numId w:val="10"/>
        </w:numPr>
        <w:spacing w:after="120"/>
        <w:jc w:val="both"/>
      </w:pPr>
      <w:r>
        <w:rPr>
          <w:color w:val="404040" w:themeColor="text1" w:themeTint="BF"/>
        </w:rPr>
        <w:t xml:space="preserve">A provider that will see client information is assessed before use: whether submissions are used for training, what retention applies, and whether it becomes a sub-processor. A page is enough.  </w:t>
      </w:r>
      <w:r>
        <w:rPr>
          <w:rFonts w:ascii="Calibri Light" w:eastAsia="Calibri Light" w:hAnsi="Calibri Light" w:cs="Calibri Light"/>
          <w:color w:val="404040" w:themeColor="text1" w:themeTint="BF"/>
          <w:sz w:val="18"/>
        </w:rPr>
        <w:t>[SOC 2: CC9.2 · GDPR Art. 28]</w:t>
      </w:r>
    </w:p>
    <w:p w14:paraId="4ABE90AC" w14:textId="77777777" w:rsidR="00F55B91" w:rsidRDefault="00000000">
      <w:pPr>
        <w:pStyle w:val="Emphasis-Normal"/>
        <w:numPr>
          <w:ilvl w:val="0"/>
          <w:numId w:val="10"/>
        </w:numPr>
        <w:spacing w:after="120"/>
        <w:jc w:val="both"/>
      </w:pPr>
      <w:r>
        <w:rPr>
          <w:color w:val="404040" w:themeColor="text1" w:themeTint="BF"/>
        </w:rPr>
        <w:t xml:space="preserve">A provider that will see nothing above Internal is recorded in the register and needs no separate assessment. Most tools are this.  </w:t>
      </w:r>
      <w:r>
        <w:rPr>
          <w:rFonts w:ascii="Calibri Light" w:eastAsia="Calibri Light" w:hAnsi="Calibri Light" w:cs="Calibri Light"/>
          <w:color w:val="404040" w:themeColor="text1" w:themeTint="BF"/>
          <w:sz w:val="18"/>
        </w:rPr>
        <w:t>[SOC 2: CC9.2]</w:t>
      </w:r>
    </w:p>
    <w:p w14:paraId="0BC100BC" w14:textId="77777777" w:rsidR="00F55B91" w:rsidRDefault="00000000">
      <w:pPr>
        <w:pStyle w:val="Emphasis-Normal"/>
        <w:numPr>
          <w:ilvl w:val="0"/>
          <w:numId w:val="10"/>
        </w:numPr>
        <w:spacing w:after="120"/>
        <w:jc w:val="both"/>
      </w:pPr>
      <w:r>
        <w:rPr>
          <w:color w:val="404040" w:themeColor="text1" w:themeTint="BF"/>
        </w:rPr>
        <w:t xml:space="preserve">Providers handling client information go on the sub-processor list under the Vendor Management Policy, so client notification obligations can be met.  </w:t>
      </w:r>
      <w:r>
        <w:rPr>
          <w:rFonts w:ascii="Calibri Light" w:eastAsia="Calibri Light" w:hAnsi="Calibri Light" w:cs="Calibri Light"/>
          <w:color w:val="404040" w:themeColor="text1" w:themeTint="BF"/>
          <w:sz w:val="18"/>
        </w:rPr>
        <w:t>[SOC 2: CC9.2 · GDPR Art. 28]</w:t>
      </w:r>
    </w:p>
    <w:p w14:paraId="0645F581" w14:textId="09393285" w:rsidR="00F55B91" w:rsidRDefault="00000000">
      <w:pPr>
        <w:pStyle w:val="Emphasis-Normal"/>
        <w:numPr>
          <w:ilvl w:val="0"/>
          <w:numId w:val="10"/>
        </w:numPr>
        <w:spacing w:after="120"/>
        <w:jc w:val="both"/>
      </w:pPr>
      <w:r>
        <w:rPr>
          <w:color w:val="404040" w:themeColor="text1" w:themeTint="BF"/>
        </w:rPr>
        <w:t xml:space="preserve">Self-hosted models are recorded in the asset inventory with a named owner and where the weights came from. </w:t>
      </w:r>
      <w:r w:rsidR="00FE1413">
        <w:rPr>
          <w:color w:val="404040" w:themeColor="text1" w:themeTint="BF"/>
        </w:rPr>
        <w:t>License</w:t>
      </w:r>
      <w:r>
        <w:rPr>
          <w:color w:val="404040" w:themeColor="text1" w:themeTint="BF"/>
        </w:rPr>
        <w:t xml:space="preserve"> terms are checked once, at adoption.  </w:t>
      </w:r>
      <w:r>
        <w:rPr>
          <w:rFonts w:ascii="Calibri Light" w:eastAsia="Calibri Light" w:hAnsi="Calibri Light" w:cs="Calibri Light"/>
          <w:color w:val="404040" w:themeColor="text1" w:themeTint="BF"/>
          <w:sz w:val="18"/>
        </w:rPr>
        <w:t>[SOC 2: CC2.1, CC9.2]</w:t>
      </w:r>
    </w:p>
    <w:p w14:paraId="44E81B19" w14:textId="77777777" w:rsidR="00F55B91" w:rsidRDefault="00000000">
      <w:pPr>
        <w:pStyle w:val="Heading1"/>
        <w:keepNext/>
        <w:numPr>
          <w:ilvl w:val="0"/>
          <w:numId w:val="18"/>
        </w:numPr>
        <w:spacing w:before="240" w:after="80"/>
      </w:pPr>
      <w:bookmarkStart w:id="19" w:name="_S510"/>
      <w:bookmarkStart w:id="20" w:name="_Toc237815955"/>
      <w:r>
        <w:t>Agents and Automation</w:t>
      </w:r>
      <w:bookmarkEnd w:id="19"/>
      <w:bookmarkEnd w:id="20"/>
    </w:p>
    <w:p w14:paraId="176461A1" w14:textId="77777777" w:rsidR="00F55B91" w:rsidRDefault="00000000">
      <w:pPr>
        <w:pStyle w:val="BodyText9"/>
        <w:spacing w:after="120"/>
        <w:jc w:val="both"/>
      </w:pPr>
      <w:r>
        <w:rPr>
          <w:color w:val="404040" w:themeColor="text1" w:themeTint="BF"/>
        </w:rPr>
        <w:t>An agent is the case where a mistake acts rather than merely advises. The limits below are what make that acceptable.</w:t>
      </w:r>
    </w:p>
    <w:p w14:paraId="01022546" w14:textId="77777777" w:rsidR="00F55B91" w:rsidRDefault="00000000">
      <w:pPr>
        <w:pStyle w:val="Emphasis-Normal"/>
        <w:numPr>
          <w:ilvl w:val="0"/>
          <w:numId w:val="11"/>
        </w:numPr>
        <w:spacing w:after="120"/>
        <w:jc w:val="both"/>
      </w:pPr>
      <w:r>
        <w:rPr>
          <w:color w:val="404040" w:themeColor="text1" w:themeTint="BF"/>
        </w:rPr>
        <w:t xml:space="preserve">Each agent runs under its own identity with the narrowest permissions that let it work, never a person's credentials, and its access is reviewed with everyone else's.  </w:t>
      </w:r>
      <w:r>
        <w:rPr>
          <w:rFonts w:ascii="Calibri Light" w:eastAsia="Calibri Light" w:hAnsi="Calibri Light" w:cs="Calibri Light"/>
          <w:color w:val="404040" w:themeColor="text1" w:themeTint="BF"/>
          <w:sz w:val="18"/>
        </w:rPr>
        <w:t>[SOC 2: CC6.1, CC6.3]</w:t>
      </w:r>
    </w:p>
    <w:p w14:paraId="4A5CA25B" w14:textId="77777777" w:rsidR="00F55B91" w:rsidRDefault="00000000">
      <w:pPr>
        <w:pStyle w:val="Emphasis-Normal"/>
        <w:numPr>
          <w:ilvl w:val="0"/>
          <w:numId w:val="11"/>
        </w:numPr>
        <w:spacing w:after="120"/>
        <w:jc w:val="both"/>
      </w:pPr>
      <w:r>
        <w:rPr>
          <w:color w:val="404040" w:themeColor="text1" w:themeTint="BF"/>
        </w:rPr>
        <w:t xml:space="preserve">An agent does not approve, merge or deploy a change on its own authority. A named person approves anything that reaches production, and the Change Management Policy governs how.  </w:t>
      </w:r>
      <w:r>
        <w:rPr>
          <w:rFonts w:ascii="Calibri Light" w:eastAsia="Calibri Light" w:hAnsi="Calibri Light" w:cs="Calibri Light"/>
          <w:color w:val="404040" w:themeColor="text1" w:themeTint="BF"/>
          <w:sz w:val="18"/>
        </w:rPr>
        <w:t>[SOC 2: CC8.1]</w:t>
      </w:r>
    </w:p>
    <w:p w14:paraId="5ECD522D" w14:textId="697FE5BD" w:rsidR="00F55B91" w:rsidRDefault="00000000">
      <w:pPr>
        <w:pStyle w:val="Emphasis-Normal"/>
        <w:numPr>
          <w:ilvl w:val="0"/>
          <w:numId w:val="11"/>
        </w:numPr>
        <w:spacing w:after="120"/>
        <w:jc w:val="both"/>
      </w:pPr>
      <w:r>
        <w:rPr>
          <w:color w:val="404040" w:themeColor="text1" w:themeTint="BF"/>
        </w:rPr>
        <w:t xml:space="preserve">Agent activity is </w:t>
      </w:r>
      <w:r w:rsidR="00FE1413">
        <w:rPr>
          <w:color w:val="404040" w:themeColor="text1" w:themeTint="BF"/>
        </w:rPr>
        <w:t>reconstruct-able</w:t>
      </w:r>
      <w:r>
        <w:rPr>
          <w:color w:val="404040" w:themeColor="text1" w:themeTint="BF"/>
        </w:rPr>
        <w:t xml:space="preserve">: the triggering input, the tools invoked, the parameters, the actions taken and the outcome. How that is recorded and retained is in the Logging Standard.  </w:t>
      </w:r>
      <w:r>
        <w:rPr>
          <w:rFonts w:ascii="Calibri Light" w:eastAsia="Calibri Light" w:hAnsi="Calibri Light" w:cs="Calibri Light"/>
          <w:color w:val="404040" w:themeColor="text1" w:themeTint="BF"/>
          <w:sz w:val="18"/>
        </w:rPr>
        <w:t>[SOC 2: CC7.2]</w:t>
      </w:r>
    </w:p>
    <w:p w14:paraId="05D67AD8" w14:textId="77777777" w:rsidR="00F55B91" w:rsidRDefault="00000000">
      <w:pPr>
        <w:pStyle w:val="Emphasis-Normal"/>
        <w:numPr>
          <w:ilvl w:val="0"/>
          <w:numId w:val="11"/>
        </w:numPr>
        <w:spacing w:after="120"/>
        <w:jc w:val="both"/>
      </w:pPr>
      <w:r>
        <w:rPr>
          <w:color w:val="404040" w:themeColor="text1" w:themeTint="BF"/>
        </w:rPr>
        <w:t xml:space="preserve">Every agent has a named owner recorded against their role, and ownership is reassigned during offboarding before that person's access is removed.  </w:t>
      </w:r>
      <w:r>
        <w:rPr>
          <w:rFonts w:ascii="Calibri Light" w:eastAsia="Calibri Light" w:hAnsi="Calibri Light" w:cs="Calibri Light"/>
          <w:color w:val="404040" w:themeColor="text1" w:themeTint="BF"/>
          <w:sz w:val="18"/>
        </w:rPr>
        <w:t>[SOC 2: CC1.3, CC6.2]</w:t>
      </w:r>
    </w:p>
    <w:p w14:paraId="10335290" w14:textId="77777777" w:rsidR="00F55B91" w:rsidRDefault="00000000">
      <w:pPr>
        <w:pStyle w:val="Emphasis-Normal"/>
        <w:numPr>
          <w:ilvl w:val="0"/>
          <w:numId w:val="11"/>
        </w:numPr>
        <w:spacing w:after="120"/>
        <w:jc w:val="both"/>
      </w:pPr>
      <w:r>
        <w:rPr>
          <w:color w:val="404040" w:themeColor="text1" w:themeTint="BF"/>
        </w:rPr>
        <w:t xml:space="preserve">An agent that behaves outside its intended scope is stopped first and diagnosed second. Where it may have affected Company or client information, it is handled as an incident under the Incident Response Policy.  </w:t>
      </w:r>
      <w:r>
        <w:rPr>
          <w:rFonts w:ascii="Calibri Light" w:eastAsia="Calibri Light" w:hAnsi="Calibri Light" w:cs="Calibri Light"/>
          <w:color w:val="404040" w:themeColor="text1" w:themeTint="BF"/>
          <w:sz w:val="18"/>
        </w:rPr>
        <w:t>[SOC 2: CC7.3, CC7.4]</w:t>
      </w:r>
    </w:p>
    <w:p w14:paraId="1BF32A98" w14:textId="77777777" w:rsidR="00F55B91" w:rsidRDefault="00000000">
      <w:pPr>
        <w:pStyle w:val="Heading1"/>
        <w:keepNext/>
        <w:numPr>
          <w:ilvl w:val="0"/>
          <w:numId w:val="18"/>
        </w:numPr>
        <w:spacing w:before="240" w:after="80"/>
      </w:pPr>
      <w:bookmarkStart w:id="21" w:name="_S511"/>
      <w:bookmarkStart w:id="22" w:name="_Toc237815956"/>
      <w:r>
        <w:t>Prompts, Models and Configuration</w:t>
      </w:r>
      <w:bookmarkEnd w:id="21"/>
      <w:bookmarkEnd w:id="22"/>
    </w:p>
    <w:p w14:paraId="5AB5B93F" w14:textId="77777777" w:rsidR="00F55B91" w:rsidRDefault="00000000">
      <w:pPr>
        <w:pStyle w:val="Emphasis-Normal"/>
        <w:numPr>
          <w:ilvl w:val="0"/>
          <w:numId w:val="12"/>
        </w:numPr>
        <w:spacing w:after="120"/>
        <w:jc w:val="both"/>
      </w:pPr>
      <w:r>
        <w:rPr>
          <w:color w:val="404040" w:themeColor="text1" w:themeTint="BF"/>
        </w:rPr>
        <w:t xml:space="preserve">Prompts, tool definitions, retrieval configuration and guardrails live in the code repository and change through the normal pull request. They are part of how the system behaves, so they </w:t>
      </w:r>
      <w:r>
        <w:rPr>
          <w:color w:val="404040" w:themeColor="text1" w:themeTint="BF"/>
        </w:rPr>
        <w:lastRenderedPageBreak/>
        <w:t xml:space="preserve">follow the same path as code — no additional approval step and no separate register.  </w:t>
      </w:r>
      <w:r>
        <w:rPr>
          <w:rFonts w:ascii="Calibri Light" w:eastAsia="Calibri Light" w:hAnsi="Calibri Light" w:cs="Calibri Light"/>
          <w:color w:val="404040" w:themeColor="text1" w:themeTint="BF"/>
          <w:sz w:val="18"/>
        </w:rPr>
        <w:t>[SOC 2: CC8.1]</w:t>
      </w:r>
    </w:p>
    <w:p w14:paraId="0890904A" w14:textId="77777777" w:rsidR="00F55B91" w:rsidRDefault="00000000">
      <w:pPr>
        <w:pStyle w:val="Emphasis-Normal"/>
        <w:numPr>
          <w:ilvl w:val="0"/>
          <w:numId w:val="12"/>
        </w:numPr>
        <w:spacing w:after="120"/>
        <w:jc w:val="both"/>
      </w:pPr>
      <w:r>
        <w:rPr>
          <w:color w:val="404040" w:themeColor="text1" w:themeTint="BF"/>
        </w:rPr>
        <w:t xml:space="preserve">A model version change is a change like any other. Where a provider moves a version without asking, note it and check the result; there is nothing to approve after the fact.  </w:t>
      </w:r>
      <w:r>
        <w:rPr>
          <w:rFonts w:ascii="Calibri Light" w:eastAsia="Calibri Light" w:hAnsi="Calibri Light" w:cs="Calibri Light"/>
          <w:color w:val="404040" w:themeColor="text1" w:themeTint="BF"/>
          <w:sz w:val="18"/>
        </w:rPr>
        <w:t>[SOC 2: CC8.1, CC3.4]</w:t>
      </w:r>
    </w:p>
    <w:p w14:paraId="2CFC17AA" w14:textId="77777777" w:rsidR="00F55B91" w:rsidRDefault="00000000">
      <w:pPr>
        <w:pStyle w:val="Heading1"/>
        <w:keepNext/>
        <w:numPr>
          <w:ilvl w:val="0"/>
          <w:numId w:val="18"/>
        </w:numPr>
        <w:spacing w:before="240" w:after="80"/>
      </w:pPr>
      <w:bookmarkStart w:id="23" w:name="_S512"/>
      <w:bookmarkStart w:id="24" w:name="_Toc237815957"/>
      <w:r>
        <w:t>The Check Before Shipping</w:t>
      </w:r>
      <w:bookmarkEnd w:id="23"/>
      <w:bookmarkEnd w:id="24"/>
    </w:p>
    <w:p w14:paraId="5E2491BF" w14:textId="77777777" w:rsidR="00F55B91" w:rsidRDefault="00000000">
      <w:pPr>
        <w:pStyle w:val="BodyText9"/>
        <w:spacing w:after="120"/>
        <w:jc w:val="both"/>
      </w:pPr>
      <w:r>
        <w:rPr>
          <w:color w:val="404040" w:themeColor="text1" w:themeTint="BF"/>
        </w:rPr>
        <w:t>This section holds the check referred to elsewhere in this Policy. It applies to changes that widen what a system can reach or do — not to every prompt edit.</w:t>
      </w:r>
    </w:p>
    <w:p w14:paraId="3BF8470B" w14:textId="77777777" w:rsidR="00F55B91" w:rsidRDefault="00000000">
      <w:pPr>
        <w:pStyle w:val="Emphasis-Normal"/>
        <w:numPr>
          <w:ilvl w:val="0"/>
          <w:numId w:val="13"/>
        </w:numPr>
        <w:spacing w:after="120"/>
        <w:jc w:val="both"/>
      </w:pPr>
      <w:r>
        <w:rPr>
          <w:color w:val="404040" w:themeColor="text1" w:themeTint="BF"/>
        </w:rPr>
        <w:t xml:space="preserve">A check is required where a change gives the system access to data it could not previously reach, adds or widens a tool an agent can call, or puts a model in front of a client for the first time. Ordinary prompt and copy changes do not need one; the pull request review is enough.  </w:t>
      </w:r>
      <w:r>
        <w:rPr>
          <w:rFonts w:ascii="Calibri Light" w:eastAsia="Calibri Light" w:hAnsi="Calibri Light" w:cs="Calibri Light"/>
          <w:color w:val="404040" w:themeColor="text1" w:themeTint="BF"/>
          <w:sz w:val="18"/>
        </w:rPr>
        <w:t>[SOC 2: CC8.1]</w:t>
      </w:r>
    </w:p>
    <w:p w14:paraId="3ECA5819" w14:textId="77777777" w:rsidR="00F55B91" w:rsidRDefault="00000000">
      <w:pPr>
        <w:pStyle w:val="Emphasis-Normal"/>
        <w:numPr>
          <w:ilvl w:val="0"/>
          <w:numId w:val="13"/>
        </w:numPr>
        <w:spacing w:after="120"/>
        <w:jc w:val="both"/>
      </w:pPr>
      <w:r>
        <w:rPr>
          <w:color w:val="404040" w:themeColor="text1" w:themeTint="BF"/>
        </w:rPr>
        <w:t xml:space="preserve">Where it applies, the person making the change records three things on the pull request: what data the system can now reach, whether injection and tool-misuse handling still holds for the tools exposed, and whether output on a few representative cases still looks right. A short paragraph.  </w:t>
      </w:r>
      <w:r>
        <w:rPr>
          <w:rFonts w:ascii="Calibri Light" w:eastAsia="Calibri Light" w:hAnsi="Calibri Light" w:cs="Calibri Light"/>
          <w:color w:val="404040" w:themeColor="text1" w:themeTint="BF"/>
          <w:sz w:val="18"/>
        </w:rPr>
        <w:t>[SOC 2: CC8.1, CC7.1]</w:t>
      </w:r>
    </w:p>
    <w:p w14:paraId="73A28E85" w14:textId="77777777" w:rsidR="00F55B91" w:rsidRDefault="00000000">
      <w:pPr>
        <w:pStyle w:val="Emphasis-Normal"/>
        <w:numPr>
          <w:ilvl w:val="0"/>
          <w:numId w:val="13"/>
        </w:numPr>
        <w:spacing w:after="120"/>
        <w:jc w:val="both"/>
      </w:pPr>
      <w:r>
        <w:rPr>
          <w:color w:val="404040" w:themeColor="text1" w:themeTint="BF"/>
        </w:rPr>
        <w:t xml:space="preserve">Where a change cannot usefully be checked before shipping, say what will be watched afterwards and for how long. That is a complete answer.  </w:t>
      </w:r>
      <w:r>
        <w:rPr>
          <w:rFonts w:ascii="Calibri Light" w:eastAsia="Calibri Light" w:hAnsi="Calibri Light" w:cs="Calibri Light"/>
          <w:color w:val="404040" w:themeColor="text1" w:themeTint="BF"/>
          <w:sz w:val="18"/>
        </w:rPr>
        <w:t>[SOC 2: CC5.3, CC7.2]</w:t>
      </w:r>
    </w:p>
    <w:p w14:paraId="3E42838C" w14:textId="77777777" w:rsidR="00F55B91" w:rsidRDefault="00000000">
      <w:pPr>
        <w:pStyle w:val="Heading1"/>
        <w:keepNext/>
        <w:numPr>
          <w:ilvl w:val="0"/>
          <w:numId w:val="18"/>
        </w:numPr>
        <w:spacing w:before="240" w:after="80"/>
      </w:pPr>
      <w:bookmarkStart w:id="25" w:name="_S513"/>
      <w:bookmarkStart w:id="26" w:name="_Toc237815958"/>
      <w:r>
        <w:t xml:space="preserve">Keeping Up </w:t>
      </w:r>
      <w:proofErr w:type="gramStart"/>
      <w:r>
        <w:t>With</w:t>
      </w:r>
      <w:proofErr w:type="gramEnd"/>
      <w:r>
        <w:t xml:space="preserve"> the Field</w:t>
      </w:r>
      <w:bookmarkEnd w:id="25"/>
      <w:bookmarkEnd w:id="26"/>
    </w:p>
    <w:p w14:paraId="18BD55AC" w14:textId="77777777" w:rsidR="00F55B91" w:rsidRDefault="00000000">
      <w:pPr>
        <w:pStyle w:val="Emphasis-Normal"/>
        <w:numPr>
          <w:ilvl w:val="0"/>
          <w:numId w:val="14"/>
        </w:numPr>
        <w:spacing w:after="120"/>
        <w:jc w:val="both"/>
      </w:pPr>
      <w:r>
        <w:rPr>
          <w:color w:val="404040" w:themeColor="text1" w:themeTint="BF"/>
        </w:rPr>
        <w:t xml:space="preserve">Once a year the Accountable Party records what changed that bears on the Company's AI use — provider terms and retention, model deprecations, notable attack techniques against LLM and agent systems, and applicable regulation — and what the Company did about it. A few lines in the annual assessment.  </w:t>
      </w:r>
      <w:r>
        <w:rPr>
          <w:rFonts w:ascii="Calibri Light" w:eastAsia="Calibri Light" w:hAnsi="Calibri Light" w:cs="Calibri Light"/>
          <w:color w:val="404040" w:themeColor="text1" w:themeTint="BF"/>
          <w:sz w:val="18"/>
        </w:rPr>
        <w:t>[SOC 2: CC3.4, CC2.1]</w:t>
      </w:r>
    </w:p>
    <w:p w14:paraId="328C69B9" w14:textId="77777777" w:rsidR="00F55B91" w:rsidRDefault="00000000">
      <w:pPr>
        <w:pStyle w:val="Emphasis-Normal"/>
        <w:numPr>
          <w:ilvl w:val="0"/>
          <w:numId w:val="14"/>
        </w:numPr>
        <w:spacing w:after="120"/>
        <w:jc w:val="both"/>
      </w:pPr>
      <w:r>
        <w:rPr>
          <w:color w:val="404040" w:themeColor="text1" w:themeTint="BF"/>
        </w:rPr>
        <w:t xml:space="preserve">The sources relied on are named in the external information source list under the Information Security Policy, so this is a list someone can check rather than a claim to be paying attention. Six to ten sources </w:t>
      </w:r>
      <w:proofErr w:type="gramStart"/>
      <w:r>
        <w:rPr>
          <w:color w:val="404040" w:themeColor="text1" w:themeTint="BF"/>
        </w:rPr>
        <w:t>is</w:t>
      </w:r>
      <w:proofErr w:type="gramEnd"/>
      <w:r>
        <w:rPr>
          <w:color w:val="404040" w:themeColor="text1" w:themeTint="BF"/>
        </w:rPr>
        <w:t xml:space="preserve"> plenty.  </w:t>
      </w:r>
      <w:r>
        <w:rPr>
          <w:rFonts w:ascii="Calibri Light" w:eastAsia="Calibri Light" w:hAnsi="Calibri Light" w:cs="Calibri Light"/>
          <w:color w:val="404040" w:themeColor="text1" w:themeTint="BF"/>
          <w:sz w:val="18"/>
        </w:rPr>
        <w:t>[SOC 2: CC2.1, CC3.4]</w:t>
      </w:r>
    </w:p>
    <w:p w14:paraId="4FC0A790" w14:textId="77777777" w:rsidR="00F55B91" w:rsidRDefault="00000000">
      <w:pPr>
        <w:pStyle w:val="Emphasis-Normal"/>
        <w:numPr>
          <w:ilvl w:val="0"/>
          <w:numId w:val="14"/>
        </w:numPr>
        <w:spacing w:after="120"/>
        <w:jc w:val="both"/>
      </w:pPr>
      <w:r>
        <w:rPr>
          <w:color w:val="404040" w:themeColor="text1" w:themeTint="BF"/>
        </w:rPr>
        <w:t xml:space="preserve">Where something changes the Company's risk position, it triggers reassessment under the Risk Management Policy. Where nothing did, record that.  </w:t>
      </w:r>
      <w:r>
        <w:rPr>
          <w:rFonts w:ascii="Calibri Light" w:eastAsia="Calibri Light" w:hAnsi="Calibri Light" w:cs="Calibri Light"/>
          <w:color w:val="404040" w:themeColor="text1" w:themeTint="BF"/>
          <w:sz w:val="18"/>
        </w:rPr>
        <w:t>[SOC 2: CC3.4]</w:t>
      </w:r>
    </w:p>
    <w:p w14:paraId="2CE9127C" w14:textId="77777777" w:rsidR="00F55B91" w:rsidRDefault="00000000">
      <w:pPr>
        <w:pStyle w:val="Heading1"/>
        <w:keepNext/>
        <w:numPr>
          <w:ilvl w:val="0"/>
          <w:numId w:val="18"/>
        </w:numPr>
        <w:spacing w:before="240" w:after="80"/>
      </w:pPr>
      <w:bookmarkStart w:id="27" w:name="_S514"/>
      <w:bookmarkStart w:id="28" w:name="_Toc237815959"/>
      <w:r>
        <w:t>Records</w:t>
      </w:r>
      <w:bookmarkEnd w:id="27"/>
      <w:bookmarkEnd w:id="28"/>
    </w:p>
    <w:p w14:paraId="0476EA5B" w14:textId="77777777" w:rsidR="00F55B91" w:rsidRDefault="00000000">
      <w:pPr>
        <w:pStyle w:val="Emphasis-Normal"/>
        <w:numPr>
          <w:ilvl w:val="0"/>
          <w:numId w:val="15"/>
        </w:numPr>
        <w:spacing w:after="120"/>
        <w:jc w:val="both"/>
      </w:pPr>
      <w:r>
        <w:rPr>
          <w:color w:val="404040" w:themeColor="text1" w:themeTint="BF"/>
        </w:rPr>
        <w:t xml:space="preserve">The approved AI tool register, with classifications and review dates.  </w:t>
      </w:r>
      <w:r>
        <w:rPr>
          <w:rFonts w:ascii="Calibri Light" w:eastAsia="Calibri Light" w:hAnsi="Calibri Light" w:cs="Calibri Light"/>
          <w:color w:val="404040" w:themeColor="text1" w:themeTint="BF"/>
          <w:sz w:val="18"/>
        </w:rPr>
        <w:t>[SOC 2: CC9.2, CC2.1]</w:t>
      </w:r>
    </w:p>
    <w:p w14:paraId="61094739" w14:textId="77777777" w:rsidR="00F55B91" w:rsidRDefault="00000000">
      <w:pPr>
        <w:pStyle w:val="Emphasis-Normal"/>
        <w:numPr>
          <w:ilvl w:val="0"/>
          <w:numId w:val="15"/>
        </w:numPr>
        <w:spacing w:after="120"/>
        <w:jc w:val="both"/>
      </w:pPr>
      <w:r>
        <w:rPr>
          <w:color w:val="404040" w:themeColor="text1" w:themeTint="BF"/>
        </w:rPr>
        <w:t xml:space="preserve">Vendor assessments for model providers, and their entries on the sub-processor list.  </w:t>
      </w:r>
      <w:r>
        <w:rPr>
          <w:rFonts w:ascii="Calibri Light" w:eastAsia="Calibri Light" w:hAnsi="Calibri Light" w:cs="Calibri Light"/>
          <w:color w:val="404040" w:themeColor="text1" w:themeTint="BF"/>
          <w:sz w:val="18"/>
        </w:rPr>
        <w:t>[SOC 2: CC9.2]</w:t>
      </w:r>
    </w:p>
    <w:p w14:paraId="3BFE4F51" w14:textId="77777777" w:rsidR="00F55B91" w:rsidRDefault="00000000">
      <w:pPr>
        <w:pStyle w:val="Emphasis-Normal"/>
        <w:numPr>
          <w:ilvl w:val="0"/>
          <w:numId w:val="15"/>
        </w:numPr>
        <w:spacing w:after="120"/>
        <w:jc w:val="both"/>
      </w:pPr>
      <w:r>
        <w:rPr>
          <w:color w:val="404040" w:themeColor="text1" w:themeTint="BF"/>
        </w:rPr>
        <w:t xml:space="preserve">Evaluation records attached to AI change records.  </w:t>
      </w:r>
      <w:r>
        <w:rPr>
          <w:rFonts w:ascii="Calibri Light" w:eastAsia="Calibri Light" w:hAnsi="Calibri Light" w:cs="Calibri Light"/>
          <w:color w:val="404040" w:themeColor="text1" w:themeTint="BF"/>
          <w:sz w:val="18"/>
        </w:rPr>
        <w:t>[SOC 2: CC8.1]</w:t>
      </w:r>
    </w:p>
    <w:p w14:paraId="2635A8B3" w14:textId="77777777" w:rsidR="00F55B91" w:rsidRDefault="00000000">
      <w:pPr>
        <w:pStyle w:val="Emphasis-Normal"/>
        <w:numPr>
          <w:ilvl w:val="0"/>
          <w:numId w:val="15"/>
        </w:numPr>
        <w:spacing w:after="120"/>
        <w:jc w:val="both"/>
      </w:pPr>
      <w:r>
        <w:rPr>
          <w:color w:val="404040" w:themeColor="text1" w:themeTint="BF"/>
        </w:rPr>
        <w:t xml:space="preserve">The agent inventory with owners, identities and permissions.  </w:t>
      </w:r>
      <w:r>
        <w:rPr>
          <w:rFonts w:ascii="Calibri Light" w:eastAsia="Calibri Light" w:hAnsi="Calibri Light" w:cs="Calibri Light"/>
          <w:color w:val="404040" w:themeColor="text1" w:themeTint="BF"/>
          <w:sz w:val="18"/>
        </w:rPr>
        <w:t>[SOC 2: CC6.1, CC2.1]</w:t>
      </w:r>
    </w:p>
    <w:p w14:paraId="73959F6F" w14:textId="77777777" w:rsidR="00F55B91" w:rsidRDefault="00000000">
      <w:pPr>
        <w:pStyle w:val="Emphasis-Normal"/>
        <w:numPr>
          <w:ilvl w:val="0"/>
          <w:numId w:val="15"/>
        </w:numPr>
        <w:spacing w:after="120"/>
        <w:jc w:val="both"/>
      </w:pPr>
      <w:r>
        <w:rPr>
          <w:color w:val="404040" w:themeColor="text1" w:themeTint="BF"/>
        </w:rPr>
        <w:t xml:space="preserve">The annual AI external-change review entry.  </w:t>
      </w:r>
      <w:r>
        <w:rPr>
          <w:rFonts w:ascii="Calibri Light" w:eastAsia="Calibri Light" w:hAnsi="Calibri Light" w:cs="Calibri Light"/>
          <w:color w:val="404040" w:themeColor="text1" w:themeTint="BF"/>
          <w:sz w:val="18"/>
        </w:rPr>
        <w:t>[SOC 2: CC3.4]</w:t>
      </w:r>
    </w:p>
    <w:p w14:paraId="4E125F4F" w14:textId="77777777" w:rsidR="00F55B91" w:rsidRDefault="00000000">
      <w:pPr>
        <w:pStyle w:val="Heading1"/>
        <w:keepNext/>
        <w:numPr>
          <w:ilvl w:val="0"/>
          <w:numId w:val="18"/>
        </w:numPr>
        <w:spacing w:before="240" w:after="80"/>
      </w:pPr>
      <w:bookmarkStart w:id="29" w:name="_S515"/>
      <w:bookmarkStart w:id="30" w:name="_Toc237815960"/>
      <w:r>
        <w:lastRenderedPageBreak/>
        <w:t>Enforcement</w:t>
      </w:r>
      <w:bookmarkEnd w:id="29"/>
      <w:bookmarkEnd w:id="30"/>
    </w:p>
    <w:p w14:paraId="31DF2873" w14:textId="77777777" w:rsidR="00F55B91" w:rsidRDefault="00000000">
      <w:pPr>
        <w:pStyle w:val="Emphasis-Normal"/>
        <w:numPr>
          <w:ilvl w:val="0"/>
          <w:numId w:val="16"/>
        </w:numPr>
        <w:spacing w:after="120"/>
        <w:jc w:val="both"/>
      </w:pPr>
      <w:r>
        <w:rPr>
          <w:color w:val="404040" w:themeColor="text1" w:themeTint="BF"/>
        </w:rPr>
        <w:t xml:space="preserve">A breach is handled under the Code of Conduct, with the finding, the decision and the reason recorded. Client information reaching an unapproved tool is the case most likely to arise; telling someone quickly is treated as cooperation and is what limits the damage.  </w:t>
      </w:r>
      <w:r>
        <w:rPr>
          <w:rFonts w:ascii="Calibri Light" w:eastAsia="Calibri Light" w:hAnsi="Calibri Light" w:cs="Calibri Light"/>
          <w:color w:val="404040" w:themeColor="text1" w:themeTint="BF"/>
          <w:sz w:val="18"/>
        </w:rPr>
        <w:t>[SOC 2: CC1.1, CC1.5]</w:t>
      </w:r>
    </w:p>
    <w:p w14:paraId="591F99F2" w14:textId="77777777" w:rsidR="00F55B91" w:rsidRDefault="00000000">
      <w:pPr>
        <w:pStyle w:val="Heading1"/>
        <w:keepNext/>
        <w:numPr>
          <w:ilvl w:val="0"/>
          <w:numId w:val="18"/>
        </w:numPr>
        <w:spacing w:before="240" w:after="80"/>
      </w:pPr>
      <w:bookmarkStart w:id="31" w:name="_S516"/>
      <w:bookmarkStart w:id="32" w:name="_Toc237815961"/>
      <w:r>
        <w:t>Exceptions</w:t>
      </w:r>
      <w:bookmarkEnd w:id="31"/>
      <w:bookmarkEnd w:id="32"/>
    </w:p>
    <w:p w14:paraId="2C61AE69" w14:textId="77777777" w:rsidR="00F55B91" w:rsidRDefault="00000000">
      <w:pPr>
        <w:pStyle w:val="BodyText9"/>
        <w:spacing w:after="120"/>
        <w:jc w:val="both"/>
      </w:pPr>
      <w:r>
        <w:rPr>
          <w:color w:val="404040" w:themeColor="text1" w:themeTint="BF"/>
        </w:rPr>
        <w:t>Where a requirement of this Policy would block legitimate work, an exception is recorded by the Accountable Party with the reason, the compensating measure and a review date, rather than being worked around silently. Where no exceptions are in force, that is recorded affirmatively at the annual review.</w:t>
      </w:r>
    </w:p>
    <w:p w14:paraId="3A6CAF49" w14:textId="77777777" w:rsidR="00F55B91" w:rsidRDefault="00000000">
      <w:pPr>
        <w:pStyle w:val="Heading1"/>
        <w:keepNext/>
        <w:numPr>
          <w:ilvl w:val="0"/>
          <w:numId w:val="18"/>
        </w:numPr>
        <w:spacing w:before="240" w:after="80"/>
      </w:pPr>
      <w:bookmarkStart w:id="33" w:name="_S517"/>
      <w:bookmarkStart w:id="34" w:name="_Toc237815962"/>
      <w:r>
        <w:t>Reference</w:t>
      </w:r>
      <w:bookmarkEnd w:id="33"/>
      <w:bookmarkEnd w:id="34"/>
    </w:p>
    <w:p w14:paraId="768D65BF" w14:textId="2B18CFF7" w:rsidR="00F55B91" w:rsidRDefault="00000000">
      <w:pPr>
        <w:pStyle w:val="Emphasis-Normal"/>
        <w:numPr>
          <w:ilvl w:val="0"/>
          <w:numId w:val="17"/>
        </w:numPr>
        <w:spacing w:after="120"/>
        <w:jc w:val="both"/>
      </w:pPr>
      <w:r>
        <w:rPr>
          <w:color w:val="404040" w:themeColor="text1" w:themeTint="BF"/>
        </w:rPr>
        <w:t xml:space="preserve">SOC 2 Trust Services Criteria, Security </w:t>
      </w:r>
      <w:r w:rsidR="00FE1413">
        <w:rPr>
          <w:color w:val="404040" w:themeColor="text1" w:themeTint="BF"/>
        </w:rPr>
        <w:t>category [</w:t>
      </w:r>
      <w:r>
        <w:rPr>
          <w:rFonts w:ascii="Calibri Light" w:eastAsia="Calibri Light" w:hAnsi="Calibri Light" w:cs="Calibri Light"/>
          <w:color w:val="404040" w:themeColor="text1" w:themeTint="BF"/>
          <w:sz w:val="18"/>
        </w:rPr>
        <w:t>CC1.1, CC3.4, CC6.1, CC6.7, CC7.2, CC7.3, CC8.1, CC9.2]</w:t>
      </w:r>
    </w:p>
    <w:p w14:paraId="2985559C" w14:textId="325D8BCA" w:rsidR="00F55B91" w:rsidRDefault="00000000">
      <w:pPr>
        <w:pStyle w:val="Emphasis-Normal"/>
        <w:numPr>
          <w:ilvl w:val="0"/>
          <w:numId w:val="17"/>
        </w:numPr>
        <w:spacing w:after="120"/>
        <w:jc w:val="both"/>
      </w:pPr>
      <w:r>
        <w:rPr>
          <w:color w:val="404040" w:themeColor="text1" w:themeTint="BF"/>
        </w:rPr>
        <w:t xml:space="preserve">POL-ISP-001 Information Security </w:t>
      </w:r>
      <w:r w:rsidR="00FE1413">
        <w:rPr>
          <w:color w:val="404040" w:themeColor="text1" w:themeTint="BF"/>
        </w:rPr>
        <w:t>Policy [</w:t>
      </w:r>
      <w:r>
        <w:rPr>
          <w:rFonts w:ascii="Calibri Light" w:eastAsia="Calibri Light" w:hAnsi="Calibri Light" w:cs="Calibri Light"/>
          <w:color w:val="404040" w:themeColor="text1" w:themeTint="BF"/>
          <w:sz w:val="18"/>
        </w:rPr>
        <w:t>SOC 2: CC5.3, CC2.1]</w:t>
      </w:r>
    </w:p>
    <w:p w14:paraId="7B3219DC" w14:textId="4CE0CDA5" w:rsidR="00F55B91" w:rsidRDefault="00000000">
      <w:pPr>
        <w:pStyle w:val="Emphasis-Normal"/>
        <w:numPr>
          <w:ilvl w:val="0"/>
          <w:numId w:val="17"/>
        </w:numPr>
        <w:spacing w:after="120"/>
        <w:jc w:val="both"/>
      </w:pPr>
      <w:r>
        <w:rPr>
          <w:color w:val="404040" w:themeColor="text1" w:themeTint="BF"/>
        </w:rPr>
        <w:t xml:space="preserve">POL-VM-001 Vendor Management </w:t>
      </w:r>
      <w:r w:rsidR="00FE1413">
        <w:rPr>
          <w:color w:val="404040" w:themeColor="text1" w:themeTint="BF"/>
        </w:rPr>
        <w:t>Policy [</w:t>
      </w:r>
      <w:r>
        <w:rPr>
          <w:rFonts w:ascii="Calibri Light" w:eastAsia="Calibri Light" w:hAnsi="Calibri Light" w:cs="Calibri Light"/>
          <w:color w:val="404040" w:themeColor="text1" w:themeTint="BF"/>
          <w:sz w:val="18"/>
        </w:rPr>
        <w:t>SOC 2: CC9.2]</w:t>
      </w:r>
    </w:p>
    <w:p w14:paraId="4C17051B" w14:textId="1105F7EA" w:rsidR="00F55B91" w:rsidRDefault="00000000">
      <w:pPr>
        <w:pStyle w:val="Emphasis-Normal"/>
        <w:numPr>
          <w:ilvl w:val="0"/>
          <w:numId w:val="17"/>
        </w:numPr>
        <w:spacing w:after="120"/>
        <w:jc w:val="both"/>
      </w:pPr>
      <w:r>
        <w:rPr>
          <w:color w:val="404040" w:themeColor="text1" w:themeTint="BF"/>
        </w:rPr>
        <w:t xml:space="preserve">POL-CM-001 Change Management </w:t>
      </w:r>
      <w:r w:rsidR="00FE1413">
        <w:rPr>
          <w:color w:val="404040" w:themeColor="text1" w:themeTint="BF"/>
        </w:rPr>
        <w:t>Policy [</w:t>
      </w:r>
      <w:r>
        <w:rPr>
          <w:rFonts w:ascii="Calibri Light" w:eastAsia="Calibri Light" w:hAnsi="Calibri Light" w:cs="Calibri Light"/>
          <w:color w:val="404040" w:themeColor="text1" w:themeTint="BF"/>
          <w:sz w:val="18"/>
        </w:rPr>
        <w:t>SOC 2: CC8.1]</w:t>
      </w:r>
    </w:p>
    <w:p w14:paraId="2A2BC423" w14:textId="24DCFBC0" w:rsidR="00F55B91" w:rsidRDefault="00000000">
      <w:pPr>
        <w:pStyle w:val="Emphasis-Normal"/>
        <w:numPr>
          <w:ilvl w:val="0"/>
          <w:numId w:val="17"/>
        </w:numPr>
        <w:spacing w:after="120"/>
        <w:jc w:val="both"/>
      </w:pPr>
      <w:r>
        <w:rPr>
          <w:color w:val="404040" w:themeColor="text1" w:themeTint="BF"/>
        </w:rPr>
        <w:t xml:space="preserve">POL-LOG-001 Logging and Monitoring </w:t>
      </w:r>
      <w:r w:rsidR="00FE1413">
        <w:rPr>
          <w:color w:val="404040" w:themeColor="text1" w:themeTint="BF"/>
        </w:rPr>
        <w:t>Policy [</w:t>
      </w:r>
      <w:r>
        <w:rPr>
          <w:rFonts w:ascii="Calibri Light" w:eastAsia="Calibri Light" w:hAnsi="Calibri Light" w:cs="Calibri Light"/>
          <w:color w:val="404040" w:themeColor="text1" w:themeTint="BF"/>
          <w:sz w:val="18"/>
        </w:rPr>
        <w:t>SOC 2: CC7.2]</w:t>
      </w:r>
    </w:p>
    <w:p w14:paraId="6C1038B2" w14:textId="111F5FD8" w:rsidR="00F55B91" w:rsidRDefault="00000000">
      <w:pPr>
        <w:pStyle w:val="Emphasis-Normal"/>
        <w:numPr>
          <w:ilvl w:val="0"/>
          <w:numId w:val="17"/>
        </w:numPr>
        <w:spacing w:after="120"/>
        <w:jc w:val="both"/>
      </w:pPr>
      <w:r>
        <w:rPr>
          <w:color w:val="404040" w:themeColor="text1" w:themeTint="BF"/>
        </w:rPr>
        <w:t xml:space="preserve">STD-LOG-001 Logging </w:t>
      </w:r>
      <w:r w:rsidR="00FE1413">
        <w:rPr>
          <w:color w:val="404040" w:themeColor="text1" w:themeTint="BF"/>
        </w:rPr>
        <w:t>Standard [</w:t>
      </w:r>
      <w:r>
        <w:rPr>
          <w:rFonts w:ascii="Calibri Light" w:eastAsia="Calibri Light" w:hAnsi="Calibri Light" w:cs="Calibri Light"/>
          <w:color w:val="404040" w:themeColor="text1" w:themeTint="BF"/>
          <w:sz w:val="18"/>
        </w:rPr>
        <w:t>SOC 2: CC7.2]</w:t>
      </w:r>
    </w:p>
    <w:p w14:paraId="455BF787" w14:textId="131088EA" w:rsidR="00F55B91" w:rsidRDefault="00000000">
      <w:pPr>
        <w:pStyle w:val="Emphasis-Normal"/>
        <w:numPr>
          <w:ilvl w:val="0"/>
          <w:numId w:val="17"/>
        </w:numPr>
        <w:spacing w:after="120"/>
        <w:jc w:val="both"/>
      </w:pPr>
      <w:r>
        <w:rPr>
          <w:color w:val="404040" w:themeColor="text1" w:themeTint="BF"/>
        </w:rPr>
        <w:t xml:space="preserve">POL-AC-001 Access Control </w:t>
      </w:r>
      <w:r w:rsidR="00FE1413">
        <w:rPr>
          <w:color w:val="404040" w:themeColor="text1" w:themeTint="BF"/>
        </w:rPr>
        <w:t>Policy [</w:t>
      </w:r>
      <w:r>
        <w:rPr>
          <w:rFonts w:ascii="Calibri Light" w:eastAsia="Calibri Light" w:hAnsi="Calibri Light" w:cs="Calibri Light"/>
          <w:color w:val="404040" w:themeColor="text1" w:themeTint="BF"/>
          <w:sz w:val="18"/>
        </w:rPr>
        <w:t>SOC 2: CC6.1]</w:t>
      </w:r>
    </w:p>
    <w:p w14:paraId="7433E16A" w14:textId="50B74535" w:rsidR="00F55B91" w:rsidRDefault="00000000">
      <w:pPr>
        <w:pStyle w:val="Emphasis-Normal"/>
        <w:numPr>
          <w:ilvl w:val="0"/>
          <w:numId w:val="17"/>
        </w:numPr>
        <w:spacing w:after="120"/>
        <w:jc w:val="both"/>
      </w:pPr>
      <w:r>
        <w:rPr>
          <w:color w:val="404040" w:themeColor="text1" w:themeTint="BF"/>
        </w:rPr>
        <w:t xml:space="preserve">POL-AUP-001 Acceptable Use </w:t>
      </w:r>
      <w:r w:rsidR="00FE1413">
        <w:rPr>
          <w:color w:val="404040" w:themeColor="text1" w:themeTint="BF"/>
        </w:rPr>
        <w:t>Policy [</w:t>
      </w:r>
      <w:r>
        <w:rPr>
          <w:rFonts w:ascii="Calibri Light" w:eastAsia="Calibri Light" w:hAnsi="Calibri Light" w:cs="Calibri Light"/>
          <w:color w:val="404040" w:themeColor="text1" w:themeTint="BF"/>
          <w:sz w:val="18"/>
        </w:rPr>
        <w:t>SOC 2: CC6.7]</w:t>
      </w:r>
    </w:p>
    <w:p w14:paraId="055B8484" w14:textId="7F53B922" w:rsidR="00F55B91" w:rsidRDefault="00000000">
      <w:pPr>
        <w:pStyle w:val="Emphasis-Normal"/>
        <w:numPr>
          <w:ilvl w:val="0"/>
          <w:numId w:val="17"/>
        </w:numPr>
        <w:spacing w:after="120"/>
        <w:jc w:val="both"/>
      </w:pPr>
      <w:r>
        <w:rPr>
          <w:color w:val="404040" w:themeColor="text1" w:themeTint="BF"/>
        </w:rPr>
        <w:t xml:space="preserve">POL-IRP-001 Incident Response </w:t>
      </w:r>
      <w:r w:rsidR="00FE1413">
        <w:rPr>
          <w:color w:val="404040" w:themeColor="text1" w:themeTint="BF"/>
        </w:rPr>
        <w:t>Policy [</w:t>
      </w:r>
      <w:r>
        <w:rPr>
          <w:rFonts w:ascii="Calibri Light" w:eastAsia="Calibri Light" w:hAnsi="Calibri Light" w:cs="Calibri Light"/>
          <w:color w:val="404040" w:themeColor="text1" w:themeTint="BF"/>
          <w:sz w:val="18"/>
        </w:rPr>
        <w:t>SOC 2: CC7.3]</w:t>
      </w:r>
    </w:p>
    <w:p w14:paraId="22F769BD" w14:textId="43AC459E" w:rsidR="00F55B91" w:rsidRDefault="00000000">
      <w:pPr>
        <w:pStyle w:val="Emphasis-Normal"/>
        <w:numPr>
          <w:ilvl w:val="0"/>
          <w:numId w:val="17"/>
        </w:numPr>
        <w:spacing w:after="120"/>
        <w:jc w:val="both"/>
      </w:pPr>
      <w:r>
        <w:rPr>
          <w:color w:val="404040" w:themeColor="text1" w:themeTint="BF"/>
        </w:rPr>
        <w:t xml:space="preserve">POL-RSK-001 Risk Management </w:t>
      </w:r>
      <w:r w:rsidR="00FE1413">
        <w:rPr>
          <w:color w:val="404040" w:themeColor="text1" w:themeTint="BF"/>
        </w:rPr>
        <w:t>Policy [</w:t>
      </w:r>
      <w:r>
        <w:rPr>
          <w:rFonts w:ascii="Calibri Light" w:eastAsia="Calibri Light" w:hAnsi="Calibri Light" w:cs="Calibri Light"/>
          <w:color w:val="404040" w:themeColor="text1" w:themeTint="BF"/>
          <w:sz w:val="18"/>
        </w:rPr>
        <w:t>SOC 2: CC3.4]</w:t>
      </w:r>
    </w:p>
    <w:p w14:paraId="08A02A77" w14:textId="77777777" w:rsidR="00F55B91" w:rsidRDefault="00000000">
      <w:pPr>
        <w:pStyle w:val="Emphasis-Normal"/>
        <w:numPr>
          <w:ilvl w:val="0"/>
          <w:numId w:val="17"/>
        </w:numPr>
        <w:spacing w:after="120"/>
        <w:jc w:val="both"/>
      </w:pPr>
      <w:r>
        <w:rPr>
          <w:color w:val="404040" w:themeColor="text1" w:themeTint="BF"/>
        </w:rPr>
        <w:t>EU General Data Protection Regulation, Articles 5, 6, 28 and 32</w:t>
      </w:r>
    </w:p>
    <w:p w14:paraId="0389D08E" w14:textId="77777777" w:rsidR="00F55B91" w:rsidRDefault="00000000">
      <w:pPr>
        <w:pStyle w:val="Heading1"/>
        <w:numPr>
          <w:ilvl w:val="0"/>
          <w:numId w:val="3"/>
        </w:numPr>
        <w:suppressLineNumbers/>
        <w:spacing w:after="160"/>
      </w:pPr>
      <w:bookmarkStart w:id="35" w:name="_Toc236674048"/>
      <w:bookmarkStart w:id="36" w:name="_Toc237815963"/>
      <w:r>
        <w:rPr>
          <w:caps/>
          <w:sz w:val="32"/>
        </w:rPr>
        <w:t>Document Policy History</w:t>
      </w:r>
      <w:bookmarkEnd w:id="35"/>
      <w:bookmarkEnd w:id="36"/>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F55B91" w14:paraId="22833E40"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59128956" w14:textId="77777777" w:rsidR="00F55B91"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372B9976" w14:textId="77777777" w:rsidR="00F55B91"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1EAB08F4" w14:textId="77777777" w:rsidR="00F55B91" w:rsidRDefault="00000000">
            <w:pPr>
              <w:suppressLineNumbers/>
              <w:spacing w:before="40" w:after="40" w:line="240" w:lineRule="auto"/>
            </w:pPr>
            <w:r>
              <w:rPr>
                <w:b/>
                <w:sz w:val="20"/>
              </w:rPr>
              <w:t>Description</w:t>
            </w:r>
          </w:p>
        </w:tc>
      </w:tr>
      <w:tr w:rsidR="00F55B91" w14:paraId="3AF6FC7D"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1FF7ED47" w14:textId="77777777" w:rsidR="00F55B91"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05566FF9" w14:textId="77777777" w:rsidR="00F55B91"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60125941" w14:textId="77777777" w:rsidR="00F55B91" w:rsidRDefault="00000000">
            <w:pPr>
              <w:suppressLineNumbers/>
              <w:spacing w:before="40" w:after="40" w:line="240" w:lineRule="auto"/>
            </w:pPr>
            <w:r>
              <w:rPr>
                <w:sz w:val="20"/>
              </w:rPr>
              <w:t>Initial policy release</w:t>
            </w:r>
          </w:p>
        </w:tc>
      </w:tr>
    </w:tbl>
    <w:p w14:paraId="30411423" w14:textId="77777777" w:rsidR="00F55B91" w:rsidRDefault="00F55B91"/>
    <w:sectPr w:rsidR="00F55B9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7370E7" w14:textId="77777777" w:rsidR="00C4363E" w:rsidRDefault="00C4363E">
      <w:pPr>
        <w:spacing w:after="0" w:line="240" w:lineRule="auto"/>
      </w:pPr>
      <w:r>
        <w:separator/>
      </w:r>
    </w:p>
  </w:endnote>
  <w:endnote w:type="continuationSeparator" w:id="0">
    <w:p w14:paraId="6937683C" w14:textId="77777777" w:rsidR="00C4363E" w:rsidRDefault="00C43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6E70C" w14:textId="77777777" w:rsidR="00F55B91" w:rsidRDefault="00F55B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1D13D" w14:textId="77777777" w:rsidR="00F55B91" w:rsidRDefault="00000000">
    <w:pPr>
      <w:suppressLineNumbers/>
      <w:pBdr>
        <w:top w:val="single" w:sz="6" w:space="4" w:color="1B4965"/>
      </w:pBdr>
      <w:spacing w:before="160" w:after="0"/>
      <w:jc w:val="center"/>
    </w:pPr>
    <w:r>
      <w:rPr>
        <w:sz w:val="17"/>
      </w:rPr>
      <w:t xml:space="preserve">PromptHalo Technologies   ·   Internal   ·   POL-AI-001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ACA87" w14:textId="77777777" w:rsidR="00F55B91" w:rsidRDefault="00F55B91">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1D53D9" w14:textId="77777777" w:rsidR="00F55B91" w:rsidRDefault="00F55B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92FAE" w14:textId="77777777" w:rsidR="00F55B91" w:rsidRDefault="00000000">
    <w:pPr>
      <w:suppressLineNumbers/>
      <w:pBdr>
        <w:top w:val="single" w:sz="6" w:space="4" w:color="1B4965"/>
      </w:pBdr>
      <w:spacing w:before="160" w:after="0"/>
      <w:jc w:val="center"/>
    </w:pPr>
    <w:r>
      <w:rPr>
        <w:sz w:val="17"/>
      </w:rPr>
      <w:t xml:space="preserve">PromptHalo Technologies   ·   Internal   ·   POL-AI-001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98D4F" w14:textId="77777777" w:rsidR="00F55B91" w:rsidRDefault="00F55B91">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C3F3D8" w14:textId="77777777" w:rsidR="00C4363E" w:rsidRDefault="00C4363E">
      <w:pPr>
        <w:spacing w:after="0" w:line="240" w:lineRule="auto"/>
      </w:pPr>
      <w:r>
        <w:separator/>
      </w:r>
    </w:p>
  </w:footnote>
  <w:footnote w:type="continuationSeparator" w:id="0">
    <w:p w14:paraId="02790982" w14:textId="77777777" w:rsidR="00C4363E" w:rsidRDefault="00C43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913E1" w14:textId="77777777" w:rsidR="00F55B91" w:rsidRDefault="00F55B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D9E90" w14:textId="77777777" w:rsidR="00F55B91" w:rsidRDefault="00000000">
    <w:pPr>
      <w:suppressLineNumbers/>
      <w:pBdr>
        <w:bottom w:val="single" w:sz="6" w:space="4" w:color="1B4965"/>
      </w:pBdr>
      <w:spacing w:after="160"/>
      <w:jc w:val="center"/>
    </w:pPr>
    <w:r>
      <w:rPr>
        <w:b/>
        <w:caps/>
        <w:spacing w:val="12"/>
        <w:sz w:val="17"/>
      </w:rPr>
      <w:t>ARTIFICIAL INTELLIGENCE GOVERNANCE POLICY   ·   INTERNAL   ·   POL-AI-001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CB6169" w14:textId="77777777" w:rsidR="00F55B91" w:rsidRDefault="00F55B91">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05AF7" w14:textId="77777777" w:rsidR="00F55B91" w:rsidRDefault="00F55B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D62954" w14:textId="77777777" w:rsidR="00F55B91" w:rsidRDefault="00000000">
    <w:pPr>
      <w:suppressLineNumbers/>
      <w:pBdr>
        <w:bottom w:val="single" w:sz="6" w:space="4" w:color="1B4965"/>
      </w:pBdr>
      <w:spacing w:after="160"/>
      <w:jc w:val="center"/>
    </w:pPr>
    <w:r>
      <w:rPr>
        <w:b/>
        <w:caps/>
        <w:spacing w:val="12"/>
        <w:sz w:val="17"/>
      </w:rPr>
      <w:t>ARTIFICIAL INTELLIGENCE GOVERNANCE POLICY   ·   INTERNAL   ·   POL-AI-001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9EFE8" w14:textId="77777777" w:rsidR="00F55B91" w:rsidRDefault="00F55B91">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6C1295"/>
    <w:multiLevelType w:val="multilevel"/>
    <w:tmpl w:val="2190D6A4"/>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E831E39"/>
    <w:multiLevelType w:val="multilevel"/>
    <w:tmpl w:val="4EE65E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69B609E"/>
    <w:multiLevelType w:val="multilevel"/>
    <w:tmpl w:val="A20C55D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66D308C4"/>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005977749">
    <w:abstractNumId w:val="2"/>
  </w:num>
  <w:num w:numId="2" w16cid:durableId="1029450323">
    <w:abstractNumId w:val="3"/>
  </w:num>
  <w:num w:numId="3" w16cid:durableId="65692178">
    <w:abstractNumId w:val="0"/>
  </w:num>
  <w:num w:numId="4" w16cid:durableId="533736244">
    <w:abstractNumId w:val="1"/>
    <w:lvlOverride w:ilvl="0">
      <w:startOverride w:val="1"/>
    </w:lvlOverride>
  </w:num>
  <w:num w:numId="5" w16cid:durableId="1287196473">
    <w:abstractNumId w:val="1"/>
    <w:lvlOverride w:ilvl="0">
      <w:startOverride w:val="1"/>
    </w:lvlOverride>
  </w:num>
  <w:num w:numId="6" w16cid:durableId="1511719495">
    <w:abstractNumId w:val="1"/>
    <w:lvlOverride w:ilvl="0">
      <w:startOverride w:val="1"/>
    </w:lvlOverride>
  </w:num>
  <w:num w:numId="7" w16cid:durableId="28379874">
    <w:abstractNumId w:val="1"/>
    <w:lvlOverride w:ilvl="0">
      <w:startOverride w:val="1"/>
    </w:lvlOverride>
  </w:num>
  <w:num w:numId="8" w16cid:durableId="1750302426">
    <w:abstractNumId w:val="1"/>
    <w:lvlOverride w:ilvl="0">
      <w:startOverride w:val="1"/>
    </w:lvlOverride>
  </w:num>
  <w:num w:numId="9" w16cid:durableId="2116363399">
    <w:abstractNumId w:val="1"/>
    <w:lvlOverride w:ilvl="0">
      <w:startOverride w:val="1"/>
    </w:lvlOverride>
  </w:num>
  <w:num w:numId="10" w16cid:durableId="1507939409">
    <w:abstractNumId w:val="1"/>
    <w:lvlOverride w:ilvl="0">
      <w:startOverride w:val="1"/>
    </w:lvlOverride>
  </w:num>
  <w:num w:numId="11" w16cid:durableId="1854148276">
    <w:abstractNumId w:val="1"/>
    <w:lvlOverride w:ilvl="0">
      <w:startOverride w:val="1"/>
    </w:lvlOverride>
  </w:num>
  <w:num w:numId="12" w16cid:durableId="1299073511">
    <w:abstractNumId w:val="1"/>
    <w:lvlOverride w:ilvl="0">
      <w:startOverride w:val="1"/>
    </w:lvlOverride>
  </w:num>
  <w:num w:numId="13" w16cid:durableId="741485941">
    <w:abstractNumId w:val="1"/>
    <w:lvlOverride w:ilvl="0">
      <w:startOverride w:val="1"/>
    </w:lvlOverride>
  </w:num>
  <w:num w:numId="14" w16cid:durableId="1132137546">
    <w:abstractNumId w:val="1"/>
    <w:lvlOverride w:ilvl="0">
      <w:startOverride w:val="1"/>
    </w:lvlOverride>
  </w:num>
  <w:num w:numId="15" w16cid:durableId="1004433127">
    <w:abstractNumId w:val="1"/>
    <w:lvlOverride w:ilvl="0">
      <w:startOverride w:val="1"/>
    </w:lvlOverride>
  </w:num>
  <w:num w:numId="16" w16cid:durableId="21367532">
    <w:abstractNumId w:val="1"/>
    <w:lvlOverride w:ilvl="0">
      <w:startOverride w:val="1"/>
    </w:lvlOverride>
  </w:num>
  <w:num w:numId="17" w16cid:durableId="693964454">
    <w:abstractNumId w:val="1"/>
    <w:lvlOverride w:ilvl="0">
      <w:startOverride w:val="1"/>
    </w:lvlOverride>
  </w:num>
  <w:num w:numId="18" w16cid:durableId="837966113">
    <w:abstractNumId w:val="2"/>
    <w:lvlOverride w:ilvl="0">
      <w:startOverride w:val="1"/>
    </w:lvlOverride>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B91"/>
    <w:rsid w:val="000627F7"/>
    <w:rsid w:val="0049620A"/>
    <w:rsid w:val="00C4363E"/>
    <w:rsid w:val="00D232B4"/>
    <w:rsid w:val="00F55B91"/>
    <w:rsid w:val="00FE141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BEB5E90"/>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2530</Words>
  <Characters>14425</Characters>
  <Application>Microsoft Office Word</Application>
  <DocSecurity>0</DocSecurity>
  <Lines>120</Lines>
  <Paragraphs>33</Paragraphs>
  <ScaleCrop>false</ScaleCrop>
  <Company/>
  <LinksUpToDate>false</LinksUpToDate>
  <CharactersWithSpaces>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2026-08-17T03:40:00Z</cp:lastPrinted>
  <dcterms:created xsi:type="dcterms:W3CDTF">2026-08-17T03:40:00Z</dcterms:created>
  <dcterms:modified xsi:type="dcterms:W3CDTF">2026-08-17T03:40:00Z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