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87210"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6E0CBD5B"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79C93B53"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37F5D551" w14:textId="77777777" w:rsidR="00FB29F6"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DATA RETENTION, DISPOSAL AND DISASTER RECOVERY POLICY</w:t>
      </w:r>
    </w:p>
    <w:p w14:paraId="6D054922"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7ED38CD7"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14CF1F1A" w14:textId="77777777" w:rsidR="00FB29F6"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1.1</w:t>
      </w:r>
    </w:p>
    <w:p w14:paraId="68E8D9D2" w14:textId="77777777" w:rsidR="00FB29F6" w:rsidRDefault="00000000">
      <w:pPr>
        <w:suppressLineNumbers/>
        <w:spacing w:after="40" w:line="240" w:lineRule="auto"/>
        <w:jc w:val="center"/>
        <w:rPr>
          <w:rFonts w:ascii="Calibri Light" w:hAnsi="Calibri Light" w:cs="Calibri Light"/>
          <w:sz w:val="20"/>
          <w:szCs w:val="20"/>
        </w:rPr>
      </w:pPr>
      <w:r>
        <w:rPr>
          <w:sz w:val="21"/>
        </w:rPr>
        <w:t>Revision Date: August 28, 2026</w:t>
      </w:r>
    </w:p>
    <w:p w14:paraId="47F94207" w14:textId="77777777" w:rsidR="00FB29F6"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4066E03C" w14:textId="77777777" w:rsidR="00FB29F6" w:rsidRDefault="00FB29F6">
      <w:pPr>
        <w:suppressLineNumbers/>
        <w:spacing w:after="40" w:line="240" w:lineRule="auto"/>
        <w:jc w:val="center"/>
      </w:pPr>
    </w:p>
    <w:p w14:paraId="45B52188" w14:textId="77777777" w:rsidR="00FB29F6" w:rsidRDefault="00FB29F6">
      <w:pPr>
        <w:suppressLineNumbers/>
        <w:spacing w:after="40" w:line="240" w:lineRule="auto"/>
        <w:jc w:val="center"/>
      </w:pPr>
    </w:p>
    <w:p w14:paraId="50D4400A" w14:textId="77777777" w:rsidR="00FB29F6" w:rsidRDefault="00FB29F6">
      <w:pPr>
        <w:suppressLineNumbers/>
        <w:spacing w:after="40" w:line="240" w:lineRule="auto"/>
        <w:jc w:val="center"/>
      </w:pPr>
    </w:p>
    <w:p w14:paraId="79A98D1B" w14:textId="77777777" w:rsidR="00FB29F6" w:rsidRDefault="00FB29F6">
      <w:pPr>
        <w:suppressLineNumbers/>
        <w:spacing w:after="40" w:line="240" w:lineRule="auto"/>
        <w:jc w:val="center"/>
      </w:pPr>
    </w:p>
    <w:p w14:paraId="78973DF7" w14:textId="77777777" w:rsidR="00FB29F6" w:rsidRDefault="00FB29F6">
      <w:pPr>
        <w:suppressLineNumbers/>
        <w:spacing w:after="40" w:line="240" w:lineRule="auto"/>
        <w:jc w:val="center"/>
      </w:pPr>
    </w:p>
    <w:p w14:paraId="5D3121FE" w14:textId="77777777" w:rsidR="00FB29F6" w:rsidRDefault="00000000">
      <w:pPr>
        <w:suppressLineNumbers/>
        <w:spacing w:after="40" w:line="240" w:lineRule="auto"/>
        <w:jc w:val="center"/>
      </w:pPr>
      <w:bookmarkStart w:id="0" w:name="EffectiveDate"/>
      <w:r>
        <w:rPr>
          <w:noProof/>
        </w:rPr>
        <w:drawing>
          <wp:inline distT="0" distB="0" distL="0" distR="0" wp14:anchorId="6B97A768" wp14:editId="33FE2E8D">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40F1F174" w14:textId="77777777" w:rsidR="00FB29F6"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FB29F6" w14:paraId="377FA32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CC8C35D" w14:textId="77777777" w:rsidR="00FB29F6"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5CFB808E" w14:textId="77777777" w:rsidR="00FB29F6" w:rsidRDefault="00000000">
            <w:pPr>
              <w:pStyle w:val="BodyText9"/>
              <w:suppressLineNumbers/>
              <w:spacing w:before="40" w:after="40" w:line="240" w:lineRule="auto"/>
            </w:pPr>
            <w:r>
              <w:rPr>
                <w:b/>
                <w:color w:val="404040" w:themeColor="text1" w:themeTint="BF"/>
                <w:sz w:val="20"/>
                <w:szCs w:val="20"/>
              </w:rPr>
              <w:t>Governance, Ethics, and Security</w:t>
            </w:r>
          </w:p>
        </w:tc>
      </w:tr>
      <w:tr w:rsidR="00FB29F6" w14:paraId="167ABF6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6A2C14C" w14:textId="77777777" w:rsidR="00FB29F6"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1CDE47F2" w14:textId="77777777" w:rsidR="00FB29F6" w:rsidRDefault="00000000">
            <w:pPr>
              <w:pStyle w:val="BodyText9"/>
              <w:suppressLineNumbers/>
              <w:spacing w:before="40" w:after="40" w:line="240" w:lineRule="auto"/>
            </w:pPr>
            <w:r>
              <w:rPr>
                <w:color w:val="404040" w:themeColor="text1" w:themeTint="BF"/>
                <w:sz w:val="20"/>
              </w:rPr>
              <w:t>Data Retention, Disposal and Disaster Recovery Policy</w:t>
            </w:r>
          </w:p>
        </w:tc>
      </w:tr>
      <w:tr w:rsidR="00FB29F6" w14:paraId="12F09F8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E0D4D2B" w14:textId="77777777" w:rsidR="00FB29F6"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5F5675C3" w14:textId="77777777" w:rsidR="00FB29F6" w:rsidRDefault="00000000">
            <w:pPr>
              <w:pStyle w:val="BodyText9"/>
              <w:suppressLineNumbers/>
              <w:spacing w:before="40" w:after="40" w:line="240" w:lineRule="auto"/>
            </w:pPr>
            <w:r>
              <w:rPr>
                <w:color w:val="404040" w:themeColor="text1" w:themeTint="BF"/>
                <w:sz w:val="20"/>
              </w:rPr>
              <w:t>POL-DRD-001</w:t>
            </w:r>
          </w:p>
        </w:tc>
      </w:tr>
      <w:tr w:rsidR="00FB29F6" w14:paraId="11C38E0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247773" w14:textId="77777777" w:rsidR="00FB29F6"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6075136" w14:textId="77777777" w:rsidR="00FB29F6" w:rsidRDefault="00000000">
            <w:pPr>
              <w:pStyle w:val="BodyText9"/>
              <w:suppressLineNumbers/>
              <w:spacing w:before="40" w:after="40" w:line="240" w:lineRule="auto"/>
            </w:pPr>
            <w:r>
              <w:rPr>
                <w:color w:val="404040" w:themeColor="text1" w:themeTint="BF"/>
                <w:sz w:val="20"/>
              </w:rPr>
              <w:t>1.1</w:t>
            </w:r>
          </w:p>
        </w:tc>
      </w:tr>
      <w:tr w:rsidR="00FB29F6" w14:paraId="55836CA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62CCE0F" w14:textId="77777777" w:rsidR="00FB29F6"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FE9C04F" w14:textId="77777777" w:rsidR="00FB29F6" w:rsidRDefault="00000000">
            <w:pPr>
              <w:pStyle w:val="BodyText9"/>
              <w:suppressLineNumbers/>
              <w:spacing w:before="40" w:after="40" w:line="240" w:lineRule="auto"/>
            </w:pPr>
            <w:r>
              <w:rPr>
                <w:color w:val="404040" w:themeColor="text1" w:themeTint="BF"/>
                <w:sz w:val="20"/>
              </w:rPr>
              <w:t>August 28, 2026</w:t>
            </w:r>
          </w:p>
        </w:tc>
      </w:tr>
      <w:tr w:rsidR="00FB29F6" w14:paraId="3FE7F3C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DEBB688" w14:textId="77777777" w:rsidR="00FB29F6"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46C648E9" w14:textId="77777777" w:rsidR="00FB29F6" w:rsidRDefault="00000000">
            <w:pPr>
              <w:pStyle w:val="BodyText9"/>
              <w:suppressLineNumbers/>
              <w:spacing w:before="40" w:after="40" w:line="240" w:lineRule="auto"/>
            </w:pPr>
            <w:r>
              <w:rPr>
                <w:color w:val="404040" w:themeColor="text1" w:themeTint="BF"/>
                <w:sz w:val="20"/>
              </w:rPr>
              <w:t>Information Security Steering Committee</w:t>
            </w:r>
          </w:p>
        </w:tc>
      </w:tr>
      <w:tr w:rsidR="00FB29F6" w14:paraId="40941DB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07EF62D" w14:textId="77777777" w:rsidR="00FB29F6"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1B6E5A0" w14:textId="77777777" w:rsidR="00FB29F6" w:rsidRDefault="00000000">
            <w:pPr>
              <w:pStyle w:val="BodyText9"/>
              <w:suppressLineNumbers/>
              <w:spacing w:before="40" w:after="40" w:line="240" w:lineRule="auto"/>
            </w:pPr>
            <w:r>
              <w:rPr>
                <w:color w:val="404040" w:themeColor="text1" w:themeTint="BF"/>
                <w:sz w:val="20"/>
              </w:rPr>
              <w:t>August 28, 2026</w:t>
            </w:r>
          </w:p>
        </w:tc>
      </w:tr>
      <w:tr w:rsidR="00FB29F6" w14:paraId="28E6AF5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D43DEBA" w14:textId="77777777" w:rsidR="00FB29F6"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FC44DB9" w14:textId="77777777" w:rsidR="00FB29F6" w:rsidRDefault="00000000">
            <w:pPr>
              <w:pStyle w:val="BodyText9"/>
              <w:suppressLineNumbers/>
              <w:spacing w:before="40" w:after="40" w:line="240" w:lineRule="auto"/>
            </w:pPr>
            <w:r>
              <w:rPr>
                <w:color w:val="404040" w:themeColor="text1" w:themeTint="BF"/>
                <w:sz w:val="20"/>
              </w:rPr>
              <w:t>August 28, 2027</w:t>
            </w:r>
          </w:p>
        </w:tc>
      </w:tr>
      <w:tr w:rsidR="00FB29F6" w14:paraId="4F62E75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E15D1F" w14:textId="77777777" w:rsidR="00FB29F6"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4BE30CC" w14:textId="77777777" w:rsidR="00FB29F6" w:rsidRDefault="00000000">
            <w:pPr>
              <w:pStyle w:val="BodyText9"/>
              <w:suppressLineNumbers/>
              <w:spacing w:before="40" w:after="40" w:line="240" w:lineRule="auto"/>
            </w:pPr>
            <w:r>
              <w:rPr>
                <w:color w:val="404040" w:themeColor="text1" w:themeTint="BF"/>
                <w:sz w:val="20"/>
              </w:rPr>
              <w:t>Internal</w:t>
            </w:r>
          </w:p>
        </w:tc>
      </w:tr>
      <w:tr w:rsidR="00FB29F6" w14:paraId="4189FE2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051B74B" w14:textId="77777777" w:rsidR="00FB29F6"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79F1850B" w14:textId="77777777" w:rsidR="00FB29F6" w:rsidRDefault="00000000">
            <w:pPr>
              <w:pStyle w:val="BodyText9"/>
              <w:suppressLineNumbers/>
              <w:spacing w:before="40" w:after="40" w:line="240" w:lineRule="auto"/>
            </w:pPr>
            <w:r>
              <w:fldChar w:fldCharType="begin"/>
              <w:instrText xml:space="preserve"> DOCPROPERTY "DocOwner"</w:instrText>
              <w:fldChar w:fldCharType="separate"/>
              <w:t>Chief Executive Officer — Accountable Party</w:t>
              <w:fldChar w:fldCharType="end"/>
            </w:r>
          </w:p>
        </w:tc>
      </w:tr>
      <w:tr w:rsidR="00FB29F6" w14:paraId="3CC10A7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5E8852B" w14:textId="77777777" w:rsidR="00FB29F6"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449C2C0" w14:textId="77777777" w:rsidR="00FB29F6" w:rsidRDefault="00000000">
            <w:pPr>
              <w:pStyle w:val="BodyText9"/>
              <w:suppressLineNumbers/>
              <w:spacing w:before="40" w:after="40" w:line="240" w:lineRule="auto"/>
            </w:pPr>
            <w:r>
              <w:rPr>
                <w:color w:val="404040" w:themeColor="text1" w:themeTint="BF"/>
                <w:sz w:val="20"/>
              </w:rPr>
              <w:t>Security Officer</w:t>
            </w:r>
          </w:p>
        </w:tc>
      </w:tr>
      <w:tr w:rsidR="00FB29F6" w14:paraId="732E6A9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BAE1A6" w14:textId="77777777" w:rsidR="00FB29F6"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06F9185" w14:textId="77777777" w:rsidR="00FB29F6" w:rsidRDefault="00000000">
            <w:pPr>
              <w:pStyle w:val="BodyText9"/>
              <w:suppressLineNumbers/>
              <w:spacing w:before="40" w:after="40" w:line="240" w:lineRule="auto"/>
            </w:pPr>
            <w:r>
              <w:fldChar w:fldCharType="begin"/>
              <w:instrText xml:space="preserve"> DOCPROPERTY "ReviewCycle"</w:instrText>
              <w:fldChar w:fldCharType="separate"/>
              <w:t>Annual, or upon material change</w:t>
              <w:fldChar w:fldCharType="end"/>
            </w:r>
          </w:p>
        </w:tc>
      </w:tr>
      <w:tr w:rsidR="00FB29F6" w14:paraId="008F78A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BC0370" w14:textId="77777777" w:rsidR="00FB29F6"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05DCBEC6" w14:textId="77777777" w:rsidR="00FB29F6" w:rsidRDefault="00000000">
            <w:pPr>
              <w:pStyle w:val="BodyText9"/>
              <w:suppressLineNumbers/>
              <w:spacing w:before="40" w:after="40" w:line="240" w:lineRule="auto"/>
            </w:pPr>
            <w:r>
              <w:rPr>
                <w:color w:val="404040" w:themeColor="text1" w:themeTint="BF"/>
                <w:sz w:val="20"/>
              </w:rPr>
              <w:t>POL-DRD-001 v1.0 (Data Retention and Disposal Policy)</w:t>
            </w:r>
          </w:p>
        </w:tc>
      </w:tr>
      <w:tr w:rsidR="00FB29F6" w14:paraId="2488063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B14D738" w14:textId="77777777" w:rsidR="00FB29F6"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0991416F" w14:textId="77777777" w:rsidR="00FB29F6" w:rsidRDefault="00000000">
            <w:pPr>
              <w:pStyle w:val="BodyText9"/>
              <w:suppressLineNumbers/>
              <w:spacing w:before="40" w:after="40" w:line="240" w:lineRule="auto"/>
            </w:pPr>
            <w:r>
              <w:fldChar w:fldCharType="begin"/>
              <w:instrText xml:space="preserve"> DOCPROPERTY "Audience"</w:instrText>
              <w:fldChar w:fldCharType="separate"/>
              <w:t>All personnel, including employees and contractors</w:t>
              <w:fldChar w:fldCharType="end"/>
            </w:r>
          </w:p>
        </w:tc>
      </w:tr>
    </w:tbl>
    <w:p w14:paraId="11646296" w14:textId="77777777" w:rsidR="00FB29F6" w:rsidRDefault="00FB29F6">
      <w:pPr>
        <w:suppressLineNumbers/>
        <w:rPr>
          <w:rStyle w:val="Strong"/>
        </w:rPr>
      </w:pPr>
    </w:p>
    <w:p w14:paraId="5326DF75" w14:textId="77777777" w:rsidR="00FB29F6"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FB29F6" w14:paraId="0E2AAB72"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15576E3A" w14:textId="77777777" w:rsidR="00FB29F6"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562C535A" w14:textId="77777777" w:rsidR="00FB29F6"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7D868AF1" w14:textId="77777777" w:rsidR="00FB29F6"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2D8D4B4B" w14:textId="77777777" w:rsidR="00FB29F6"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208E4CF2" w14:textId="77777777" w:rsidR="00FB29F6" w:rsidRDefault="00000000">
            <w:pPr>
              <w:pStyle w:val="BodyText9"/>
              <w:suppressLineNumbers/>
              <w:spacing w:before="40" w:after="40" w:line="240" w:lineRule="auto"/>
            </w:pPr>
            <w:r>
              <w:rPr>
                <w:b/>
                <w:color w:val="404040" w:themeColor="text1" w:themeTint="BF"/>
                <w:sz w:val="20"/>
                <w:szCs w:val="20"/>
              </w:rPr>
              <w:t>Date</w:t>
            </w:r>
          </w:p>
        </w:tc>
      </w:tr>
      <w:tr w:rsidR="00FB29F6" w14:paraId="3DB59E98"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15FFEB7D" w14:textId="77777777" w:rsidR="00FB29F6" w:rsidRDefault="00000000">
            <w:pPr>
              <w:pStyle w:val="BodyText9"/>
              <w:suppressLineNumbers/>
              <w:spacing w:before="40" w:after="40" w:line="240" w:lineRule="auto"/>
            </w:pPr>
            <w:r>
              <w:rPr>
                <w:b/>
                <w:color w:val="404040" w:themeColor="text1" w:themeTint="BF"/>
                <w:sz w:val="20"/>
                <w:szCs w:val="20"/>
              </w:rPr>
              <w:t xml:space="preserve">Madhuri Chandoor</w:t>
            </w:r>
          </w:p>
        </w:tc>
        <w:tc>
          <w:tcPr>
            <w:tcW w:w="1107" w:type="dxa"/>
            <w:tcBorders>
              <w:top w:val="single" w:sz="2" w:space="0" w:color="808080"/>
              <w:left w:val="single" w:sz="2" w:space="0" w:color="808080"/>
              <w:bottom w:val="single" w:sz="2" w:space="0" w:color="808080"/>
              <w:right w:val="single" w:sz="2" w:space="0" w:color="808080"/>
            </w:tcBorders>
          </w:tcPr>
          <w:p w14:paraId="15F9E14C" w14:textId="77777777" w:rsidR="00FB29F6"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2E44CDA5" w14:textId="77777777" w:rsidR="00FB29F6"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2091ECCA" w14:textId="77777777" w:rsidR="00FB29F6" w:rsidRDefault="00FB29F6">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1935BD8E" w14:textId="77777777" w:rsidR="00FB29F6" w:rsidRDefault="00000000">
            <w:pPr>
              <w:pStyle w:val="BodyText9"/>
              <w:suppressLineNumbers/>
              <w:spacing w:before="40" w:after="40" w:line="240" w:lineRule="auto"/>
            </w:pPr>
            <w:r>
              <w:rPr>
                <w:color w:val="404040" w:themeColor="text1" w:themeTint="BF"/>
                <w:sz w:val="20"/>
              </w:rPr>
              <w:t>August 18, 2026</w:t>
            </w:r>
          </w:p>
        </w:tc>
      </w:tr>
      <w:tr w:rsidR="00FB29F6" w14:paraId="2B424289"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7B91F4EC" w14:textId="77777777" w:rsidR="00FB29F6"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296DFB6B" w14:textId="77777777" w:rsidR="00FB29F6"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7B53111B" w14:textId="77777777" w:rsidR="00FB29F6"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3CC445D3" w14:textId="77777777" w:rsidR="00FB29F6" w:rsidRDefault="00FB29F6">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0B783A5" w14:textId="77777777" w:rsidR="00FB29F6" w:rsidRDefault="00000000">
            <w:pPr>
              <w:pStyle w:val="BodyText9"/>
              <w:suppressLineNumbers/>
              <w:spacing w:before="40" w:after="40" w:line="240" w:lineRule="auto"/>
            </w:pPr>
            <w:r>
              <w:rPr>
                <w:color w:val="404040" w:themeColor="text1" w:themeTint="BF"/>
                <w:sz w:val="20"/>
              </w:rPr>
              <w:t>August 18, 2026</w:t>
            </w:r>
          </w:p>
        </w:tc>
      </w:tr>
    </w:tbl>
    <w:p w14:paraId="27FF4355" w14:textId="77777777" w:rsidR="00FB29F6" w:rsidRDefault="00FB29F6">
      <w:pPr>
        <w:suppressLineNumbers/>
        <w:rPr>
          <w:rStyle w:val="Strong"/>
        </w:rPr>
      </w:pPr>
    </w:p>
    <w:p w14:paraId="06C6EB40" w14:textId="77777777" w:rsidR="00FB29F6" w:rsidRDefault="00000000">
      <w:pPr>
        <w:suppressLineNumbers/>
        <w:spacing w:before="360" w:after="160"/>
      </w:pPr>
      <w:r>
        <w:rPr>
          <w:rStyle w:val="Strong"/>
          <w:caps/>
        </w:rPr>
        <w:t>COMPLIANCE</w:t>
      </w:r>
    </w:p>
    <w:p w14:paraId="183BA1C9" w14:textId="77777777" w:rsidR="00FB29F6" w:rsidRDefault="00000000">
      <w:pPr>
        <w:pStyle w:val="BodyText9"/>
        <w:suppressLineNumbers/>
        <w:spacing w:after="120"/>
        <w:jc w:val="both"/>
      </w:pPr>
      <w:r>
        <w:rPr>
          <w:color w:val="404040" w:themeColor="text1" w:themeTint="BF"/>
        </w:rPr>
        <w:t xml:space="preserve">This Policy is authorised by the Information Security Policy (POL-ISP-001) and supports the SOC 2 Trust Services Criteria CC6.5, CC7.5 and CC9.1, the Availability criteria A1.1 through A1.3, and GDPR Articles 5, 17 and 32(1)(c). The retention schedule and the recovery objectives register are the artifacts; this Policy is short by design.</w:t>
      </w:r>
    </w:p>
    <w:p w14:paraId="42BA63F3" w14:textId="77777777" w:rsidR="00FB29F6" w:rsidRDefault="00FB29F6">
      <w:pPr>
        <w:pStyle w:val="BodyText9"/>
        <w:suppressLineNumbers/>
      </w:pPr>
    </w:p>
    <w:p w14:paraId="03994982" w14:textId="77777777" w:rsidR="00FB29F6" w:rsidRDefault="00000000">
      <w:pPr>
        <w:suppressLineNumbers/>
        <w:spacing w:before="360" w:after="160"/>
        <w:rPr>
          <w:rStyle w:val="Strong"/>
        </w:rPr>
      </w:pPr>
      <w:r>
        <w:rPr>
          <w:rStyle w:val="Strong"/>
          <w:caps/>
        </w:rPr>
        <w:t>DOCUMENT VALIDITY</w:t>
      </w:r>
    </w:p>
    <w:p w14:paraId="2AA5A6BE" w14:textId="77777777" w:rsidR="00FB29F6"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2FFA8870" w14:textId="77777777" w:rsidR="00FB29F6" w:rsidRDefault="00000000">
      <w:pPr>
        <w:suppressLineNumbers/>
      </w:pPr>
      <w:r>
        <w:br w:type="page"/>
      </w:r>
    </w:p>
    <w:p w14:paraId="1CF7A8B7" w14:textId="77777777" w:rsidR="004673D0" w:rsidRDefault="00000000">
      <w:pPr>
        <w:suppressLineNumbers/>
        <w:spacing w:after="160"/>
        <w:rPr>
          <w:noProof/>
        </w:rPr>
      </w:pPr>
      <w:r>
        <w:rPr>
          <w:rStyle w:val="Strong"/>
          <w:caps/>
        </w:rPr>
        <w:lastRenderedPageBreak/>
        <w:t>TABLE OF CONTENTS</w:t>
        <w:fldChar w:fldCharType="begin"/>
        <w:instrText xml:space="preserve"> TOC \o "1-3" \h \z \u </w:instrText>
        <w:fldChar w:fldCharType="separate"/>
      </w:r>
    </w:p>
    <w:p w14:paraId="641041E1" w14:textId="608D8D09"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0" w:history="1">
        <w:r>
          <w:rPr>
            <w:rStyle w:val="Hyperlink"/>
            <w:noProof/>
          </w:rPr>
          <w:t>1 Overview and Purpose</w:t>
        </w:r>
        <w:r>
          <w:rPr>
            <w:noProof/>
            <w:webHidden/>
          </w:rPr>
          <w:tab/>
          <w:fldChar w:fldCharType="begin"/>
          <w:instrText xml:space="preserve"> PAGEREF _Toc237819170 \h </w:instrText>
          <w:fldChar w:fldCharType="separate"/>
          <w:t>5</w:t>
          <w:fldChar w:fldCharType="end"/>
        </w:r>
      </w:hyperlink>
    </w:p>
    <w:p w14:paraId="5EBC46ED" w14:textId="6F541119"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1" w:history="1">
        <w:r>
          <w:rPr>
            <w:rStyle w:val="Hyperlink"/>
            <w:noProof/>
          </w:rPr>
          <w:t>2 Scope</w:t>
        </w:r>
        <w:r>
          <w:rPr>
            <w:noProof/>
            <w:webHidden/>
          </w:rPr>
          <w:tab/>
          <w:fldChar w:fldCharType="begin"/>
          <w:instrText xml:space="preserve"> PAGEREF _Toc237819171 \h </w:instrText>
          <w:fldChar w:fldCharType="separate"/>
          <w:t>5</w:t>
          <w:fldChar w:fldCharType="end"/>
        </w:r>
      </w:hyperlink>
    </w:p>
    <w:p w14:paraId="77F9EB67" w14:textId="15BC36C5"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2" w:history="1">
        <w:r>
          <w:rPr>
            <w:rStyle w:val="Hyperlink"/>
            <w:noProof/>
          </w:rPr>
          <w:t>3 Roles and Definitions</w:t>
        </w:r>
        <w:r>
          <w:rPr>
            <w:noProof/>
            <w:webHidden/>
          </w:rPr>
          <w:tab/>
          <w:fldChar w:fldCharType="begin"/>
          <w:instrText xml:space="preserve"> PAGEREF _Toc237819172 \h </w:instrText>
          <w:fldChar w:fldCharType="separate"/>
          <w:t>5</w:t>
          <w:fldChar w:fldCharType="end"/>
        </w:r>
      </w:hyperlink>
    </w:p>
    <w:p w14:paraId="49C8D18B" w14:textId="0C2676AE"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3" w:history="1">
        <w:r>
          <w:rPr>
            <w:rStyle w:val="Hyperlink"/>
            <w:noProof/>
          </w:rPr>
          <w:t>4 Terminology</w:t>
        </w:r>
        <w:r>
          <w:rPr>
            <w:noProof/>
            <w:webHidden/>
          </w:rPr>
          <w:tab/>
          <w:fldChar w:fldCharType="begin"/>
          <w:instrText xml:space="preserve"> PAGEREF _Toc237819173 \h </w:instrText>
          <w:fldChar w:fldCharType="separate"/>
          <w:t>5</w:t>
          <w:fldChar w:fldCharType="end"/>
        </w:r>
      </w:hyperlink>
    </w:p>
    <w:p w14:paraId="381B9664" w14:textId="34C93067"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4" w:history="1">
        <w:r>
          <w:rPr>
            <w:rStyle w:val="Hyperlink"/>
            <w:noProof/>
          </w:rPr>
          <w:t>5 Retention</w:t>
        </w:r>
        <w:r>
          <w:rPr>
            <w:noProof/>
            <w:webHidden/>
          </w:rPr>
          <w:tab/>
          <w:fldChar w:fldCharType="begin"/>
          <w:instrText xml:space="preserve"> PAGEREF _Toc237819174 \h </w:instrText>
          <w:fldChar w:fldCharType="separate"/>
          <w:t>7</w:t>
          <w:fldChar w:fldCharType="end"/>
        </w:r>
      </w:hyperlink>
    </w:p>
    <w:p w14:paraId="15654C74" w14:textId="6DFC544A"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5" w:history="1">
        <w:r>
          <w:rPr>
            <w:rStyle w:val="Hyperlink"/>
            <w:noProof/>
          </w:rPr>
          <w:t>6 Legal Hold</w:t>
        </w:r>
        <w:r>
          <w:rPr>
            <w:noProof/>
            <w:webHidden/>
          </w:rPr>
          <w:tab/>
          <w:fldChar w:fldCharType="begin"/>
          <w:instrText xml:space="preserve"> PAGEREF _Toc237819175 \h </w:instrText>
          <w:fldChar w:fldCharType="separate"/>
          <w:t>7</w:t>
          <w:fldChar w:fldCharType="end"/>
        </w:r>
      </w:hyperlink>
    </w:p>
    <w:p w14:paraId="6A32B49C" w14:textId="54EF88AC"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6" w:history="1">
        <w:r>
          <w:rPr>
            <w:rStyle w:val="Hyperlink"/>
            <w:noProof/>
          </w:rPr>
          <w:t>7 Disposal</w:t>
        </w:r>
        <w:r>
          <w:rPr>
            <w:noProof/>
            <w:webHidden/>
          </w:rPr>
          <w:tab/>
          <w:fldChar w:fldCharType="begin"/>
          <w:instrText xml:space="preserve"> PAGEREF _Toc237819176 \h </w:instrText>
          <w:fldChar w:fldCharType="separate"/>
          <w:t>7</w:t>
          <w:fldChar w:fldCharType="end"/>
        </w:r>
      </w:hyperlink>
    </w:p>
    <w:p>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1" w:history="1">
        <w:r>
          <w:rPr>
            <w:rStyle w:val="Hyperlink"/>
            <w:noProof/>
          </w:rPr>
          <w:t>8 Backup</w:t>
        </w:r>
        <w:r>
          <w:rPr>
            <w:noProof/>
            <w:webHidden/>
          </w:rPr>
          <w:tab/>
          <w:fldChar w:fldCharType="begin"/>
          <w:instrText xml:space="preserve"> PAGEREF _Toc900001 \h </w:instrText>
          <w:fldChar w:fldCharType="separate"/>
          <w:t>8</w:t>
          <w:fldChar w:fldCharType="end"/>
        </w:r>
      </w:hyperlink>
    </w:p>
    <w:p>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2" w:history="1">
        <w:r>
          <w:rPr>
            <w:rStyle w:val="Hyperlink"/>
            <w:noProof/>
          </w:rPr>
          <w:t>9 Recovery Objectives</w:t>
        </w:r>
        <w:r>
          <w:rPr>
            <w:noProof/>
            <w:webHidden/>
          </w:rPr>
          <w:tab/>
          <w:fldChar w:fldCharType="begin"/>
          <w:instrText xml:space="preserve"> PAGEREF _Toc900002 \h </w:instrText>
          <w:fldChar w:fldCharType="separate"/>
          <w:t>8</w:t>
          <w:fldChar w:fldCharType="end"/>
        </w:r>
      </w:hyperlink>
    </w:p>
    <w:p>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3" w:history="1">
        <w:r>
          <w:rPr>
            <w:rStyle w:val="Hyperlink"/>
            <w:noProof/>
          </w:rPr>
          <w:t>10 Disaster Recovery</w:t>
        </w:r>
        <w:r>
          <w:rPr>
            <w:noProof/>
            <w:webHidden/>
          </w:rPr>
          <w:tab/>
          <w:fldChar w:fldCharType="begin"/>
          <w:instrText xml:space="preserve"> PAGEREF _Toc900003 \h </w:instrText>
          <w:fldChar w:fldCharType="separate"/>
          <w:t>9</w:t>
          <w:fldChar w:fldCharType="end"/>
        </w:r>
      </w:hyperlink>
    </w:p>
    <w:p>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4" w:history="1">
        <w:r>
          <w:rPr>
            <w:rStyle w:val="Hyperlink"/>
            <w:noProof/>
          </w:rPr>
          <w:t>11 Recovery Testing</w:t>
        </w:r>
        <w:r>
          <w:rPr>
            <w:noProof/>
            <w:webHidden/>
          </w:rPr>
          <w:tab/>
          <w:fldChar w:fldCharType="begin"/>
          <w:instrText xml:space="preserve"> PAGEREF _Toc900004 \h </w:instrText>
          <w:fldChar w:fldCharType="separate"/>
          <w:t>9</w:t>
          <w:fldChar w:fldCharType="end"/>
        </w:r>
      </w:hyperlink>
    </w:p>
    <w:p w14:paraId="3647C6E6" w14:textId="35803120"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7" w:history="1">
        <w:r>
          <w:rPr>
            <w:rStyle w:val="Hyperlink"/>
            <w:noProof/>
          </w:rPr>
          <w:t>12 Records</w:t>
        </w:r>
        <w:r>
          <w:rPr>
            <w:noProof/>
            <w:webHidden/>
          </w:rPr>
          <w:tab/>
          <w:fldChar w:fldCharType="begin"/>
          <w:instrText xml:space="preserve"> PAGEREF _Toc237819177 \h </w:instrText>
          <w:fldChar w:fldCharType="separate"/>
          <w:t>10</w:t>
          <w:fldChar w:fldCharType="end"/>
        </w:r>
      </w:hyperlink>
    </w:p>
    <w:p w14:paraId="7AA6338D" w14:textId="40CE13F3"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8" w:history="1">
        <w:r>
          <w:rPr>
            <w:rStyle w:val="Hyperlink"/>
            <w:noProof/>
          </w:rPr>
          <w:t>13 Exceptions</w:t>
        </w:r>
        <w:r>
          <w:rPr>
            <w:noProof/>
            <w:webHidden/>
          </w:rPr>
          <w:tab/>
          <w:fldChar w:fldCharType="begin"/>
          <w:instrText xml:space="preserve"> PAGEREF _Toc237819178 \h </w:instrText>
          <w:fldChar w:fldCharType="separate"/>
          <w:t>10</w:t>
          <w:fldChar w:fldCharType="end"/>
        </w:r>
      </w:hyperlink>
    </w:p>
    <w:p w14:paraId="5514ABCC" w14:textId="7F7588F9"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9" w:history="1">
        <w:r>
          <w:rPr>
            <w:rStyle w:val="Hyperlink"/>
            <w:noProof/>
          </w:rPr>
          <w:t>14 Reference</w:t>
        </w:r>
        <w:r>
          <w:rPr>
            <w:noProof/>
            <w:webHidden/>
          </w:rPr>
          <w:tab/>
          <w:fldChar w:fldCharType="begin"/>
          <w:instrText xml:space="preserve"> PAGEREF _Toc237819179 \h </w:instrText>
          <w:fldChar w:fldCharType="separate"/>
          <w:t>10</w:t>
          <w:fldChar w:fldCharType="end"/>
        </w:r>
      </w:hyperlink>
    </w:p>
    <w:p w14:paraId="150F8974" w14:textId="422B7D87"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80" w:history="1">
        <w:r>
          <w:rPr>
            <w:rStyle w:val="Hyperlink"/>
            <w:noProof/>
          </w:rPr>
          <w:t>15 Document Policy History</w:t>
        </w:r>
        <w:r>
          <w:rPr>
            <w:noProof/>
            <w:webHidden/>
          </w:rPr>
          <w:tab/>
          <w:fldChar w:fldCharType="begin"/>
          <w:instrText xml:space="preserve"> PAGEREF _Toc237819180 \h </w:instrText>
          <w:fldChar w:fldCharType="separate"/>
          <w:t>10</w:t>
          <w:fldChar w:fldCharType="end"/>
        </w:r>
      </w:hyperlink>
    </w:p>
    <w:p w14:paraId="3950FA1E" w14:textId="28D8B72B" w:rsidR="00FB29F6" w:rsidRDefault="004673D0">
      <w:pPr>
        <w:suppressLineNumbers/>
        <w:spacing w:after="160"/>
        <w:rPr>
          <w:rStyle w:val="Strong"/>
        </w:rPr>
      </w:pPr>
      <w:r>
        <w:rPr>
          <w:rStyle w:val="Strong"/>
          <w:caps/>
        </w:rPr>
        <w:fldChar w:fldCharType="end"/>
      </w:r>
    </w:p>
    <w:sdt>
      <w:sdtPr>
        <w:id w:val="-1859342743"/>
        <w:docPartObj>
          <w:docPartGallery w:val="Table of Contents"/>
          <w:docPartUnique/>
        </w:docPartObj>
      </w:sdtPr>
      <w:sdtContent>
        <w:p w14:paraId="72982B09" w14:textId="77777777" w:rsidR="00FB29F6" w:rsidRDefault="00000000">
          <w:pPr>
            <w:sectPr w:rsidR="00FB29F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52B7E5D0" w14:textId="77777777" w:rsidR="00FB29F6" w:rsidRDefault="00000000">
      <w:pPr>
        <w:pStyle w:val="Heading1"/>
        <w:keepNext/>
        <w:numPr>
          <w:ilvl w:val="0"/>
          <w:numId w:val="10"/>
        </w:numPr>
        <w:spacing w:before="240" w:after="80"/>
      </w:pPr>
      <w:bookmarkStart w:id="1" w:name="_S501"/>
      <w:bookmarkStart w:id="2" w:name="_Toc237819170"/>
      <w:r>
        <w:lastRenderedPageBreak/>
        <w:t>Overview and Purpose</w:t>
      </w:r>
      <w:bookmarkEnd w:id="1"/>
      <w:bookmarkEnd w:id="2"/>
    </w:p>
    <w:p w14:paraId="73F84BD4" w14:textId="77777777" w:rsidR="00FB29F6" w:rsidRDefault="00000000">
      <w:pPr>
        <w:pStyle w:val="BodyText9"/>
        <w:spacing w:after="120"/>
        <w:jc w:val="both"/>
      </w:pPr>
      <w:r>
        <w:rPr>
          <w:color w:val="404040" w:themeColor="text1" w:themeTint="BF"/>
        </w:rPr>
        <w:t>PromptHalo Technologies (“the Company”) keeps information for as long as it has a reason to and then disposes of it. This Policy says how that decision is made and how disposal is evidenced.</w:t>
      </w:r>
    </w:p>
    <w:p w14:paraId="1781FA1B" w14:textId="77777777" w:rsidR="00FB29F6" w:rsidRDefault="00000000">
      <w:pPr>
        <w:pStyle w:val="BodyText9"/>
        <w:spacing w:after="120"/>
        <w:jc w:val="both"/>
      </w:pPr>
      <w:r>
        <w:rPr>
          <w:color w:val="404040" w:themeColor="text1" w:themeTint="BF"/>
        </w:rPr>
        <w:t>The retention periods themselves live in a schedule rather than in this document, so that a period can change without amending a policy.</w:t>
      </w:r>
    </w:p>
    <w:p>
      <w:pPr>
        <w:pStyle w:val="BodyText9"/>
        <w:spacing w:after="120"/>
        <w:jc w:val="both"/>
      </w:pPr>
      <w:r>
        <w:rPr>
          <w:color w:val="404040" w:themeColor="text1" w:themeTint="BF"/>
        </w:rPr>
        <w:t xml:space="preserve">It also says how the Company gets that information back when it is lost or the systems holding it are unavailable. Retention and recovery sit in one document because they are the same question asked in two directions: what has to survive, and for how long.</w:t>
      </w:r>
    </w:p>
    <w:p w14:paraId="70649B79" w14:textId="77777777" w:rsidR="00FB29F6" w:rsidRDefault="00000000">
      <w:pPr>
        <w:pStyle w:val="Heading1"/>
        <w:keepNext/>
        <w:numPr>
          <w:ilvl w:val="0"/>
          <w:numId w:val="10"/>
        </w:numPr>
        <w:spacing w:before="240" w:after="80"/>
      </w:pPr>
      <w:bookmarkStart w:id="3" w:name="_S502"/>
      <w:bookmarkStart w:id="4" w:name="_Toc237819171"/>
      <w:r>
        <w:t>Scope</w:t>
      </w:r>
      <w:bookmarkEnd w:id="3"/>
      <w:bookmarkEnd w:id="4"/>
    </w:p>
    <w:p w14:paraId="5EAD5D9A" w14:textId="77777777" w:rsidR="00FB29F6" w:rsidRDefault="00000000">
      <w:pPr>
        <w:pStyle w:val="BodyText9"/>
        <w:spacing w:after="120"/>
        <w:jc w:val="both"/>
      </w:pPr>
      <w:r>
        <w:rPr>
          <w:color w:val="404040" w:themeColor="text1" w:themeTint="BF"/>
        </w:rPr>
        <w:t>This Policy covers Company and client information wherever it is held, and any device or media that has held it.</w:t>
      </w:r>
    </w:p>
    <w:p>
      <w:pPr>
        <w:pStyle w:val="BodyText9"/>
        <w:spacing w:after="120"/>
        <w:jc w:val="both"/>
      </w:pPr>
      <w:r>
        <w:rPr>
          <w:color w:val="404040" w:themeColor="text1" w:themeTint="BF"/>
        </w:rPr>
        <w:t xml:space="preserve">It also covers the backup, restoration and recovery of the systems and services the Company depends on to hold that information and to deliver its service, including those operated by subservice organizations.</w:t>
      </w:r>
    </w:p>
    <w:p w14:paraId="3BECC552" w14:textId="77777777" w:rsidR="00FB29F6" w:rsidRDefault="00000000">
      <w:pPr>
        <w:pStyle w:val="Heading1"/>
        <w:keepNext/>
        <w:numPr>
          <w:ilvl w:val="0"/>
          <w:numId w:val="10"/>
        </w:numPr>
        <w:spacing w:before="240" w:after="80"/>
      </w:pPr>
      <w:bookmarkStart w:id="5" w:name="_S503"/>
      <w:bookmarkStart w:id="6" w:name="_Toc237819172"/>
      <w:r>
        <w:t>Roles and Definitions</w:t>
      </w:r>
      <w:bookmarkEnd w:id="5"/>
      <w:bookmarkEnd w:id="6"/>
    </w:p>
    <w:p w14:paraId="055AB59B" w14:textId="77777777" w:rsidR="00FB29F6" w:rsidRDefault="00000000">
      <w:pPr>
        <w:pStyle w:val="Emphasis-Normal"/>
        <w:numPr>
          <w:ilvl w:val="0"/>
          <w:numId w:val="3"/>
        </w:numPr>
        <w:spacing w:after="120"/>
        <w:jc w:val="both"/>
      </w:pPr>
      <w:r>
        <w:rPr>
          <w:color w:val="404040" w:themeColor="text1" w:themeTint="BF"/>
        </w:rPr>
        <w:t>"The Company" refers to PromptHalo Technologies.</w:t>
      </w:r>
    </w:p>
    <w:p w14:paraId="03F5B47C" w14:textId="77777777" w:rsidR="00FB29F6"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04199CDE" w14:textId="77777777" w:rsidR="00FB29F6"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65A39D61" w14:textId="3B68FD1F" w:rsidR="00FB29F6" w:rsidRDefault="00000000">
      <w:pPr>
        <w:pStyle w:val="Emphasis-Normal"/>
        <w:numPr>
          <w:ilvl w:val="0"/>
          <w:numId w:val="3"/>
        </w:numPr>
        <w:spacing w:after="120"/>
        <w:jc w:val="both"/>
      </w:pPr>
      <w:r>
        <w:rPr>
          <w:color w:val="404040" w:themeColor="text1" w:themeTint="BF"/>
        </w:rPr>
        <w:t xml:space="preserve">The Accountable Party authorizes disposal of Confidential or Restricted information before it is carried out.  </w:t>
      </w:r>
      <w:r>
        <w:rPr>
          <w:rFonts w:ascii="Calibri Light" w:eastAsia="Calibri Light" w:hAnsi="Calibri Light" w:cs="Calibri Light"/>
          <w:color w:val="404040" w:themeColor="text1" w:themeTint="BF"/>
          <w:sz w:val="18"/>
        </w:rPr>
        <w:t>[SOC 2: CC6.5]</w:t>
      </w:r>
    </w:p>
    <w:p>
      <w:pPr>
        <w:pStyle w:val="Emphasis-Normal"/>
        <w:numPr>
          <w:ilvl w:val="0"/>
          <w:numId w:val="3"/>
        </w:numPr>
        <w:spacing w:after="120"/>
        <w:jc w:val="both"/>
      </w:pPr>
      <w:r>
        <w:rPr>
          <w:color w:val="404040" w:themeColor="text1" w:themeTint="BF"/>
        </w:rPr>
        <w:t xml:space="preserve">The Accountable Party approves the recovery objectives, is the only person who may declare a disaster, and authorizes recovery.  </w:t>
      </w:r>
      <w:r>
        <w:rPr>
          <w:rFonts w:ascii="Calibri Light" w:eastAsia="Calibri Light" w:hAnsi="Calibri Light" w:cs="Calibri Light"/>
          <w:color w:val="404040" w:themeColor="text1" w:themeTint="BF"/>
          <w:sz w:val="18"/>
        </w:rPr>
        <w:t>[SOC 2: CC7.5, A1.2]</w:t>
      </w:r>
    </w:p>
    <w:p>
      <w:pPr>
        <w:pStyle w:val="Emphasis-Normal"/>
        <w:numPr>
          <w:ilvl w:val="0"/>
          <w:numId w:val="3"/>
        </w:numPr>
        <w:spacing w:after="120"/>
        <w:jc w:val="both"/>
      </w:pPr>
      <w:r>
        <w:rPr>
          <w:color w:val="404040" w:themeColor="text1" w:themeTint="BF"/>
        </w:rPr>
        <w:t xml:space="preserve">The Security Officer maintains the recovery plans, runs the annual restoration test and recovery exercise, and reports the results to the Committee.  </w:t>
      </w:r>
      <w:r>
        <w:rPr>
          <w:rFonts w:ascii="Calibri Light" w:eastAsia="Calibri Light" w:hAnsi="Calibri Light" w:cs="Calibri Light"/>
          <w:color w:val="404040" w:themeColor="text1" w:themeTint="BF"/>
          <w:sz w:val="18"/>
        </w:rPr>
        <w:t>[SOC 2: A1.3]</w:t>
      </w:r>
    </w:p>
    <w:p w14:paraId="50D97CEF" w14:textId="77777777" w:rsidR="00FB29F6" w:rsidRDefault="00000000">
      <w:pPr>
        <w:pStyle w:val="Heading1"/>
        <w:keepNext/>
        <w:numPr>
          <w:ilvl w:val="0"/>
          <w:numId w:val="10"/>
        </w:numPr>
        <w:spacing w:before="240" w:after="80"/>
      </w:pPr>
      <w:bookmarkStart w:id="7" w:name="_S504"/>
      <w:bookmarkStart w:id="8" w:name="_Toc237819173"/>
      <w:r>
        <w:t>Terminology</w:t>
      </w:r>
      <w:bookmarkEnd w:id="7"/>
      <w:bookmarkEnd w:id="8"/>
    </w:p>
    <w:p w14:paraId="429ACFD7" w14:textId="77777777" w:rsidR="00FB29F6" w:rsidRDefault="00000000">
      <w:pPr>
        <w:pStyle w:val="BodyText9"/>
        <w:spacing w:after="120"/>
        <w:jc w:val="both"/>
      </w:pPr>
      <w:r>
        <w:rPr>
          <w:color w:val="404040" w:themeColor="text1" w:themeTint="BF"/>
        </w:rPr>
        <w:t>The following terms have the meanings given below wherever they appear in this policy.</w:t>
      </w:r>
    </w:p>
    <w:p w14:paraId="48243DFA" w14:textId="77777777" w:rsidR="00FB29F6"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pPr>
        <w:pStyle w:val="Emphasis-Normal"/>
        <w:numPr>
          <w:ilvl w:val="0"/>
          <w:numId w:val="4"/>
        </w:numPr>
        <w:spacing w:after="120"/>
        <w:jc w:val="both"/>
      </w:pPr>
      <w:r>
        <w:rPr>
          <w:b/>
          <w:color w:val="404040" w:themeColor="text1" w:themeTint="BF"/>
        </w:rPr>
        <w:t>Backup</w:t>
      </w:r>
      <w:r>
        <w:rPr>
          <w:color w:val="404040" w:themeColor="text1" w:themeTint="BF"/>
        </w:rPr>
        <w:t xml:space="preserve"> — a copy of information held separately from the system of record so that the information can be restored if the original is lost, corrupted or encrypted by an attacker.</w:t>
      </w:r>
    </w:p>
    <w:p>
      <w:pPr>
        <w:pStyle w:val="Emphasis-Normal"/>
        <w:numPr>
          <w:ilvl w:val="0"/>
          <w:numId w:val="4"/>
        </w:numPr>
        <w:spacing w:after="120"/>
        <w:jc w:val="both"/>
      </w:pPr>
      <w:r>
        <w:rPr>
          <w:b/>
          <w:color w:val="404040" w:themeColor="text1" w:themeTint="BF"/>
        </w:rPr>
        <w:t>Business continuity</w:t>
      </w:r>
      <w:r>
        <w:rPr>
          <w:color w:val="404040" w:themeColor="text1" w:themeTint="BF"/>
        </w:rPr>
        <w:t xml:space="preserve"> — keeping the Company able to serve its clients during a disruption, of which technical recovery is one part.</w:t>
      </w:r>
    </w:p>
    <w:p w14:paraId="316A759D" w14:textId="77777777" w:rsidR="00FB29F6"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5C2EE10C" w14:textId="77777777" w:rsidR="00FB29F6"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0D7C8179" w14:textId="66C426C3" w:rsidR="00FB29F6" w:rsidRDefault="00000000">
      <w:pPr>
        <w:pStyle w:val="Emphasis-Normal"/>
        <w:numPr>
          <w:ilvl w:val="0"/>
          <w:numId w:val="4"/>
        </w:numPr>
        <w:spacing w:after="120"/>
        <w:jc w:val="both"/>
      </w:pPr>
      <w:r>
        <w:rPr>
          <w:b/>
          <w:color w:val="404040" w:themeColor="text1" w:themeTint="BF"/>
        </w:rPr>
        <w:t>Cryptographic erasure</w:t>
      </w:r>
      <w:r>
        <w:rPr>
          <w:color w:val="404040" w:themeColor="text1" w:themeTint="BF"/>
        </w:rPr>
        <w:t xml:space="preserve"> — rendering information unrecoverable by destroying the keys that protect it and recording that destruction.</w:t>
      </w:r>
    </w:p>
    <w:p w14:paraId="7C7FB8F3" w14:textId="77777777" w:rsidR="00FB29F6"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pPr>
        <w:pStyle w:val="Emphasis-Normal"/>
        <w:numPr>
          <w:ilvl w:val="0"/>
          <w:numId w:val="4"/>
        </w:numPr>
        <w:spacing w:after="120"/>
        <w:jc w:val="both"/>
      </w:pPr>
      <w:r>
        <w:rPr>
          <w:b/>
          <w:color w:val="404040" w:themeColor="text1" w:themeTint="BF"/>
        </w:rPr>
        <w:t>Disaster</w:t>
      </w:r>
      <w:r>
        <w:rPr>
          <w:color w:val="404040" w:themeColor="text1" w:themeTint="BF"/>
        </w:rPr>
        <w:t xml:space="preserve"> — a disruption that ordinary incident response cannot resolve within the recovery time objective of the affected system, and which the Accountable Party has declared as such.</w:t>
      </w:r>
    </w:p>
    <w:p w14:paraId="4AE732BF" w14:textId="77777777" w:rsidR="00FB29F6"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22929597" w14:textId="77777777" w:rsidR="00FB29F6" w:rsidRDefault="00000000">
      <w:pPr>
        <w:pStyle w:val="Emphasis-Normal"/>
        <w:numPr>
          <w:ilvl w:val="0"/>
          <w:numId w:val="4"/>
        </w:numPr>
        <w:spacing w:after="120"/>
        <w:jc w:val="both"/>
      </w:pPr>
      <w:r>
        <w:rPr>
          <w:b/>
          <w:color w:val="404040" w:themeColor="text1" w:themeTint="BF"/>
        </w:rPr>
        <w:lastRenderedPageBreak/>
        <w:t>Personnel</w:t>
      </w:r>
      <w:r>
        <w:rPr>
          <w:color w:val="404040" w:themeColor="text1" w:themeTint="BF"/>
        </w:rPr>
        <w:t xml:space="preserve"> — employees, officers, contractors, consultants, interns and temporary workers of the Company.</w:t>
      </w:r>
    </w:p>
    <w:p>
      <w:pPr>
        <w:pStyle w:val="Emphasis-Normal"/>
        <w:numPr>
          <w:ilvl w:val="0"/>
          <w:numId w:val="4"/>
        </w:numPr>
        <w:spacing w:after="120"/>
        <w:jc w:val="both"/>
      </w:pPr>
      <w:r>
        <w:rPr>
          <w:b/>
          <w:color w:val="404040" w:themeColor="text1" w:themeTint="BF"/>
        </w:rPr>
        <w:t>Recovery point objective</w:t>
      </w:r>
      <w:r>
        <w:rPr>
          <w:color w:val="404040" w:themeColor="text1" w:themeTint="BF"/>
        </w:rPr>
        <w:t xml:space="preserve"> — the maximum amount of data, expressed as a period of time, the Company accepts losing for a given system.</w:t>
      </w:r>
    </w:p>
    <w:p>
      <w:pPr>
        <w:pStyle w:val="Emphasis-Normal"/>
        <w:numPr>
          <w:ilvl w:val="0"/>
          <w:numId w:val="4"/>
        </w:numPr>
        <w:spacing w:after="120"/>
        <w:jc w:val="both"/>
      </w:pPr>
      <w:r>
        <w:rPr>
          <w:b/>
          <w:color w:val="404040" w:themeColor="text1" w:themeTint="BF"/>
        </w:rPr>
        <w:t>Recovery time objective</w:t>
      </w:r>
      <w:r>
        <w:rPr>
          <w:color w:val="404040" w:themeColor="text1" w:themeTint="BF"/>
        </w:rPr>
        <w:t xml:space="preserve"> — the period within which a given system is to be restored to service after a disruption is declared.</w:t>
      </w:r>
    </w:p>
    <w:p>
      <w:pPr>
        <w:pStyle w:val="Emphasis-Normal"/>
        <w:numPr>
          <w:ilvl w:val="0"/>
          <w:numId w:val="4"/>
        </w:numPr>
        <w:spacing w:after="120"/>
        <w:jc w:val="both"/>
      </w:pPr>
      <w:r>
        <w:rPr>
          <w:b/>
          <w:color w:val="404040" w:themeColor="text1" w:themeTint="BF"/>
        </w:rPr>
        <w:t>Restoration test</w:t>
      </w:r>
      <w:r>
        <w:rPr>
          <w:color w:val="404040" w:themeColor="text1" w:themeTint="BF"/>
        </w:rPr>
        <w:t xml:space="preserve"> — a restore of information from backup into an isolated environment, verified against expected content and recorded.</w:t>
      </w:r>
    </w:p>
    <w:p w14:paraId="6C819147" w14:textId="77777777" w:rsidR="00FB29F6" w:rsidRDefault="00000000">
      <w:pPr>
        <w:pStyle w:val="Emphasis-Normal"/>
        <w:numPr>
          <w:ilvl w:val="0"/>
          <w:numId w:val="4"/>
        </w:numPr>
        <w:spacing w:after="120"/>
        <w:jc w:val="both"/>
      </w:pPr>
      <w:r>
        <w:rPr>
          <w:b/>
          <w:color w:val="404040" w:themeColor="text1" w:themeTint="BF"/>
        </w:rPr>
        <w:t>Retention schedule</w:t>
      </w:r>
      <w:r>
        <w:rPr>
          <w:color w:val="404040" w:themeColor="text1" w:themeTint="BF"/>
        </w:rPr>
        <w:t xml:space="preserve"> — the record of how long each category of information is kept and on what basis.</w:t>
      </w:r>
    </w:p>
    <w:p w14:paraId="41AF3F50" w14:textId="43C79462" w:rsidR="00FB29F6" w:rsidRDefault="004673D0">
      <w:pPr>
        <w:pStyle w:val="Emphasis-Normal"/>
        <w:numPr>
          <w:ilvl w:val="0"/>
          <w:numId w:val="4"/>
        </w:numPr>
        <w:spacing w:after="120"/>
        <w:jc w:val="both"/>
      </w:pPr>
      <w:r>
        <w:rPr>
          <w:b/>
          <w:color w:val="404040" w:themeColor="text1" w:themeTint="BF"/>
        </w:rPr>
        <w:t>Sanitization</w:t>
      </w:r>
      <w:r>
        <w:rPr>
          <w:color w:val="404040" w:themeColor="text1" w:themeTint="BF"/>
        </w:rPr>
        <w:t xml:space="preserve"> — rendering information on media irrecoverable before the media leaves Company control or is reused.</w:t>
      </w:r>
    </w:p>
    <w:p w14:paraId="7B1CB6E7" w14:textId="77777777" w:rsidR="00FB29F6"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17A1A9C4" w14:textId="77777777" w:rsidR="00FB29F6"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2FFA829F" w14:textId="77777777" w:rsidR="00FB29F6"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3871CD01" w14:textId="77777777" w:rsidR="00FB29F6" w:rsidRDefault="00000000">
      <w:pPr>
        <w:pStyle w:val="Heading1"/>
        <w:keepNext/>
        <w:numPr>
          <w:ilvl w:val="0"/>
          <w:numId w:val="10"/>
        </w:numPr>
        <w:spacing w:before="240" w:after="80"/>
      </w:pPr>
      <w:bookmarkStart w:id="9" w:name="_S505"/>
      <w:bookmarkStart w:id="10" w:name="_Toc237819174"/>
      <w:r>
        <w:t>Retention</w:t>
      </w:r>
      <w:bookmarkEnd w:id="9"/>
      <w:bookmarkEnd w:id="10"/>
    </w:p>
    <w:p w14:paraId="00D25E88" w14:textId="77777777" w:rsidR="00FB29F6" w:rsidRDefault="00000000">
      <w:pPr>
        <w:pStyle w:val="Emphasis-Normal"/>
        <w:numPr>
          <w:ilvl w:val="0"/>
          <w:numId w:val="5"/>
        </w:numPr>
        <w:spacing w:after="120"/>
        <w:jc w:val="both"/>
      </w:pPr>
      <w:r>
        <w:rPr>
          <w:color w:val="404040" w:themeColor="text1" w:themeTint="BF"/>
        </w:rPr>
        <w:t xml:space="preserve">Each category of information has a retention period and a basis — a client agreement, a legal requirement, or a Company decision — recorded in the retention schedule.  </w:t>
      </w:r>
      <w:r>
        <w:rPr>
          <w:rFonts w:ascii="Calibri Light" w:eastAsia="Calibri Light" w:hAnsi="Calibri Light" w:cs="Calibri Light"/>
          <w:color w:val="404040" w:themeColor="text1" w:themeTint="BF"/>
          <w:sz w:val="18"/>
        </w:rPr>
        <w:t>[SOC 2: CC6.5 · GDPR Art. 5(1)(e)]</w:t>
      </w:r>
    </w:p>
    <w:p w14:paraId="21813F9B" w14:textId="77777777" w:rsidR="00FB29F6" w:rsidRDefault="00000000">
      <w:pPr>
        <w:pStyle w:val="Emphasis-Normal"/>
        <w:numPr>
          <w:ilvl w:val="0"/>
          <w:numId w:val="5"/>
        </w:numPr>
        <w:spacing w:after="120"/>
        <w:jc w:val="both"/>
      </w:pPr>
      <w:r>
        <w:rPr>
          <w:color w:val="404040" w:themeColor="text1" w:themeTint="BF"/>
        </w:rPr>
        <w:t xml:space="preserve">Client information is retained for the period the client agreement specifies and returned or deleted at the end of the engagement, with the action recorded.  </w:t>
      </w:r>
      <w:r>
        <w:rPr>
          <w:rFonts w:ascii="Calibri Light" w:eastAsia="Calibri Light" w:hAnsi="Calibri Light" w:cs="Calibri Light"/>
          <w:color w:val="404040" w:themeColor="text1" w:themeTint="BF"/>
          <w:sz w:val="18"/>
        </w:rPr>
        <w:t>[SOC 2: CC6.5 · GDPR Art. 17]</w:t>
      </w:r>
    </w:p>
    <w:p w14:paraId="7671D9A0" w14:textId="77777777" w:rsidR="00FB29F6" w:rsidRDefault="00000000">
      <w:pPr>
        <w:pStyle w:val="Emphasis-Normal"/>
        <w:numPr>
          <w:ilvl w:val="0"/>
          <w:numId w:val="5"/>
        </w:numPr>
        <w:spacing w:after="120"/>
        <w:jc w:val="both"/>
      </w:pPr>
      <w:r>
        <w:rPr>
          <w:color w:val="404040" w:themeColor="text1" w:themeTint="BF"/>
        </w:rPr>
        <w:t xml:space="preserve">Where information is subject to a deletion commitment, backups and snapshots holding it are identified and the retention that applies to them is stated honestly to the client rather than described as immediate.  </w:t>
      </w:r>
      <w:r>
        <w:rPr>
          <w:rFonts w:ascii="Calibri Light" w:eastAsia="Calibri Light" w:hAnsi="Calibri Light" w:cs="Calibri Light"/>
          <w:color w:val="404040" w:themeColor="text1" w:themeTint="BF"/>
          <w:sz w:val="18"/>
        </w:rPr>
        <w:t>[SOC 2: CC6.5 · GDPR Art. 17]</w:t>
      </w:r>
    </w:p>
    <w:p w14:paraId="08B6BCF0" w14:textId="77777777" w:rsidR="00FB29F6" w:rsidRDefault="00000000">
      <w:pPr>
        <w:pStyle w:val="Emphasis-Normal"/>
        <w:numPr>
          <w:ilvl w:val="0"/>
          <w:numId w:val="5"/>
        </w:numPr>
        <w:spacing w:after="120"/>
        <w:jc w:val="both"/>
      </w:pPr>
      <w:r>
        <w:rPr>
          <w:color w:val="404040" w:themeColor="text1" w:themeTint="BF"/>
        </w:rPr>
        <w:t xml:space="preserve">The schedule is reviewed annually and whenever a client agreement introduces a different period.  </w:t>
      </w:r>
      <w:r>
        <w:rPr>
          <w:rFonts w:ascii="Calibri Light" w:eastAsia="Calibri Light" w:hAnsi="Calibri Light" w:cs="Calibri Light"/>
          <w:color w:val="404040" w:themeColor="text1" w:themeTint="BF"/>
          <w:sz w:val="18"/>
        </w:rPr>
        <w:t>[SOC 2: CC6.5]</w:t>
      </w:r>
    </w:p>
    <w:p w14:paraId="657AEAF9" w14:textId="77777777" w:rsidR="00FB29F6" w:rsidRDefault="00000000">
      <w:pPr>
        <w:pStyle w:val="Heading1"/>
        <w:keepNext/>
        <w:numPr>
          <w:ilvl w:val="0"/>
          <w:numId w:val="10"/>
        </w:numPr>
        <w:spacing w:before="240" w:after="80"/>
      </w:pPr>
      <w:bookmarkStart w:id="11" w:name="_S506"/>
      <w:bookmarkStart w:id="12" w:name="_Toc237819175"/>
      <w:r>
        <w:t>Legal Hold</w:t>
      </w:r>
      <w:bookmarkEnd w:id="11"/>
      <w:bookmarkEnd w:id="12"/>
    </w:p>
    <w:p w14:paraId="37953D9B" w14:textId="497367D2" w:rsidR="00FB29F6" w:rsidRDefault="00000000">
      <w:pPr>
        <w:pStyle w:val="BodyText9"/>
        <w:spacing w:after="120"/>
        <w:jc w:val="both"/>
      </w:pPr>
      <w:r>
        <w:rPr>
          <w:color w:val="404040" w:themeColor="text1" w:themeTint="BF"/>
        </w:rPr>
        <w:t xml:space="preserve">A legal hold suspends disposal. It is short but it must exist, because the retention schedule otherwise deletes on time and that becomes the problem.</w:t>
      </w:r>
    </w:p>
    <w:p w14:paraId="73693367" w14:textId="77777777" w:rsidR="00FB29F6" w:rsidRDefault="00000000">
      <w:pPr>
        <w:pStyle w:val="Emphasis-Normal"/>
        <w:numPr>
          <w:ilvl w:val="0"/>
          <w:numId w:val="6"/>
        </w:numPr>
        <w:spacing w:after="120"/>
        <w:jc w:val="both"/>
      </w:pPr>
      <w:r>
        <w:rPr>
          <w:color w:val="404040" w:themeColor="text1" w:themeTint="BF"/>
        </w:rPr>
        <w:t xml:space="preserve">Where the Company becomes aware of actual or anticipated litigation, a regulatory investigation, or a client request to preserve, the Accountable Party places a hold on the information concerned. The hold names what is preserved, why, and who imposed it, and is recorded on the same day.  </w:t>
      </w:r>
      <w:r>
        <w:rPr>
          <w:rFonts w:ascii="Calibri Light" w:eastAsia="Calibri Light" w:hAnsi="Calibri Light" w:cs="Calibri Light"/>
          <w:color w:val="404040" w:themeColor="text1" w:themeTint="BF"/>
          <w:sz w:val="18"/>
        </w:rPr>
        <w:t>[SOC 2: CC6.5, CC2.1]</w:t>
      </w:r>
    </w:p>
    <w:p w14:paraId="25E5FD4A" w14:textId="77777777" w:rsidR="00FB29F6" w:rsidRDefault="00000000">
      <w:pPr>
        <w:pStyle w:val="Emphasis-Normal"/>
        <w:numPr>
          <w:ilvl w:val="0"/>
          <w:numId w:val="6"/>
        </w:numPr>
        <w:spacing w:after="120"/>
        <w:jc w:val="both"/>
      </w:pPr>
      <w:r>
        <w:rPr>
          <w:color w:val="404040" w:themeColor="text1" w:themeTint="BF"/>
        </w:rPr>
        <w:t xml:space="preserve">Information under hold is not disposed of even where its retention period has expired, and automated deletion is suspended for it. The hold overrides the schedule until it is lifted.  </w:t>
      </w:r>
      <w:r>
        <w:rPr>
          <w:rFonts w:ascii="Calibri Light" w:eastAsia="Calibri Light" w:hAnsi="Calibri Light" w:cs="Calibri Light"/>
          <w:color w:val="404040" w:themeColor="text1" w:themeTint="BF"/>
          <w:sz w:val="18"/>
        </w:rPr>
        <w:t>[SOC 2: CC6.5]</w:t>
      </w:r>
    </w:p>
    <w:p w14:paraId="0332D7ED" w14:textId="77777777" w:rsidR="00FB29F6" w:rsidRDefault="00000000">
      <w:pPr>
        <w:pStyle w:val="Emphasis-Normal"/>
        <w:numPr>
          <w:ilvl w:val="0"/>
          <w:numId w:val="6"/>
        </w:numPr>
        <w:spacing w:after="120"/>
        <w:jc w:val="both"/>
      </w:pPr>
      <w:r>
        <w:rPr>
          <w:color w:val="404040" w:themeColor="text1" w:themeTint="BF"/>
        </w:rPr>
        <w:t xml:space="preserve">A hold is lifted in writing by the person who imposed it, and normal retention resumes from that point. Holds are reviewed at the annual retention review so that one does not persist by inertia.  </w:t>
      </w:r>
      <w:r>
        <w:rPr>
          <w:rFonts w:ascii="Calibri Light" w:eastAsia="Calibri Light" w:hAnsi="Calibri Light" w:cs="Calibri Light"/>
          <w:color w:val="404040" w:themeColor="text1" w:themeTint="BF"/>
          <w:sz w:val="18"/>
        </w:rPr>
        <w:t>[SOC 2: CC6.5]</w:t>
      </w:r>
    </w:p>
    <w:p w14:paraId="509262FB" w14:textId="77777777" w:rsidR="00FB29F6" w:rsidRDefault="00000000">
      <w:pPr>
        <w:pStyle w:val="Heading1"/>
        <w:keepNext/>
        <w:numPr>
          <w:ilvl w:val="0"/>
          <w:numId w:val="10"/>
        </w:numPr>
        <w:spacing w:before="240" w:after="80"/>
      </w:pPr>
      <w:bookmarkStart w:id="13" w:name="_S507"/>
      <w:bookmarkStart w:id="14" w:name="_Toc237819176"/>
      <w:r>
        <w:lastRenderedPageBreak/>
        <w:t>Disposal</w:t>
      </w:r>
      <w:bookmarkEnd w:id="13"/>
      <w:bookmarkEnd w:id="14"/>
    </w:p>
    <w:p w14:paraId="1AEC26C2" w14:textId="28139AF6" w:rsidR="00FB29F6" w:rsidRDefault="00000000" w:rsidP="004673D0">
      <w:r>
        <w:t xml:space="preserve">Disposal of Confidential or Restricted information is authorized before it is carried out and recorded afterwards.  </w:t>
      </w:r>
      <w:r>
        <w:rPr>
          <w:rFonts w:ascii="Calibri Light" w:eastAsia="Calibri Light" w:hAnsi="Calibri Light" w:cs="Calibri Light"/>
          <w:sz w:val="18"/>
        </w:rPr>
        <w:t>[SOC 2: CC6.5]</w:t>
      </w:r>
    </w:p>
    <w:p w14:paraId="70979659" w14:textId="0EDC495C" w:rsidR="00FB29F6" w:rsidRDefault="00000000">
      <w:pPr>
        <w:pStyle w:val="Emphasis-Normal"/>
        <w:numPr>
          <w:ilvl w:val="0"/>
          <w:numId w:val="7"/>
        </w:numPr>
        <w:spacing w:after="120"/>
        <w:jc w:val="both"/>
      </w:pPr>
      <w:r>
        <w:rPr>
          <w:color w:val="404040" w:themeColor="text1" w:themeTint="BF"/>
        </w:rPr>
        <w:t xml:space="preserve">Media and devices that have held Company or client information are sanitized or destroyed before disposal, reassignment or return, and the action is recorded. Because work happens in cloud services rather than on local disks, this arises rarely — which is the point.  </w:t>
      </w:r>
      <w:r>
        <w:rPr>
          <w:rFonts w:ascii="Calibri Light" w:eastAsia="Calibri Light" w:hAnsi="Calibri Light" w:cs="Calibri Light"/>
          <w:color w:val="404040" w:themeColor="text1" w:themeTint="BF"/>
          <w:sz w:val="18"/>
        </w:rPr>
        <w:t>[SOC 2: CC6.5 · HIPAA §164.310(d)(2)]</w:t>
      </w:r>
    </w:p>
    <w:p w14:paraId="026FC52E" w14:textId="77777777" w:rsidR="00FB29F6" w:rsidRDefault="00000000">
      <w:pPr>
        <w:pStyle w:val="Emphasis-Normal"/>
        <w:numPr>
          <w:ilvl w:val="0"/>
          <w:numId w:val="7"/>
        </w:numPr>
        <w:spacing w:after="120"/>
        <w:jc w:val="both"/>
      </w:pPr>
      <w:r>
        <w:rPr>
          <w:color w:val="404040" w:themeColor="text1" w:themeTint="BF"/>
        </w:rPr>
        <w:t xml:space="preserve">Cloud storage disposal relies on the provider's deletion mechanisms, or on cryptographic erasure where the Company holds the keys, rather than on a physical process the Company does not perform.  </w:t>
      </w:r>
      <w:r>
        <w:rPr>
          <w:rFonts w:ascii="Calibri Light" w:eastAsia="Calibri Light" w:hAnsi="Calibri Light" w:cs="Calibri Light"/>
          <w:color w:val="404040" w:themeColor="text1" w:themeTint="BF"/>
          <w:sz w:val="18"/>
        </w:rPr>
        <w:t>[SOC 2: CC6.5]</w:t>
      </w:r>
    </w:p>
    <w:p w14:paraId="14EC17F5" w14:textId="77777777" w:rsidR="00FB29F6" w:rsidRDefault="00000000">
      <w:pPr>
        <w:pStyle w:val="Emphasis-Normal"/>
        <w:numPr>
          <w:ilvl w:val="0"/>
          <w:numId w:val="7"/>
        </w:numPr>
        <w:spacing w:after="120"/>
        <w:jc w:val="both"/>
      </w:pPr>
      <w:r>
        <w:rPr>
          <w:color w:val="404040" w:themeColor="text1" w:themeTint="BF"/>
        </w:rPr>
        <w:t xml:space="preserve">A disposal register records each action with its classification, retention basis and evidence, and holds any vendor destruction certificates. It is reconciled against the asset inventory so that an asset marked disposed is confirmed as gone.  </w:t>
      </w:r>
      <w:r>
        <w:rPr>
          <w:rFonts w:ascii="Calibri Light" w:eastAsia="Calibri Light" w:hAnsi="Calibri Light" w:cs="Calibri Light"/>
          <w:color w:val="404040" w:themeColor="text1" w:themeTint="BF"/>
          <w:sz w:val="18"/>
        </w:rPr>
        <w:t>[SOC 2: CC6.5, CC2.1]</w:t>
      </w:r>
    </w:p>
    <w:p>
      <w:pPr>
        <w:pStyle w:val="Heading1"/>
        <w:keepNext/>
        <w:numPr>
          <w:ilvl w:val="0"/>
          <w:numId w:val="10"/>
        </w:numPr>
        <w:spacing w:before="240" w:after="80"/>
      </w:pPr>
      <w:bookmarkStart w:id="900" w:name="_Toc900001"/>
      <w:r>
        <w:t>Backup</w:t>
      </w:r>
      <w:bookmarkEnd w:id="900"/>
    </w:p>
    <w:p>
      <w:pPr>
        <w:pStyle w:val="BodyText9"/>
        <w:spacing w:after="120"/>
        <w:jc w:val="both"/>
      </w:pPr>
      <w:r>
        <w:rPr>
          <w:color w:val="404040" w:themeColor="text1" w:themeTint="BF"/>
        </w:rPr>
        <w:t xml:space="preserve">A backup that has never been restored is a hypothesis. This section says what is copied, where it is held, and how a failure is noticed before it matters.</w:t>
      </w:r>
    </w:p>
    <w:p>
      <w:pPr>
        <w:pStyle w:val="Emphasis-Normal"/>
        <w:numPr>
          <w:ilvl w:val="0"/>
          <w:numId w:val="11"/>
        </w:numPr>
        <w:spacing w:after="120"/>
        <w:jc w:val="both"/>
      </w:pPr>
      <w:r>
        <w:rPr>
          <w:color w:val="404040" w:themeColor="text1" w:themeTint="BF"/>
        </w:rPr>
        <w:t xml:space="preserve">Systems holding Company or client information are backed up on a defined schedule, and the scope, frequency and retention of each backup set are recorded. Anything not on that list is not backed up, which is a decision rather than an oversight.  </w:t>
      </w:r>
      <w:r>
        <w:rPr>
          <w:rFonts w:ascii="Calibri Light" w:eastAsia="Calibri Light" w:hAnsi="Calibri Light" w:cs="Calibri Light"/>
          <w:color w:val="404040" w:themeColor="text1" w:themeTint="BF"/>
          <w:sz w:val="18"/>
        </w:rPr>
        <w:t>[SOC 2: A1.2 · GDPR Art. 32(1)(c)]</w:t>
      </w:r>
    </w:p>
    <w:p>
      <w:pPr>
        <w:pStyle w:val="Emphasis-Normal"/>
        <w:numPr>
          <w:ilvl w:val="0"/>
          <w:numId w:val="11"/>
        </w:numPr>
        <w:spacing w:after="120"/>
        <w:jc w:val="both"/>
      </w:pPr>
      <w:r>
        <w:rPr>
          <w:color w:val="404040" w:themeColor="text1" w:themeTint="BF"/>
        </w:rPr>
        <w:t xml:space="preserve">Backups are encrypted in transit and at rest to the standard the Encryption Policy sets, and access to them is restricted to the personnel who may access the source system. A backup is otherwise a copy of the data with the controls taken off.  </w:t>
      </w:r>
      <w:r>
        <w:rPr>
          <w:rFonts w:ascii="Calibri Light" w:eastAsia="Calibri Light" w:hAnsi="Calibri Light" w:cs="Calibri Light"/>
          <w:color w:val="404040" w:themeColor="text1" w:themeTint="BF"/>
          <w:sz w:val="18"/>
        </w:rPr>
        <w:t>[SOC 2: A1.2, CC6.7]</w:t>
      </w:r>
    </w:p>
    <w:p>
      <w:pPr>
        <w:pStyle w:val="Emphasis-Normal"/>
        <w:numPr>
          <w:ilvl w:val="0"/>
          <w:numId w:val="11"/>
        </w:numPr>
        <w:spacing w:after="120"/>
        <w:jc w:val="both"/>
      </w:pPr>
      <w:r>
        <w:rPr>
          <w:color w:val="404040" w:themeColor="text1" w:themeTint="BF"/>
        </w:rPr>
        <w:t xml:space="preserve">Backups are held in an account, region or service separate from the system they protect, so that a single credential compromise or regional failure does not take both.  </w:t>
      </w:r>
      <w:r>
        <w:rPr>
          <w:rFonts w:ascii="Calibri Light" w:eastAsia="Calibri Light" w:hAnsi="Calibri Light" w:cs="Calibri Light"/>
          <w:color w:val="404040" w:themeColor="text1" w:themeTint="BF"/>
          <w:sz w:val="18"/>
        </w:rPr>
        <w:t>[SOC 2: A1.2, CC6.6]</w:t>
      </w:r>
    </w:p>
    <w:p>
      <w:pPr>
        <w:pStyle w:val="Emphasis-Normal"/>
        <w:numPr>
          <w:ilvl w:val="0"/>
          <w:numId w:val="11"/>
        </w:numPr>
        <w:spacing w:after="120"/>
        <w:jc w:val="both"/>
      </w:pPr>
      <w:r>
        <w:rPr>
          <w:color w:val="404040" w:themeColor="text1" w:themeTint="BF"/>
        </w:rPr>
        <w:t xml:space="preserve">Backup jobs are monitored, and failures raise an alert that is resolved and recorded. A silent failure is otherwise discovered at restore time, which is the worst moment to discover it.  </w:t>
      </w:r>
      <w:r>
        <w:rPr>
          <w:rFonts w:ascii="Calibri Light" w:eastAsia="Calibri Light" w:hAnsi="Calibri Light" w:cs="Calibri Light"/>
          <w:color w:val="404040" w:themeColor="text1" w:themeTint="BF"/>
          <w:sz w:val="18"/>
        </w:rPr>
        <w:t>[SOC 2: A1.2, CC7.2]</w:t>
      </w:r>
    </w:p>
    <w:p>
      <w:pPr>
        <w:pStyle w:val="Emphasis-Normal"/>
        <w:numPr>
          <w:ilvl w:val="0"/>
          <w:numId w:val="11"/>
        </w:numPr>
        <w:spacing w:after="120"/>
        <w:jc w:val="both"/>
      </w:pPr>
      <w:r>
        <w:rPr>
          <w:color w:val="404040" w:themeColor="text1" w:themeTint="BF"/>
        </w:rPr>
        <w:t xml:space="preserve">Backup retention follows the retention schedule, and where a deletion commitment applies, the backup persistence is stated to the client as Section 5 requires rather than described as immediate.  </w:t>
      </w:r>
      <w:r>
        <w:rPr>
          <w:rFonts w:ascii="Calibri Light" w:eastAsia="Calibri Light" w:hAnsi="Calibri Light" w:cs="Calibri Light"/>
          <w:color w:val="404040" w:themeColor="text1" w:themeTint="BF"/>
          <w:sz w:val="18"/>
        </w:rPr>
        <w:t>[SOC 2: CC6.5 · GDPR Art. 17]</w:t>
      </w:r>
    </w:p>
    <w:p>
      <w:pPr>
        <w:pStyle w:val="Heading1"/>
        <w:keepNext/>
        <w:numPr>
          <w:ilvl w:val="0"/>
          <w:numId w:val="10"/>
        </w:numPr>
        <w:spacing w:before="240" w:after="80"/>
      </w:pPr>
      <w:bookmarkStart w:id="901" w:name="_Toc900002"/>
      <w:r>
        <w:t>Recovery Objectives</w:t>
      </w:r>
      <w:bookmarkEnd w:id="901"/>
    </w:p>
    <w:p>
      <w:pPr>
        <w:pStyle w:val="Emphasis-Normal"/>
        <w:numPr>
          <w:ilvl w:val="0"/>
          <w:numId w:val="12"/>
        </w:numPr>
        <w:spacing w:after="120"/>
        <w:jc w:val="both"/>
      </w:pPr>
      <w:r>
        <w:rPr>
          <w:color w:val="404040" w:themeColor="text1" w:themeTint="BF"/>
        </w:rPr>
        <w:t xml:space="preserve">Each in-scope system has a recovery time objective and a recovery point objective, recorded against that system in the recovery objectives register and approved by the Accountable Party.  </w:t>
      </w:r>
      <w:r>
        <w:rPr>
          <w:rFonts w:ascii="Calibri Light" w:eastAsia="Calibri Light" w:hAnsi="Calibri Light" w:cs="Calibri Light"/>
          <w:color w:val="404040" w:themeColor="text1" w:themeTint="BF"/>
          <w:sz w:val="18"/>
        </w:rPr>
        <w:t>[SOC 2: A1.2, CC9.1]</w:t>
      </w:r>
    </w:p>
    <w:p>
      <w:pPr>
        <w:pStyle w:val="Emphasis-Normal"/>
        <w:numPr>
          <w:ilvl w:val="0"/>
          <w:numId w:val="12"/>
        </w:numPr>
        <w:spacing w:after="120"/>
        <w:jc w:val="both"/>
      </w:pPr>
      <w:r>
        <w:rPr>
          <w:color w:val="404040" w:themeColor="text1" w:themeTint="BF"/>
        </w:rPr>
        <w:t xml:space="preserve">Objectives are set at what the Company can demonstrate at a test, not at what it would like to achieve. Where a tested result does not meet the objective, either the objective or the architecture changes, and the decision is recorded.  </w:t>
      </w:r>
      <w:r>
        <w:rPr>
          <w:rFonts w:ascii="Calibri Light" w:eastAsia="Calibri Light" w:hAnsi="Calibri Light" w:cs="Calibri Light"/>
          <w:color w:val="404040" w:themeColor="text1" w:themeTint="BF"/>
          <w:sz w:val="18"/>
        </w:rPr>
        <w:t>[SOC 2: A1.3]</w:t>
      </w:r>
    </w:p>
    <w:p>
      <w:pPr>
        <w:pStyle w:val="Emphasis-Normal"/>
        <w:numPr>
          <w:ilvl w:val="0"/>
          <w:numId w:val="12"/>
        </w:numPr>
        <w:spacing w:after="120"/>
        <w:jc w:val="both"/>
      </w:pPr>
      <w:r>
        <w:rPr>
          <w:color w:val="404040" w:themeColor="text1" w:themeTint="BF"/>
        </w:rPr>
        <w:t xml:space="preserve">The current objectives are [production service: RTO 24 hours, RPO 4 hours]; [corporate collaboration, email and file storage: RTO 48 hours, RPO 24 hours]; [source code and build pipeline: RTO 48 hours, RPO 24 hours]. They are confirmed at the annual review and whenever a significant change affects them.  </w:t>
      </w:r>
      <w:r>
        <w:rPr>
          <w:rFonts w:ascii="Calibri Light" w:eastAsia="Calibri Light" w:hAnsi="Calibri Light" w:cs="Calibri Light"/>
          <w:color w:val="404040" w:themeColor="text1" w:themeTint="BF"/>
          <w:sz w:val="18"/>
        </w:rPr>
        <w:t>[SOC 2: A1.2]</w:t>
      </w:r>
    </w:p>
    <w:p>
      <w:pPr>
        <w:pStyle w:val="Emphasis-Normal"/>
        <w:numPr>
          <w:ilvl w:val="0"/>
          <w:numId w:val="12"/>
        </w:numPr>
        <w:spacing w:after="120"/>
        <w:jc w:val="both"/>
      </w:pPr>
      <w:r>
        <w:rPr>
          <w:color w:val="404040" w:themeColor="text1" w:themeTint="BF"/>
        </w:rPr>
        <w:t xml:space="preserve">Where a client agreement specifies a shorter objective, that agreement governs and the register records it against the client.  </w:t>
      </w:r>
      <w:r>
        <w:rPr>
          <w:rFonts w:ascii="Calibri Light" w:eastAsia="Calibri Light" w:hAnsi="Calibri Light" w:cs="Calibri Light"/>
          <w:color w:val="404040" w:themeColor="text1" w:themeTint="BF"/>
          <w:sz w:val="18"/>
        </w:rPr>
        <w:t>[SOC 2: CC9.1, CC9.2]</w:t>
      </w:r>
    </w:p>
    <w:p>
      <w:pPr>
        <w:pStyle w:val="Heading1"/>
        <w:keepNext/>
        <w:numPr>
          <w:ilvl w:val="0"/>
          <w:numId w:val="10"/>
        </w:numPr>
        <w:spacing w:before="240" w:after="80"/>
      </w:pPr>
      <w:bookmarkStart w:id="902" w:name="_Toc900003"/>
      <w:r>
        <w:t>Disaster Recovery</w:t>
      </w:r>
      <w:bookmarkEnd w:id="902"/>
    </w:p>
    <w:p>
      <w:pPr>
        <w:pStyle w:val="BodyText9"/>
        <w:spacing w:after="120"/>
        <w:jc w:val="both"/>
      </w:pPr>
      <w:r>
        <w:rPr>
          <w:color w:val="404040" w:themeColor="text1" w:themeTint="BF"/>
        </w:rPr>
        <w:t xml:space="preserve">Most disruptions are incidents and are handled as incidents. A disaster is the case where that is not going to work in time, and someone has to say so out loud.</w:t>
      </w:r>
    </w:p>
    <w:p>
      <w:pPr>
        <w:pStyle w:val="Emphasis-Normal"/>
        <w:numPr>
          <w:ilvl w:val="0"/>
          <w:numId w:val="13"/>
        </w:numPr>
        <w:spacing w:after="120"/>
        <w:jc w:val="both"/>
      </w:pPr>
      <w:r>
        <w:rPr>
          <w:color w:val="404040" w:themeColor="text1" w:themeTint="BF"/>
        </w:rPr>
        <w:t xml:space="preserve">The Accountable Party declares a disaster. The declaration names the systems affected, the objective being worked to and who is leading recovery, and is recorded on the day it is made.  </w:t>
      </w:r>
      <w:r>
        <w:rPr>
          <w:rFonts w:ascii="Calibri Light" w:eastAsia="Calibri Light" w:hAnsi="Calibri Light" w:cs="Calibri Light"/>
          <w:color w:val="404040" w:themeColor="text1" w:themeTint="BF"/>
          <w:sz w:val="18"/>
        </w:rPr>
        <w:t>[SOC 2: CC7.5, A1.2]</w:t>
      </w:r>
    </w:p>
    <w:p>
      <w:pPr>
        <w:pStyle w:val="Emphasis-Normal"/>
        <w:numPr>
          <w:ilvl w:val="0"/>
          <w:numId w:val="13"/>
        </w:numPr>
        <w:spacing w:after="120"/>
        <w:jc w:val="both"/>
      </w:pPr>
      <w:r>
        <w:rPr>
          <w:color w:val="404040" w:themeColor="text1" w:themeTint="BF"/>
        </w:rPr>
        <w:t xml:space="preserve">Recovery runs under the roles and communications the Incident Response Policy sets. Disaster recovery is an escalation of that process rather than a parallel one, so that one set of people runs one plan.  </w:t>
      </w:r>
      <w:r>
        <w:rPr>
          <w:rFonts w:ascii="Calibri Light" w:eastAsia="Calibri Light" w:hAnsi="Calibri Light" w:cs="Calibri Light"/>
          <w:color w:val="404040" w:themeColor="text1" w:themeTint="BF"/>
          <w:sz w:val="18"/>
        </w:rPr>
        <w:t>[SOC 2: CC7.4, CC7.5]</w:t>
      </w:r>
    </w:p>
    <w:p>
      <w:pPr>
        <w:pStyle w:val="Emphasis-Normal"/>
        <w:numPr>
          <w:ilvl w:val="0"/>
          <w:numId w:val="13"/>
        </w:numPr>
        <w:spacing w:after="120"/>
        <w:jc w:val="both"/>
      </w:pPr>
      <w:r>
        <w:rPr>
          <w:color w:val="404040" w:themeColor="text1" w:themeTint="BF"/>
        </w:rPr>
        <w:t xml:space="preserve">Restoration follows the recovery plan for the affected system, which records the order of restoration, the dependencies between systems, and the access needed to carry it out. The plan and that access are held so that they remain reachable when the primary environment is not; a plan stored only inside the system it recovers is not a plan.  </w:t>
      </w:r>
      <w:r>
        <w:rPr>
          <w:rFonts w:ascii="Calibri Light" w:eastAsia="Calibri Light" w:hAnsi="Calibri Light" w:cs="Calibri Light"/>
          <w:color w:val="404040" w:themeColor="text1" w:themeTint="BF"/>
          <w:sz w:val="18"/>
        </w:rPr>
        <w:t>[SOC 2: A1.2, CC7.5]</w:t>
      </w:r>
    </w:p>
    <w:p>
      <w:pPr>
        <w:pStyle w:val="Emphasis-Normal"/>
        <w:numPr>
          <w:ilvl w:val="0"/>
          <w:numId w:val="13"/>
        </w:numPr>
        <w:spacing w:after="120"/>
        <w:jc w:val="both"/>
      </w:pPr>
      <w:r>
        <w:rPr>
          <w:color w:val="404040" w:themeColor="text1" w:themeTint="BF"/>
        </w:rPr>
        <w:t xml:space="preserve">The Company relies on its cloud providers for infrastructure resilience. Those providers are subservice organizations, their availability commitments are recorded in the vendor file, and the Company sets its own objectives within those commitments rather than beyond them.  </w:t>
      </w:r>
      <w:r>
        <w:rPr>
          <w:rFonts w:ascii="Calibri Light" w:eastAsia="Calibri Light" w:hAnsi="Calibri Light" w:cs="Calibri Light"/>
          <w:color w:val="404040" w:themeColor="text1" w:themeTint="BF"/>
          <w:sz w:val="18"/>
        </w:rPr>
        <w:t>[SOC 2: A1.2, CC9.2]</w:t>
      </w:r>
    </w:p>
    <w:p>
      <w:pPr>
        <w:pStyle w:val="Emphasis-Normal"/>
        <w:numPr>
          <w:ilvl w:val="0"/>
          <w:numId w:val="13"/>
        </w:numPr>
        <w:spacing w:after="120"/>
        <w:jc w:val="both"/>
      </w:pPr>
      <w:r>
        <w:rPr>
          <w:color w:val="404040" w:themeColor="text1" w:themeTint="BF"/>
        </w:rPr>
        <w:t xml:space="preserve">Clients and other affected parties are told under the notification matrix in the Incident Response Policy. Where the availability of personal data is affected, the obligations in the Privacy Policy apply as well.  </w:t>
      </w:r>
      <w:r>
        <w:rPr>
          <w:rFonts w:ascii="Calibri Light" w:eastAsia="Calibri Light" w:hAnsi="Calibri Light" w:cs="Calibri Light"/>
          <w:color w:val="404040" w:themeColor="text1" w:themeTint="BF"/>
          <w:sz w:val="18"/>
        </w:rPr>
        <w:t>[SOC 2: CC2.3, CC7.5 · GDPR Art. 32(1)(c)]</w:t>
      </w:r>
    </w:p>
    <w:p>
      <w:pPr>
        <w:pStyle w:val="Emphasis-Normal"/>
        <w:numPr>
          <w:ilvl w:val="0"/>
          <w:numId w:val="13"/>
        </w:numPr>
        <w:spacing w:after="120"/>
        <w:jc w:val="both"/>
      </w:pPr>
      <w:r>
        <w:rPr>
          <w:color w:val="404040" w:themeColor="text1" w:themeTint="BF"/>
        </w:rPr>
        <w:t xml:space="preserve">Recovery closes when service is restored, data integrity is confirmed against the last known good state, and the Accountable Party records the closure with the time taken measured against the objective.  </w:t>
      </w:r>
      <w:r>
        <w:rPr>
          <w:rFonts w:ascii="Calibri Light" w:eastAsia="Calibri Light" w:hAnsi="Calibri Light" w:cs="Calibri Light"/>
          <w:color w:val="404040" w:themeColor="text1" w:themeTint="BF"/>
          <w:sz w:val="18"/>
        </w:rPr>
        <w:t>[SOC 2: CC7.5, A1.3]</w:t>
      </w:r>
    </w:p>
    <w:p>
      <w:pPr>
        <w:pStyle w:val="Heading1"/>
        <w:keepNext/>
        <w:numPr>
          <w:ilvl w:val="0"/>
          <w:numId w:val="10"/>
        </w:numPr>
        <w:spacing w:before="240" w:after="80"/>
      </w:pPr>
      <w:bookmarkStart w:id="903" w:name="_Toc900004"/>
      <w:r>
        <w:t>Recovery Testing</w:t>
      </w:r>
      <w:bookmarkEnd w:id="903"/>
    </w:p>
    <w:p>
      <w:pPr>
        <w:pStyle w:val="Emphasis-Normal"/>
        <w:numPr>
          <w:ilvl w:val="0"/>
          <w:numId w:val="14"/>
        </w:numPr>
        <w:spacing w:after="120"/>
        <w:jc w:val="both"/>
      </w:pPr>
      <w:r>
        <w:rPr>
          <w:color w:val="404040" w:themeColor="text1" w:themeTint="BF"/>
        </w:rPr>
        <w:t xml:space="preserve">A restoration test is carried out at least annually for each in-scope system: information is restored from backup into an isolated environment and verified against expected content. An untested backup is treated as an untested backup.  </w:t>
      </w:r>
      <w:r>
        <w:rPr>
          <w:rFonts w:ascii="Calibri Light" w:eastAsia="Calibri Light" w:hAnsi="Calibri Light" w:cs="Calibri Light"/>
          <w:color w:val="404040" w:themeColor="text1" w:themeTint="BF"/>
          <w:sz w:val="18"/>
        </w:rPr>
        <w:t>[SOC 2: A1.3]</w:t>
      </w:r>
    </w:p>
    <w:p>
      <w:pPr>
        <w:pStyle w:val="Emphasis-Normal"/>
        <w:numPr>
          <w:ilvl w:val="0"/>
          <w:numId w:val="14"/>
        </w:numPr>
        <w:spacing w:after="120"/>
        <w:jc w:val="both"/>
      </w:pPr>
      <w:r>
        <w:rPr>
          <w:color w:val="404040" w:themeColor="text1" w:themeTint="BF"/>
        </w:rPr>
        <w:t xml:space="preserve">A disaster recovery exercise is carried out at least annually and may be a tabletop. It works a declared scenario through the recovery plan and records the points at which the plan was wrong, which is the purpose of running it.  </w:t>
      </w:r>
      <w:r>
        <w:rPr>
          <w:rFonts w:ascii="Calibri Light" w:eastAsia="Calibri Light" w:hAnsi="Calibri Light" w:cs="Calibri Light"/>
          <w:color w:val="404040" w:themeColor="text1" w:themeTint="BF"/>
          <w:sz w:val="18"/>
        </w:rPr>
        <w:t>[SOC 2: A1.3, CC7.5]</w:t>
      </w:r>
    </w:p>
    <w:p>
      <w:pPr>
        <w:pStyle w:val="Emphasis-Normal"/>
        <w:numPr>
          <w:ilvl w:val="0"/>
          <w:numId w:val="14"/>
        </w:numPr>
        <w:spacing w:after="120"/>
        <w:jc w:val="both"/>
      </w:pPr>
      <w:r>
        <w:rPr>
          <w:color w:val="404040" w:themeColor="text1" w:themeTint="BF"/>
        </w:rPr>
        <w:t xml:space="preserve">Each test records its date, scope, participants, the elapsed time against the objective, and any deficiency found. Deficiencies are tracked to closure under the Information Security Policy.  </w:t>
      </w:r>
      <w:r>
        <w:rPr>
          <w:rFonts w:ascii="Calibri Light" w:eastAsia="Calibri Light" w:hAnsi="Calibri Light" w:cs="Calibri Light"/>
          <w:color w:val="404040" w:themeColor="text1" w:themeTint="BF"/>
          <w:sz w:val="18"/>
        </w:rPr>
        <w:t>[SOC 2: A1.3, CC4.2]</w:t>
      </w:r>
    </w:p>
    <w:p>
      <w:pPr>
        <w:pStyle w:val="Emphasis-Normal"/>
        <w:numPr>
          <w:ilvl w:val="0"/>
          <w:numId w:val="14"/>
        </w:numPr>
        <w:spacing w:after="120"/>
        <w:jc w:val="both"/>
      </w:pPr>
      <w:r>
        <w:rPr>
          <w:color w:val="404040" w:themeColor="text1" w:themeTint="BF"/>
        </w:rPr>
        <w:t xml:space="preserve">Recovery plans and objectives are reviewed after each test, after any declared disaster, and on any significant change.  </w:t>
      </w:r>
      <w:r>
        <w:rPr>
          <w:rFonts w:ascii="Calibri Light" w:eastAsia="Calibri Light" w:hAnsi="Calibri Light" w:cs="Calibri Light"/>
          <w:color w:val="404040" w:themeColor="text1" w:themeTint="BF"/>
          <w:sz w:val="18"/>
        </w:rPr>
        <w:t>[SOC 2: A1.3, CC3.4]</w:t>
      </w:r>
    </w:p>
    <w:p w14:paraId="405FC5DB" w14:textId="77777777" w:rsidR="00FB29F6" w:rsidRDefault="00000000">
      <w:pPr>
        <w:pStyle w:val="Heading1"/>
        <w:keepNext/>
        <w:numPr>
          <w:ilvl w:val="0"/>
          <w:numId w:val="10"/>
        </w:numPr>
        <w:spacing w:before="240" w:after="80"/>
      </w:pPr>
      <w:bookmarkStart w:id="15" w:name="_S508"/>
      <w:bookmarkStart w:id="16" w:name="_Toc237819177"/>
      <w:r>
        <w:t>Records</w:t>
      </w:r>
      <w:bookmarkEnd w:id="15"/>
      <w:bookmarkEnd w:id="16"/>
    </w:p>
    <w:p w14:paraId="353647B6" w14:textId="77777777" w:rsidR="00FB29F6" w:rsidRDefault="00000000">
      <w:pPr>
        <w:pStyle w:val="Emphasis-Normal"/>
        <w:numPr>
          <w:ilvl w:val="0"/>
          <w:numId w:val="8"/>
        </w:numPr>
        <w:spacing w:after="120"/>
        <w:jc w:val="both"/>
      </w:pPr>
      <w:r>
        <w:rPr>
          <w:color w:val="404040" w:themeColor="text1" w:themeTint="BF"/>
        </w:rPr>
        <w:t xml:space="preserve">The retention schedule with periods and bases.  </w:t>
      </w:r>
      <w:r>
        <w:rPr>
          <w:rFonts w:ascii="Calibri Light" w:eastAsia="Calibri Light" w:hAnsi="Calibri Light" w:cs="Calibri Light"/>
          <w:color w:val="404040" w:themeColor="text1" w:themeTint="BF"/>
          <w:sz w:val="18"/>
        </w:rPr>
        <w:t>[SOC 2: CC6.5]</w:t>
      </w:r>
    </w:p>
    <w:p w14:paraId="7E69F332" w14:textId="360ACEB3" w:rsidR="00FB29F6" w:rsidRDefault="00000000">
      <w:pPr>
        <w:pStyle w:val="Emphasis-Normal"/>
        <w:numPr>
          <w:ilvl w:val="0"/>
          <w:numId w:val="8"/>
        </w:numPr>
        <w:spacing w:after="120"/>
        <w:jc w:val="both"/>
      </w:pPr>
      <w:r>
        <w:rPr>
          <w:color w:val="404040" w:themeColor="text1" w:themeTint="BF"/>
        </w:rPr>
        <w:t xml:space="preserve">The disposal registers with authorizations and evidence.  </w:t>
      </w:r>
      <w:r>
        <w:rPr>
          <w:rFonts w:ascii="Calibri Light" w:eastAsia="Calibri Light" w:hAnsi="Calibri Light" w:cs="Calibri Light"/>
          <w:color w:val="404040" w:themeColor="text1" w:themeTint="BF"/>
          <w:sz w:val="18"/>
        </w:rPr>
        <w:t>[SOC 2: CC6.5]</w:t>
      </w:r>
    </w:p>
    <w:p w14:paraId="41A3BC73" w14:textId="77777777" w:rsidR="00FB29F6" w:rsidRDefault="00000000">
      <w:pPr>
        <w:pStyle w:val="Emphasis-Normal"/>
        <w:numPr>
          <w:ilvl w:val="0"/>
          <w:numId w:val="8"/>
        </w:numPr>
        <w:spacing w:after="120"/>
        <w:jc w:val="both"/>
      </w:pPr>
      <w:r>
        <w:rPr>
          <w:color w:val="404040" w:themeColor="text1" w:themeTint="BF"/>
        </w:rPr>
        <w:t xml:space="preserve">Deletion confirmations at the end of engagements.  </w:t>
      </w:r>
      <w:r>
        <w:rPr>
          <w:rFonts w:ascii="Calibri Light" w:eastAsia="Calibri Light" w:hAnsi="Calibri Light" w:cs="Calibri Light"/>
          <w:color w:val="404040" w:themeColor="text1" w:themeTint="BF"/>
          <w:sz w:val="18"/>
        </w:rPr>
        <w:t>[SOC 2: CC6.5]</w:t>
      </w:r>
    </w:p>
    <w:p>
      <w:pPr>
        <w:pStyle w:val="Emphasis-Normal"/>
        <w:numPr>
          <w:ilvl w:val="0"/>
          <w:numId w:val="8"/>
        </w:numPr>
        <w:spacing w:after="120"/>
        <w:jc w:val="both"/>
      </w:pPr>
      <w:r>
        <w:rPr>
          <w:color w:val="404040" w:themeColor="text1" w:themeTint="BF"/>
        </w:rPr>
        <w:t xml:space="preserve">The backup schedule and the record of backup job results.  </w:t>
      </w:r>
      <w:r>
        <w:rPr>
          <w:rFonts w:ascii="Calibri Light" w:eastAsia="Calibri Light" w:hAnsi="Calibri Light" w:cs="Calibri Light"/>
          <w:color w:val="404040" w:themeColor="text1" w:themeTint="BF"/>
          <w:sz w:val="18"/>
        </w:rPr>
        <w:t>[SOC 2: A1.2]</w:t>
      </w:r>
    </w:p>
    <w:p>
      <w:pPr>
        <w:pStyle w:val="Emphasis-Normal"/>
        <w:numPr>
          <w:ilvl w:val="0"/>
          <w:numId w:val="8"/>
        </w:numPr>
        <w:spacing w:after="120"/>
        <w:jc w:val="both"/>
      </w:pPr>
      <w:r>
        <w:rPr>
          <w:color w:val="404040" w:themeColor="text1" w:themeTint="BF"/>
        </w:rPr>
        <w:t xml:space="preserve">The recovery objectives register, with its approvals.  </w:t>
      </w:r>
      <w:r>
        <w:rPr>
          <w:rFonts w:ascii="Calibri Light" w:eastAsia="Calibri Light" w:hAnsi="Calibri Light" w:cs="Calibri Light"/>
          <w:color w:val="404040" w:themeColor="text1" w:themeTint="BF"/>
          <w:sz w:val="18"/>
        </w:rPr>
        <w:t>[SOC 2: A1.2, CC9.1]</w:t>
      </w:r>
    </w:p>
    <w:p>
      <w:pPr>
        <w:pStyle w:val="Emphasis-Normal"/>
        <w:numPr>
          <w:ilvl w:val="0"/>
          <w:numId w:val="8"/>
        </w:numPr>
        <w:spacing w:after="120"/>
        <w:jc w:val="both"/>
      </w:pPr>
      <w:r>
        <w:rPr>
          <w:color w:val="404040" w:themeColor="text1" w:themeTint="BF"/>
        </w:rPr>
        <w:t xml:space="preserve">The recovery plans for in-scope systems, with their version history.  </w:t>
      </w:r>
      <w:r>
        <w:rPr>
          <w:rFonts w:ascii="Calibri Light" w:eastAsia="Calibri Light" w:hAnsi="Calibri Light" w:cs="Calibri Light"/>
          <w:color w:val="404040" w:themeColor="text1" w:themeTint="BF"/>
          <w:sz w:val="18"/>
        </w:rPr>
        <w:t>[SOC 2: A1.2]</w:t>
      </w:r>
    </w:p>
    <w:p>
      <w:pPr>
        <w:pStyle w:val="Emphasis-Normal"/>
        <w:numPr>
          <w:ilvl w:val="0"/>
          <w:numId w:val="8"/>
        </w:numPr>
        <w:spacing w:after="120"/>
        <w:jc w:val="both"/>
      </w:pPr>
      <w:r>
        <w:rPr>
          <w:color w:val="404040" w:themeColor="text1" w:themeTint="BF"/>
        </w:rPr>
        <w:t xml:space="preserve">Restoration test and recovery exercise results, with deficiencies and their closure.  </w:t>
      </w:r>
      <w:r>
        <w:rPr>
          <w:rFonts w:ascii="Calibri Light" w:eastAsia="Calibri Light" w:hAnsi="Calibri Light" w:cs="Calibri Light"/>
          <w:color w:val="404040" w:themeColor="text1" w:themeTint="BF"/>
          <w:sz w:val="18"/>
        </w:rPr>
        <w:t>[SOC 2: A1.3]</w:t>
      </w:r>
    </w:p>
    <w:p>
      <w:pPr>
        <w:pStyle w:val="Emphasis-Normal"/>
        <w:numPr>
          <w:ilvl w:val="0"/>
          <w:numId w:val="8"/>
        </w:numPr>
        <w:spacing w:after="120"/>
        <w:jc w:val="both"/>
      </w:pPr>
      <w:r>
        <w:rPr>
          <w:color w:val="404040" w:themeColor="text1" w:themeTint="BF"/>
        </w:rPr>
        <w:t xml:space="preserve">Disaster declarations and their closure records.  </w:t>
      </w:r>
      <w:r>
        <w:rPr>
          <w:rFonts w:ascii="Calibri Light" w:eastAsia="Calibri Light" w:hAnsi="Calibri Light" w:cs="Calibri Light"/>
          <w:color w:val="404040" w:themeColor="text1" w:themeTint="BF"/>
          <w:sz w:val="18"/>
        </w:rPr>
        <w:t>[SOC 2: CC7.5]</w:t>
      </w:r>
    </w:p>
    <w:p w14:paraId="41816836" w14:textId="77777777" w:rsidR="00FB29F6" w:rsidRDefault="00000000">
      <w:pPr>
        <w:pStyle w:val="Heading1"/>
        <w:keepNext/>
        <w:numPr>
          <w:ilvl w:val="0"/>
          <w:numId w:val="10"/>
        </w:numPr>
        <w:spacing w:before="240" w:after="80"/>
      </w:pPr>
      <w:bookmarkStart w:id="17" w:name="_S509"/>
      <w:bookmarkStart w:id="18" w:name="_Toc237819178"/>
      <w:r>
        <w:t>Exceptions</w:t>
      </w:r>
      <w:bookmarkEnd w:id="17"/>
      <w:bookmarkEnd w:id="18"/>
    </w:p>
    <w:p w14:paraId="1C87B0B1" w14:textId="77777777" w:rsidR="00FB29F6" w:rsidRDefault="00000000">
      <w:pPr>
        <w:pStyle w:val="BodyText9"/>
        <w:spacing w:after="120"/>
        <w:jc w:val="both"/>
      </w:pPr>
      <w:r>
        <w:rPr>
          <w:color w:val="404040" w:themeColor="text1" w:themeTint="BF"/>
        </w:rPr>
        <w:t>Where information cannot be disposed of when its period ends — a legal hold, or a backup that cannot be selectively purged — the position is recorded by the Accountable Party with the reason and a review date.</w:t>
      </w:r>
    </w:p>
    <w:p>
      <w:pPr>
        <w:pStyle w:val="BodyText9"/>
        <w:spacing w:after="120"/>
        <w:jc w:val="both"/>
      </w:pPr>
      <w:r>
        <w:rPr>
          <w:color w:val="404040" w:themeColor="text1" w:themeTint="BF"/>
        </w:rPr>
        <w:t xml:space="preserve">Where a system cannot meet its recovery objective — a dependency the Company does not control, or an architecture that a test has shown will not restore in time — the gap is recorded by the Accountable Party with the reason, the compensating measure and a review date, and the objective is not restated as though it were met.</w:t>
      </w:r>
    </w:p>
    <w:p w14:paraId="1C923E4F" w14:textId="77777777" w:rsidR="00FB29F6" w:rsidRDefault="00000000">
      <w:pPr>
        <w:pStyle w:val="Heading1"/>
        <w:keepNext/>
        <w:numPr>
          <w:ilvl w:val="0"/>
          <w:numId w:val="10"/>
        </w:numPr>
        <w:spacing w:before="240" w:after="80"/>
      </w:pPr>
      <w:bookmarkStart w:id="19" w:name="_S510"/>
      <w:bookmarkStart w:id="20" w:name="_Toc237819179"/>
      <w:r>
        <w:t>Reference</w:t>
      </w:r>
      <w:bookmarkEnd w:id="19"/>
      <w:bookmarkEnd w:id="20"/>
    </w:p>
    <w:p w14:paraId="316D2588" w14:textId="5F3620D5" w:rsidR="00FB29F6" w:rsidRDefault="00000000">
      <w:pPr>
        <w:pStyle w:val="Emphasis-Normal"/>
        <w:numPr>
          <w:ilvl w:val="0"/>
          <w:numId w:val="9"/>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[CC2.1, CC6.5, CC7.4, CC7.5, CC9.1, CC9.2]</w:t>
      </w:r>
    </w:p>
    <w:p w14:paraId="43459B29" w14:textId="3CCD6C59" w:rsidR="00FB29F6" w:rsidRDefault="00000000">
      <w:pPr>
        <w:pStyle w:val="Emphasis-Normal"/>
        <w:numPr>
          <w:ilvl w:val="0"/>
          <w:numId w:val="9"/>
        </w:numPr>
        <w:spacing w:after="120"/>
        <w:jc w:val="both"/>
      </w:pPr>
      <w:r>
        <w:rPr>
          <w:color w:val="404040" w:themeColor="text1" w:themeTint="BF"/>
        </w:rPr>
        <w:t xml:space="preserve">POL-DCL-001 Data Classification Policy </w:t>
      </w:r>
      <w:r>
        <w:rPr>
          <w:rFonts w:ascii="Calibri Light" w:eastAsia="Calibri Light" w:hAnsi="Calibri Light" w:cs="Calibri Light"/>
          <w:color w:val="404040" w:themeColor="text1" w:themeTint="BF"/>
          <w:sz w:val="18"/>
        </w:rPr>
        <w:t>[SOC 2: CC2.1]</w:t>
      </w:r>
    </w:p>
    <w:p w14:paraId="605E5C0B" w14:textId="56832251" w:rsidR="00FB29F6" w:rsidRDefault="00000000">
      <w:pPr>
        <w:pStyle w:val="Emphasis-Normal"/>
        <w:numPr>
          <w:ilvl w:val="0"/>
          <w:numId w:val="9"/>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CC5.3]</w:t>
      </w:r>
    </w:p>
    <w:p w14:paraId="1EFDFE45" w14:textId="13CE3BAB" w:rsidR="00FB29F6" w:rsidRDefault="00000000">
      <w:pPr>
        <w:pStyle w:val="Emphasis-Normal"/>
        <w:numPr>
          <w:ilvl w:val="0"/>
          <w:numId w:val="9"/>
        </w:numPr>
        <w:spacing w:after="120"/>
        <w:jc w:val="both"/>
      </w:pPr>
      <w:r>
        <w:rPr>
          <w:color w:val="404040" w:themeColor="text1" w:themeTint="BF"/>
        </w:rPr>
        <w:t xml:space="preserve">POL-ENC-001 Encryption Policy </w:t>
      </w:r>
      <w:r>
        <w:rPr>
          <w:rFonts w:ascii="Calibri Light" w:eastAsia="Calibri Light" w:hAnsi="Calibri Light" w:cs="Calibri Light"/>
          <w:color w:val="404040" w:themeColor="text1" w:themeTint="BF"/>
          <w:sz w:val="18"/>
        </w:rPr>
        <w:t>[SOC 2: CC6.7]</w:t>
      </w:r>
    </w:p>
    <w:p w14:paraId="1110629A" w14:textId="5606EF3D" w:rsidR="00FB29F6" w:rsidRDefault="00000000">
      <w:pPr>
        <w:pStyle w:val="Emphasis-Normal"/>
        <w:numPr>
          <w:ilvl w:val="0"/>
          <w:numId w:val="9"/>
        </w:numPr>
        <w:spacing w:after="120"/>
        <w:jc w:val="both"/>
      </w:pPr>
      <w:r>
        <w:rPr>
          <w:color w:val="404040" w:themeColor="text1" w:themeTint="BF"/>
        </w:rPr>
        <w:t xml:space="preserve">POL-AM-001 Asset Management Policy </w:t>
      </w:r>
      <w:r>
        <w:rPr>
          <w:rFonts w:ascii="Calibri Light" w:eastAsia="Calibri Light" w:hAnsi="Calibri Light" w:cs="Calibri Light"/>
          <w:color w:val="404040" w:themeColor="text1" w:themeTint="BF"/>
          <w:sz w:val="18"/>
        </w:rPr>
        <w:t>[SOC 2: CC2.1]</w:t>
      </w:r>
    </w:p>
    <w:p w14:paraId="3CA37700" w14:textId="77777777" w:rsidR="00FB29F6" w:rsidRDefault="00000000">
      <w:pPr>
        <w:pStyle w:val="Emphasis-Normal"/>
        <w:numPr>
          <w:ilvl w:val="0"/>
          <w:numId w:val="9"/>
        </w:numPr>
        <w:spacing w:after="120"/>
        <w:jc w:val="both"/>
      </w:pPr>
      <w:r>
        <w:rPr>
          <w:color w:val="404040" w:themeColor="text1" w:themeTint="BF"/>
        </w:rPr>
        <w:t>EU General Data Protection Regulation, Articles 5, 17 and 32(1)(c)</w:t>
      </w:r>
    </w:p>
    <w:p>
      <w:pPr>
        <w:pStyle w:val="Emphasis-Normal"/>
        <w:numPr>
          <w:ilvl w:val="0"/>
          <w:numId w:val="9"/>
        </w:numPr>
        <w:spacing w:after="120"/>
        <w:jc w:val="both"/>
      </w:pPr>
      <w:r>
        <w:rPr>
          <w:color w:val="404040" w:themeColor="text1" w:themeTint="BF"/>
        </w:rPr>
        <w:t xml:space="preserve">SOC 2 Trust Services Criteria, Availability category  </w:t>
      </w:r>
      <w:r>
        <w:rPr>
          <w:rFonts w:ascii="Calibri Light" w:eastAsia="Calibri Light" w:hAnsi="Calibri Light" w:cs="Calibri Light"/>
          <w:color w:val="404040" w:themeColor="text1" w:themeTint="BF"/>
          <w:sz w:val="18"/>
        </w:rPr>
        <w:t>[A1.1, A1.2, A1.3]</w:t>
      </w:r>
    </w:p>
    <w:p>
      <w:pPr>
        <w:pStyle w:val="Emphasis-Normal"/>
        <w:numPr>
          <w:ilvl w:val="0"/>
          <w:numId w:val="9"/>
        </w:numPr>
        <w:spacing w:after="120"/>
        <w:jc w:val="both"/>
      </w:pPr>
      <w:r>
        <w:rPr>
          <w:color w:val="404040" w:themeColor="text1" w:themeTint="BF"/>
        </w:rPr>
        <w:t xml:space="preserve">POL-IRP-001 Incident Response Policy  </w:t>
      </w:r>
      <w:r>
        <w:rPr>
          <w:rFonts w:ascii="Calibri Light" w:eastAsia="Calibri Light" w:hAnsi="Calibri Light" w:cs="Calibri Light"/>
          <w:color w:val="404040" w:themeColor="text1" w:themeTint="BF"/>
          <w:sz w:val="18"/>
        </w:rPr>
        <w:t>[SOC 2: CC7.4, CC7.5]</w:t>
      </w:r>
    </w:p>
    <w:p>
      <w:pPr>
        <w:pStyle w:val="Emphasis-Normal"/>
        <w:numPr>
          <w:ilvl w:val="0"/>
          <w:numId w:val="9"/>
        </w:numPr>
        <w:spacing w:after="120"/>
        <w:jc w:val="both"/>
      </w:pPr>
      <w:r>
        <w:rPr>
          <w:color w:val="404040" w:themeColor="text1" w:themeTint="BF"/>
        </w:rPr>
        <w:t xml:space="preserve">POL-VM-001 Vendor Management Policy  </w:t>
      </w:r>
      <w:r>
        <w:rPr>
          <w:rFonts w:ascii="Calibri Light" w:eastAsia="Calibri Light" w:hAnsi="Calibri Light" w:cs="Calibri Light"/>
          <w:color w:val="404040" w:themeColor="text1" w:themeTint="BF"/>
          <w:sz w:val="18"/>
        </w:rPr>
        <w:t>[SOC 2: CC9.2]</w:t>
      </w:r>
    </w:p>
    <w:p>
      <w:pPr>
        <w:pStyle w:val="Emphasis-Normal"/>
        <w:numPr>
          <w:ilvl w:val="0"/>
          <w:numId w:val="9"/>
        </w:numPr>
        <w:spacing w:after="120"/>
        <w:jc w:val="both"/>
      </w:pPr>
      <w:r>
        <w:rPr>
          <w:color w:val="404040" w:themeColor="text1" w:themeTint="BF"/>
        </w:rPr>
        <w:t xml:space="preserve">POL-RM-001 Risk Management Policy  </w:t>
      </w:r>
      <w:r>
        <w:rPr>
          <w:rFonts w:ascii="Calibri Light" w:eastAsia="Calibri Light" w:hAnsi="Calibri Light" w:cs="Calibri Light"/>
          <w:color w:val="404040" w:themeColor="text1" w:themeTint="BF"/>
          <w:sz w:val="18"/>
        </w:rPr>
        <w:t>[SOC 2: CC3.2]</w:t>
      </w:r>
    </w:p>
    <w:p w14:paraId="661918A9" w14:textId="77777777" w:rsidR="00FB29F6" w:rsidRDefault="00000000" w:rsidP="004673D0">
      <w:pPr>
        <w:pStyle w:val="Heading1"/>
      </w:pPr>
      <w:bookmarkStart w:id="21" w:name="_Toc236674048"/>
      <w:bookmarkStart w:id="22" w:name="_Toc237819180"/>
      <w:r>
        <w:t>Document Policy History</w:t>
      </w:r>
      <w:bookmarkEnd w:id="21"/>
      <w:bookmarkEnd w:id="22"/>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FB29F6" w14:paraId="129BBB0C"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6BD3E72E" w14:textId="77777777" w:rsidR="00FB29F6"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3B58BD1B" w14:textId="77777777" w:rsidR="00FB29F6"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565B9624" w14:textId="77777777" w:rsidR="00FB29F6" w:rsidRDefault="00000000">
            <w:pPr>
              <w:suppressLineNumbers/>
              <w:spacing w:before="40" w:after="40" w:line="240" w:lineRule="auto"/>
            </w:pPr>
            <w:r>
              <w:rPr>
                <w:b/>
                <w:sz w:val="20"/>
              </w:rPr>
              <w:t>Description</w:t>
            </w:r>
          </w:p>
        </w:tc>
      </w:tr>
      <w:tr>
        <w:tc>
          <w:tcPr>
            <w:tcW w:w="1434" w:type="dxa"/>
            <w:tcBorders>
              <w:top w:val="single" w:sz="4" w:space="0" w:color="BFCDD4"/>
              <w:left w:val="single" w:sz="4" w:space="0" w:color="BFCDD4"/>
              <w:bottom w:val="single" w:sz="4" w:space="0" w:color="BFCDD4"/>
              <w:right w:val="single" w:sz="4" w:space="0" w:color="BFCDD4"/>
            </w:tcBorders>
            <w:vAlign w:val="center"/>
          </w:tcPr>
          <w:p>
            <w:pPr>
              <w:suppressLineNumbers/>
              <w:spacing w:before="40" w:after="40" w:line="240" w:lineRule="auto"/>
            </w:pPr>
            <w:r>
              <w:rPr>
                <w:sz w:val="20"/>
              </w:rPr>
              <w:t xml:space="preserve">1.0</w:t>
            </w:r>
          </w:p>
        </w:tc>
        <w:tc>
          <w:tcPr>
            <w:tcW w:w="2310" w:type="dxa"/>
            <w:tcBorders>
              <w:top w:val="single" w:sz="4" w:space="0" w:color="BFCDD4"/>
              <w:left w:val="single" w:sz="4" w:space="0" w:color="BFCDD4"/>
              <w:bottom w:val="single" w:sz="4" w:space="0" w:color="BFCDD4"/>
              <w:right w:val="single" w:sz="4" w:space="0" w:color="BFCDD4"/>
            </w:tcBorders>
            <w:vAlign w:val="center"/>
          </w:tcPr>
          <w:p>
            <w:pPr>
              <w:suppressLineNumbers/>
              <w:spacing w:before="40" w:after="40" w:line="240" w:lineRule="auto"/>
            </w:pPr>
            <w:r>
              <w:rPr>
                <w:sz w:val="20"/>
              </w:rPr>
              <w:t xml:space="preserve">August 18, 2026</w:t>
            </w:r>
          </w:p>
        </w:tc>
        <w:tc>
          <w:tcPr>
            <w:tcW w:w="5616" w:type="dxa"/>
            <w:tcBorders>
              <w:top w:val="single" w:sz="4" w:space="0" w:color="BFCDD4"/>
              <w:left w:val="single" w:sz="4" w:space="0" w:color="BFCDD4"/>
              <w:bottom w:val="single" w:sz="4" w:space="0" w:color="BFCDD4"/>
              <w:right w:val="single" w:sz="4" w:space="0" w:color="BFCDD4"/>
            </w:tcBorders>
            <w:vAlign w:val="center"/>
          </w:tcPr>
          <w:p>
            <w:pPr>
              <w:suppressLineNumbers/>
              <w:spacing w:before="40" w:after="40" w:line="240" w:lineRule="auto"/>
            </w:pPr>
            <w:r>
              <w:rPr>
                <w:sz w:val="20"/>
              </w:rPr>
              <w:t xml:space="preserve">Initial policy release as Data Retention and Disposal Policy.</w:t>
            </w:r>
          </w:p>
        </w:tc>
      </w:tr>
      <w:tr>
        <w:tc>
          <w:tcPr>
            <w:tcW w:w="1434" w:type="dxa"/>
            <w:tcBorders>
              <w:top w:val="single" w:sz="4" w:space="0" w:color="BFCDD4"/>
              <w:left w:val="single" w:sz="4" w:space="0" w:color="BFCDD4"/>
              <w:bottom w:val="single" w:sz="4" w:space="0" w:color="BFCDD4"/>
              <w:right w:val="single" w:sz="4" w:space="0" w:color="BFCDD4"/>
            </w:tcBorders>
            <w:vAlign w:val="center"/>
          </w:tcPr>
          <w:p>
            <w:pPr>
              <w:suppressLineNumbers/>
              <w:spacing w:before="40" w:after="40" w:line="240" w:lineRule="auto"/>
            </w:pPr>
            <w:r>
              <w:rPr>
                <w:sz w:val="20"/>
              </w:rPr>
              <w:t xml:space="preserve">1.1</w:t>
            </w:r>
          </w:p>
        </w:tc>
        <w:tc>
          <w:tcPr>
            <w:tcW w:w="2310" w:type="dxa"/>
            <w:tcBorders>
              <w:top w:val="single" w:sz="4" w:space="0" w:color="BFCDD4"/>
              <w:left w:val="single" w:sz="4" w:space="0" w:color="BFCDD4"/>
              <w:bottom w:val="single" w:sz="4" w:space="0" w:color="BFCDD4"/>
              <w:right w:val="single" w:sz="4" w:space="0" w:color="BFCDD4"/>
            </w:tcBorders>
            <w:vAlign w:val="center"/>
          </w:tcPr>
          <w:p>
            <w:pPr>
              <w:suppressLineNumbers/>
              <w:spacing w:before="40" w:after="40" w:line="240" w:lineRule="auto"/>
            </w:pPr>
            <w:r>
              <w:rPr>
                <w:sz w:val="20"/>
              </w:rPr>
              <w:t xml:space="preserve">August 28, 2026</w:t>
            </w:r>
          </w:p>
        </w:tc>
        <w:tc>
          <w:tcPr>
            <w:tcW w:w="5616" w:type="dxa"/>
            <w:tcBorders>
              <w:top w:val="single" w:sz="4" w:space="0" w:color="BFCDD4"/>
              <w:left w:val="single" w:sz="4" w:space="0" w:color="BFCDD4"/>
              <w:bottom w:val="single" w:sz="4" w:space="0" w:color="BFCDD4"/>
              <w:right w:val="single" w:sz="4" w:space="0" w:color="BFCDD4"/>
            </w:tcBorders>
            <w:vAlign w:val="center"/>
          </w:tcPr>
          <w:p>
            <w:pPr>
              <w:suppressLineNumbers/>
              <w:spacing w:before="40" w:after="40" w:line="240" w:lineRule="auto"/>
            </w:pPr>
            <w:r>
              <w:rPr>
                <w:sz w:val="20"/>
              </w:rPr>
              <w:t xml:space="preserve">Retitled Data Retention, Disposal and Disaster Recovery Policy. Added Backup, Recovery Objectives, Disaster Recovery and Recovery Testing sections; supporting terminology, roles, records, exceptions and references. Availability criteria A1.1–A1.3 and CC7.5 brought into coverage.</w:t>
            </w:r>
          </w:p>
        </w:tc>
      </w:tr>
    </w:tbl>
    <w:p w14:paraId="7703E5E6" w14:textId="48317719" w:rsidR="00FB29F6" w:rsidRDefault="00FB29F6" w:rsidP="004018BB"/>
    <w:sectPr w:rsidR="00FB29F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17BBDE" w14:textId="77777777" w:rsidR="00960509" w:rsidRDefault="00960509">
      <w:pPr>
        <w:spacing w:after="0" w:line="240" w:lineRule="auto"/>
      </w:pPr>
      <w:r>
        <w:separator/>
      </w:r>
    </w:p>
  </w:endnote>
  <w:endnote w:type="continuationSeparator" w:id="0">
    <w:p w14:paraId="09E34A2B" w14:textId="77777777" w:rsidR="00960509" w:rsidRDefault="00960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2F863" w14:textId="77777777" w:rsidR="00FB29F6" w:rsidRDefault="00FB2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7C04F" w14:textId="77777777" w:rsidR="00FB29F6" w:rsidRDefault="00000000">
    <w:pPr>
      <w:suppressLineNumbers/>
      <w:pBdr>
        <w:top w:val="single" w:sz="6" w:space="4" w:color="1B4965"/>
      </w:pBdr>
      <w:spacing w:before="160" w:after="0"/>
      <w:jc w:val="center"/>
    </w:pPr>
    <w:r>
      <w:rPr>
        <w:sz w:val="17"/>
      </w:rPr>
      <w:t xml:space="preserve">PromptHalo Technologies   ·   Internal   ·   POL-DRD-001   ·   Version 1.1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C55A1" w14:textId="77777777" w:rsidR="00FB29F6" w:rsidRDefault="00FB29F6">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9FCB3" w14:textId="77777777" w:rsidR="00FB29F6" w:rsidRDefault="00FB29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970FF1" w14:textId="77777777" w:rsidR="00FB29F6" w:rsidRDefault="00000000">
    <w:pPr>
      <w:suppressLineNumbers/>
      <w:pBdr>
        <w:top w:val="single" w:sz="6" w:space="4" w:color="1B4965"/>
      </w:pBdr>
      <w:spacing w:before="160" w:after="0"/>
      <w:jc w:val="center"/>
    </w:pPr>
    <w:r>
      <w:rPr>
        <w:sz w:val="17"/>
      </w:rPr>
      <w:t xml:space="preserve">PromptHalo Technologies   ·   Internal   ·   POL-DRD-001   ·   Version 1.1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BAEDA" w14:textId="77777777" w:rsidR="00FB29F6" w:rsidRDefault="00FB29F6">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43E452" w14:textId="77777777" w:rsidR="00960509" w:rsidRDefault="00960509">
      <w:pPr>
        <w:spacing w:after="0" w:line="240" w:lineRule="auto"/>
      </w:pPr>
      <w:r>
        <w:separator/>
      </w:r>
    </w:p>
  </w:footnote>
  <w:footnote w:type="continuationSeparator" w:id="0">
    <w:p w14:paraId="5DA6D8C8" w14:textId="77777777" w:rsidR="00960509" w:rsidRDefault="00960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BF6B29" w14:textId="77777777" w:rsidR="00FB29F6" w:rsidRDefault="00FB2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8041CC" w14:textId="77777777" w:rsidR="00FB29F6" w:rsidRDefault="00000000">
    <w:pPr>
      <w:suppressLineNumbers/>
      <w:pBdr>
        <w:bottom w:val="single" w:sz="6" w:space="4" w:color="1B4965"/>
      </w:pBdr>
      <w:spacing w:after="160"/>
      <w:jc w:val="center"/>
    </w:pPr>
    <w:r>
      <w:rPr>
        <w:b/>
        <w:caps/>
        <w:spacing w:val="12"/>
        <w:sz w:val="17"/>
      </w:rPr>
      <w:t>DATA RETENTION, DISPOSAL AND DISASTER RECOVERY POLICY   ·   INTERNAL   ·   POL-DRD-001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387238" w14:textId="77777777" w:rsidR="00FB29F6" w:rsidRDefault="00FB29F6">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DCFF2" w14:textId="77777777" w:rsidR="00FB29F6" w:rsidRDefault="00FB29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0DCBC5" w14:textId="77777777" w:rsidR="00FB29F6" w:rsidRDefault="00000000">
    <w:pPr>
      <w:suppressLineNumbers/>
      <w:pBdr>
        <w:bottom w:val="single" w:sz="6" w:space="4" w:color="1B4965"/>
      </w:pBdr>
      <w:spacing w:after="160"/>
      <w:jc w:val="center"/>
    </w:pPr>
    <w:r>
      <w:rPr>
        <w:b/>
        <w:caps/>
        <w:spacing w:val="12"/>
        <w:sz w:val="17"/>
      </w:rPr>
      <w:t>DATA RETENTION, DISPOSAL AND DISASTER RECOVERY POLICY   ·   INTERNAL   ·   POL-DRD-001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845338" w14:textId="77777777" w:rsidR="00FB29F6" w:rsidRDefault="00FB29F6">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6F61FA"/>
    <w:multiLevelType w:val="multilevel"/>
    <w:tmpl w:val="0C06928E"/>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60B07BBA"/>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A0033C9"/>
    <w:multiLevelType w:val="multilevel"/>
    <w:tmpl w:val="A2DE92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03337720">
    <w:abstractNumId w:val="0"/>
  </w:num>
  <w:num w:numId="2" w16cid:durableId="1660885979">
    <w:abstractNumId w:val="1"/>
  </w:num>
  <w:num w:numId="3" w16cid:durableId="1088387856">
    <w:abstractNumId w:val="2"/>
    <w:lvlOverride w:ilvl="0">
      <w:startOverride w:val="1"/>
    </w:lvlOverride>
  </w:num>
  <w:num w:numId="4" w16cid:durableId="2056931786">
    <w:abstractNumId w:val="2"/>
    <w:lvlOverride w:ilvl="0">
      <w:startOverride w:val="1"/>
    </w:lvlOverride>
  </w:num>
  <w:num w:numId="5" w16cid:durableId="1466507197">
    <w:abstractNumId w:val="2"/>
    <w:lvlOverride w:ilvl="0">
      <w:startOverride w:val="1"/>
    </w:lvlOverride>
  </w:num>
  <w:num w:numId="6" w16cid:durableId="439421868">
    <w:abstractNumId w:val="2"/>
    <w:lvlOverride w:ilvl="0">
      <w:startOverride w:val="1"/>
    </w:lvlOverride>
  </w:num>
  <w:num w:numId="7" w16cid:durableId="1892839671">
    <w:abstractNumId w:val="2"/>
    <w:lvlOverride w:ilvl="0">
      <w:startOverride w:val="1"/>
    </w:lvlOverride>
  </w:num>
  <w:num w:numId="8" w16cid:durableId="1867518008">
    <w:abstractNumId w:val="2"/>
    <w:lvlOverride w:ilvl="0">
      <w:startOverride w:val="1"/>
    </w:lvlOverride>
  </w:num>
  <w:num w:numId="9" w16cid:durableId="1093012144">
    <w:abstractNumId w:val="2"/>
    <w:lvlOverride w:ilvl="0">
      <w:startOverride w:val="1"/>
    </w:lvlOverride>
  </w:num>
  <w:num w:numId="11" w16cid:durableId="50000011">
    <w:abstractNumId w:val="2"/>
    <w:lvlOverride w:ilvl="0">
      <w:startOverride w:val="1"/>
    </w:lvlOverride>
  </w:num>
  <w:num w:numId="12" w16cid:durableId="50000012">
    <w:abstractNumId w:val="2"/>
    <w:lvlOverride w:ilvl="0">
      <w:startOverride w:val="1"/>
    </w:lvlOverride>
  </w:num>
  <w:num w:numId="13" w16cid:durableId="50000013">
    <w:abstractNumId w:val="2"/>
    <w:lvlOverride w:ilvl="0">
      <w:startOverride w:val="1"/>
    </w:lvlOverride>
  </w:num>
  <w:num w:numId="14" w16cid:durableId="50000014">
    <w:abstractNumId w:val="2"/>
    <w:lvlOverride w:ilvl="0">
      <w:startOverride w:val="1"/>
    </w:lvlOverride>
  </w:num>
  <w:num w:numId="10" w16cid:durableId="1664580204">
    <w:abstractNumId w:val="0"/>
    <w:lvlOverride w:ilvl="0">
      <w:startOverride w:val="1"/>
    </w:lvlOverride>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9F6"/>
    <w:rsid w:val="004018BB"/>
    <w:rsid w:val="004673D0"/>
    <w:rsid w:val="00665A29"/>
    <w:rsid w:val="00960509"/>
    <w:rsid w:val="00B2474C"/>
    <w:rsid w:val="00D232B4"/>
    <w:rsid w:val="00FB29F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8BC3D78"/>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1292</Words>
  <Characters>7371</Characters>
  <Application>Microsoft Office Word</Application>
  <DocSecurity>0</DocSecurity>
  <Lines>61</Lines>
  <Paragraphs>17</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2026-08-17T04:33:00Z</cp:lastPrinted>
  <dcterms:created xsi:type="dcterms:W3CDTF">2026-08-17T04:33:00Z</dcterms:created>
  <dcterms:modified xsi:type="dcterms:W3CDTF">2026-08-17T04:33:00Z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