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087210"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6E0CBD5B"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79C93B53"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37F5D551" w14:textId="77777777" w:rsidR="00FB29F6"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DATA RETENTION AND DISPOSAL POLICY</w:t>
      </w:r>
    </w:p>
    <w:p w14:paraId="6D054922"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7ED38CD7" w14:textId="77777777" w:rsidR="00FB29F6" w:rsidRDefault="00FB29F6">
      <w:pPr>
        <w:pStyle w:val="Title"/>
        <w:suppressLineNumbers/>
        <w:spacing w:after="240"/>
        <w:jc w:val="center"/>
        <w:rPr>
          <w:rStyle w:val="Emphasis"/>
          <w:rFonts w:eastAsia="Times New Roman"/>
          <w:b w:val="0"/>
          <w:i w:val="0"/>
          <w:smallCaps/>
          <w:color w:val="074F6A"/>
          <w:spacing w:val="0"/>
          <w:sz w:val="52"/>
          <w:szCs w:val="52"/>
        </w:rPr>
      </w:pPr>
    </w:p>
    <w:p w14:paraId="14CF1F1A" w14:textId="77777777" w:rsidR="00FB29F6"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68E8D9D2" w14:textId="77777777" w:rsidR="00FB29F6" w:rsidRDefault="00000000">
      <w:pPr>
        <w:suppressLineNumbers/>
        <w:spacing w:after="40" w:line="240" w:lineRule="auto"/>
        <w:jc w:val="center"/>
        <w:rPr>
          <w:rFonts w:ascii="Calibri Light" w:hAnsi="Calibri Light" w:cs="Calibri Light"/>
          <w:sz w:val="20"/>
          <w:szCs w:val="20"/>
        </w:rPr>
      </w:pPr>
      <w:r>
        <w:rPr>
          <w:sz w:val="21"/>
        </w:rPr>
        <w:t>Revision Date: August 18, 2026</w:t>
      </w:r>
    </w:p>
    <w:p w14:paraId="47F94207" w14:textId="77777777" w:rsidR="00FB29F6"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4066E03C" w14:textId="77777777" w:rsidR="00FB29F6" w:rsidRDefault="00FB29F6">
      <w:pPr>
        <w:suppressLineNumbers/>
        <w:spacing w:after="40" w:line="240" w:lineRule="auto"/>
        <w:jc w:val="center"/>
      </w:pPr>
    </w:p>
    <w:p w14:paraId="45B52188" w14:textId="77777777" w:rsidR="00FB29F6" w:rsidRDefault="00FB29F6">
      <w:pPr>
        <w:suppressLineNumbers/>
        <w:spacing w:after="40" w:line="240" w:lineRule="auto"/>
        <w:jc w:val="center"/>
      </w:pPr>
    </w:p>
    <w:p w14:paraId="50D4400A" w14:textId="77777777" w:rsidR="00FB29F6" w:rsidRDefault="00FB29F6">
      <w:pPr>
        <w:suppressLineNumbers/>
        <w:spacing w:after="40" w:line="240" w:lineRule="auto"/>
        <w:jc w:val="center"/>
      </w:pPr>
    </w:p>
    <w:p w14:paraId="79A98D1B" w14:textId="77777777" w:rsidR="00FB29F6" w:rsidRDefault="00FB29F6">
      <w:pPr>
        <w:suppressLineNumbers/>
        <w:spacing w:after="40" w:line="240" w:lineRule="auto"/>
        <w:jc w:val="center"/>
      </w:pPr>
    </w:p>
    <w:p w14:paraId="78973DF7" w14:textId="77777777" w:rsidR="00FB29F6" w:rsidRDefault="00FB29F6">
      <w:pPr>
        <w:suppressLineNumbers/>
        <w:spacing w:after="40" w:line="240" w:lineRule="auto"/>
        <w:jc w:val="center"/>
      </w:pPr>
    </w:p>
    <w:p w14:paraId="5D3121FE" w14:textId="77777777" w:rsidR="00FB29F6" w:rsidRDefault="00000000">
      <w:pPr>
        <w:suppressLineNumbers/>
        <w:spacing w:after="40" w:line="240" w:lineRule="auto"/>
        <w:jc w:val="center"/>
      </w:pPr>
      <w:bookmarkStart w:id="0" w:name="EffectiveDate"/>
      <w:r>
        <w:rPr>
          <w:noProof/>
        </w:rPr>
        <w:drawing>
          <wp:inline distT="0" distB="0" distL="0" distR="0" wp14:anchorId="6B97A768" wp14:editId="33FE2E8D">
            <wp:extent cx="2665095" cy="7521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2139"/>
                    </a:xfrm>
                    <a:prstGeom prst="rect">
                      <a:avLst/>
                    </a:prstGeom>
                  </pic:spPr>
                </pic:pic>
              </a:graphicData>
            </a:graphic>
          </wp:inline>
        </w:drawing>
      </w:r>
      <w:bookmarkEnd w:id="0"/>
      <w:r>
        <w:br w:type="page"/>
      </w:r>
    </w:p>
    <w:p w14:paraId="40F1F174" w14:textId="77777777" w:rsidR="00FB29F6"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FB29F6" w14:paraId="377FA32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CC8C35D" w14:textId="77777777" w:rsidR="00FB29F6"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5CFB808E" w14:textId="77777777" w:rsidR="00FB29F6" w:rsidRDefault="00000000">
            <w:pPr>
              <w:pStyle w:val="BodyText9"/>
              <w:suppressLineNumbers/>
              <w:spacing w:before="40" w:after="40" w:line="240" w:lineRule="auto"/>
            </w:pPr>
            <w:r>
              <w:rPr>
                <w:b/>
                <w:color w:val="404040" w:themeColor="text1" w:themeTint="BF"/>
                <w:sz w:val="20"/>
                <w:szCs w:val="20"/>
              </w:rPr>
              <w:t>Governance, Ethics, and Security</w:t>
            </w:r>
          </w:p>
        </w:tc>
      </w:tr>
      <w:tr w:rsidR="00FB29F6" w14:paraId="167ABF6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6A2C14C" w14:textId="77777777" w:rsidR="00FB29F6"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1CDE47F2" w14:textId="77777777" w:rsidR="00FB29F6" w:rsidRDefault="00000000">
            <w:pPr>
              <w:pStyle w:val="BodyText9"/>
              <w:suppressLineNumbers/>
              <w:spacing w:before="40" w:after="40" w:line="240" w:lineRule="auto"/>
            </w:pPr>
            <w:r>
              <w:rPr>
                <w:color w:val="404040" w:themeColor="text1" w:themeTint="BF"/>
                <w:sz w:val="20"/>
              </w:rPr>
              <w:t>Data Retention and Disposal Policy</w:t>
            </w:r>
          </w:p>
        </w:tc>
      </w:tr>
      <w:tr w:rsidR="00FB29F6" w14:paraId="12F09F85"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E0D4D2B" w14:textId="77777777" w:rsidR="00FB29F6"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5F5675C3" w14:textId="77777777" w:rsidR="00FB29F6" w:rsidRDefault="00000000">
            <w:pPr>
              <w:pStyle w:val="BodyText9"/>
              <w:suppressLineNumbers/>
              <w:spacing w:before="40" w:after="40" w:line="240" w:lineRule="auto"/>
            </w:pPr>
            <w:r>
              <w:rPr>
                <w:color w:val="404040" w:themeColor="text1" w:themeTint="BF"/>
                <w:sz w:val="20"/>
              </w:rPr>
              <w:t>POL-DRD-001</w:t>
            </w:r>
          </w:p>
        </w:tc>
      </w:tr>
      <w:tr w:rsidR="00FB29F6" w14:paraId="11C38E0A"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247773" w14:textId="77777777" w:rsidR="00FB29F6"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76075136" w14:textId="77777777" w:rsidR="00FB29F6" w:rsidRDefault="00000000">
            <w:pPr>
              <w:pStyle w:val="BodyText9"/>
              <w:suppressLineNumbers/>
              <w:spacing w:before="40" w:after="40" w:line="240" w:lineRule="auto"/>
            </w:pPr>
            <w:r>
              <w:rPr>
                <w:color w:val="404040" w:themeColor="text1" w:themeTint="BF"/>
                <w:sz w:val="20"/>
              </w:rPr>
              <w:t>1.0</w:t>
            </w:r>
          </w:p>
        </w:tc>
      </w:tr>
      <w:tr w:rsidR="00FB29F6" w14:paraId="55836CA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62CCE0F" w14:textId="77777777" w:rsidR="00FB29F6"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4FE9C04F" w14:textId="77777777" w:rsidR="00FB29F6" w:rsidRDefault="00000000">
            <w:pPr>
              <w:pStyle w:val="BodyText9"/>
              <w:suppressLineNumbers/>
              <w:spacing w:before="40" w:after="40" w:line="240" w:lineRule="auto"/>
            </w:pPr>
            <w:r>
              <w:rPr>
                <w:color w:val="404040" w:themeColor="text1" w:themeTint="BF"/>
                <w:sz w:val="20"/>
              </w:rPr>
              <w:t>August 18, 2026</w:t>
            </w:r>
          </w:p>
        </w:tc>
      </w:tr>
      <w:tr w:rsidR="00FB29F6" w14:paraId="3FE7F3C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DEBB688" w14:textId="77777777" w:rsidR="00FB29F6"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46C648E9" w14:textId="77777777" w:rsidR="00FB29F6" w:rsidRDefault="00000000">
            <w:pPr>
              <w:pStyle w:val="BodyText9"/>
              <w:suppressLineNumbers/>
              <w:spacing w:before="40" w:after="40" w:line="240" w:lineRule="auto"/>
            </w:pPr>
            <w:r>
              <w:rPr>
                <w:color w:val="404040" w:themeColor="text1" w:themeTint="BF"/>
                <w:sz w:val="20"/>
              </w:rPr>
              <w:t>Information Security Steering Committee</w:t>
            </w:r>
          </w:p>
        </w:tc>
      </w:tr>
      <w:tr w:rsidR="00FB29F6" w14:paraId="40941DB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407EF62D" w14:textId="77777777" w:rsidR="00FB29F6"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61B6E5A0" w14:textId="77777777" w:rsidR="00FB29F6" w:rsidRDefault="00000000">
            <w:pPr>
              <w:pStyle w:val="BodyText9"/>
              <w:suppressLineNumbers/>
              <w:spacing w:before="40" w:after="40" w:line="240" w:lineRule="auto"/>
            </w:pPr>
            <w:r>
              <w:rPr>
                <w:color w:val="404040" w:themeColor="text1" w:themeTint="BF"/>
                <w:sz w:val="20"/>
              </w:rPr>
              <w:t>August 18, 2026</w:t>
            </w:r>
          </w:p>
        </w:tc>
      </w:tr>
      <w:tr w:rsidR="00FB29F6" w14:paraId="28E6AF57"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D43DEBA" w14:textId="77777777" w:rsidR="00FB29F6"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7FC44DB9" w14:textId="77777777" w:rsidR="00FB29F6" w:rsidRDefault="00000000">
            <w:pPr>
              <w:pStyle w:val="BodyText9"/>
              <w:suppressLineNumbers/>
              <w:spacing w:before="40" w:after="40" w:line="240" w:lineRule="auto"/>
            </w:pPr>
            <w:r>
              <w:rPr>
                <w:color w:val="404040" w:themeColor="text1" w:themeTint="BF"/>
                <w:sz w:val="20"/>
              </w:rPr>
              <w:t>August 18, 2027</w:t>
            </w:r>
          </w:p>
        </w:tc>
      </w:tr>
      <w:tr w:rsidR="00FB29F6" w14:paraId="4F62E75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4E15D1F" w14:textId="77777777" w:rsidR="00FB29F6"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4BE30CC" w14:textId="77777777" w:rsidR="00FB29F6" w:rsidRDefault="00000000">
            <w:pPr>
              <w:pStyle w:val="BodyText9"/>
              <w:suppressLineNumbers/>
              <w:spacing w:before="40" w:after="40" w:line="240" w:lineRule="auto"/>
            </w:pPr>
            <w:r>
              <w:rPr>
                <w:color w:val="404040" w:themeColor="text1" w:themeTint="BF"/>
                <w:sz w:val="20"/>
              </w:rPr>
              <w:t>Internal</w:t>
            </w:r>
          </w:p>
        </w:tc>
      </w:tr>
      <w:tr w:rsidR="00FB29F6" w14:paraId="4189FE2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051B74B" w14:textId="77777777" w:rsidR="00FB29F6"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79F1850B" w14:textId="77777777" w:rsidR="00FB29F6" w:rsidRDefault="00000000">
            <w:pPr>
              <w:pStyle w:val="BodyText9"/>
              <w:suppressLineNumbers/>
              <w:spacing w:before="40" w:after="40" w:line="240" w:lineRule="auto"/>
            </w:pPr>
            <w:r>
              <w:fldChar w:fldCharType="begin"/>
            </w:r>
            <w:r>
              <w:instrText xml:space="preserve"> DOCPROPERTY "DocOwner"</w:instrText>
            </w:r>
            <w:r>
              <w:fldChar w:fldCharType="separate"/>
            </w:r>
            <w:r>
              <w:t>Chief Executive Officer — Accountable Party</w:t>
            </w:r>
            <w:r>
              <w:fldChar w:fldCharType="end"/>
            </w:r>
          </w:p>
        </w:tc>
      </w:tr>
      <w:tr w:rsidR="00FB29F6" w14:paraId="3CC10A74"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E8852B" w14:textId="77777777" w:rsidR="00FB29F6"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449C2C0" w14:textId="77777777" w:rsidR="00FB29F6" w:rsidRDefault="00000000">
            <w:pPr>
              <w:pStyle w:val="BodyText9"/>
              <w:suppressLineNumbers/>
              <w:spacing w:before="40" w:after="40" w:line="240" w:lineRule="auto"/>
            </w:pPr>
            <w:r>
              <w:rPr>
                <w:color w:val="404040" w:themeColor="text1" w:themeTint="BF"/>
                <w:sz w:val="20"/>
              </w:rPr>
              <w:t>Security Officer</w:t>
            </w:r>
          </w:p>
        </w:tc>
      </w:tr>
      <w:tr w:rsidR="00FB29F6" w14:paraId="732E6A9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4BAE1A6" w14:textId="77777777" w:rsidR="00FB29F6"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206F9185" w14:textId="77777777" w:rsidR="00FB29F6" w:rsidRDefault="00000000">
            <w:pPr>
              <w:pStyle w:val="BodyText9"/>
              <w:suppressLineNumbers/>
              <w:spacing w:before="40" w:after="40" w:line="240" w:lineRule="auto"/>
            </w:pPr>
            <w:r>
              <w:fldChar w:fldCharType="begin"/>
            </w:r>
            <w:r>
              <w:instrText xml:space="preserve"> DOCPROPERTY "ReviewCycle"</w:instrText>
            </w:r>
            <w:r>
              <w:fldChar w:fldCharType="separate"/>
            </w:r>
            <w:r>
              <w:t>Annual, or upon material change</w:t>
            </w:r>
            <w:r>
              <w:fldChar w:fldCharType="end"/>
            </w:r>
          </w:p>
        </w:tc>
      </w:tr>
      <w:tr w:rsidR="00FB29F6" w14:paraId="008F78A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56BC0370" w14:textId="77777777" w:rsidR="00FB29F6"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05DCBEC6" w14:textId="77777777" w:rsidR="00FB29F6" w:rsidRDefault="00000000">
            <w:pPr>
              <w:pStyle w:val="BodyText9"/>
              <w:suppressLineNumbers/>
              <w:spacing w:before="40" w:after="40" w:line="240" w:lineRule="auto"/>
            </w:pPr>
            <w:r>
              <w:rPr>
                <w:color w:val="404040" w:themeColor="text1" w:themeTint="BF"/>
                <w:sz w:val="20"/>
              </w:rPr>
              <w:t>N/A</w:t>
            </w:r>
          </w:p>
        </w:tc>
      </w:tr>
      <w:tr w:rsidR="00FB29F6" w14:paraId="2488063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B14D738" w14:textId="77777777" w:rsidR="00FB29F6"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0991416F" w14:textId="77777777" w:rsidR="00FB29F6" w:rsidRDefault="00000000">
            <w:pPr>
              <w:pStyle w:val="BodyText9"/>
              <w:suppressLineNumbers/>
              <w:spacing w:before="40" w:after="40" w:line="240" w:lineRule="auto"/>
            </w:pPr>
            <w:r>
              <w:fldChar w:fldCharType="begin"/>
            </w:r>
            <w:r>
              <w:instrText xml:space="preserve"> DOCPROPERTY "Audience"</w:instrText>
            </w:r>
            <w:r>
              <w:fldChar w:fldCharType="separate"/>
            </w:r>
            <w:r>
              <w:t>All personnel, including employees and contractors</w:t>
            </w:r>
            <w:r>
              <w:fldChar w:fldCharType="end"/>
            </w:r>
          </w:p>
        </w:tc>
      </w:tr>
    </w:tbl>
    <w:p w14:paraId="11646296" w14:textId="77777777" w:rsidR="00FB29F6" w:rsidRDefault="00FB29F6">
      <w:pPr>
        <w:suppressLineNumbers/>
        <w:rPr>
          <w:rStyle w:val="Strong"/>
        </w:rPr>
      </w:pPr>
    </w:p>
    <w:p w14:paraId="5326DF75" w14:textId="77777777" w:rsidR="00FB29F6" w:rsidRDefault="00000000">
      <w:pPr>
        <w:suppressLineNumbers/>
        <w:spacing w:before="360" w:after="160"/>
        <w:rPr>
          <w:rStyle w:val="Strong"/>
        </w:rPr>
      </w:pPr>
      <w:r>
        <w:rPr>
          <w:rStyle w:val="Strong"/>
          <w:caps/>
        </w:rPr>
        <w:t>APPROVERS AND OWNERS</w:t>
      </w:r>
    </w:p>
    <w:tbl>
      <w:tblPr>
        <w:tblW w:w="5000" w:type="pct"/>
        <w:tblLayout w:type="fixed"/>
        <w:tblCellMar>
          <w:top w:w="26" w:type="dxa"/>
          <w:left w:w="92" w:type="dxa"/>
          <w:bottom w:w="26" w:type="dxa"/>
          <w:right w:w="92" w:type="dxa"/>
        </w:tblCellMar>
        <w:tblLook w:val="0000" w:firstRow="0" w:lastRow="0" w:firstColumn="0" w:lastColumn="0" w:noHBand="0" w:noVBand="0"/>
      </w:tblPr>
      <w:tblGrid>
        <w:gridCol w:w="2021"/>
        <w:gridCol w:w="1129"/>
        <w:gridCol w:w="2966"/>
        <w:gridCol w:w="2082"/>
        <w:gridCol w:w="1346"/>
      </w:tblGrid>
      <w:tr w:rsidR="00FB29F6" w14:paraId="0E2AAB72" w14:textId="77777777">
        <w:trPr>
          <w:tblHeader/>
        </w:trPr>
        <w:tc>
          <w:tcPr>
            <w:tcW w:w="1982" w:type="dxa"/>
            <w:tcBorders>
              <w:top w:val="single" w:sz="2" w:space="0" w:color="808080"/>
              <w:left w:val="single" w:sz="2" w:space="0" w:color="808080"/>
              <w:bottom w:val="single" w:sz="2" w:space="0" w:color="808080"/>
              <w:right w:val="single" w:sz="2" w:space="0" w:color="808080"/>
            </w:tcBorders>
            <w:vAlign w:val="center"/>
          </w:tcPr>
          <w:p w14:paraId="15576E3A" w14:textId="77777777" w:rsidR="00FB29F6" w:rsidRDefault="00000000">
            <w:pPr>
              <w:pStyle w:val="BodyText9"/>
              <w:suppressLineNumbers/>
              <w:spacing w:before="40" w:after="40" w:line="240" w:lineRule="auto"/>
            </w:pPr>
            <w:r>
              <w:rPr>
                <w:b/>
                <w:color w:val="404040" w:themeColor="text1" w:themeTint="BF"/>
                <w:sz w:val="20"/>
                <w:szCs w:val="20"/>
              </w:rPr>
              <w:t>Name</w:t>
            </w:r>
          </w:p>
        </w:tc>
        <w:tc>
          <w:tcPr>
            <w:tcW w:w="1107" w:type="dxa"/>
            <w:tcBorders>
              <w:top w:val="single" w:sz="2" w:space="0" w:color="808080"/>
              <w:left w:val="single" w:sz="2" w:space="0" w:color="808080"/>
              <w:bottom w:val="single" w:sz="2" w:space="0" w:color="808080"/>
              <w:right w:val="single" w:sz="2" w:space="0" w:color="808080"/>
            </w:tcBorders>
          </w:tcPr>
          <w:p w14:paraId="562C535A" w14:textId="77777777" w:rsidR="00FB29F6" w:rsidRDefault="00000000">
            <w:pPr>
              <w:pStyle w:val="BodyText9"/>
              <w:suppressLineNumbers/>
              <w:spacing w:before="40" w:after="40" w:line="240" w:lineRule="auto"/>
              <w:rPr>
                <w:b/>
                <w:color w:val="404040" w:themeColor="text1" w:themeTint="BF"/>
                <w:sz w:val="20"/>
                <w:szCs w:val="20"/>
              </w:rPr>
            </w:pPr>
            <w:r>
              <w:rPr>
                <w:b/>
                <w:color w:val="404040" w:themeColor="text1" w:themeTint="BF"/>
                <w:sz w:val="20"/>
                <w:szCs w:val="20"/>
              </w:rPr>
              <w:t>Role</w:t>
            </w:r>
          </w:p>
        </w:tc>
        <w:tc>
          <w:tcPr>
            <w:tcW w:w="2909" w:type="dxa"/>
            <w:tcBorders>
              <w:top w:val="single" w:sz="2" w:space="0" w:color="808080"/>
              <w:left w:val="single" w:sz="2" w:space="0" w:color="808080"/>
              <w:bottom w:val="single" w:sz="2" w:space="0" w:color="808080"/>
              <w:right w:val="single" w:sz="2" w:space="0" w:color="808080"/>
            </w:tcBorders>
            <w:vAlign w:val="center"/>
          </w:tcPr>
          <w:p w14:paraId="7D868AF1" w14:textId="77777777" w:rsidR="00FB29F6" w:rsidRDefault="00000000">
            <w:pPr>
              <w:pStyle w:val="BodyText9"/>
              <w:suppressLineNumbers/>
              <w:spacing w:before="40" w:after="40" w:line="240" w:lineRule="auto"/>
            </w:pPr>
            <w:r>
              <w:rPr>
                <w:b/>
                <w:color w:val="404040" w:themeColor="text1" w:themeTint="BF"/>
                <w:sz w:val="20"/>
                <w:szCs w:val="20"/>
              </w:rPr>
              <w:t>Information Security Role</w:t>
            </w:r>
          </w:p>
        </w:tc>
        <w:tc>
          <w:tcPr>
            <w:tcW w:w="2042" w:type="dxa"/>
            <w:tcBorders>
              <w:top w:val="single" w:sz="2" w:space="0" w:color="808080"/>
              <w:left w:val="single" w:sz="2" w:space="0" w:color="808080"/>
              <w:bottom w:val="single" w:sz="2" w:space="0" w:color="808080"/>
              <w:right w:val="single" w:sz="2" w:space="0" w:color="808080"/>
            </w:tcBorders>
            <w:vAlign w:val="center"/>
          </w:tcPr>
          <w:p w14:paraId="2D8D4B4B" w14:textId="77777777" w:rsidR="00FB29F6" w:rsidRDefault="00000000">
            <w:pPr>
              <w:pStyle w:val="BodyText9"/>
              <w:suppressLineNumbers/>
              <w:spacing w:before="40" w:after="40" w:line="240" w:lineRule="auto"/>
            </w:pPr>
            <w:r>
              <w:rPr>
                <w:b/>
                <w:color w:val="404040" w:themeColor="text1" w:themeTint="BF"/>
                <w:sz w:val="20"/>
                <w:szCs w:val="20"/>
              </w:rPr>
              <w:t>Signature</w:t>
            </w:r>
          </w:p>
        </w:tc>
        <w:tc>
          <w:tcPr>
            <w:tcW w:w="1320" w:type="dxa"/>
            <w:tcBorders>
              <w:top w:val="single" w:sz="2" w:space="0" w:color="808080"/>
              <w:left w:val="single" w:sz="2" w:space="0" w:color="808080"/>
              <w:bottom w:val="single" w:sz="2" w:space="0" w:color="808080"/>
              <w:right w:val="single" w:sz="2" w:space="0" w:color="808080"/>
            </w:tcBorders>
            <w:vAlign w:val="center"/>
          </w:tcPr>
          <w:p w14:paraId="208E4CF2" w14:textId="77777777" w:rsidR="00FB29F6" w:rsidRDefault="00000000">
            <w:pPr>
              <w:pStyle w:val="BodyText9"/>
              <w:suppressLineNumbers/>
              <w:spacing w:before="40" w:after="40" w:line="240" w:lineRule="auto"/>
            </w:pPr>
            <w:r>
              <w:rPr>
                <w:b/>
                <w:color w:val="404040" w:themeColor="text1" w:themeTint="BF"/>
                <w:sz w:val="20"/>
                <w:szCs w:val="20"/>
              </w:rPr>
              <w:t>Date</w:t>
            </w:r>
          </w:p>
        </w:tc>
      </w:tr>
      <w:tr w:rsidR="00FB29F6" w14:paraId="3DB59E98"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15FFEB7D" w14:textId="77777777" w:rsidR="00FB29F6" w:rsidRDefault="00000000">
            <w:pPr>
              <w:pStyle w:val="BodyText9"/>
              <w:suppressLineNumbers/>
              <w:spacing w:before="40" w:after="40" w:line="240" w:lineRule="auto"/>
            </w:pPr>
            <w:r>
              <w:rPr>
                <w:b/>
                <w:color w:val="404040" w:themeColor="text1" w:themeTint="BF"/>
                <w:sz w:val="20"/>
                <w:szCs w:val="20"/>
              </w:rPr>
              <w:t xml:space="preserve">Madhuri </w:t>
            </w:r>
            <w:proofErr w:type="spellStart"/>
            <w:r>
              <w:rPr>
                <w:b/>
                <w:color w:val="404040" w:themeColor="text1" w:themeTint="BF"/>
                <w:sz w:val="20"/>
                <w:szCs w:val="20"/>
              </w:rPr>
              <w:t>Chandoor</w:t>
            </w:r>
            <w:proofErr w:type="spellEnd"/>
          </w:p>
        </w:tc>
        <w:tc>
          <w:tcPr>
            <w:tcW w:w="1107" w:type="dxa"/>
            <w:tcBorders>
              <w:top w:val="single" w:sz="2" w:space="0" w:color="808080"/>
              <w:left w:val="single" w:sz="2" w:space="0" w:color="808080"/>
              <w:bottom w:val="single" w:sz="2" w:space="0" w:color="808080"/>
              <w:right w:val="single" w:sz="2" w:space="0" w:color="808080"/>
            </w:tcBorders>
          </w:tcPr>
          <w:p w14:paraId="15F9E14C" w14:textId="77777777" w:rsidR="00FB29F6"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Approver</w:t>
            </w:r>
          </w:p>
        </w:tc>
        <w:tc>
          <w:tcPr>
            <w:tcW w:w="2909" w:type="dxa"/>
            <w:tcBorders>
              <w:top w:val="single" w:sz="2" w:space="0" w:color="808080"/>
              <w:left w:val="single" w:sz="2" w:space="0" w:color="808080"/>
              <w:bottom w:val="single" w:sz="2" w:space="0" w:color="808080"/>
              <w:right w:val="single" w:sz="2" w:space="0" w:color="808080"/>
            </w:tcBorders>
            <w:vAlign w:val="center"/>
          </w:tcPr>
          <w:p w14:paraId="2E44CDA5" w14:textId="77777777" w:rsidR="00FB29F6" w:rsidRDefault="00000000">
            <w:pPr>
              <w:pStyle w:val="BodyText9"/>
              <w:suppressLineNumbers/>
              <w:spacing w:before="40" w:after="40" w:line="240" w:lineRule="auto"/>
            </w:pPr>
            <w:r>
              <w:rPr>
                <w:color w:val="404040" w:themeColor="text1" w:themeTint="BF"/>
                <w:sz w:val="20"/>
                <w:szCs w:val="20"/>
              </w:rPr>
              <w:t>CEO and Founder</w:t>
            </w:r>
          </w:p>
        </w:tc>
        <w:tc>
          <w:tcPr>
            <w:tcW w:w="2042" w:type="dxa"/>
            <w:tcBorders>
              <w:top w:val="single" w:sz="2" w:space="0" w:color="808080"/>
              <w:left w:val="single" w:sz="2" w:space="0" w:color="808080"/>
              <w:bottom w:val="single" w:sz="2" w:space="0" w:color="808080"/>
              <w:right w:val="single" w:sz="2" w:space="0" w:color="808080"/>
            </w:tcBorders>
            <w:vAlign w:val="center"/>
          </w:tcPr>
          <w:p w14:paraId="2091ECCA" w14:textId="77777777" w:rsidR="00FB29F6" w:rsidRDefault="00FB29F6">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1935BD8E" w14:textId="77777777" w:rsidR="00FB29F6" w:rsidRDefault="00000000">
            <w:pPr>
              <w:pStyle w:val="BodyText9"/>
              <w:suppressLineNumbers/>
              <w:spacing w:before="40" w:after="40" w:line="240" w:lineRule="auto"/>
            </w:pPr>
            <w:r>
              <w:rPr>
                <w:color w:val="404040" w:themeColor="text1" w:themeTint="BF"/>
                <w:sz w:val="20"/>
              </w:rPr>
              <w:t>August 18, 2026</w:t>
            </w:r>
          </w:p>
        </w:tc>
      </w:tr>
      <w:tr w:rsidR="00FB29F6" w14:paraId="2B424289" w14:textId="77777777">
        <w:tc>
          <w:tcPr>
            <w:tcW w:w="1982" w:type="dxa"/>
            <w:tcBorders>
              <w:top w:val="single" w:sz="2" w:space="0" w:color="808080"/>
              <w:left w:val="single" w:sz="2" w:space="0" w:color="808080"/>
              <w:bottom w:val="single" w:sz="2" w:space="0" w:color="808080"/>
              <w:right w:val="single" w:sz="2" w:space="0" w:color="808080"/>
            </w:tcBorders>
            <w:vAlign w:val="center"/>
          </w:tcPr>
          <w:p w14:paraId="7B91F4EC" w14:textId="77777777" w:rsidR="00FB29F6" w:rsidRDefault="00000000">
            <w:pPr>
              <w:pStyle w:val="BodyText9"/>
              <w:suppressLineNumbers/>
              <w:spacing w:before="40" w:after="40" w:line="240" w:lineRule="auto"/>
            </w:pPr>
            <w:r>
              <w:rPr>
                <w:b/>
                <w:color w:val="404040" w:themeColor="text1" w:themeTint="BF"/>
                <w:sz w:val="20"/>
                <w:szCs w:val="20"/>
              </w:rPr>
              <w:t>Praveen Sharma</w:t>
            </w:r>
          </w:p>
        </w:tc>
        <w:tc>
          <w:tcPr>
            <w:tcW w:w="1107" w:type="dxa"/>
            <w:tcBorders>
              <w:top w:val="single" w:sz="2" w:space="0" w:color="808080"/>
              <w:left w:val="single" w:sz="2" w:space="0" w:color="808080"/>
              <w:bottom w:val="single" w:sz="2" w:space="0" w:color="808080"/>
              <w:right w:val="single" w:sz="2" w:space="0" w:color="808080"/>
            </w:tcBorders>
          </w:tcPr>
          <w:p w14:paraId="296DFB6B" w14:textId="77777777" w:rsidR="00FB29F6" w:rsidRDefault="00000000">
            <w:pPr>
              <w:pStyle w:val="BodyText9"/>
              <w:suppressLineNumbers/>
              <w:spacing w:before="40" w:after="40" w:line="240" w:lineRule="auto"/>
              <w:rPr>
                <w:color w:val="404040" w:themeColor="text1" w:themeTint="BF"/>
                <w:sz w:val="20"/>
                <w:szCs w:val="20"/>
              </w:rPr>
            </w:pPr>
            <w:r>
              <w:rPr>
                <w:color w:val="404040" w:themeColor="text1" w:themeTint="BF"/>
                <w:sz w:val="20"/>
                <w:szCs w:val="20"/>
              </w:rPr>
              <w:t>Owner / Author</w:t>
            </w:r>
          </w:p>
        </w:tc>
        <w:tc>
          <w:tcPr>
            <w:tcW w:w="2909" w:type="dxa"/>
            <w:tcBorders>
              <w:top w:val="single" w:sz="2" w:space="0" w:color="808080"/>
              <w:left w:val="single" w:sz="2" w:space="0" w:color="808080"/>
              <w:bottom w:val="single" w:sz="2" w:space="0" w:color="808080"/>
              <w:right w:val="single" w:sz="2" w:space="0" w:color="808080"/>
            </w:tcBorders>
            <w:vAlign w:val="center"/>
          </w:tcPr>
          <w:p w14:paraId="7B53111B" w14:textId="77777777" w:rsidR="00FB29F6" w:rsidRDefault="00000000">
            <w:pPr>
              <w:pStyle w:val="BodyText9"/>
              <w:suppressLineNumbers/>
              <w:spacing w:before="40" w:after="40" w:line="240" w:lineRule="auto"/>
            </w:pPr>
            <w:r>
              <w:rPr>
                <w:color w:val="404040" w:themeColor="text1" w:themeTint="BF"/>
                <w:sz w:val="20"/>
                <w:szCs w:val="20"/>
              </w:rPr>
              <w:t>Fractional CISO/Security Officer</w:t>
            </w:r>
          </w:p>
        </w:tc>
        <w:tc>
          <w:tcPr>
            <w:tcW w:w="2042" w:type="dxa"/>
            <w:tcBorders>
              <w:top w:val="single" w:sz="2" w:space="0" w:color="808080"/>
              <w:left w:val="single" w:sz="2" w:space="0" w:color="808080"/>
              <w:bottom w:val="single" w:sz="2" w:space="0" w:color="808080"/>
              <w:right w:val="single" w:sz="2" w:space="0" w:color="808080"/>
            </w:tcBorders>
            <w:vAlign w:val="center"/>
          </w:tcPr>
          <w:p w14:paraId="3CC445D3" w14:textId="77777777" w:rsidR="00FB29F6" w:rsidRDefault="00FB29F6">
            <w:pPr>
              <w:pStyle w:val="BodyText9"/>
              <w:suppressLineNumbers/>
              <w:spacing w:before="40" w:after="40" w:line="240" w:lineRule="auto"/>
            </w:pPr>
          </w:p>
        </w:tc>
        <w:tc>
          <w:tcPr>
            <w:tcW w:w="1320" w:type="dxa"/>
            <w:tcBorders>
              <w:top w:val="single" w:sz="2" w:space="0" w:color="808080"/>
              <w:left w:val="single" w:sz="2" w:space="0" w:color="808080"/>
              <w:bottom w:val="single" w:sz="2" w:space="0" w:color="808080"/>
              <w:right w:val="single" w:sz="2" w:space="0" w:color="808080"/>
            </w:tcBorders>
            <w:vAlign w:val="center"/>
          </w:tcPr>
          <w:p w14:paraId="50B783A5" w14:textId="77777777" w:rsidR="00FB29F6" w:rsidRDefault="00000000">
            <w:pPr>
              <w:pStyle w:val="BodyText9"/>
              <w:suppressLineNumbers/>
              <w:spacing w:before="40" w:after="40" w:line="240" w:lineRule="auto"/>
            </w:pPr>
            <w:r>
              <w:rPr>
                <w:color w:val="404040" w:themeColor="text1" w:themeTint="BF"/>
                <w:sz w:val="20"/>
              </w:rPr>
              <w:t>August 18, 2026</w:t>
            </w:r>
          </w:p>
        </w:tc>
      </w:tr>
    </w:tbl>
    <w:p w14:paraId="27FF4355" w14:textId="77777777" w:rsidR="00FB29F6" w:rsidRDefault="00FB29F6">
      <w:pPr>
        <w:suppressLineNumbers/>
        <w:rPr>
          <w:rStyle w:val="Strong"/>
        </w:rPr>
      </w:pPr>
    </w:p>
    <w:p w14:paraId="06C6EB40" w14:textId="77777777" w:rsidR="00FB29F6" w:rsidRDefault="00000000">
      <w:pPr>
        <w:suppressLineNumbers/>
        <w:spacing w:before="360" w:after="160"/>
      </w:pPr>
      <w:r>
        <w:rPr>
          <w:rStyle w:val="Strong"/>
          <w:caps/>
        </w:rPr>
        <w:t>COMPLIANCE</w:t>
      </w:r>
    </w:p>
    <w:p w14:paraId="183BA1C9" w14:textId="77777777" w:rsidR="00FB29F6" w:rsidRDefault="00000000">
      <w:pPr>
        <w:pStyle w:val="BodyText9"/>
        <w:suppressLineNumbers/>
        <w:spacing w:after="120"/>
        <w:jc w:val="both"/>
      </w:pPr>
      <w:r>
        <w:rPr>
          <w:color w:val="404040" w:themeColor="text1" w:themeTint="BF"/>
        </w:rPr>
        <w:t xml:space="preserve">This Policy is </w:t>
      </w:r>
      <w:proofErr w:type="spellStart"/>
      <w:r>
        <w:rPr>
          <w:color w:val="404040" w:themeColor="text1" w:themeTint="BF"/>
        </w:rPr>
        <w:t>authorised</w:t>
      </w:r>
      <w:proofErr w:type="spellEnd"/>
      <w:r>
        <w:rPr>
          <w:color w:val="404040" w:themeColor="text1" w:themeTint="BF"/>
        </w:rPr>
        <w:t xml:space="preserve"> by the Information Security Policy (POL-ISP-001) and supports the SOC 2 Trust Services Criterion CC6.5, and GDPR Articles 5 and 17. The retention schedule is the artifact; this Policy is short by design.</w:t>
      </w:r>
    </w:p>
    <w:p w14:paraId="42BA63F3" w14:textId="77777777" w:rsidR="00FB29F6" w:rsidRDefault="00FB29F6">
      <w:pPr>
        <w:pStyle w:val="BodyText9"/>
        <w:suppressLineNumbers/>
      </w:pPr>
    </w:p>
    <w:p w14:paraId="03994982" w14:textId="77777777" w:rsidR="00FB29F6" w:rsidRDefault="00000000">
      <w:pPr>
        <w:suppressLineNumbers/>
        <w:spacing w:before="360" w:after="160"/>
        <w:rPr>
          <w:rStyle w:val="Strong"/>
        </w:rPr>
      </w:pPr>
      <w:r>
        <w:rPr>
          <w:rStyle w:val="Strong"/>
          <w:caps/>
        </w:rPr>
        <w:t>DOCUMENT VALIDITY</w:t>
      </w:r>
    </w:p>
    <w:p w14:paraId="2AA5A6BE" w14:textId="77777777" w:rsidR="00FB29F6"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2FFA8870" w14:textId="77777777" w:rsidR="00FB29F6" w:rsidRDefault="00000000">
      <w:pPr>
        <w:suppressLineNumbers/>
      </w:pPr>
      <w:r>
        <w:br w:type="page"/>
      </w:r>
    </w:p>
    <w:p w14:paraId="1CF7A8B7" w14:textId="77777777" w:rsidR="004673D0" w:rsidRDefault="00000000">
      <w:pPr>
        <w:suppressLineNumbers/>
        <w:spacing w:after="160"/>
        <w:rPr>
          <w:noProof/>
        </w:rPr>
      </w:pPr>
      <w:r>
        <w:rPr>
          <w:rStyle w:val="Strong"/>
          <w:caps/>
        </w:rPr>
        <w:lastRenderedPageBreak/>
        <w:t>TABLE OF CONTENTS</w:t>
      </w:r>
      <w:r w:rsidR="004673D0">
        <w:rPr>
          <w:rStyle w:val="Strong"/>
          <w:caps/>
        </w:rPr>
        <w:fldChar w:fldCharType="begin"/>
      </w:r>
      <w:r w:rsidR="004673D0">
        <w:rPr>
          <w:rStyle w:val="Strong"/>
          <w:caps/>
        </w:rPr>
        <w:instrText xml:space="preserve"> TOC \o "1-3" \h \z \u </w:instrText>
      </w:r>
      <w:r w:rsidR="004673D0">
        <w:rPr>
          <w:rStyle w:val="Strong"/>
          <w:caps/>
        </w:rPr>
        <w:fldChar w:fldCharType="separate"/>
      </w:r>
    </w:p>
    <w:p w14:paraId="641041E1" w14:textId="608D8D09"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0" w:history="1">
        <w:r w:rsidRPr="0017438C">
          <w:rPr>
            <w:rStyle w:val="Hyperlink"/>
            <w:noProof/>
          </w:rPr>
          <w:t>1 Overview and Purpose</w:t>
        </w:r>
        <w:r>
          <w:rPr>
            <w:noProof/>
            <w:webHidden/>
          </w:rPr>
          <w:tab/>
        </w:r>
        <w:r>
          <w:rPr>
            <w:noProof/>
            <w:webHidden/>
          </w:rPr>
          <w:fldChar w:fldCharType="begin"/>
        </w:r>
        <w:r>
          <w:rPr>
            <w:noProof/>
            <w:webHidden/>
          </w:rPr>
          <w:instrText xml:space="preserve"> PAGEREF _Toc237819170 \h </w:instrText>
        </w:r>
        <w:r>
          <w:rPr>
            <w:noProof/>
            <w:webHidden/>
          </w:rPr>
        </w:r>
        <w:r>
          <w:rPr>
            <w:noProof/>
            <w:webHidden/>
          </w:rPr>
          <w:fldChar w:fldCharType="separate"/>
        </w:r>
        <w:r w:rsidR="00B2474C">
          <w:rPr>
            <w:noProof/>
            <w:webHidden/>
          </w:rPr>
          <w:t>5</w:t>
        </w:r>
        <w:r>
          <w:rPr>
            <w:noProof/>
            <w:webHidden/>
          </w:rPr>
          <w:fldChar w:fldCharType="end"/>
        </w:r>
      </w:hyperlink>
    </w:p>
    <w:p w14:paraId="5EBC46ED" w14:textId="6F541119"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1" w:history="1">
        <w:r w:rsidRPr="0017438C">
          <w:rPr>
            <w:rStyle w:val="Hyperlink"/>
            <w:noProof/>
          </w:rPr>
          <w:t>2 Scope</w:t>
        </w:r>
        <w:r>
          <w:rPr>
            <w:noProof/>
            <w:webHidden/>
          </w:rPr>
          <w:tab/>
        </w:r>
        <w:r>
          <w:rPr>
            <w:noProof/>
            <w:webHidden/>
          </w:rPr>
          <w:fldChar w:fldCharType="begin"/>
        </w:r>
        <w:r>
          <w:rPr>
            <w:noProof/>
            <w:webHidden/>
          </w:rPr>
          <w:instrText xml:space="preserve"> PAGEREF _Toc237819171 \h </w:instrText>
        </w:r>
        <w:r>
          <w:rPr>
            <w:noProof/>
            <w:webHidden/>
          </w:rPr>
        </w:r>
        <w:r>
          <w:rPr>
            <w:noProof/>
            <w:webHidden/>
          </w:rPr>
          <w:fldChar w:fldCharType="separate"/>
        </w:r>
        <w:r w:rsidR="00B2474C">
          <w:rPr>
            <w:noProof/>
            <w:webHidden/>
          </w:rPr>
          <w:t>5</w:t>
        </w:r>
        <w:r>
          <w:rPr>
            <w:noProof/>
            <w:webHidden/>
          </w:rPr>
          <w:fldChar w:fldCharType="end"/>
        </w:r>
      </w:hyperlink>
    </w:p>
    <w:p w14:paraId="77F9EB67" w14:textId="15BC36C5"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2" w:history="1">
        <w:r w:rsidRPr="0017438C">
          <w:rPr>
            <w:rStyle w:val="Hyperlink"/>
            <w:noProof/>
          </w:rPr>
          <w:t>3 Roles and Definitions</w:t>
        </w:r>
        <w:r>
          <w:rPr>
            <w:noProof/>
            <w:webHidden/>
          </w:rPr>
          <w:tab/>
        </w:r>
        <w:r>
          <w:rPr>
            <w:noProof/>
            <w:webHidden/>
          </w:rPr>
          <w:fldChar w:fldCharType="begin"/>
        </w:r>
        <w:r>
          <w:rPr>
            <w:noProof/>
            <w:webHidden/>
          </w:rPr>
          <w:instrText xml:space="preserve"> PAGEREF _Toc237819172 \h </w:instrText>
        </w:r>
        <w:r>
          <w:rPr>
            <w:noProof/>
            <w:webHidden/>
          </w:rPr>
        </w:r>
        <w:r>
          <w:rPr>
            <w:noProof/>
            <w:webHidden/>
          </w:rPr>
          <w:fldChar w:fldCharType="separate"/>
        </w:r>
        <w:r w:rsidR="00B2474C">
          <w:rPr>
            <w:noProof/>
            <w:webHidden/>
          </w:rPr>
          <w:t>5</w:t>
        </w:r>
        <w:r>
          <w:rPr>
            <w:noProof/>
            <w:webHidden/>
          </w:rPr>
          <w:fldChar w:fldCharType="end"/>
        </w:r>
      </w:hyperlink>
    </w:p>
    <w:p w14:paraId="49C8D18B" w14:textId="0C2676AE"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3" w:history="1">
        <w:r w:rsidRPr="0017438C">
          <w:rPr>
            <w:rStyle w:val="Hyperlink"/>
            <w:noProof/>
          </w:rPr>
          <w:t>4 Terminology</w:t>
        </w:r>
        <w:r>
          <w:rPr>
            <w:noProof/>
            <w:webHidden/>
          </w:rPr>
          <w:tab/>
        </w:r>
        <w:r>
          <w:rPr>
            <w:noProof/>
            <w:webHidden/>
          </w:rPr>
          <w:fldChar w:fldCharType="begin"/>
        </w:r>
        <w:r>
          <w:rPr>
            <w:noProof/>
            <w:webHidden/>
          </w:rPr>
          <w:instrText xml:space="preserve"> PAGEREF _Toc237819173 \h </w:instrText>
        </w:r>
        <w:r>
          <w:rPr>
            <w:noProof/>
            <w:webHidden/>
          </w:rPr>
        </w:r>
        <w:r>
          <w:rPr>
            <w:noProof/>
            <w:webHidden/>
          </w:rPr>
          <w:fldChar w:fldCharType="separate"/>
        </w:r>
        <w:r w:rsidR="00B2474C">
          <w:rPr>
            <w:noProof/>
            <w:webHidden/>
          </w:rPr>
          <w:t>5</w:t>
        </w:r>
        <w:r>
          <w:rPr>
            <w:noProof/>
            <w:webHidden/>
          </w:rPr>
          <w:fldChar w:fldCharType="end"/>
        </w:r>
      </w:hyperlink>
    </w:p>
    <w:p w14:paraId="381B9664" w14:textId="34C93067"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4" w:history="1">
        <w:r w:rsidRPr="0017438C">
          <w:rPr>
            <w:rStyle w:val="Hyperlink"/>
            <w:noProof/>
          </w:rPr>
          <w:t>5 Retention</w:t>
        </w:r>
        <w:r>
          <w:rPr>
            <w:noProof/>
            <w:webHidden/>
          </w:rPr>
          <w:tab/>
        </w:r>
        <w:r>
          <w:rPr>
            <w:noProof/>
            <w:webHidden/>
          </w:rPr>
          <w:fldChar w:fldCharType="begin"/>
        </w:r>
        <w:r>
          <w:rPr>
            <w:noProof/>
            <w:webHidden/>
          </w:rPr>
          <w:instrText xml:space="preserve"> PAGEREF _Toc237819174 \h </w:instrText>
        </w:r>
        <w:r>
          <w:rPr>
            <w:noProof/>
            <w:webHidden/>
          </w:rPr>
        </w:r>
        <w:r>
          <w:rPr>
            <w:noProof/>
            <w:webHidden/>
          </w:rPr>
          <w:fldChar w:fldCharType="separate"/>
        </w:r>
        <w:r w:rsidR="00B2474C">
          <w:rPr>
            <w:noProof/>
            <w:webHidden/>
          </w:rPr>
          <w:t>6</w:t>
        </w:r>
        <w:r>
          <w:rPr>
            <w:noProof/>
            <w:webHidden/>
          </w:rPr>
          <w:fldChar w:fldCharType="end"/>
        </w:r>
      </w:hyperlink>
    </w:p>
    <w:p w14:paraId="15654C74" w14:textId="6DFC544A"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5" w:history="1">
        <w:r w:rsidRPr="0017438C">
          <w:rPr>
            <w:rStyle w:val="Hyperlink"/>
            <w:noProof/>
          </w:rPr>
          <w:t>6 Legal Hold</w:t>
        </w:r>
        <w:r>
          <w:rPr>
            <w:noProof/>
            <w:webHidden/>
          </w:rPr>
          <w:tab/>
        </w:r>
        <w:r>
          <w:rPr>
            <w:noProof/>
            <w:webHidden/>
          </w:rPr>
          <w:fldChar w:fldCharType="begin"/>
        </w:r>
        <w:r>
          <w:rPr>
            <w:noProof/>
            <w:webHidden/>
          </w:rPr>
          <w:instrText xml:space="preserve"> PAGEREF _Toc237819175 \h </w:instrText>
        </w:r>
        <w:r>
          <w:rPr>
            <w:noProof/>
            <w:webHidden/>
          </w:rPr>
        </w:r>
        <w:r>
          <w:rPr>
            <w:noProof/>
            <w:webHidden/>
          </w:rPr>
          <w:fldChar w:fldCharType="separate"/>
        </w:r>
        <w:r w:rsidR="00B2474C">
          <w:rPr>
            <w:noProof/>
            <w:webHidden/>
          </w:rPr>
          <w:t>6</w:t>
        </w:r>
        <w:r>
          <w:rPr>
            <w:noProof/>
            <w:webHidden/>
          </w:rPr>
          <w:fldChar w:fldCharType="end"/>
        </w:r>
      </w:hyperlink>
    </w:p>
    <w:p w14:paraId="6A32B49C" w14:textId="54EF88AC"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6" w:history="1">
        <w:r w:rsidRPr="0017438C">
          <w:rPr>
            <w:rStyle w:val="Hyperlink"/>
            <w:noProof/>
          </w:rPr>
          <w:t>7 Disposal</w:t>
        </w:r>
        <w:r>
          <w:rPr>
            <w:noProof/>
            <w:webHidden/>
          </w:rPr>
          <w:tab/>
        </w:r>
        <w:r>
          <w:rPr>
            <w:noProof/>
            <w:webHidden/>
          </w:rPr>
          <w:fldChar w:fldCharType="begin"/>
        </w:r>
        <w:r>
          <w:rPr>
            <w:noProof/>
            <w:webHidden/>
          </w:rPr>
          <w:instrText xml:space="preserve"> PAGEREF _Toc237819176 \h </w:instrText>
        </w:r>
        <w:r>
          <w:rPr>
            <w:noProof/>
            <w:webHidden/>
          </w:rPr>
        </w:r>
        <w:r>
          <w:rPr>
            <w:noProof/>
            <w:webHidden/>
          </w:rPr>
          <w:fldChar w:fldCharType="separate"/>
        </w:r>
        <w:r w:rsidR="00B2474C">
          <w:rPr>
            <w:noProof/>
            <w:webHidden/>
          </w:rPr>
          <w:t>7</w:t>
        </w:r>
        <w:r>
          <w:rPr>
            <w:noProof/>
            <w:webHidden/>
          </w:rPr>
          <w:fldChar w:fldCharType="end"/>
        </w:r>
      </w:hyperlink>
    </w:p>
    <w:p w14:paraId="3647C6E6" w14:textId="35803120"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7" w:history="1">
        <w:r w:rsidRPr="0017438C">
          <w:rPr>
            <w:rStyle w:val="Hyperlink"/>
            <w:noProof/>
          </w:rPr>
          <w:t>8 Records</w:t>
        </w:r>
        <w:r>
          <w:rPr>
            <w:noProof/>
            <w:webHidden/>
          </w:rPr>
          <w:tab/>
        </w:r>
        <w:r>
          <w:rPr>
            <w:noProof/>
            <w:webHidden/>
          </w:rPr>
          <w:fldChar w:fldCharType="begin"/>
        </w:r>
        <w:r>
          <w:rPr>
            <w:noProof/>
            <w:webHidden/>
          </w:rPr>
          <w:instrText xml:space="preserve"> PAGEREF _Toc237819177 \h </w:instrText>
        </w:r>
        <w:r>
          <w:rPr>
            <w:noProof/>
            <w:webHidden/>
          </w:rPr>
        </w:r>
        <w:r>
          <w:rPr>
            <w:noProof/>
            <w:webHidden/>
          </w:rPr>
          <w:fldChar w:fldCharType="separate"/>
        </w:r>
        <w:r w:rsidR="00B2474C">
          <w:rPr>
            <w:noProof/>
            <w:webHidden/>
          </w:rPr>
          <w:t>7</w:t>
        </w:r>
        <w:r>
          <w:rPr>
            <w:noProof/>
            <w:webHidden/>
          </w:rPr>
          <w:fldChar w:fldCharType="end"/>
        </w:r>
      </w:hyperlink>
    </w:p>
    <w:p w14:paraId="7AA6338D" w14:textId="40CE13F3"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8" w:history="1">
        <w:r w:rsidRPr="0017438C">
          <w:rPr>
            <w:rStyle w:val="Hyperlink"/>
            <w:noProof/>
          </w:rPr>
          <w:t>9 Exceptions</w:t>
        </w:r>
        <w:r>
          <w:rPr>
            <w:noProof/>
            <w:webHidden/>
          </w:rPr>
          <w:tab/>
        </w:r>
        <w:r>
          <w:rPr>
            <w:noProof/>
            <w:webHidden/>
          </w:rPr>
          <w:fldChar w:fldCharType="begin"/>
        </w:r>
        <w:r>
          <w:rPr>
            <w:noProof/>
            <w:webHidden/>
          </w:rPr>
          <w:instrText xml:space="preserve"> PAGEREF _Toc237819178 \h </w:instrText>
        </w:r>
        <w:r>
          <w:rPr>
            <w:noProof/>
            <w:webHidden/>
          </w:rPr>
        </w:r>
        <w:r>
          <w:rPr>
            <w:noProof/>
            <w:webHidden/>
          </w:rPr>
          <w:fldChar w:fldCharType="separate"/>
        </w:r>
        <w:r w:rsidR="00B2474C">
          <w:rPr>
            <w:noProof/>
            <w:webHidden/>
          </w:rPr>
          <w:t>7</w:t>
        </w:r>
        <w:r>
          <w:rPr>
            <w:noProof/>
            <w:webHidden/>
          </w:rPr>
          <w:fldChar w:fldCharType="end"/>
        </w:r>
      </w:hyperlink>
    </w:p>
    <w:p w14:paraId="5514ABCC" w14:textId="7F7588F9"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79" w:history="1">
        <w:r w:rsidRPr="0017438C">
          <w:rPr>
            <w:rStyle w:val="Hyperlink"/>
            <w:noProof/>
          </w:rPr>
          <w:t>10 Reference</w:t>
        </w:r>
        <w:r>
          <w:rPr>
            <w:noProof/>
            <w:webHidden/>
          </w:rPr>
          <w:tab/>
        </w:r>
        <w:r>
          <w:rPr>
            <w:noProof/>
            <w:webHidden/>
          </w:rPr>
          <w:fldChar w:fldCharType="begin"/>
        </w:r>
        <w:r>
          <w:rPr>
            <w:noProof/>
            <w:webHidden/>
          </w:rPr>
          <w:instrText xml:space="preserve"> PAGEREF _Toc237819179 \h </w:instrText>
        </w:r>
        <w:r>
          <w:rPr>
            <w:noProof/>
            <w:webHidden/>
          </w:rPr>
        </w:r>
        <w:r>
          <w:rPr>
            <w:noProof/>
            <w:webHidden/>
          </w:rPr>
          <w:fldChar w:fldCharType="separate"/>
        </w:r>
        <w:r w:rsidR="00B2474C">
          <w:rPr>
            <w:noProof/>
            <w:webHidden/>
          </w:rPr>
          <w:t>7</w:t>
        </w:r>
        <w:r>
          <w:rPr>
            <w:noProof/>
            <w:webHidden/>
          </w:rPr>
          <w:fldChar w:fldCharType="end"/>
        </w:r>
      </w:hyperlink>
    </w:p>
    <w:p w14:paraId="150F8974" w14:textId="422B7D87" w:rsidR="004673D0" w:rsidRDefault="004673D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19180" w:history="1">
        <w:r w:rsidRPr="0017438C">
          <w:rPr>
            <w:rStyle w:val="Hyperlink"/>
            <w:noProof/>
          </w:rPr>
          <w:t>11 Document Policy History</w:t>
        </w:r>
        <w:r>
          <w:rPr>
            <w:noProof/>
            <w:webHidden/>
          </w:rPr>
          <w:tab/>
        </w:r>
        <w:r>
          <w:rPr>
            <w:noProof/>
            <w:webHidden/>
          </w:rPr>
          <w:fldChar w:fldCharType="begin"/>
        </w:r>
        <w:r>
          <w:rPr>
            <w:noProof/>
            <w:webHidden/>
          </w:rPr>
          <w:instrText xml:space="preserve"> PAGEREF _Toc237819180 \h </w:instrText>
        </w:r>
        <w:r>
          <w:rPr>
            <w:noProof/>
            <w:webHidden/>
          </w:rPr>
        </w:r>
        <w:r>
          <w:rPr>
            <w:noProof/>
            <w:webHidden/>
          </w:rPr>
          <w:fldChar w:fldCharType="separate"/>
        </w:r>
        <w:r w:rsidR="00B2474C">
          <w:rPr>
            <w:noProof/>
            <w:webHidden/>
          </w:rPr>
          <w:t>7</w:t>
        </w:r>
        <w:r>
          <w:rPr>
            <w:noProof/>
            <w:webHidden/>
          </w:rPr>
          <w:fldChar w:fldCharType="end"/>
        </w:r>
      </w:hyperlink>
    </w:p>
    <w:p w14:paraId="3950FA1E" w14:textId="28D8B72B" w:rsidR="00FB29F6" w:rsidRDefault="004673D0">
      <w:pPr>
        <w:suppressLineNumbers/>
        <w:spacing w:after="160"/>
        <w:rPr>
          <w:rStyle w:val="Strong"/>
        </w:rPr>
      </w:pPr>
      <w:r>
        <w:rPr>
          <w:rStyle w:val="Strong"/>
          <w:caps/>
        </w:rPr>
        <w:fldChar w:fldCharType="end"/>
      </w:r>
    </w:p>
    <w:sdt>
      <w:sdtPr>
        <w:id w:val="-1859342743"/>
        <w:docPartObj>
          <w:docPartGallery w:val="Table of Contents"/>
          <w:docPartUnique/>
        </w:docPartObj>
      </w:sdtPr>
      <w:sdtContent>
        <w:p w14:paraId="72982B09" w14:textId="77777777" w:rsidR="00FB29F6" w:rsidRDefault="00000000">
          <w:pPr>
            <w:sectPr w:rsidR="00FB29F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titlePg/>
              <w:docGrid w:linePitch="360" w:charSpace="12288"/>
            </w:sectPr>
          </w:pPr>
        </w:p>
      </w:sdtContent>
    </w:sdt>
    <w:p w14:paraId="52B7E5D0" w14:textId="77777777" w:rsidR="00FB29F6" w:rsidRDefault="00000000">
      <w:pPr>
        <w:pStyle w:val="Heading1"/>
        <w:keepNext/>
        <w:numPr>
          <w:ilvl w:val="0"/>
          <w:numId w:val="10"/>
        </w:numPr>
        <w:spacing w:before="240" w:after="80"/>
      </w:pPr>
      <w:bookmarkStart w:id="1" w:name="_S501"/>
      <w:bookmarkStart w:id="2" w:name="_Toc237819170"/>
      <w:r>
        <w:lastRenderedPageBreak/>
        <w:t>Overview and Purpose</w:t>
      </w:r>
      <w:bookmarkEnd w:id="1"/>
      <w:bookmarkEnd w:id="2"/>
    </w:p>
    <w:p w14:paraId="73F84BD4" w14:textId="77777777" w:rsidR="00FB29F6" w:rsidRDefault="00000000">
      <w:pPr>
        <w:pStyle w:val="BodyText9"/>
        <w:spacing w:after="120"/>
        <w:jc w:val="both"/>
      </w:pPr>
      <w:r>
        <w:rPr>
          <w:color w:val="404040" w:themeColor="text1" w:themeTint="BF"/>
        </w:rPr>
        <w:t>PromptHalo Technologies (“the Company”) keeps information for as long as it has a reason to and then disposes of it. This Policy says how that decision is made and how disposal is evidenced.</w:t>
      </w:r>
    </w:p>
    <w:p w14:paraId="1781FA1B" w14:textId="77777777" w:rsidR="00FB29F6" w:rsidRDefault="00000000">
      <w:pPr>
        <w:pStyle w:val="BodyText9"/>
        <w:spacing w:after="120"/>
        <w:jc w:val="both"/>
      </w:pPr>
      <w:r>
        <w:rPr>
          <w:color w:val="404040" w:themeColor="text1" w:themeTint="BF"/>
        </w:rPr>
        <w:t>The retention periods themselves live in a schedule rather than in this document, so that a period can change without amending a policy.</w:t>
      </w:r>
    </w:p>
    <w:p w14:paraId="70649B79" w14:textId="77777777" w:rsidR="00FB29F6" w:rsidRDefault="00000000">
      <w:pPr>
        <w:pStyle w:val="Heading1"/>
        <w:keepNext/>
        <w:numPr>
          <w:ilvl w:val="0"/>
          <w:numId w:val="10"/>
        </w:numPr>
        <w:spacing w:before="240" w:after="80"/>
      </w:pPr>
      <w:bookmarkStart w:id="3" w:name="_S502"/>
      <w:bookmarkStart w:id="4" w:name="_Toc237819171"/>
      <w:r>
        <w:t>Scope</w:t>
      </w:r>
      <w:bookmarkEnd w:id="3"/>
      <w:bookmarkEnd w:id="4"/>
    </w:p>
    <w:p w14:paraId="5EAD5D9A" w14:textId="77777777" w:rsidR="00FB29F6" w:rsidRDefault="00000000">
      <w:pPr>
        <w:pStyle w:val="BodyText9"/>
        <w:spacing w:after="120"/>
        <w:jc w:val="both"/>
      </w:pPr>
      <w:r>
        <w:rPr>
          <w:color w:val="404040" w:themeColor="text1" w:themeTint="BF"/>
        </w:rPr>
        <w:t>This Policy covers Company and client information wherever it is held, and any device or media that has held it.</w:t>
      </w:r>
    </w:p>
    <w:p w14:paraId="3BECC552" w14:textId="77777777" w:rsidR="00FB29F6" w:rsidRDefault="00000000">
      <w:pPr>
        <w:pStyle w:val="Heading1"/>
        <w:keepNext/>
        <w:numPr>
          <w:ilvl w:val="0"/>
          <w:numId w:val="10"/>
        </w:numPr>
        <w:spacing w:before="240" w:after="80"/>
      </w:pPr>
      <w:bookmarkStart w:id="5" w:name="_S503"/>
      <w:bookmarkStart w:id="6" w:name="_Toc237819172"/>
      <w:r>
        <w:t>Roles and Definitions</w:t>
      </w:r>
      <w:bookmarkEnd w:id="5"/>
      <w:bookmarkEnd w:id="6"/>
    </w:p>
    <w:p w14:paraId="055AB59B" w14:textId="77777777" w:rsidR="00FB29F6" w:rsidRDefault="00000000">
      <w:pPr>
        <w:pStyle w:val="Emphasis-Normal"/>
        <w:numPr>
          <w:ilvl w:val="0"/>
          <w:numId w:val="3"/>
        </w:numPr>
        <w:spacing w:after="120"/>
        <w:jc w:val="both"/>
      </w:pPr>
      <w:r>
        <w:rPr>
          <w:color w:val="404040" w:themeColor="text1" w:themeTint="BF"/>
        </w:rPr>
        <w:t>"The Company" refers to PromptHalo Technologies.</w:t>
      </w:r>
    </w:p>
    <w:p w14:paraId="03F5B47C" w14:textId="77777777" w:rsidR="00FB29F6" w:rsidRDefault="00000000">
      <w:pPr>
        <w:pStyle w:val="Emphasis-Normal"/>
        <w:numPr>
          <w:ilvl w:val="0"/>
          <w:numId w:val="3"/>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04199CDE" w14:textId="77777777" w:rsidR="00FB29F6" w:rsidRDefault="00000000">
      <w:pPr>
        <w:pStyle w:val="Emphasis-Normal"/>
        <w:numPr>
          <w:ilvl w:val="0"/>
          <w:numId w:val="3"/>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65A39D61" w14:textId="3B68FD1F" w:rsidR="00FB29F6" w:rsidRDefault="00000000">
      <w:pPr>
        <w:pStyle w:val="Emphasis-Normal"/>
        <w:numPr>
          <w:ilvl w:val="0"/>
          <w:numId w:val="3"/>
        </w:numPr>
        <w:spacing w:after="120"/>
        <w:jc w:val="both"/>
      </w:pPr>
      <w:r>
        <w:rPr>
          <w:color w:val="404040" w:themeColor="text1" w:themeTint="BF"/>
        </w:rPr>
        <w:t xml:space="preserve">The Accountable Party </w:t>
      </w:r>
      <w:r w:rsidR="004673D0">
        <w:rPr>
          <w:color w:val="404040" w:themeColor="text1" w:themeTint="BF"/>
        </w:rPr>
        <w:t>authorizes</w:t>
      </w:r>
      <w:r>
        <w:rPr>
          <w:color w:val="404040" w:themeColor="text1" w:themeTint="BF"/>
        </w:rPr>
        <w:t xml:space="preserve"> disposal of Confidential or Restricted information before it is carried out.  </w:t>
      </w:r>
      <w:r>
        <w:rPr>
          <w:rFonts w:ascii="Calibri Light" w:eastAsia="Calibri Light" w:hAnsi="Calibri Light" w:cs="Calibri Light"/>
          <w:color w:val="404040" w:themeColor="text1" w:themeTint="BF"/>
          <w:sz w:val="18"/>
        </w:rPr>
        <w:t>[SOC 2: CC6.5]</w:t>
      </w:r>
    </w:p>
    <w:p w14:paraId="50D97CEF" w14:textId="77777777" w:rsidR="00FB29F6" w:rsidRDefault="00000000">
      <w:pPr>
        <w:pStyle w:val="Heading1"/>
        <w:keepNext/>
        <w:numPr>
          <w:ilvl w:val="0"/>
          <w:numId w:val="10"/>
        </w:numPr>
        <w:spacing w:before="240" w:after="80"/>
      </w:pPr>
      <w:bookmarkStart w:id="7" w:name="_S504"/>
      <w:bookmarkStart w:id="8" w:name="_Toc237819173"/>
      <w:r>
        <w:t>Terminology</w:t>
      </w:r>
      <w:bookmarkEnd w:id="7"/>
      <w:bookmarkEnd w:id="8"/>
    </w:p>
    <w:p w14:paraId="429ACFD7" w14:textId="77777777" w:rsidR="00FB29F6" w:rsidRDefault="00000000">
      <w:pPr>
        <w:pStyle w:val="BodyText9"/>
        <w:spacing w:after="120"/>
        <w:jc w:val="both"/>
      </w:pPr>
      <w:r>
        <w:rPr>
          <w:color w:val="404040" w:themeColor="text1" w:themeTint="BF"/>
        </w:rPr>
        <w:t>The following terms have the meanings given below wherever they appear in this policy.</w:t>
      </w:r>
    </w:p>
    <w:p w14:paraId="48243DFA" w14:textId="77777777" w:rsidR="00FB29F6" w:rsidRDefault="00000000">
      <w:pPr>
        <w:pStyle w:val="Emphasis-Normal"/>
        <w:numPr>
          <w:ilvl w:val="0"/>
          <w:numId w:val="4"/>
        </w:numPr>
        <w:spacing w:after="120"/>
        <w:jc w:val="both"/>
      </w:pPr>
      <w:r>
        <w:rPr>
          <w:b/>
          <w:color w:val="404040" w:themeColor="text1" w:themeTint="BF"/>
        </w:rPr>
        <w:t>Accountable Party</w:t>
      </w:r>
      <w:r>
        <w:rPr>
          <w:color w:val="404040" w:themeColor="text1" w:themeTint="BF"/>
        </w:rPr>
        <w:t xml:space="preserve"> — the CEO or, in their absence, the Security Officer, who owns this policy.</w:t>
      </w:r>
    </w:p>
    <w:p w14:paraId="316A759D" w14:textId="77777777" w:rsidR="00FB29F6" w:rsidRDefault="00000000">
      <w:pPr>
        <w:pStyle w:val="Emphasis-Normal"/>
        <w:numPr>
          <w:ilvl w:val="0"/>
          <w:numId w:val="4"/>
        </w:numPr>
        <w:spacing w:after="120"/>
        <w:jc w:val="both"/>
      </w:pPr>
      <w:r>
        <w:rPr>
          <w:b/>
          <w:color w:val="404040" w:themeColor="text1" w:themeTint="BF"/>
        </w:rPr>
        <w:t>Confidential information</w:t>
      </w:r>
      <w:r>
        <w:rPr>
          <w:color w:val="404040" w:themeColor="text1" w:themeTint="BF"/>
        </w:rPr>
        <w:t xml:space="preserve"> — information classified Confidential or Restricted under the Data Classification Policy, including customer data.</w:t>
      </w:r>
    </w:p>
    <w:p w14:paraId="5C2EE10C" w14:textId="77777777" w:rsidR="00FB29F6" w:rsidRDefault="00000000">
      <w:pPr>
        <w:pStyle w:val="Emphasis-Normal"/>
        <w:numPr>
          <w:ilvl w:val="0"/>
          <w:numId w:val="4"/>
        </w:numPr>
        <w:spacing w:after="120"/>
        <w:jc w:val="both"/>
      </w:pPr>
      <w:r>
        <w:rPr>
          <w:b/>
          <w:color w:val="404040" w:themeColor="text1" w:themeTint="BF"/>
        </w:rPr>
        <w:t>Control</w:t>
      </w:r>
      <w:r>
        <w:rPr>
          <w:color w:val="404040" w:themeColor="text1" w:themeTint="BF"/>
        </w:rPr>
        <w:t xml:space="preserve"> — an activity, automated or manual, performed on a defined cadence that produces evidence it occurred.</w:t>
      </w:r>
    </w:p>
    <w:p w14:paraId="0D7C8179" w14:textId="66C426C3" w:rsidR="00FB29F6" w:rsidRDefault="00000000">
      <w:pPr>
        <w:pStyle w:val="Emphasis-Normal"/>
        <w:numPr>
          <w:ilvl w:val="0"/>
          <w:numId w:val="4"/>
        </w:numPr>
        <w:spacing w:after="120"/>
        <w:jc w:val="both"/>
      </w:pPr>
      <w:r>
        <w:rPr>
          <w:b/>
          <w:color w:val="404040" w:themeColor="text1" w:themeTint="BF"/>
        </w:rPr>
        <w:t>Cryptographic erasure</w:t>
      </w:r>
      <w:r>
        <w:rPr>
          <w:color w:val="404040" w:themeColor="text1" w:themeTint="BF"/>
        </w:rPr>
        <w:t xml:space="preserve"> — rendering information unrecoverable by destroying the keys that protect </w:t>
      </w:r>
      <w:r w:rsidR="004673D0">
        <w:rPr>
          <w:color w:val="404040" w:themeColor="text1" w:themeTint="BF"/>
        </w:rPr>
        <w:t>it and</w:t>
      </w:r>
      <w:r>
        <w:rPr>
          <w:color w:val="404040" w:themeColor="text1" w:themeTint="BF"/>
        </w:rPr>
        <w:t xml:space="preserve"> recording that destruction.</w:t>
      </w:r>
    </w:p>
    <w:p w14:paraId="7C7FB8F3" w14:textId="77777777" w:rsidR="00FB29F6" w:rsidRDefault="00000000">
      <w:pPr>
        <w:pStyle w:val="Emphasis-Normal"/>
        <w:numPr>
          <w:ilvl w:val="0"/>
          <w:numId w:val="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4AE732BF" w14:textId="77777777" w:rsidR="00FB29F6" w:rsidRDefault="00000000">
      <w:pPr>
        <w:pStyle w:val="Emphasis-Normal"/>
        <w:numPr>
          <w:ilvl w:val="0"/>
          <w:numId w:val="4"/>
        </w:numPr>
        <w:spacing w:after="120"/>
        <w:jc w:val="both"/>
      </w:pPr>
      <w:r>
        <w:rPr>
          <w:b/>
          <w:color w:val="404040" w:themeColor="text1" w:themeTint="BF"/>
        </w:rPr>
        <w:t>Information Security Steering Committee</w:t>
      </w:r>
      <w:r>
        <w:rPr>
          <w:color w:val="404040" w:themeColor="text1" w:themeTint="BF"/>
        </w:rPr>
        <w:t xml:space="preserve"> —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[SOC 2: CC1.2, CC1.3]</w:t>
      </w:r>
    </w:p>
    <w:p w14:paraId="22929597" w14:textId="77777777" w:rsidR="00FB29F6" w:rsidRDefault="00000000">
      <w:pPr>
        <w:pStyle w:val="Emphasis-Normal"/>
        <w:numPr>
          <w:ilvl w:val="0"/>
          <w:numId w:val="4"/>
        </w:numPr>
        <w:spacing w:after="120"/>
        <w:jc w:val="both"/>
      </w:pPr>
      <w:r>
        <w:rPr>
          <w:b/>
          <w:color w:val="404040" w:themeColor="text1" w:themeTint="BF"/>
        </w:rPr>
        <w:lastRenderedPageBreak/>
        <w:t>Personnel</w:t>
      </w:r>
      <w:r>
        <w:rPr>
          <w:color w:val="404040" w:themeColor="text1" w:themeTint="BF"/>
        </w:rPr>
        <w:t xml:space="preserve"> — employees, officers, contractors, consultants, interns and temporary workers of the Company.</w:t>
      </w:r>
    </w:p>
    <w:p w14:paraId="6C819147" w14:textId="77777777" w:rsidR="00FB29F6" w:rsidRDefault="00000000">
      <w:pPr>
        <w:pStyle w:val="Emphasis-Normal"/>
        <w:numPr>
          <w:ilvl w:val="0"/>
          <w:numId w:val="4"/>
        </w:numPr>
        <w:spacing w:after="120"/>
        <w:jc w:val="both"/>
      </w:pPr>
      <w:r>
        <w:rPr>
          <w:b/>
          <w:color w:val="404040" w:themeColor="text1" w:themeTint="BF"/>
        </w:rPr>
        <w:t>Retention schedule</w:t>
      </w:r>
      <w:r>
        <w:rPr>
          <w:color w:val="404040" w:themeColor="text1" w:themeTint="BF"/>
        </w:rPr>
        <w:t xml:space="preserve"> — the record of how long each category of information is kept and on what basis.</w:t>
      </w:r>
    </w:p>
    <w:p w14:paraId="41AF3F50" w14:textId="43C79462" w:rsidR="00FB29F6" w:rsidRDefault="004673D0">
      <w:pPr>
        <w:pStyle w:val="Emphasis-Normal"/>
        <w:numPr>
          <w:ilvl w:val="0"/>
          <w:numId w:val="4"/>
        </w:numPr>
        <w:spacing w:after="120"/>
        <w:jc w:val="both"/>
      </w:pPr>
      <w:r>
        <w:rPr>
          <w:b/>
          <w:color w:val="404040" w:themeColor="text1" w:themeTint="BF"/>
        </w:rPr>
        <w:t>Sanitization</w:t>
      </w:r>
      <w:r w:rsidR="00000000">
        <w:rPr>
          <w:color w:val="404040" w:themeColor="text1" w:themeTint="BF"/>
        </w:rPr>
        <w:t xml:space="preserve"> — rendering information on media irrecoverable before the media leaves Company control or is reused.</w:t>
      </w:r>
    </w:p>
    <w:p w14:paraId="7B1CB6E7" w14:textId="77777777" w:rsidR="00FB29F6" w:rsidRDefault="00000000">
      <w:pPr>
        <w:pStyle w:val="Emphasis-Normal"/>
        <w:numPr>
          <w:ilvl w:val="0"/>
          <w:numId w:val="4"/>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17A1A9C4" w14:textId="77777777" w:rsidR="00FB29F6" w:rsidRDefault="00000000">
      <w:pPr>
        <w:pStyle w:val="Emphasis-Normal"/>
        <w:numPr>
          <w:ilvl w:val="0"/>
          <w:numId w:val="4"/>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w:t>
      </w:r>
    </w:p>
    <w:p w14:paraId="2FFA829F" w14:textId="77777777" w:rsidR="00FB29F6" w:rsidRDefault="00000000">
      <w:pPr>
        <w:pStyle w:val="Emphasis-Normal"/>
        <w:numPr>
          <w:ilvl w:val="0"/>
          <w:numId w:val="4"/>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3871CD01" w14:textId="77777777" w:rsidR="00FB29F6" w:rsidRDefault="00000000">
      <w:pPr>
        <w:pStyle w:val="Heading1"/>
        <w:keepNext/>
        <w:numPr>
          <w:ilvl w:val="0"/>
          <w:numId w:val="10"/>
        </w:numPr>
        <w:spacing w:before="240" w:after="80"/>
      </w:pPr>
      <w:bookmarkStart w:id="9" w:name="_S505"/>
      <w:bookmarkStart w:id="10" w:name="_Toc237819174"/>
      <w:r>
        <w:t>Retention</w:t>
      </w:r>
      <w:bookmarkEnd w:id="9"/>
      <w:bookmarkEnd w:id="10"/>
    </w:p>
    <w:p w14:paraId="00D25E88" w14:textId="77777777" w:rsidR="00FB29F6" w:rsidRDefault="00000000">
      <w:pPr>
        <w:pStyle w:val="Emphasis-Normal"/>
        <w:numPr>
          <w:ilvl w:val="0"/>
          <w:numId w:val="5"/>
        </w:numPr>
        <w:spacing w:after="120"/>
        <w:jc w:val="both"/>
      </w:pPr>
      <w:r>
        <w:rPr>
          <w:color w:val="404040" w:themeColor="text1" w:themeTint="BF"/>
        </w:rPr>
        <w:t xml:space="preserve">Each category of information has a retention period and a basis — a client agreement, a legal requirement, or a Company decision — recorded in the retention schedule.  </w:t>
      </w:r>
      <w:r>
        <w:rPr>
          <w:rFonts w:ascii="Calibri Light" w:eastAsia="Calibri Light" w:hAnsi="Calibri Light" w:cs="Calibri Light"/>
          <w:color w:val="404040" w:themeColor="text1" w:themeTint="BF"/>
          <w:sz w:val="18"/>
        </w:rPr>
        <w:t>[SOC 2: CC6.5 · GDPR Art. 5(1)(e)]</w:t>
      </w:r>
    </w:p>
    <w:p w14:paraId="21813F9B" w14:textId="77777777" w:rsidR="00FB29F6" w:rsidRDefault="00000000">
      <w:pPr>
        <w:pStyle w:val="Emphasis-Normal"/>
        <w:numPr>
          <w:ilvl w:val="0"/>
          <w:numId w:val="5"/>
        </w:numPr>
        <w:spacing w:after="120"/>
        <w:jc w:val="both"/>
      </w:pPr>
      <w:r>
        <w:rPr>
          <w:color w:val="404040" w:themeColor="text1" w:themeTint="BF"/>
        </w:rPr>
        <w:t xml:space="preserve">Client information is retained for the period the client agreement specifies and returned or deleted at the end of the engagement, with the action recorded.  </w:t>
      </w:r>
      <w:r>
        <w:rPr>
          <w:rFonts w:ascii="Calibri Light" w:eastAsia="Calibri Light" w:hAnsi="Calibri Light" w:cs="Calibri Light"/>
          <w:color w:val="404040" w:themeColor="text1" w:themeTint="BF"/>
          <w:sz w:val="18"/>
        </w:rPr>
        <w:t>[SOC 2: CC6.5 · GDPR Art. 17]</w:t>
      </w:r>
    </w:p>
    <w:p w14:paraId="7671D9A0" w14:textId="77777777" w:rsidR="00FB29F6" w:rsidRDefault="00000000">
      <w:pPr>
        <w:pStyle w:val="Emphasis-Normal"/>
        <w:numPr>
          <w:ilvl w:val="0"/>
          <w:numId w:val="5"/>
        </w:numPr>
        <w:spacing w:after="120"/>
        <w:jc w:val="both"/>
      </w:pPr>
      <w:r>
        <w:rPr>
          <w:color w:val="404040" w:themeColor="text1" w:themeTint="BF"/>
        </w:rPr>
        <w:t xml:space="preserve">Where information is subject to a deletion commitment, backups and snapshots holding it are identified and the retention that applies to them is stated honestly to the client rather than described as immediate.  </w:t>
      </w:r>
      <w:r>
        <w:rPr>
          <w:rFonts w:ascii="Calibri Light" w:eastAsia="Calibri Light" w:hAnsi="Calibri Light" w:cs="Calibri Light"/>
          <w:color w:val="404040" w:themeColor="text1" w:themeTint="BF"/>
          <w:sz w:val="18"/>
        </w:rPr>
        <w:t>[SOC 2: CC6.5 · GDPR Art. 17]</w:t>
      </w:r>
    </w:p>
    <w:p w14:paraId="08B6BCF0" w14:textId="77777777" w:rsidR="00FB29F6" w:rsidRDefault="00000000">
      <w:pPr>
        <w:pStyle w:val="Emphasis-Normal"/>
        <w:numPr>
          <w:ilvl w:val="0"/>
          <w:numId w:val="5"/>
        </w:numPr>
        <w:spacing w:after="120"/>
        <w:jc w:val="both"/>
      </w:pPr>
      <w:r>
        <w:rPr>
          <w:color w:val="404040" w:themeColor="text1" w:themeTint="BF"/>
        </w:rPr>
        <w:t xml:space="preserve">The schedule is reviewed annually and whenever a client agreement introduces a different period.  </w:t>
      </w:r>
      <w:r>
        <w:rPr>
          <w:rFonts w:ascii="Calibri Light" w:eastAsia="Calibri Light" w:hAnsi="Calibri Light" w:cs="Calibri Light"/>
          <w:color w:val="404040" w:themeColor="text1" w:themeTint="BF"/>
          <w:sz w:val="18"/>
        </w:rPr>
        <w:t>[SOC 2: CC6.5]</w:t>
      </w:r>
    </w:p>
    <w:p w14:paraId="657AEAF9" w14:textId="77777777" w:rsidR="00FB29F6" w:rsidRDefault="00000000">
      <w:pPr>
        <w:pStyle w:val="Heading1"/>
        <w:keepNext/>
        <w:numPr>
          <w:ilvl w:val="0"/>
          <w:numId w:val="10"/>
        </w:numPr>
        <w:spacing w:before="240" w:after="80"/>
      </w:pPr>
      <w:bookmarkStart w:id="11" w:name="_S506"/>
      <w:bookmarkStart w:id="12" w:name="_Toc237819175"/>
      <w:r>
        <w:t>Legal Hold</w:t>
      </w:r>
      <w:bookmarkEnd w:id="11"/>
      <w:bookmarkEnd w:id="12"/>
    </w:p>
    <w:p w14:paraId="37953D9B" w14:textId="497367D2" w:rsidR="00FB29F6" w:rsidRDefault="00000000">
      <w:pPr>
        <w:pStyle w:val="BodyText9"/>
        <w:spacing w:after="120"/>
        <w:jc w:val="both"/>
      </w:pPr>
      <w:r>
        <w:rPr>
          <w:color w:val="404040" w:themeColor="text1" w:themeTint="BF"/>
        </w:rPr>
        <w:t xml:space="preserve">A legal hold suspends disposal. It is short but it </w:t>
      </w:r>
      <w:r w:rsidR="004673D0">
        <w:rPr>
          <w:color w:val="404040" w:themeColor="text1" w:themeTint="BF"/>
        </w:rPr>
        <w:t>must</w:t>
      </w:r>
      <w:r>
        <w:rPr>
          <w:color w:val="404040" w:themeColor="text1" w:themeTint="BF"/>
        </w:rPr>
        <w:t xml:space="preserve"> exist, because the retention schedule otherwise deletes on time and that becomes the problem.</w:t>
      </w:r>
    </w:p>
    <w:p w14:paraId="73693367" w14:textId="77777777" w:rsidR="00FB29F6" w:rsidRDefault="00000000">
      <w:pPr>
        <w:pStyle w:val="Emphasis-Normal"/>
        <w:numPr>
          <w:ilvl w:val="0"/>
          <w:numId w:val="6"/>
        </w:numPr>
        <w:spacing w:after="120"/>
        <w:jc w:val="both"/>
      </w:pPr>
      <w:r>
        <w:rPr>
          <w:color w:val="404040" w:themeColor="text1" w:themeTint="BF"/>
        </w:rPr>
        <w:t xml:space="preserve">Where the Company becomes aware of actual or anticipated litigation, a regulatory investigation, or a client request to preserve, the Accountable Party places a hold on the information concerned. The hold names what is preserved, why, and who imposed it, and is recorded on the same day.  </w:t>
      </w:r>
      <w:r>
        <w:rPr>
          <w:rFonts w:ascii="Calibri Light" w:eastAsia="Calibri Light" w:hAnsi="Calibri Light" w:cs="Calibri Light"/>
          <w:color w:val="404040" w:themeColor="text1" w:themeTint="BF"/>
          <w:sz w:val="18"/>
        </w:rPr>
        <w:t>[SOC 2: CC6.5, CC2.1]</w:t>
      </w:r>
    </w:p>
    <w:p w14:paraId="25E5FD4A" w14:textId="77777777" w:rsidR="00FB29F6" w:rsidRDefault="00000000">
      <w:pPr>
        <w:pStyle w:val="Emphasis-Normal"/>
        <w:numPr>
          <w:ilvl w:val="0"/>
          <w:numId w:val="6"/>
        </w:numPr>
        <w:spacing w:after="120"/>
        <w:jc w:val="both"/>
      </w:pPr>
      <w:r>
        <w:rPr>
          <w:color w:val="404040" w:themeColor="text1" w:themeTint="BF"/>
        </w:rPr>
        <w:t xml:space="preserve">Information under hold is not disposed of even where its retention period has expired, and automated deletion is suspended for it. The hold overrides the schedule until it is lifted.  </w:t>
      </w:r>
      <w:r>
        <w:rPr>
          <w:rFonts w:ascii="Calibri Light" w:eastAsia="Calibri Light" w:hAnsi="Calibri Light" w:cs="Calibri Light"/>
          <w:color w:val="404040" w:themeColor="text1" w:themeTint="BF"/>
          <w:sz w:val="18"/>
        </w:rPr>
        <w:t>[SOC 2: CC6.5]</w:t>
      </w:r>
    </w:p>
    <w:p w14:paraId="0332D7ED" w14:textId="77777777" w:rsidR="00FB29F6" w:rsidRDefault="00000000">
      <w:pPr>
        <w:pStyle w:val="Emphasis-Normal"/>
        <w:numPr>
          <w:ilvl w:val="0"/>
          <w:numId w:val="6"/>
        </w:numPr>
        <w:spacing w:after="120"/>
        <w:jc w:val="both"/>
      </w:pPr>
      <w:r>
        <w:rPr>
          <w:color w:val="404040" w:themeColor="text1" w:themeTint="BF"/>
        </w:rPr>
        <w:t xml:space="preserve">A hold is lifted in writing by the person who imposed it, and normal retention resumes from that point. Holds are reviewed at the annual retention review so that one does not persist by inertia.  </w:t>
      </w:r>
      <w:r>
        <w:rPr>
          <w:rFonts w:ascii="Calibri Light" w:eastAsia="Calibri Light" w:hAnsi="Calibri Light" w:cs="Calibri Light"/>
          <w:color w:val="404040" w:themeColor="text1" w:themeTint="BF"/>
          <w:sz w:val="18"/>
        </w:rPr>
        <w:t>[SOC 2: CC6.5]</w:t>
      </w:r>
    </w:p>
    <w:p w14:paraId="509262FB" w14:textId="77777777" w:rsidR="00FB29F6" w:rsidRDefault="00000000">
      <w:pPr>
        <w:pStyle w:val="Heading1"/>
        <w:keepNext/>
        <w:numPr>
          <w:ilvl w:val="0"/>
          <w:numId w:val="10"/>
        </w:numPr>
        <w:spacing w:before="240" w:after="80"/>
      </w:pPr>
      <w:bookmarkStart w:id="13" w:name="_S507"/>
      <w:bookmarkStart w:id="14" w:name="_Toc237819176"/>
      <w:r>
        <w:lastRenderedPageBreak/>
        <w:t>Disposal</w:t>
      </w:r>
      <w:bookmarkEnd w:id="13"/>
      <w:bookmarkEnd w:id="14"/>
    </w:p>
    <w:p w14:paraId="1AEC26C2" w14:textId="28139AF6" w:rsidR="00FB29F6" w:rsidRDefault="00000000" w:rsidP="004673D0">
      <w:r>
        <w:t xml:space="preserve">Disposal of Confidential or Restricted information is </w:t>
      </w:r>
      <w:r w:rsidR="004673D0">
        <w:t>authorized</w:t>
      </w:r>
      <w:r>
        <w:t xml:space="preserve"> before it is carried out and recorded afterwards.  </w:t>
      </w:r>
      <w:r>
        <w:rPr>
          <w:rFonts w:ascii="Calibri Light" w:eastAsia="Calibri Light" w:hAnsi="Calibri Light" w:cs="Calibri Light"/>
          <w:sz w:val="18"/>
        </w:rPr>
        <w:t>[SOC 2: CC6.5]</w:t>
      </w:r>
    </w:p>
    <w:p w14:paraId="70979659" w14:textId="0EDC495C" w:rsidR="00FB29F6" w:rsidRDefault="00000000">
      <w:pPr>
        <w:pStyle w:val="Emphasis-Normal"/>
        <w:numPr>
          <w:ilvl w:val="0"/>
          <w:numId w:val="7"/>
        </w:numPr>
        <w:spacing w:after="120"/>
        <w:jc w:val="both"/>
      </w:pPr>
      <w:r>
        <w:rPr>
          <w:color w:val="404040" w:themeColor="text1" w:themeTint="BF"/>
        </w:rPr>
        <w:t xml:space="preserve">Media and devices that have held Company or client information are </w:t>
      </w:r>
      <w:r w:rsidR="004673D0">
        <w:rPr>
          <w:color w:val="404040" w:themeColor="text1" w:themeTint="BF"/>
        </w:rPr>
        <w:t>sanitized</w:t>
      </w:r>
      <w:r>
        <w:rPr>
          <w:color w:val="404040" w:themeColor="text1" w:themeTint="BF"/>
        </w:rPr>
        <w:t xml:space="preserve"> or destroyed before disposal, reassignment or return, and the action is recorded. Because work happens in cloud services rather than on local disks, this arises rarely — which is the point.  </w:t>
      </w:r>
      <w:r>
        <w:rPr>
          <w:rFonts w:ascii="Calibri Light" w:eastAsia="Calibri Light" w:hAnsi="Calibri Light" w:cs="Calibri Light"/>
          <w:color w:val="404040" w:themeColor="text1" w:themeTint="BF"/>
          <w:sz w:val="18"/>
        </w:rPr>
        <w:t>[SOC 2: CC6.5 · HIPAA §164.310(d)(2)]</w:t>
      </w:r>
    </w:p>
    <w:p w14:paraId="026FC52E" w14:textId="77777777" w:rsidR="00FB29F6" w:rsidRDefault="00000000">
      <w:pPr>
        <w:pStyle w:val="Emphasis-Normal"/>
        <w:numPr>
          <w:ilvl w:val="0"/>
          <w:numId w:val="7"/>
        </w:numPr>
        <w:spacing w:after="120"/>
        <w:jc w:val="both"/>
      </w:pPr>
      <w:r>
        <w:rPr>
          <w:color w:val="404040" w:themeColor="text1" w:themeTint="BF"/>
        </w:rPr>
        <w:t xml:space="preserve">Cloud storage disposal relies on the provider's deletion mechanisms, or on cryptographic erasure where the Company holds the keys, rather than on a physical process the Company does not perform.  </w:t>
      </w:r>
      <w:r>
        <w:rPr>
          <w:rFonts w:ascii="Calibri Light" w:eastAsia="Calibri Light" w:hAnsi="Calibri Light" w:cs="Calibri Light"/>
          <w:color w:val="404040" w:themeColor="text1" w:themeTint="BF"/>
          <w:sz w:val="18"/>
        </w:rPr>
        <w:t>[SOC 2: CC6.5]</w:t>
      </w:r>
    </w:p>
    <w:p w14:paraId="14EC17F5" w14:textId="77777777" w:rsidR="00FB29F6" w:rsidRDefault="00000000">
      <w:pPr>
        <w:pStyle w:val="Emphasis-Normal"/>
        <w:numPr>
          <w:ilvl w:val="0"/>
          <w:numId w:val="7"/>
        </w:numPr>
        <w:spacing w:after="120"/>
        <w:jc w:val="both"/>
      </w:pPr>
      <w:r>
        <w:rPr>
          <w:color w:val="404040" w:themeColor="text1" w:themeTint="BF"/>
        </w:rPr>
        <w:t xml:space="preserve">A disposal register records each action with its classification, retention basis and evidence, and holds any vendor destruction certificates. It is reconciled against the asset inventory so that an asset marked disposed is confirmed as gone.  </w:t>
      </w:r>
      <w:r>
        <w:rPr>
          <w:rFonts w:ascii="Calibri Light" w:eastAsia="Calibri Light" w:hAnsi="Calibri Light" w:cs="Calibri Light"/>
          <w:color w:val="404040" w:themeColor="text1" w:themeTint="BF"/>
          <w:sz w:val="18"/>
        </w:rPr>
        <w:t>[SOC 2: CC6.5, CC2.1]</w:t>
      </w:r>
    </w:p>
    <w:p w14:paraId="405FC5DB" w14:textId="77777777" w:rsidR="00FB29F6" w:rsidRDefault="00000000">
      <w:pPr>
        <w:pStyle w:val="Heading1"/>
        <w:keepNext/>
        <w:numPr>
          <w:ilvl w:val="0"/>
          <w:numId w:val="10"/>
        </w:numPr>
        <w:spacing w:before="240" w:after="80"/>
      </w:pPr>
      <w:bookmarkStart w:id="15" w:name="_S508"/>
      <w:bookmarkStart w:id="16" w:name="_Toc237819177"/>
      <w:r>
        <w:t>Records</w:t>
      </w:r>
      <w:bookmarkEnd w:id="15"/>
      <w:bookmarkEnd w:id="16"/>
    </w:p>
    <w:p w14:paraId="353647B6" w14:textId="77777777" w:rsidR="00FB29F6" w:rsidRDefault="00000000">
      <w:pPr>
        <w:pStyle w:val="Emphasis-Normal"/>
        <w:numPr>
          <w:ilvl w:val="0"/>
          <w:numId w:val="8"/>
        </w:numPr>
        <w:spacing w:after="120"/>
        <w:jc w:val="both"/>
      </w:pPr>
      <w:r>
        <w:rPr>
          <w:color w:val="404040" w:themeColor="text1" w:themeTint="BF"/>
        </w:rPr>
        <w:t xml:space="preserve">The retention schedule with periods and bases.  </w:t>
      </w:r>
      <w:r>
        <w:rPr>
          <w:rFonts w:ascii="Calibri Light" w:eastAsia="Calibri Light" w:hAnsi="Calibri Light" w:cs="Calibri Light"/>
          <w:color w:val="404040" w:themeColor="text1" w:themeTint="BF"/>
          <w:sz w:val="18"/>
        </w:rPr>
        <w:t>[SOC 2: CC6.5]</w:t>
      </w:r>
    </w:p>
    <w:p w14:paraId="7E69F332" w14:textId="360ACEB3" w:rsidR="00FB29F6" w:rsidRDefault="00000000">
      <w:pPr>
        <w:pStyle w:val="Emphasis-Normal"/>
        <w:numPr>
          <w:ilvl w:val="0"/>
          <w:numId w:val="8"/>
        </w:numPr>
        <w:spacing w:after="120"/>
        <w:jc w:val="both"/>
      </w:pPr>
      <w:r>
        <w:rPr>
          <w:color w:val="404040" w:themeColor="text1" w:themeTint="BF"/>
        </w:rPr>
        <w:t xml:space="preserve">The disposal </w:t>
      </w:r>
      <w:r w:rsidR="004673D0">
        <w:rPr>
          <w:color w:val="404040" w:themeColor="text1" w:themeTint="BF"/>
        </w:rPr>
        <w:t>registers</w:t>
      </w:r>
      <w:r>
        <w:rPr>
          <w:color w:val="404040" w:themeColor="text1" w:themeTint="BF"/>
        </w:rPr>
        <w:t xml:space="preserve"> with </w:t>
      </w:r>
      <w:r w:rsidR="004673D0">
        <w:rPr>
          <w:color w:val="404040" w:themeColor="text1" w:themeTint="BF"/>
        </w:rPr>
        <w:t>authorizations</w:t>
      </w:r>
      <w:r>
        <w:rPr>
          <w:color w:val="404040" w:themeColor="text1" w:themeTint="BF"/>
        </w:rPr>
        <w:t xml:space="preserve"> and evidence.  </w:t>
      </w:r>
      <w:r>
        <w:rPr>
          <w:rFonts w:ascii="Calibri Light" w:eastAsia="Calibri Light" w:hAnsi="Calibri Light" w:cs="Calibri Light"/>
          <w:color w:val="404040" w:themeColor="text1" w:themeTint="BF"/>
          <w:sz w:val="18"/>
        </w:rPr>
        <w:t>[SOC 2: CC6.5]</w:t>
      </w:r>
    </w:p>
    <w:p w14:paraId="41A3BC73" w14:textId="77777777" w:rsidR="00FB29F6" w:rsidRDefault="00000000">
      <w:pPr>
        <w:pStyle w:val="Emphasis-Normal"/>
        <w:numPr>
          <w:ilvl w:val="0"/>
          <w:numId w:val="8"/>
        </w:numPr>
        <w:spacing w:after="120"/>
        <w:jc w:val="both"/>
      </w:pPr>
      <w:r>
        <w:rPr>
          <w:color w:val="404040" w:themeColor="text1" w:themeTint="BF"/>
        </w:rPr>
        <w:t xml:space="preserve">Deletion confirmations at the end of engagements.  </w:t>
      </w:r>
      <w:r>
        <w:rPr>
          <w:rFonts w:ascii="Calibri Light" w:eastAsia="Calibri Light" w:hAnsi="Calibri Light" w:cs="Calibri Light"/>
          <w:color w:val="404040" w:themeColor="text1" w:themeTint="BF"/>
          <w:sz w:val="18"/>
        </w:rPr>
        <w:t>[SOC 2: CC6.5]</w:t>
      </w:r>
    </w:p>
    <w:p w14:paraId="41816836" w14:textId="77777777" w:rsidR="00FB29F6" w:rsidRDefault="00000000">
      <w:pPr>
        <w:pStyle w:val="Heading1"/>
        <w:keepNext/>
        <w:numPr>
          <w:ilvl w:val="0"/>
          <w:numId w:val="10"/>
        </w:numPr>
        <w:spacing w:before="240" w:after="80"/>
      </w:pPr>
      <w:bookmarkStart w:id="17" w:name="_S509"/>
      <w:bookmarkStart w:id="18" w:name="_Toc237819178"/>
      <w:r>
        <w:t>Exceptions</w:t>
      </w:r>
      <w:bookmarkEnd w:id="17"/>
      <w:bookmarkEnd w:id="18"/>
    </w:p>
    <w:p w14:paraId="1C87B0B1" w14:textId="77777777" w:rsidR="00FB29F6" w:rsidRDefault="00000000">
      <w:pPr>
        <w:pStyle w:val="BodyText9"/>
        <w:spacing w:after="120"/>
        <w:jc w:val="both"/>
      </w:pPr>
      <w:r>
        <w:rPr>
          <w:color w:val="404040" w:themeColor="text1" w:themeTint="BF"/>
        </w:rPr>
        <w:t>Where information cannot be disposed of when its period ends — a legal hold, or a backup that cannot be selectively purged — the position is recorded by the Accountable Party with the reason and a review date.</w:t>
      </w:r>
    </w:p>
    <w:p w14:paraId="1C923E4F" w14:textId="77777777" w:rsidR="00FB29F6" w:rsidRDefault="00000000">
      <w:pPr>
        <w:pStyle w:val="Heading1"/>
        <w:keepNext/>
        <w:numPr>
          <w:ilvl w:val="0"/>
          <w:numId w:val="10"/>
        </w:numPr>
        <w:spacing w:before="240" w:after="80"/>
      </w:pPr>
      <w:bookmarkStart w:id="19" w:name="_S510"/>
      <w:bookmarkStart w:id="20" w:name="_Toc237819179"/>
      <w:r>
        <w:t>Reference</w:t>
      </w:r>
      <w:bookmarkEnd w:id="19"/>
      <w:bookmarkEnd w:id="20"/>
    </w:p>
    <w:p w14:paraId="316D2588" w14:textId="5F3620D5" w:rsidR="00FB29F6" w:rsidRDefault="00000000">
      <w:pPr>
        <w:pStyle w:val="Emphasis-Normal"/>
        <w:numPr>
          <w:ilvl w:val="0"/>
          <w:numId w:val="9"/>
        </w:numPr>
        <w:spacing w:after="120"/>
        <w:jc w:val="both"/>
      </w:pPr>
      <w:r>
        <w:rPr>
          <w:color w:val="404040" w:themeColor="text1" w:themeTint="BF"/>
        </w:rPr>
        <w:t xml:space="preserve">SOC 2 Trust Services Criteria, Security category </w:t>
      </w:r>
      <w:r>
        <w:rPr>
          <w:rFonts w:ascii="Calibri Light" w:eastAsia="Calibri Light" w:hAnsi="Calibri Light" w:cs="Calibri Light"/>
          <w:color w:val="404040" w:themeColor="text1" w:themeTint="BF"/>
          <w:sz w:val="18"/>
        </w:rPr>
        <w:t>[CC2.1, CC6.5]</w:t>
      </w:r>
    </w:p>
    <w:p w14:paraId="43459B29" w14:textId="3CCD6C59" w:rsidR="00FB29F6" w:rsidRDefault="00000000">
      <w:pPr>
        <w:pStyle w:val="Emphasis-Normal"/>
        <w:numPr>
          <w:ilvl w:val="0"/>
          <w:numId w:val="9"/>
        </w:numPr>
        <w:spacing w:after="120"/>
        <w:jc w:val="both"/>
      </w:pPr>
      <w:r>
        <w:rPr>
          <w:color w:val="404040" w:themeColor="text1" w:themeTint="BF"/>
        </w:rPr>
        <w:t xml:space="preserve">POL-DCL-001 Data Classification Policy </w:t>
      </w:r>
      <w:r>
        <w:rPr>
          <w:rFonts w:ascii="Calibri Light" w:eastAsia="Calibri Light" w:hAnsi="Calibri Light" w:cs="Calibri Light"/>
          <w:color w:val="404040" w:themeColor="text1" w:themeTint="BF"/>
          <w:sz w:val="18"/>
        </w:rPr>
        <w:t>[SOC 2: CC2.1]</w:t>
      </w:r>
    </w:p>
    <w:p w14:paraId="605E5C0B" w14:textId="56832251" w:rsidR="00FB29F6" w:rsidRDefault="00000000">
      <w:pPr>
        <w:pStyle w:val="Emphasis-Normal"/>
        <w:numPr>
          <w:ilvl w:val="0"/>
          <w:numId w:val="9"/>
        </w:numPr>
        <w:spacing w:after="120"/>
        <w:jc w:val="both"/>
      </w:pPr>
      <w:r>
        <w:rPr>
          <w:color w:val="404040" w:themeColor="text1" w:themeTint="BF"/>
        </w:rPr>
        <w:t xml:space="preserve">POL-ISP-001 Information Security Policy </w:t>
      </w:r>
      <w:r>
        <w:rPr>
          <w:rFonts w:ascii="Calibri Light" w:eastAsia="Calibri Light" w:hAnsi="Calibri Light" w:cs="Calibri Light"/>
          <w:color w:val="404040" w:themeColor="text1" w:themeTint="BF"/>
          <w:sz w:val="18"/>
        </w:rPr>
        <w:t>[SOC 2: CC5.3]</w:t>
      </w:r>
    </w:p>
    <w:p w14:paraId="1EFDFE45" w14:textId="13CE3BAB" w:rsidR="00FB29F6" w:rsidRDefault="00000000">
      <w:pPr>
        <w:pStyle w:val="Emphasis-Normal"/>
        <w:numPr>
          <w:ilvl w:val="0"/>
          <w:numId w:val="9"/>
        </w:numPr>
        <w:spacing w:after="120"/>
        <w:jc w:val="both"/>
      </w:pPr>
      <w:r>
        <w:rPr>
          <w:color w:val="404040" w:themeColor="text1" w:themeTint="BF"/>
        </w:rPr>
        <w:t xml:space="preserve">POL-ENC-001 Encryption Policy </w:t>
      </w:r>
      <w:r>
        <w:rPr>
          <w:rFonts w:ascii="Calibri Light" w:eastAsia="Calibri Light" w:hAnsi="Calibri Light" w:cs="Calibri Light"/>
          <w:color w:val="404040" w:themeColor="text1" w:themeTint="BF"/>
          <w:sz w:val="18"/>
        </w:rPr>
        <w:t>[SOC 2: CC6.7]</w:t>
      </w:r>
    </w:p>
    <w:p w14:paraId="1110629A" w14:textId="5606EF3D" w:rsidR="00FB29F6" w:rsidRDefault="00000000">
      <w:pPr>
        <w:pStyle w:val="Emphasis-Normal"/>
        <w:numPr>
          <w:ilvl w:val="0"/>
          <w:numId w:val="9"/>
        </w:numPr>
        <w:spacing w:after="120"/>
        <w:jc w:val="both"/>
      </w:pPr>
      <w:r>
        <w:rPr>
          <w:color w:val="404040" w:themeColor="text1" w:themeTint="BF"/>
        </w:rPr>
        <w:t xml:space="preserve">POL-AM-001 Asset Management Policy </w:t>
      </w:r>
      <w:r>
        <w:rPr>
          <w:rFonts w:ascii="Calibri Light" w:eastAsia="Calibri Light" w:hAnsi="Calibri Light" w:cs="Calibri Light"/>
          <w:color w:val="404040" w:themeColor="text1" w:themeTint="BF"/>
          <w:sz w:val="18"/>
        </w:rPr>
        <w:t>[SOC 2: CC2.1]</w:t>
      </w:r>
    </w:p>
    <w:p w14:paraId="3CA37700" w14:textId="77777777" w:rsidR="00FB29F6" w:rsidRDefault="00000000">
      <w:pPr>
        <w:pStyle w:val="Emphasis-Normal"/>
        <w:numPr>
          <w:ilvl w:val="0"/>
          <w:numId w:val="9"/>
        </w:numPr>
        <w:spacing w:after="120"/>
        <w:jc w:val="both"/>
      </w:pPr>
      <w:r>
        <w:rPr>
          <w:color w:val="404040" w:themeColor="text1" w:themeTint="BF"/>
        </w:rPr>
        <w:t>EU General Data Protection Regulation, Articles 5 and 17</w:t>
      </w:r>
    </w:p>
    <w:p w14:paraId="661918A9" w14:textId="77777777" w:rsidR="00FB29F6" w:rsidRDefault="00000000" w:rsidP="004673D0">
      <w:pPr>
        <w:pStyle w:val="Heading1"/>
      </w:pPr>
      <w:bookmarkStart w:id="21" w:name="_Toc236674048"/>
      <w:bookmarkStart w:id="22" w:name="_Toc237819180"/>
      <w:r>
        <w:t>Document Policy History</w:t>
      </w:r>
      <w:bookmarkEnd w:id="21"/>
      <w:bookmarkEnd w:id="22"/>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4"/>
        <w:gridCol w:w="2310"/>
        <w:gridCol w:w="5616"/>
      </w:tblGrid>
      <w:tr w:rsidR="00FB29F6" w14:paraId="129BBB0C" w14:textId="77777777">
        <w:trPr>
          <w:tblHeader/>
        </w:trPr>
        <w:tc>
          <w:tcPr>
            <w:tcW w:w="1434" w:type="dxa"/>
            <w:tcBorders>
              <w:top w:val="single" w:sz="4" w:space="0" w:color="BFCDD4"/>
              <w:left w:val="single" w:sz="4" w:space="0" w:color="BFCDD4"/>
              <w:bottom w:val="single" w:sz="2" w:space="0" w:color="595959"/>
              <w:right w:val="single" w:sz="4" w:space="0" w:color="BFCDD4"/>
            </w:tcBorders>
            <w:vAlign w:val="center"/>
          </w:tcPr>
          <w:p w14:paraId="6BD3E72E" w14:textId="77777777" w:rsidR="00FB29F6" w:rsidRDefault="00000000">
            <w:pPr>
              <w:suppressLineNumbers/>
              <w:spacing w:before="40" w:after="40" w:line="240" w:lineRule="auto"/>
            </w:pPr>
            <w:r>
              <w:rPr>
                <w:b/>
                <w:sz w:val="20"/>
              </w:rPr>
              <w:t>Version</w:t>
            </w:r>
          </w:p>
        </w:tc>
        <w:tc>
          <w:tcPr>
            <w:tcW w:w="2310" w:type="dxa"/>
            <w:tcBorders>
              <w:top w:val="single" w:sz="4" w:space="0" w:color="BFCDD4"/>
              <w:left w:val="single" w:sz="4" w:space="0" w:color="BFCDD4"/>
              <w:bottom w:val="single" w:sz="2" w:space="0" w:color="595959"/>
              <w:right w:val="single" w:sz="4" w:space="0" w:color="BFCDD4"/>
            </w:tcBorders>
            <w:vAlign w:val="center"/>
          </w:tcPr>
          <w:p w14:paraId="3B58BD1B" w14:textId="77777777" w:rsidR="00FB29F6"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565B9624" w14:textId="77777777" w:rsidR="00FB29F6" w:rsidRDefault="00000000">
            <w:pPr>
              <w:suppressLineNumbers/>
              <w:spacing w:before="40" w:after="40" w:line="240" w:lineRule="auto"/>
            </w:pPr>
            <w:r>
              <w:rPr>
                <w:b/>
                <w:sz w:val="20"/>
              </w:rPr>
              <w:t>Description</w:t>
            </w:r>
          </w:p>
        </w:tc>
      </w:tr>
    </w:tbl>
    <w:p w14:paraId="7703E5E6" w14:textId="48317719" w:rsidR="00FB29F6" w:rsidRDefault="00FB29F6" w:rsidP="004018BB"/>
    <w:sectPr w:rsidR="00FB29F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lnNumType w:countBy="1" w:start="1" w:distance="360" w:restart="newSection"/>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17BBDE" w14:textId="77777777" w:rsidR="00960509" w:rsidRDefault="00960509">
      <w:pPr>
        <w:spacing w:after="0" w:line="240" w:lineRule="auto"/>
      </w:pPr>
      <w:r>
        <w:separator/>
      </w:r>
    </w:p>
  </w:endnote>
  <w:endnote w:type="continuationSeparator" w:id="0">
    <w:p w14:paraId="09E34A2B" w14:textId="77777777" w:rsidR="00960509" w:rsidRDefault="0096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2F863" w14:textId="77777777" w:rsidR="00FB29F6" w:rsidRDefault="00FB2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7C04F" w14:textId="77777777" w:rsidR="00FB29F6" w:rsidRDefault="00000000">
    <w:pPr>
      <w:suppressLineNumbers/>
      <w:pBdr>
        <w:top w:val="single" w:sz="6" w:space="4" w:color="1B4965"/>
      </w:pBdr>
      <w:spacing w:before="160" w:after="0"/>
      <w:jc w:val="center"/>
    </w:pPr>
    <w:r>
      <w:rPr>
        <w:sz w:val="17"/>
      </w:rPr>
      <w:t xml:space="preserve">PromptHalo Technologies   ·   Internal   ·   POL-DRD-001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C55A1" w14:textId="77777777" w:rsidR="00FB29F6" w:rsidRDefault="00FB29F6">
    <w:pPr>
      <w:suppressLineNumber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9FCB3" w14:textId="77777777" w:rsidR="00FB29F6" w:rsidRDefault="00FB29F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970FF1" w14:textId="77777777" w:rsidR="00FB29F6" w:rsidRDefault="00000000">
    <w:pPr>
      <w:suppressLineNumbers/>
      <w:pBdr>
        <w:top w:val="single" w:sz="6" w:space="4" w:color="1B4965"/>
      </w:pBdr>
      <w:spacing w:before="160" w:after="0"/>
      <w:jc w:val="center"/>
    </w:pPr>
    <w:r>
      <w:rPr>
        <w:sz w:val="17"/>
      </w:rPr>
      <w:t xml:space="preserve">PromptHalo Technologies   ·   Internal   ·   POL-DRD-001   ·   Version 1.0   ·   Page </w:t>
    </w:r>
    <w:r>
      <w:rPr>
        <w:sz w:val="17"/>
      </w:rPr>
      <w:fldChar w:fldCharType="begin"/>
    </w:r>
    <w:r>
      <w:rPr>
        <w:sz w:val="17"/>
      </w:rPr>
      <w:instrText xml:space="preserve"> PAGE </w:instrText>
    </w:r>
    <w:r>
      <w:rPr>
        <w:sz w:val="17"/>
      </w:rPr>
      <w:fldChar w:fldCharType="separate"/>
    </w:r>
    <w:r>
      <w:rPr>
        <w:sz w:val="17"/>
      </w:rPr>
      <w:t>16</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16</w:t>
    </w:r>
    <w:r>
      <w:rPr>
        <w:sz w:val="17"/>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BAEDA" w14:textId="77777777" w:rsidR="00FB29F6" w:rsidRDefault="00FB29F6">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43E452" w14:textId="77777777" w:rsidR="00960509" w:rsidRDefault="00960509">
      <w:pPr>
        <w:spacing w:after="0" w:line="240" w:lineRule="auto"/>
      </w:pPr>
      <w:r>
        <w:separator/>
      </w:r>
    </w:p>
  </w:footnote>
  <w:footnote w:type="continuationSeparator" w:id="0">
    <w:p w14:paraId="5DA6D8C8" w14:textId="77777777" w:rsidR="00960509" w:rsidRDefault="00960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BF6B29" w14:textId="77777777" w:rsidR="00FB29F6" w:rsidRDefault="00FB2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8041CC" w14:textId="77777777" w:rsidR="00FB29F6" w:rsidRDefault="00000000">
    <w:pPr>
      <w:suppressLineNumbers/>
      <w:pBdr>
        <w:bottom w:val="single" w:sz="6" w:space="4" w:color="1B4965"/>
      </w:pBdr>
      <w:spacing w:after="160"/>
      <w:jc w:val="center"/>
    </w:pPr>
    <w:r>
      <w:rPr>
        <w:b/>
        <w:caps/>
        <w:spacing w:val="12"/>
        <w:sz w:val="17"/>
      </w:rPr>
      <w:t>DATA RETENTION AND DISPOSAL POLICY   ·   INTERNAL   ·   POL-DRD-001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387238" w14:textId="77777777" w:rsidR="00FB29F6" w:rsidRDefault="00FB29F6">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DCFF2" w14:textId="77777777" w:rsidR="00FB29F6" w:rsidRDefault="00FB29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0DCBC5" w14:textId="77777777" w:rsidR="00FB29F6" w:rsidRDefault="00000000">
    <w:pPr>
      <w:suppressLineNumbers/>
      <w:pBdr>
        <w:bottom w:val="single" w:sz="6" w:space="4" w:color="1B4965"/>
      </w:pBdr>
      <w:spacing w:after="160"/>
      <w:jc w:val="center"/>
    </w:pPr>
    <w:r>
      <w:rPr>
        <w:b/>
        <w:caps/>
        <w:spacing w:val="12"/>
        <w:sz w:val="17"/>
      </w:rPr>
      <w:t>DATA RETENTION AND DISPOSAL POLICY   ·   INTERNAL   ·   POL-DRD-001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845338" w14:textId="77777777" w:rsidR="00FB29F6" w:rsidRDefault="00FB29F6">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86F61FA"/>
    <w:multiLevelType w:val="multilevel"/>
    <w:tmpl w:val="0C06928E"/>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60B07BBA"/>
    <w:multiLevelType w:val="multilevel"/>
    <w:tmpl w:val="7B143F92"/>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7A0033C9"/>
    <w:multiLevelType w:val="multilevel"/>
    <w:tmpl w:val="A2DE926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03337720">
    <w:abstractNumId w:val="0"/>
  </w:num>
  <w:num w:numId="2" w16cid:durableId="1660885979">
    <w:abstractNumId w:val="1"/>
  </w:num>
  <w:num w:numId="3" w16cid:durableId="1088387856">
    <w:abstractNumId w:val="2"/>
    <w:lvlOverride w:ilvl="0">
      <w:startOverride w:val="1"/>
    </w:lvlOverride>
  </w:num>
  <w:num w:numId="4" w16cid:durableId="2056931786">
    <w:abstractNumId w:val="2"/>
    <w:lvlOverride w:ilvl="0">
      <w:startOverride w:val="1"/>
    </w:lvlOverride>
  </w:num>
  <w:num w:numId="5" w16cid:durableId="1466507197">
    <w:abstractNumId w:val="2"/>
    <w:lvlOverride w:ilvl="0">
      <w:startOverride w:val="1"/>
    </w:lvlOverride>
  </w:num>
  <w:num w:numId="6" w16cid:durableId="439421868">
    <w:abstractNumId w:val="2"/>
    <w:lvlOverride w:ilvl="0">
      <w:startOverride w:val="1"/>
    </w:lvlOverride>
  </w:num>
  <w:num w:numId="7" w16cid:durableId="1892839671">
    <w:abstractNumId w:val="2"/>
    <w:lvlOverride w:ilvl="0">
      <w:startOverride w:val="1"/>
    </w:lvlOverride>
  </w:num>
  <w:num w:numId="8" w16cid:durableId="1867518008">
    <w:abstractNumId w:val="2"/>
    <w:lvlOverride w:ilvl="0">
      <w:startOverride w:val="1"/>
    </w:lvlOverride>
  </w:num>
  <w:num w:numId="9" w16cid:durableId="1093012144">
    <w:abstractNumId w:val="2"/>
    <w:lvlOverride w:ilvl="0">
      <w:startOverride w:val="1"/>
    </w:lvlOverride>
  </w:num>
  <w:num w:numId="10" w16cid:durableId="1664580204">
    <w:abstractNumId w:val="0"/>
    <w:lvlOverride w:ilvl="0">
      <w:startOverride w:val="1"/>
    </w:lvlOverride>
  </w:num>
  <w:numIdMacAtCleanup w:val="1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9F6"/>
    <w:rsid w:val="004018BB"/>
    <w:rsid w:val="004673D0"/>
    <w:rsid w:val="00665A29"/>
    <w:rsid w:val="00960509"/>
    <w:rsid w:val="00B2474C"/>
    <w:rsid w:val="00D232B4"/>
    <w:rsid w:val="00FB29F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8BC3D78"/>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POL-ISP-001 — Information Security Policy</dc:title>
  <dc:subject>PromptHalo Information Security Program</dc:subject>
  <dc:creator>PromptHalo Security Officer</dc:creator>
  <dc:description>Version 1.0</dc:description>
  <cp:lastModifiedBy>Praveen Sharma</cp:lastModifiedBy>
  <cp:revision>3</cp:revision>
  <cp:lastPrinted>2026-08-17T04:33:00Z</cp:lastPrinted>
  <dcterms:created xsi:type="dcterms:W3CDTF">2026-08-17T04:33:00Z</dcterms:created>
  <dcterms:modified xsi:type="dcterms:W3CDTF">2026-08-17T04:33:00Z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and contractors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POL-ISP-001</vt:lpwstr>
  </property>
  <property fmtid="{D5CDD505-2E9C-101B-9397-08002B2CF9AE}" pid="7" name="DocOwner">
    <vt:lpwstr>Chief Executive Officer — Accountable Party</vt:lpwstr>
  </property>
  <property fmtid="{D5CDD505-2E9C-101B-9397-08002B2CF9AE}" pid="8" name="DocTitle">
    <vt:lpwstr>Information Security Policy</vt:lpwstr>
  </property>
  <property fmtid="{D5CDD505-2E9C-101B-9397-08002B2CF9AE}" pid="9" name="PolicyDate">
    <vt:lpwstr>July 19, 2026</vt:lpwstr>
  </property>
  <property fmtid="{D5CDD505-2E9C-101B-9397-08002B2CF9AE}" pid="10" name="PolicyExpiry">
    <vt:lpwstr>July 19,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POL-ISP-001 v1.0, approved July 19, 2026</vt:lpwstr>
  </property>
</Properties>
</file>