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F2C54" w14:textId="77777777" w:rsidR="00A15BF7" w:rsidRDefault="00A15BF7">
      <w:pPr>
        <w:pStyle w:val="Title"/>
        <w:suppressLineNumbers/>
        <w:spacing w:after="240"/>
        <w:jc w:val="center"/>
        <w:rPr>
          <w:rStyle w:val="Emphasis"/>
          <w:rFonts w:eastAsia="Times New Roman"/>
          <w:b w:val="0"/>
          <w:i w:val="0"/>
          <w:smallCaps/>
          <w:color w:val="074F6A"/>
          <w:spacing w:val="0"/>
          <w:sz w:val="52"/>
          <w:szCs w:val="52"/>
        </w:rPr>
      </w:pPr>
    </w:p>
    <w:p w14:paraId="42F46144" w14:textId="77777777" w:rsidR="00A15BF7" w:rsidRDefault="00A15BF7">
      <w:pPr>
        <w:pStyle w:val="Title"/>
        <w:suppressLineNumbers/>
        <w:spacing w:after="240"/>
        <w:jc w:val="center"/>
        <w:rPr>
          <w:rStyle w:val="Emphasis"/>
          <w:rFonts w:eastAsia="Times New Roman"/>
          <w:b w:val="0"/>
          <w:i w:val="0"/>
          <w:smallCaps/>
          <w:color w:val="074F6A"/>
          <w:spacing w:val="0"/>
          <w:sz w:val="52"/>
          <w:szCs w:val="52"/>
        </w:rPr>
      </w:pPr>
    </w:p>
    <w:p w14:paraId="344443DF" w14:textId="77777777" w:rsidR="00A15BF7" w:rsidRDefault="00A15BF7">
      <w:pPr>
        <w:pStyle w:val="Title"/>
        <w:suppressLineNumbers/>
        <w:spacing w:after="240"/>
        <w:jc w:val="center"/>
        <w:rPr>
          <w:rStyle w:val="Emphasis"/>
          <w:rFonts w:eastAsia="Times New Roman"/>
          <w:b w:val="0"/>
          <w:i w:val="0"/>
          <w:smallCaps/>
          <w:color w:val="074F6A"/>
          <w:spacing w:val="0"/>
          <w:sz w:val="52"/>
          <w:szCs w:val="52"/>
        </w:rPr>
      </w:pPr>
    </w:p>
    <w:p w14:paraId="39EC9781" w14:textId="77777777" w:rsidR="00A15BF7"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INCIDENT RESPONSE POLICY</w:t>
      </w:r>
    </w:p>
    <w:p w14:paraId="447D135E" w14:textId="77777777" w:rsidR="00A15BF7" w:rsidRDefault="00A15BF7">
      <w:pPr>
        <w:pStyle w:val="Title"/>
        <w:suppressLineNumbers/>
        <w:spacing w:after="240"/>
        <w:jc w:val="center"/>
        <w:rPr>
          <w:rStyle w:val="Emphasis"/>
          <w:rFonts w:eastAsia="Times New Roman"/>
          <w:b w:val="0"/>
          <w:i w:val="0"/>
          <w:smallCaps/>
          <w:color w:val="074F6A"/>
          <w:spacing w:val="0"/>
          <w:sz w:val="52"/>
          <w:szCs w:val="52"/>
        </w:rPr>
      </w:pPr>
    </w:p>
    <w:p w14:paraId="0D5CDF62" w14:textId="77777777" w:rsidR="00A15BF7" w:rsidRDefault="00A15BF7">
      <w:pPr>
        <w:pStyle w:val="Title"/>
        <w:suppressLineNumbers/>
        <w:spacing w:after="240"/>
        <w:jc w:val="center"/>
        <w:rPr>
          <w:rStyle w:val="Emphasis"/>
          <w:rFonts w:eastAsia="Times New Roman"/>
          <w:b w:val="0"/>
          <w:i w:val="0"/>
          <w:smallCaps/>
          <w:color w:val="074F6A"/>
          <w:spacing w:val="0"/>
          <w:sz w:val="52"/>
          <w:szCs w:val="52"/>
        </w:rPr>
      </w:pPr>
    </w:p>
    <w:p w14:paraId="3EF26B19" w14:textId="77777777" w:rsidR="00A15BF7"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75037645" w14:textId="77777777" w:rsidR="00A15BF7"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20DD2D41" w14:textId="77777777" w:rsidR="00A15BF7"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01DD793" w14:textId="77777777" w:rsidR="00A15BF7" w:rsidRDefault="00A15BF7">
      <w:pPr>
        <w:suppressLineNumbers/>
        <w:spacing w:after="40" w:line="240" w:lineRule="auto"/>
        <w:jc w:val="center"/>
      </w:pPr>
    </w:p>
    <w:p w14:paraId="73E40EBF" w14:textId="77777777" w:rsidR="00A15BF7" w:rsidRDefault="00A15BF7">
      <w:pPr>
        <w:suppressLineNumbers/>
        <w:spacing w:after="40" w:line="240" w:lineRule="auto"/>
        <w:jc w:val="center"/>
      </w:pPr>
    </w:p>
    <w:p w14:paraId="0F16A841" w14:textId="77777777" w:rsidR="00A15BF7" w:rsidRDefault="00A15BF7">
      <w:pPr>
        <w:suppressLineNumbers/>
        <w:spacing w:after="40" w:line="240" w:lineRule="auto"/>
        <w:jc w:val="center"/>
      </w:pPr>
    </w:p>
    <w:p w14:paraId="73418A9F" w14:textId="77777777" w:rsidR="00A15BF7" w:rsidRDefault="00A15BF7">
      <w:pPr>
        <w:suppressLineNumbers/>
        <w:spacing w:after="40" w:line="240" w:lineRule="auto"/>
        <w:jc w:val="center"/>
      </w:pPr>
    </w:p>
    <w:p w14:paraId="346FDAC4" w14:textId="77777777" w:rsidR="00A15BF7" w:rsidRDefault="00A15BF7">
      <w:pPr>
        <w:suppressLineNumbers/>
        <w:spacing w:after="40" w:line="240" w:lineRule="auto"/>
        <w:jc w:val="center"/>
      </w:pPr>
    </w:p>
    <w:p w14:paraId="42286559" w14:textId="77777777" w:rsidR="00A15BF7" w:rsidRDefault="00000000">
      <w:pPr>
        <w:suppressLineNumbers/>
        <w:spacing w:after="40" w:line="240" w:lineRule="auto"/>
        <w:jc w:val="center"/>
      </w:pPr>
      <w:bookmarkStart w:id="0" w:name="EffectiveDate"/>
      <w:r>
        <w:rPr>
          <w:noProof/>
        </w:rPr>
        <w:drawing>
          <wp:inline distT="0" distB="0" distL="0" distR="0" wp14:anchorId="42065638" wp14:editId="08268A6C">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22C4E080" w14:textId="77777777" w:rsidR="00A15BF7"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A15BF7" w14:paraId="5D852FA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5E547D1" w14:textId="77777777" w:rsidR="00A15BF7"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78011B67" w14:textId="77777777" w:rsidR="00A15BF7" w:rsidRDefault="00000000">
            <w:pPr>
              <w:pStyle w:val="BodyText9"/>
              <w:suppressLineNumbers/>
              <w:spacing w:before="40" w:after="40" w:line="240" w:lineRule="auto"/>
            </w:pPr>
            <w:r>
              <w:rPr>
                <w:b/>
                <w:color w:val="404040" w:themeColor="text1" w:themeTint="BF"/>
                <w:sz w:val="20"/>
                <w:szCs w:val="20"/>
              </w:rPr>
              <w:t>Governance, Ethics, and Security</w:t>
            </w:r>
          </w:p>
        </w:tc>
      </w:tr>
      <w:tr w:rsidR="00A15BF7" w14:paraId="2E686E0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981455F" w14:textId="77777777" w:rsidR="00A15BF7"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F4F4073" w14:textId="77777777" w:rsidR="00A15BF7" w:rsidRDefault="00000000">
            <w:pPr>
              <w:pStyle w:val="BodyText9"/>
              <w:suppressLineNumbers/>
              <w:spacing w:before="40" w:after="40" w:line="240" w:lineRule="auto"/>
            </w:pPr>
            <w:r>
              <w:rPr>
                <w:color w:val="404040" w:themeColor="text1" w:themeTint="BF"/>
                <w:sz w:val="20"/>
              </w:rPr>
              <w:t>Incident Response Policy</w:t>
            </w:r>
          </w:p>
        </w:tc>
      </w:tr>
      <w:tr w:rsidR="00A15BF7" w14:paraId="6D8279D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75275E8" w14:textId="77777777" w:rsidR="00A15BF7"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31824449" w14:textId="77777777" w:rsidR="00A15BF7" w:rsidRDefault="00000000">
            <w:pPr>
              <w:pStyle w:val="BodyText9"/>
              <w:suppressLineNumbers/>
              <w:spacing w:before="40" w:after="40" w:line="240" w:lineRule="auto"/>
            </w:pPr>
            <w:r>
              <w:rPr>
                <w:color w:val="404040" w:themeColor="text1" w:themeTint="BF"/>
                <w:sz w:val="20"/>
              </w:rPr>
              <w:t>POL-IRP-001</w:t>
            </w:r>
          </w:p>
        </w:tc>
      </w:tr>
      <w:tr w:rsidR="00A15BF7" w14:paraId="1C62C73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189E8DA" w14:textId="77777777" w:rsidR="00A15BF7"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2B6DDAB" w14:textId="77777777" w:rsidR="00A15BF7" w:rsidRDefault="00000000">
            <w:pPr>
              <w:pStyle w:val="BodyText9"/>
              <w:suppressLineNumbers/>
              <w:spacing w:before="40" w:after="40" w:line="240" w:lineRule="auto"/>
            </w:pPr>
            <w:r>
              <w:rPr>
                <w:color w:val="404040" w:themeColor="text1" w:themeTint="BF"/>
                <w:sz w:val="20"/>
              </w:rPr>
              <w:t>1.0</w:t>
            </w:r>
          </w:p>
        </w:tc>
      </w:tr>
      <w:tr w:rsidR="00A15BF7" w14:paraId="012B15F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8201AC" w14:textId="77777777" w:rsidR="00A15BF7"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A86D1CA" w14:textId="77777777" w:rsidR="00A15BF7" w:rsidRDefault="00000000">
            <w:pPr>
              <w:pStyle w:val="BodyText9"/>
              <w:suppressLineNumbers/>
              <w:spacing w:before="40" w:after="40" w:line="240" w:lineRule="auto"/>
            </w:pPr>
            <w:r>
              <w:rPr>
                <w:color w:val="404040" w:themeColor="text1" w:themeTint="BF"/>
                <w:sz w:val="20"/>
              </w:rPr>
              <w:t>August 18, 2026</w:t>
            </w:r>
          </w:p>
        </w:tc>
      </w:tr>
      <w:tr w:rsidR="00A15BF7" w14:paraId="694CC68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CF66790" w14:textId="77777777" w:rsidR="00A15BF7"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3F0006A" w14:textId="77777777" w:rsidR="00A15BF7" w:rsidRDefault="00000000">
            <w:pPr>
              <w:pStyle w:val="BodyText9"/>
              <w:suppressLineNumbers/>
              <w:spacing w:before="40" w:after="40" w:line="240" w:lineRule="auto"/>
            </w:pPr>
            <w:r>
              <w:rPr>
                <w:color w:val="404040" w:themeColor="text1" w:themeTint="BF"/>
                <w:sz w:val="20"/>
              </w:rPr>
              <w:t>Information Security Steering Committee</w:t>
            </w:r>
          </w:p>
        </w:tc>
      </w:tr>
      <w:tr w:rsidR="00A15BF7" w14:paraId="01B80CE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169626A" w14:textId="77777777" w:rsidR="00A15BF7"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2F164E3" w14:textId="77777777" w:rsidR="00A15BF7" w:rsidRDefault="00000000">
            <w:pPr>
              <w:pStyle w:val="BodyText9"/>
              <w:suppressLineNumbers/>
              <w:spacing w:before="40" w:after="40" w:line="240" w:lineRule="auto"/>
            </w:pPr>
            <w:r>
              <w:rPr>
                <w:color w:val="404040" w:themeColor="text1" w:themeTint="BF"/>
                <w:sz w:val="20"/>
              </w:rPr>
              <w:t>August 18, 2026</w:t>
            </w:r>
          </w:p>
        </w:tc>
      </w:tr>
      <w:tr w:rsidR="00A15BF7" w14:paraId="7A0F1C4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CD44C8C" w14:textId="77777777" w:rsidR="00A15BF7"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78951AC" w14:textId="77777777" w:rsidR="00A15BF7" w:rsidRDefault="00000000">
            <w:pPr>
              <w:pStyle w:val="BodyText9"/>
              <w:suppressLineNumbers/>
              <w:spacing w:before="40" w:after="40" w:line="240" w:lineRule="auto"/>
            </w:pPr>
            <w:r>
              <w:rPr>
                <w:color w:val="404040" w:themeColor="text1" w:themeTint="BF"/>
                <w:sz w:val="20"/>
              </w:rPr>
              <w:t>August 18, 2027</w:t>
            </w:r>
          </w:p>
        </w:tc>
      </w:tr>
      <w:tr w:rsidR="00A15BF7" w14:paraId="6FDE282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0BBB90A" w14:textId="77777777" w:rsidR="00A15BF7"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2CB67CCA" w14:textId="77777777" w:rsidR="00A15BF7" w:rsidRDefault="00000000">
            <w:pPr>
              <w:pStyle w:val="BodyText9"/>
              <w:suppressLineNumbers/>
              <w:spacing w:before="40" w:after="40" w:line="240" w:lineRule="auto"/>
            </w:pPr>
            <w:r>
              <w:rPr>
                <w:color w:val="404040" w:themeColor="text1" w:themeTint="BF"/>
                <w:sz w:val="20"/>
              </w:rPr>
              <w:t>Internal</w:t>
            </w:r>
          </w:p>
        </w:tc>
      </w:tr>
      <w:tr w:rsidR="00A15BF7" w14:paraId="5C0DA34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8B720AF" w14:textId="77777777" w:rsidR="00A15BF7"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46D9C2F" w14:textId="77777777" w:rsidR="00A15BF7" w:rsidRPr="0097081B" w:rsidRDefault="00000000">
            <w:pPr>
              <w:pStyle w:val="BodyText9"/>
              <w:suppressLineNumbers/>
              <w:spacing w:before="40" w:after="40" w:line="240" w:lineRule="auto"/>
              <w:rPr>
                <w:color w:val="404040" w:themeColor="text1" w:themeTint="BF"/>
                <w:sz w:val="20"/>
              </w:rPr>
            </w:pPr>
            <w:r w:rsidRPr="0097081B">
              <w:rPr>
                <w:color w:val="404040" w:themeColor="text1" w:themeTint="BF"/>
                <w:sz w:val="20"/>
              </w:rPr>
              <w:fldChar w:fldCharType="begin"/>
            </w:r>
            <w:r w:rsidRPr="0097081B">
              <w:rPr>
                <w:color w:val="404040" w:themeColor="text1" w:themeTint="BF"/>
                <w:sz w:val="20"/>
              </w:rPr>
              <w:instrText xml:space="preserve"> DOCPROPERTY "DocOwner"</w:instrText>
            </w:r>
            <w:r w:rsidRPr="0097081B">
              <w:rPr>
                <w:color w:val="404040" w:themeColor="text1" w:themeTint="BF"/>
                <w:sz w:val="20"/>
              </w:rPr>
              <w:fldChar w:fldCharType="separate"/>
            </w:r>
            <w:r w:rsidRPr="0097081B">
              <w:rPr>
                <w:color w:val="404040" w:themeColor="text1" w:themeTint="BF"/>
                <w:sz w:val="20"/>
              </w:rPr>
              <w:t>Chief Executive Officer — Accountable Party</w:t>
            </w:r>
            <w:r w:rsidRPr="0097081B">
              <w:rPr>
                <w:color w:val="404040" w:themeColor="text1" w:themeTint="BF"/>
                <w:sz w:val="20"/>
              </w:rPr>
              <w:fldChar w:fldCharType="end"/>
            </w:r>
          </w:p>
        </w:tc>
      </w:tr>
      <w:tr w:rsidR="00A15BF7" w14:paraId="4C8EA1D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23D72FF" w14:textId="77777777" w:rsidR="00A15BF7"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A716DD0" w14:textId="77777777" w:rsidR="00A15BF7" w:rsidRPr="0097081B"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A15BF7" w14:paraId="3B5234F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E3E125" w14:textId="77777777" w:rsidR="00A15BF7"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3F40FDB7" w14:textId="77777777" w:rsidR="00A15BF7" w:rsidRPr="0097081B" w:rsidRDefault="00000000">
            <w:pPr>
              <w:pStyle w:val="BodyText9"/>
              <w:suppressLineNumbers/>
              <w:spacing w:before="40" w:after="40" w:line="240" w:lineRule="auto"/>
              <w:rPr>
                <w:color w:val="404040" w:themeColor="text1" w:themeTint="BF"/>
                <w:sz w:val="20"/>
              </w:rPr>
            </w:pPr>
            <w:r w:rsidRPr="0097081B">
              <w:rPr>
                <w:color w:val="404040" w:themeColor="text1" w:themeTint="BF"/>
                <w:sz w:val="20"/>
              </w:rPr>
              <w:fldChar w:fldCharType="begin"/>
            </w:r>
            <w:r w:rsidRPr="0097081B">
              <w:rPr>
                <w:color w:val="404040" w:themeColor="text1" w:themeTint="BF"/>
                <w:sz w:val="20"/>
              </w:rPr>
              <w:instrText xml:space="preserve"> DOCPROPERTY "ReviewCycle"</w:instrText>
            </w:r>
            <w:r w:rsidRPr="0097081B">
              <w:rPr>
                <w:color w:val="404040" w:themeColor="text1" w:themeTint="BF"/>
                <w:sz w:val="20"/>
              </w:rPr>
              <w:fldChar w:fldCharType="separate"/>
            </w:r>
            <w:r w:rsidRPr="0097081B">
              <w:rPr>
                <w:color w:val="404040" w:themeColor="text1" w:themeTint="BF"/>
                <w:sz w:val="20"/>
              </w:rPr>
              <w:t>Annual, or upon material change</w:t>
            </w:r>
            <w:r w:rsidRPr="0097081B">
              <w:rPr>
                <w:color w:val="404040" w:themeColor="text1" w:themeTint="BF"/>
                <w:sz w:val="20"/>
              </w:rPr>
              <w:fldChar w:fldCharType="end"/>
            </w:r>
          </w:p>
        </w:tc>
      </w:tr>
      <w:tr w:rsidR="00A15BF7" w14:paraId="03B1B76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BC5C4C3" w14:textId="77777777" w:rsidR="00A15BF7"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D1A440E" w14:textId="77777777" w:rsidR="00A15BF7" w:rsidRPr="0097081B"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A15BF7" w14:paraId="39FA92D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3D60751" w14:textId="77777777" w:rsidR="00A15BF7"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54E395E7" w14:textId="77777777" w:rsidR="00A15BF7" w:rsidRPr="0097081B" w:rsidRDefault="00000000">
            <w:pPr>
              <w:pStyle w:val="BodyText9"/>
              <w:suppressLineNumbers/>
              <w:spacing w:before="40" w:after="40" w:line="240" w:lineRule="auto"/>
              <w:rPr>
                <w:color w:val="404040" w:themeColor="text1" w:themeTint="BF"/>
                <w:sz w:val="20"/>
              </w:rPr>
            </w:pPr>
            <w:r w:rsidRPr="0097081B">
              <w:rPr>
                <w:color w:val="404040" w:themeColor="text1" w:themeTint="BF"/>
                <w:sz w:val="20"/>
              </w:rPr>
              <w:fldChar w:fldCharType="begin"/>
            </w:r>
            <w:r w:rsidRPr="0097081B">
              <w:rPr>
                <w:color w:val="404040" w:themeColor="text1" w:themeTint="BF"/>
                <w:sz w:val="20"/>
              </w:rPr>
              <w:instrText xml:space="preserve"> DOCPROPERTY "Audience"</w:instrText>
            </w:r>
            <w:r w:rsidRPr="0097081B">
              <w:rPr>
                <w:color w:val="404040" w:themeColor="text1" w:themeTint="BF"/>
                <w:sz w:val="20"/>
              </w:rPr>
              <w:fldChar w:fldCharType="separate"/>
            </w:r>
            <w:r w:rsidRPr="0097081B">
              <w:rPr>
                <w:color w:val="404040" w:themeColor="text1" w:themeTint="BF"/>
                <w:sz w:val="20"/>
              </w:rPr>
              <w:t>All personnel, including employees and contractors</w:t>
            </w:r>
            <w:r w:rsidRPr="0097081B">
              <w:rPr>
                <w:color w:val="404040" w:themeColor="text1" w:themeTint="BF"/>
                <w:sz w:val="20"/>
              </w:rPr>
              <w:fldChar w:fldCharType="end"/>
            </w:r>
          </w:p>
        </w:tc>
      </w:tr>
    </w:tbl>
    <w:p w14:paraId="5CE0065D" w14:textId="77777777" w:rsidR="00A15BF7" w:rsidRDefault="00A15BF7">
      <w:pPr>
        <w:suppressLineNumbers/>
        <w:rPr>
          <w:rStyle w:val="Strong"/>
        </w:rPr>
      </w:pPr>
    </w:p>
    <w:p w14:paraId="196109D6" w14:textId="77777777" w:rsidR="00A15BF7"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A15BF7" w14:paraId="6A4F9C7A"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3AC3075F" w14:textId="77777777" w:rsidR="00A15BF7"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6FE9CEE" w14:textId="77777777" w:rsidR="00A15BF7"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50D732FF" w14:textId="77777777" w:rsidR="00A15BF7"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6ACC46FD" w14:textId="77777777" w:rsidR="00A15BF7"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39CC3665" w14:textId="77777777" w:rsidR="00A15BF7" w:rsidRDefault="00000000">
            <w:pPr>
              <w:pStyle w:val="BodyText9"/>
              <w:suppressLineNumbers/>
              <w:spacing w:before="40" w:after="40" w:line="240" w:lineRule="auto"/>
            </w:pPr>
            <w:r>
              <w:rPr>
                <w:b/>
                <w:color w:val="404040" w:themeColor="text1" w:themeTint="BF"/>
                <w:sz w:val="20"/>
                <w:szCs w:val="20"/>
              </w:rPr>
              <w:t>Date</w:t>
            </w:r>
          </w:p>
        </w:tc>
      </w:tr>
      <w:tr w:rsidR="00A15BF7" w14:paraId="63EB238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B32E1B8" w14:textId="77777777" w:rsidR="00A15BF7"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3A0A0AD0" w14:textId="77777777" w:rsidR="00A15BF7"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E4DA588" w14:textId="77777777" w:rsidR="00A15BF7"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3D40F52" w14:textId="77777777" w:rsidR="00A15BF7" w:rsidRDefault="00A15BF7">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295CB07B" w14:textId="77777777" w:rsidR="00A15BF7" w:rsidRDefault="00000000">
            <w:pPr>
              <w:pStyle w:val="BodyText9"/>
              <w:suppressLineNumbers/>
              <w:spacing w:before="40" w:after="40" w:line="240" w:lineRule="auto"/>
            </w:pPr>
            <w:r>
              <w:rPr>
                <w:color w:val="404040" w:themeColor="text1" w:themeTint="BF"/>
                <w:sz w:val="20"/>
              </w:rPr>
              <w:t>August 18, 2026</w:t>
            </w:r>
          </w:p>
        </w:tc>
      </w:tr>
      <w:tr w:rsidR="00A15BF7" w14:paraId="12A44216"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EBF6290" w14:textId="77777777" w:rsidR="00A15BF7"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1F350AB4" w14:textId="77777777" w:rsidR="00A15BF7"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50E84D71" w14:textId="77777777" w:rsidR="00A15BF7"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AEFCEC6" w14:textId="77777777" w:rsidR="00A15BF7" w:rsidRDefault="00A15BF7">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CDC8341" w14:textId="77777777" w:rsidR="00A15BF7" w:rsidRDefault="00000000">
            <w:pPr>
              <w:pStyle w:val="BodyText9"/>
              <w:suppressLineNumbers/>
              <w:spacing w:before="40" w:after="40" w:line="240" w:lineRule="auto"/>
            </w:pPr>
            <w:r>
              <w:rPr>
                <w:color w:val="404040" w:themeColor="text1" w:themeTint="BF"/>
                <w:sz w:val="20"/>
              </w:rPr>
              <w:t>August 18, 2026</w:t>
            </w:r>
          </w:p>
        </w:tc>
      </w:tr>
    </w:tbl>
    <w:p w14:paraId="428807EE" w14:textId="77777777" w:rsidR="00A15BF7" w:rsidRDefault="00A15BF7">
      <w:pPr>
        <w:suppressLineNumbers/>
        <w:rPr>
          <w:rStyle w:val="Strong"/>
        </w:rPr>
      </w:pPr>
    </w:p>
    <w:p w14:paraId="77A5094D" w14:textId="77777777" w:rsidR="00A15BF7" w:rsidRDefault="00000000">
      <w:pPr>
        <w:suppressLineNumbers/>
        <w:spacing w:before="360" w:after="160"/>
      </w:pPr>
      <w:r>
        <w:rPr>
          <w:rStyle w:val="Strong"/>
          <w:caps/>
        </w:rPr>
        <w:t>COMPLIANCE</w:t>
      </w:r>
    </w:p>
    <w:p w14:paraId="1162D8FE" w14:textId="4382F745" w:rsidR="00A15BF7" w:rsidRDefault="00000000">
      <w:pPr>
        <w:pStyle w:val="BodyText9"/>
        <w:suppressLineNumbers/>
        <w:spacing w:after="120"/>
        <w:jc w:val="both"/>
      </w:pPr>
      <w:r>
        <w:rPr>
          <w:color w:val="404040" w:themeColor="text1" w:themeTint="BF"/>
        </w:rPr>
        <w:t xml:space="preserve">This Policy is </w:t>
      </w:r>
      <w:r w:rsidR="0097081B">
        <w:rPr>
          <w:color w:val="404040" w:themeColor="text1" w:themeTint="BF"/>
        </w:rPr>
        <w:t>authorized</w:t>
      </w:r>
      <w:r>
        <w:rPr>
          <w:color w:val="404040" w:themeColor="text1" w:themeTint="BF"/>
        </w:rPr>
        <w:t xml:space="preserve"> by the Information Security Policy (POL-ISP-001) and supports the SOC 2 Trust Services Criteria CC2.2, CC2.3, CC7.3, CC7.4 and CC7.5, HIPAA Security Rule 45 CFR §164.308(a)(6), and GDPR Articles 33 and 34. It is written for a ten-person remote team, where the response roles are held by two or three people and external help is named in advance.</w:t>
      </w:r>
    </w:p>
    <w:p w14:paraId="182B5215" w14:textId="77777777" w:rsidR="00A15BF7" w:rsidRDefault="00A15BF7">
      <w:pPr>
        <w:pStyle w:val="BodyText9"/>
        <w:suppressLineNumbers/>
      </w:pPr>
    </w:p>
    <w:p w14:paraId="50F89FE2" w14:textId="77777777" w:rsidR="00A15BF7" w:rsidRDefault="00000000">
      <w:pPr>
        <w:suppressLineNumbers/>
        <w:spacing w:before="360" w:after="160"/>
        <w:rPr>
          <w:rStyle w:val="Strong"/>
        </w:rPr>
      </w:pPr>
      <w:r>
        <w:rPr>
          <w:rStyle w:val="Strong"/>
          <w:caps/>
        </w:rPr>
        <w:t>DOCUMENT VALIDITY</w:t>
      </w:r>
    </w:p>
    <w:p w14:paraId="6D1A7A0A" w14:textId="77777777" w:rsidR="00A15BF7"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2BC8C2C7" w14:textId="77777777" w:rsidR="00A15BF7" w:rsidRDefault="00000000">
      <w:pPr>
        <w:suppressLineNumbers/>
      </w:pPr>
      <w:r>
        <w:br w:type="page"/>
      </w:r>
    </w:p>
    <w:p w14:paraId="583798C4" w14:textId="77777777" w:rsidR="0097081B" w:rsidRDefault="00000000">
      <w:pPr>
        <w:suppressLineNumbers/>
        <w:spacing w:after="160"/>
        <w:rPr>
          <w:noProof/>
        </w:rPr>
      </w:pPr>
      <w:r>
        <w:rPr>
          <w:rStyle w:val="Strong"/>
          <w:caps/>
        </w:rPr>
        <w:lastRenderedPageBreak/>
        <w:t>TABLE OF CONTENTS</w:t>
      </w:r>
      <w:r w:rsidR="0097081B">
        <w:rPr>
          <w:rStyle w:val="Strong"/>
          <w:caps/>
        </w:rPr>
        <w:fldChar w:fldCharType="begin"/>
      </w:r>
      <w:r w:rsidR="0097081B">
        <w:rPr>
          <w:rStyle w:val="Strong"/>
          <w:caps/>
        </w:rPr>
        <w:instrText xml:space="preserve"> TOC \o "1-3" \h \z \u </w:instrText>
      </w:r>
      <w:r w:rsidR="0097081B">
        <w:rPr>
          <w:rStyle w:val="Strong"/>
          <w:caps/>
        </w:rPr>
        <w:fldChar w:fldCharType="separate"/>
      </w:r>
    </w:p>
    <w:p w14:paraId="67EC6CB2" w14:textId="1BD24103"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0" w:history="1">
        <w:r w:rsidRPr="00401CBD">
          <w:rPr>
            <w:rStyle w:val="Hyperlink"/>
            <w:noProof/>
          </w:rPr>
          <w:t>1 Overview and Purpose</w:t>
        </w:r>
        <w:r>
          <w:rPr>
            <w:noProof/>
            <w:webHidden/>
          </w:rPr>
          <w:tab/>
        </w:r>
        <w:r>
          <w:rPr>
            <w:noProof/>
            <w:webHidden/>
          </w:rPr>
          <w:fldChar w:fldCharType="begin"/>
        </w:r>
        <w:r>
          <w:rPr>
            <w:noProof/>
            <w:webHidden/>
          </w:rPr>
          <w:instrText xml:space="preserve"> PAGEREF _Toc237817420 \h </w:instrText>
        </w:r>
        <w:r>
          <w:rPr>
            <w:noProof/>
            <w:webHidden/>
          </w:rPr>
        </w:r>
        <w:r>
          <w:rPr>
            <w:noProof/>
            <w:webHidden/>
          </w:rPr>
          <w:fldChar w:fldCharType="separate"/>
        </w:r>
        <w:r>
          <w:rPr>
            <w:noProof/>
            <w:webHidden/>
          </w:rPr>
          <w:t>5</w:t>
        </w:r>
        <w:r>
          <w:rPr>
            <w:noProof/>
            <w:webHidden/>
          </w:rPr>
          <w:fldChar w:fldCharType="end"/>
        </w:r>
      </w:hyperlink>
    </w:p>
    <w:p w14:paraId="7412CC2A" w14:textId="7D609EF2"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1" w:history="1">
        <w:r w:rsidRPr="00401CBD">
          <w:rPr>
            <w:rStyle w:val="Hyperlink"/>
            <w:noProof/>
          </w:rPr>
          <w:t>2 Scope</w:t>
        </w:r>
        <w:r>
          <w:rPr>
            <w:noProof/>
            <w:webHidden/>
          </w:rPr>
          <w:tab/>
        </w:r>
        <w:r>
          <w:rPr>
            <w:noProof/>
            <w:webHidden/>
          </w:rPr>
          <w:fldChar w:fldCharType="begin"/>
        </w:r>
        <w:r>
          <w:rPr>
            <w:noProof/>
            <w:webHidden/>
          </w:rPr>
          <w:instrText xml:space="preserve"> PAGEREF _Toc237817421 \h </w:instrText>
        </w:r>
        <w:r>
          <w:rPr>
            <w:noProof/>
            <w:webHidden/>
          </w:rPr>
        </w:r>
        <w:r>
          <w:rPr>
            <w:noProof/>
            <w:webHidden/>
          </w:rPr>
          <w:fldChar w:fldCharType="separate"/>
        </w:r>
        <w:r>
          <w:rPr>
            <w:noProof/>
            <w:webHidden/>
          </w:rPr>
          <w:t>5</w:t>
        </w:r>
        <w:r>
          <w:rPr>
            <w:noProof/>
            <w:webHidden/>
          </w:rPr>
          <w:fldChar w:fldCharType="end"/>
        </w:r>
      </w:hyperlink>
    </w:p>
    <w:p w14:paraId="102F6FDB" w14:textId="7188C9FA"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2" w:history="1">
        <w:r w:rsidRPr="00401CBD">
          <w:rPr>
            <w:rStyle w:val="Hyperlink"/>
            <w:noProof/>
          </w:rPr>
          <w:t>3 Roles and Definitions</w:t>
        </w:r>
        <w:r>
          <w:rPr>
            <w:noProof/>
            <w:webHidden/>
          </w:rPr>
          <w:tab/>
        </w:r>
        <w:r>
          <w:rPr>
            <w:noProof/>
            <w:webHidden/>
          </w:rPr>
          <w:fldChar w:fldCharType="begin"/>
        </w:r>
        <w:r>
          <w:rPr>
            <w:noProof/>
            <w:webHidden/>
          </w:rPr>
          <w:instrText xml:space="preserve"> PAGEREF _Toc237817422 \h </w:instrText>
        </w:r>
        <w:r>
          <w:rPr>
            <w:noProof/>
            <w:webHidden/>
          </w:rPr>
        </w:r>
        <w:r>
          <w:rPr>
            <w:noProof/>
            <w:webHidden/>
          </w:rPr>
          <w:fldChar w:fldCharType="separate"/>
        </w:r>
        <w:r>
          <w:rPr>
            <w:noProof/>
            <w:webHidden/>
          </w:rPr>
          <w:t>5</w:t>
        </w:r>
        <w:r>
          <w:rPr>
            <w:noProof/>
            <w:webHidden/>
          </w:rPr>
          <w:fldChar w:fldCharType="end"/>
        </w:r>
      </w:hyperlink>
    </w:p>
    <w:p w14:paraId="06E2DD22" w14:textId="0E96296F"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3" w:history="1">
        <w:r w:rsidRPr="00401CBD">
          <w:rPr>
            <w:rStyle w:val="Hyperlink"/>
            <w:noProof/>
          </w:rPr>
          <w:t>4 Terminology</w:t>
        </w:r>
        <w:r>
          <w:rPr>
            <w:noProof/>
            <w:webHidden/>
          </w:rPr>
          <w:tab/>
        </w:r>
        <w:r>
          <w:rPr>
            <w:noProof/>
            <w:webHidden/>
          </w:rPr>
          <w:fldChar w:fldCharType="begin"/>
        </w:r>
        <w:r>
          <w:rPr>
            <w:noProof/>
            <w:webHidden/>
          </w:rPr>
          <w:instrText xml:space="preserve"> PAGEREF _Toc237817423 \h </w:instrText>
        </w:r>
        <w:r>
          <w:rPr>
            <w:noProof/>
            <w:webHidden/>
          </w:rPr>
        </w:r>
        <w:r>
          <w:rPr>
            <w:noProof/>
            <w:webHidden/>
          </w:rPr>
          <w:fldChar w:fldCharType="separate"/>
        </w:r>
        <w:r>
          <w:rPr>
            <w:noProof/>
            <w:webHidden/>
          </w:rPr>
          <w:t>5</w:t>
        </w:r>
        <w:r>
          <w:rPr>
            <w:noProof/>
            <w:webHidden/>
          </w:rPr>
          <w:fldChar w:fldCharType="end"/>
        </w:r>
      </w:hyperlink>
    </w:p>
    <w:p w14:paraId="484A1A26" w14:textId="3876E6CE"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4" w:history="1">
        <w:r w:rsidRPr="00401CBD">
          <w:rPr>
            <w:rStyle w:val="Hyperlink"/>
            <w:noProof/>
          </w:rPr>
          <w:t>5 Reporting an Event</w:t>
        </w:r>
        <w:r>
          <w:rPr>
            <w:noProof/>
            <w:webHidden/>
          </w:rPr>
          <w:tab/>
        </w:r>
        <w:r>
          <w:rPr>
            <w:noProof/>
            <w:webHidden/>
          </w:rPr>
          <w:fldChar w:fldCharType="begin"/>
        </w:r>
        <w:r>
          <w:rPr>
            <w:noProof/>
            <w:webHidden/>
          </w:rPr>
          <w:instrText xml:space="preserve"> PAGEREF _Toc237817424 \h </w:instrText>
        </w:r>
        <w:r>
          <w:rPr>
            <w:noProof/>
            <w:webHidden/>
          </w:rPr>
        </w:r>
        <w:r>
          <w:rPr>
            <w:noProof/>
            <w:webHidden/>
          </w:rPr>
          <w:fldChar w:fldCharType="separate"/>
        </w:r>
        <w:r>
          <w:rPr>
            <w:noProof/>
            <w:webHidden/>
          </w:rPr>
          <w:t>6</w:t>
        </w:r>
        <w:r>
          <w:rPr>
            <w:noProof/>
            <w:webHidden/>
          </w:rPr>
          <w:fldChar w:fldCharType="end"/>
        </w:r>
      </w:hyperlink>
    </w:p>
    <w:p w14:paraId="5DD9F181" w14:textId="30053B10"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5" w:history="1">
        <w:r w:rsidRPr="00401CBD">
          <w:rPr>
            <w:rStyle w:val="Hyperlink"/>
            <w:noProof/>
          </w:rPr>
          <w:t>6 Severity</w:t>
        </w:r>
        <w:r>
          <w:rPr>
            <w:noProof/>
            <w:webHidden/>
          </w:rPr>
          <w:tab/>
        </w:r>
        <w:r>
          <w:rPr>
            <w:noProof/>
            <w:webHidden/>
          </w:rPr>
          <w:fldChar w:fldCharType="begin"/>
        </w:r>
        <w:r>
          <w:rPr>
            <w:noProof/>
            <w:webHidden/>
          </w:rPr>
          <w:instrText xml:space="preserve"> PAGEREF _Toc237817425 \h </w:instrText>
        </w:r>
        <w:r>
          <w:rPr>
            <w:noProof/>
            <w:webHidden/>
          </w:rPr>
        </w:r>
        <w:r>
          <w:rPr>
            <w:noProof/>
            <w:webHidden/>
          </w:rPr>
          <w:fldChar w:fldCharType="separate"/>
        </w:r>
        <w:r>
          <w:rPr>
            <w:noProof/>
            <w:webHidden/>
          </w:rPr>
          <w:t>6</w:t>
        </w:r>
        <w:r>
          <w:rPr>
            <w:noProof/>
            <w:webHidden/>
          </w:rPr>
          <w:fldChar w:fldCharType="end"/>
        </w:r>
      </w:hyperlink>
    </w:p>
    <w:p w14:paraId="0D12C991" w14:textId="45C0105A"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6" w:history="1">
        <w:r w:rsidRPr="00401CBD">
          <w:rPr>
            <w:rStyle w:val="Hyperlink"/>
            <w:noProof/>
          </w:rPr>
          <w:t>7 Response</w:t>
        </w:r>
        <w:r>
          <w:rPr>
            <w:noProof/>
            <w:webHidden/>
          </w:rPr>
          <w:tab/>
        </w:r>
        <w:r>
          <w:rPr>
            <w:noProof/>
            <w:webHidden/>
          </w:rPr>
          <w:fldChar w:fldCharType="begin"/>
        </w:r>
        <w:r>
          <w:rPr>
            <w:noProof/>
            <w:webHidden/>
          </w:rPr>
          <w:instrText xml:space="preserve"> PAGEREF _Toc237817426 \h </w:instrText>
        </w:r>
        <w:r>
          <w:rPr>
            <w:noProof/>
            <w:webHidden/>
          </w:rPr>
        </w:r>
        <w:r>
          <w:rPr>
            <w:noProof/>
            <w:webHidden/>
          </w:rPr>
          <w:fldChar w:fldCharType="separate"/>
        </w:r>
        <w:r>
          <w:rPr>
            <w:noProof/>
            <w:webHidden/>
          </w:rPr>
          <w:t>7</w:t>
        </w:r>
        <w:r>
          <w:rPr>
            <w:noProof/>
            <w:webHidden/>
          </w:rPr>
          <w:fldChar w:fldCharType="end"/>
        </w:r>
      </w:hyperlink>
    </w:p>
    <w:p w14:paraId="24CB8224" w14:textId="5D74B788"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7" w:history="1">
        <w:r w:rsidRPr="00401CBD">
          <w:rPr>
            <w:rStyle w:val="Hyperlink"/>
            <w:noProof/>
          </w:rPr>
          <w:t>8 Notification</w:t>
        </w:r>
        <w:r>
          <w:rPr>
            <w:noProof/>
            <w:webHidden/>
          </w:rPr>
          <w:tab/>
        </w:r>
        <w:r>
          <w:rPr>
            <w:noProof/>
            <w:webHidden/>
          </w:rPr>
          <w:fldChar w:fldCharType="begin"/>
        </w:r>
        <w:r>
          <w:rPr>
            <w:noProof/>
            <w:webHidden/>
          </w:rPr>
          <w:instrText xml:space="preserve"> PAGEREF _Toc237817427 \h </w:instrText>
        </w:r>
        <w:r>
          <w:rPr>
            <w:noProof/>
            <w:webHidden/>
          </w:rPr>
        </w:r>
        <w:r>
          <w:rPr>
            <w:noProof/>
            <w:webHidden/>
          </w:rPr>
          <w:fldChar w:fldCharType="separate"/>
        </w:r>
        <w:r>
          <w:rPr>
            <w:noProof/>
            <w:webHidden/>
          </w:rPr>
          <w:t>7</w:t>
        </w:r>
        <w:r>
          <w:rPr>
            <w:noProof/>
            <w:webHidden/>
          </w:rPr>
          <w:fldChar w:fldCharType="end"/>
        </w:r>
      </w:hyperlink>
    </w:p>
    <w:p w14:paraId="2E4C56FA" w14:textId="7E216D15"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8" w:history="1">
        <w:r w:rsidRPr="00401CBD">
          <w:rPr>
            <w:rStyle w:val="Hyperlink"/>
            <w:noProof/>
          </w:rPr>
          <w:t>9 Recovery and Afterwards</w:t>
        </w:r>
        <w:r>
          <w:rPr>
            <w:noProof/>
            <w:webHidden/>
          </w:rPr>
          <w:tab/>
        </w:r>
        <w:r>
          <w:rPr>
            <w:noProof/>
            <w:webHidden/>
          </w:rPr>
          <w:fldChar w:fldCharType="begin"/>
        </w:r>
        <w:r>
          <w:rPr>
            <w:noProof/>
            <w:webHidden/>
          </w:rPr>
          <w:instrText xml:space="preserve"> PAGEREF _Toc237817428 \h </w:instrText>
        </w:r>
        <w:r>
          <w:rPr>
            <w:noProof/>
            <w:webHidden/>
          </w:rPr>
        </w:r>
        <w:r>
          <w:rPr>
            <w:noProof/>
            <w:webHidden/>
          </w:rPr>
          <w:fldChar w:fldCharType="separate"/>
        </w:r>
        <w:r>
          <w:rPr>
            <w:noProof/>
            <w:webHidden/>
          </w:rPr>
          <w:t>7</w:t>
        </w:r>
        <w:r>
          <w:rPr>
            <w:noProof/>
            <w:webHidden/>
          </w:rPr>
          <w:fldChar w:fldCharType="end"/>
        </w:r>
      </w:hyperlink>
    </w:p>
    <w:p w14:paraId="41B17BA1" w14:textId="5F98B39B"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29" w:history="1">
        <w:r w:rsidRPr="00401CBD">
          <w:rPr>
            <w:rStyle w:val="Hyperlink"/>
            <w:noProof/>
          </w:rPr>
          <w:t>10 Exercising the Plan</w:t>
        </w:r>
        <w:r>
          <w:rPr>
            <w:noProof/>
            <w:webHidden/>
          </w:rPr>
          <w:tab/>
        </w:r>
        <w:r>
          <w:rPr>
            <w:noProof/>
            <w:webHidden/>
          </w:rPr>
          <w:fldChar w:fldCharType="begin"/>
        </w:r>
        <w:r>
          <w:rPr>
            <w:noProof/>
            <w:webHidden/>
          </w:rPr>
          <w:instrText xml:space="preserve"> PAGEREF _Toc237817429 \h </w:instrText>
        </w:r>
        <w:r>
          <w:rPr>
            <w:noProof/>
            <w:webHidden/>
          </w:rPr>
        </w:r>
        <w:r>
          <w:rPr>
            <w:noProof/>
            <w:webHidden/>
          </w:rPr>
          <w:fldChar w:fldCharType="separate"/>
        </w:r>
        <w:r>
          <w:rPr>
            <w:noProof/>
            <w:webHidden/>
          </w:rPr>
          <w:t>8</w:t>
        </w:r>
        <w:r>
          <w:rPr>
            <w:noProof/>
            <w:webHidden/>
          </w:rPr>
          <w:fldChar w:fldCharType="end"/>
        </w:r>
      </w:hyperlink>
    </w:p>
    <w:p w14:paraId="50E09BEA" w14:textId="2BCC5FFC"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30" w:history="1">
        <w:r w:rsidRPr="00401CBD">
          <w:rPr>
            <w:rStyle w:val="Hyperlink"/>
            <w:noProof/>
          </w:rPr>
          <w:t>11 Records</w:t>
        </w:r>
        <w:r>
          <w:rPr>
            <w:noProof/>
            <w:webHidden/>
          </w:rPr>
          <w:tab/>
        </w:r>
        <w:r>
          <w:rPr>
            <w:noProof/>
            <w:webHidden/>
          </w:rPr>
          <w:fldChar w:fldCharType="begin"/>
        </w:r>
        <w:r>
          <w:rPr>
            <w:noProof/>
            <w:webHidden/>
          </w:rPr>
          <w:instrText xml:space="preserve"> PAGEREF _Toc237817430 \h </w:instrText>
        </w:r>
        <w:r>
          <w:rPr>
            <w:noProof/>
            <w:webHidden/>
          </w:rPr>
        </w:r>
        <w:r>
          <w:rPr>
            <w:noProof/>
            <w:webHidden/>
          </w:rPr>
          <w:fldChar w:fldCharType="separate"/>
        </w:r>
        <w:r>
          <w:rPr>
            <w:noProof/>
            <w:webHidden/>
          </w:rPr>
          <w:t>8</w:t>
        </w:r>
        <w:r>
          <w:rPr>
            <w:noProof/>
            <w:webHidden/>
          </w:rPr>
          <w:fldChar w:fldCharType="end"/>
        </w:r>
      </w:hyperlink>
    </w:p>
    <w:p w14:paraId="53CA4456" w14:textId="24414EBA"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31" w:history="1">
        <w:r w:rsidRPr="00401CBD">
          <w:rPr>
            <w:rStyle w:val="Hyperlink"/>
            <w:noProof/>
          </w:rPr>
          <w:t>12 Exceptions</w:t>
        </w:r>
        <w:r>
          <w:rPr>
            <w:noProof/>
            <w:webHidden/>
          </w:rPr>
          <w:tab/>
        </w:r>
        <w:r>
          <w:rPr>
            <w:noProof/>
            <w:webHidden/>
          </w:rPr>
          <w:fldChar w:fldCharType="begin"/>
        </w:r>
        <w:r>
          <w:rPr>
            <w:noProof/>
            <w:webHidden/>
          </w:rPr>
          <w:instrText xml:space="preserve"> PAGEREF _Toc237817431 \h </w:instrText>
        </w:r>
        <w:r>
          <w:rPr>
            <w:noProof/>
            <w:webHidden/>
          </w:rPr>
        </w:r>
        <w:r>
          <w:rPr>
            <w:noProof/>
            <w:webHidden/>
          </w:rPr>
          <w:fldChar w:fldCharType="separate"/>
        </w:r>
        <w:r>
          <w:rPr>
            <w:noProof/>
            <w:webHidden/>
          </w:rPr>
          <w:t>8</w:t>
        </w:r>
        <w:r>
          <w:rPr>
            <w:noProof/>
            <w:webHidden/>
          </w:rPr>
          <w:fldChar w:fldCharType="end"/>
        </w:r>
      </w:hyperlink>
    </w:p>
    <w:p w14:paraId="11AC7967" w14:textId="60AAC9D0"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32" w:history="1">
        <w:r w:rsidRPr="00401CBD">
          <w:rPr>
            <w:rStyle w:val="Hyperlink"/>
            <w:noProof/>
          </w:rPr>
          <w:t>13 Reference</w:t>
        </w:r>
        <w:r>
          <w:rPr>
            <w:noProof/>
            <w:webHidden/>
          </w:rPr>
          <w:tab/>
        </w:r>
        <w:r>
          <w:rPr>
            <w:noProof/>
            <w:webHidden/>
          </w:rPr>
          <w:fldChar w:fldCharType="begin"/>
        </w:r>
        <w:r>
          <w:rPr>
            <w:noProof/>
            <w:webHidden/>
          </w:rPr>
          <w:instrText xml:space="preserve"> PAGEREF _Toc237817432 \h </w:instrText>
        </w:r>
        <w:r>
          <w:rPr>
            <w:noProof/>
            <w:webHidden/>
          </w:rPr>
        </w:r>
        <w:r>
          <w:rPr>
            <w:noProof/>
            <w:webHidden/>
          </w:rPr>
          <w:fldChar w:fldCharType="separate"/>
        </w:r>
        <w:r>
          <w:rPr>
            <w:noProof/>
            <w:webHidden/>
          </w:rPr>
          <w:t>8</w:t>
        </w:r>
        <w:r>
          <w:rPr>
            <w:noProof/>
            <w:webHidden/>
          </w:rPr>
          <w:fldChar w:fldCharType="end"/>
        </w:r>
      </w:hyperlink>
    </w:p>
    <w:p w14:paraId="20BA15F3" w14:textId="7694203E" w:rsidR="0097081B" w:rsidRDefault="0097081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433" w:history="1">
        <w:r w:rsidRPr="00401CBD">
          <w:rPr>
            <w:rStyle w:val="Hyperlink"/>
            <w:noProof/>
          </w:rPr>
          <w:t>14 Document Policy History</w:t>
        </w:r>
        <w:r>
          <w:rPr>
            <w:noProof/>
            <w:webHidden/>
          </w:rPr>
          <w:tab/>
        </w:r>
        <w:r>
          <w:rPr>
            <w:noProof/>
            <w:webHidden/>
          </w:rPr>
          <w:fldChar w:fldCharType="begin"/>
        </w:r>
        <w:r>
          <w:rPr>
            <w:noProof/>
            <w:webHidden/>
          </w:rPr>
          <w:instrText xml:space="preserve"> PAGEREF _Toc237817433 \h </w:instrText>
        </w:r>
        <w:r>
          <w:rPr>
            <w:noProof/>
            <w:webHidden/>
          </w:rPr>
        </w:r>
        <w:r>
          <w:rPr>
            <w:noProof/>
            <w:webHidden/>
          </w:rPr>
          <w:fldChar w:fldCharType="separate"/>
        </w:r>
        <w:r>
          <w:rPr>
            <w:noProof/>
            <w:webHidden/>
          </w:rPr>
          <w:t>8</w:t>
        </w:r>
        <w:r>
          <w:rPr>
            <w:noProof/>
            <w:webHidden/>
          </w:rPr>
          <w:fldChar w:fldCharType="end"/>
        </w:r>
      </w:hyperlink>
    </w:p>
    <w:p w14:paraId="4FE50A68" w14:textId="4D4E999F" w:rsidR="00A15BF7" w:rsidRDefault="0097081B">
      <w:pPr>
        <w:suppressLineNumbers/>
        <w:spacing w:after="160"/>
        <w:rPr>
          <w:rStyle w:val="Strong"/>
        </w:rPr>
      </w:pPr>
      <w:r>
        <w:rPr>
          <w:rStyle w:val="Strong"/>
          <w:caps/>
        </w:rPr>
        <w:fldChar w:fldCharType="end"/>
      </w:r>
    </w:p>
    <w:sdt>
      <w:sdtPr>
        <w:id w:val="-919410785"/>
        <w:docPartObj>
          <w:docPartGallery w:val="Table of Contents"/>
          <w:docPartUnique/>
        </w:docPartObj>
      </w:sdtPr>
      <w:sdtContent>
        <w:p w14:paraId="20CD27E0" w14:textId="77777777" w:rsidR="00A15BF7" w:rsidRDefault="00000000">
          <w:pPr>
            <w:sectPr w:rsidR="00A15BF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797F8C05" w14:textId="77777777" w:rsidR="00A15BF7" w:rsidRDefault="00000000">
      <w:pPr>
        <w:pStyle w:val="Heading1"/>
        <w:keepNext/>
        <w:numPr>
          <w:ilvl w:val="0"/>
          <w:numId w:val="13"/>
        </w:numPr>
        <w:spacing w:before="240" w:after="80"/>
      </w:pPr>
      <w:bookmarkStart w:id="1" w:name="_S501"/>
      <w:bookmarkStart w:id="2" w:name="_Toc237817420"/>
      <w:r>
        <w:lastRenderedPageBreak/>
        <w:t>Overview and Purpose</w:t>
      </w:r>
      <w:bookmarkEnd w:id="1"/>
      <w:bookmarkEnd w:id="2"/>
    </w:p>
    <w:p w14:paraId="2D2B9F3E" w14:textId="77777777" w:rsidR="00A15BF7" w:rsidRDefault="00000000">
      <w:pPr>
        <w:pStyle w:val="BodyText9"/>
        <w:spacing w:after="120"/>
        <w:jc w:val="both"/>
      </w:pPr>
      <w:r>
        <w:rPr>
          <w:color w:val="404040" w:themeColor="text1" w:themeTint="BF"/>
        </w:rPr>
        <w:t xml:space="preserve">PromptHalo Technologies (“the Company”) will have incidents. This Policy says how one is </w:t>
      </w:r>
      <w:proofErr w:type="spellStart"/>
      <w:r>
        <w:rPr>
          <w:color w:val="404040" w:themeColor="text1" w:themeTint="BF"/>
        </w:rPr>
        <w:t>recognised</w:t>
      </w:r>
      <w:proofErr w:type="spellEnd"/>
      <w:r>
        <w:rPr>
          <w:color w:val="404040" w:themeColor="text1" w:themeTint="BF"/>
        </w:rPr>
        <w:t>, who does what, what gets told to whom and when, and what happens afterwards.</w:t>
      </w:r>
    </w:p>
    <w:p w14:paraId="7D88D7EC" w14:textId="77777777" w:rsidR="00A15BF7" w:rsidRDefault="00000000">
      <w:pPr>
        <w:pStyle w:val="BodyText9"/>
        <w:spacing w:after="120"/>
        <w:jc w:val="both"/>
      </w:pPr>
      <w:r>
        <w:rPr>
          <w:color w:val="404040" w:themeColor="text1" w:themeTint="BF"/>
        </w:rPr>
        <w:t>It is written for the Company as it is: ten people, mostly fractional, working remotely. The plan assumes two or three people are available, not a staffed response team, and names outside help rather than pretending internal capacity exists.</w:t>
      </w:r>
    </w:p>
    <w:p w14:paraId="05D0871A" w14:textId="77777777" w:rsidR="00A15BF7" w:rsidRDefault="00000000">
      <w:pPr>
        <w:pStyle w:val="Heading1"/>
        <w:keepNext/>
        <w:numPr>
          <w:ilvl w:val="0"/>
          <w:numId w:val="13"/>
        </w:numPr>
        <w:spacing w:before="240" w:after="80"/>
      </w:pPr>
      <w:bookmarkStart w:id="3" w:name="_S502"/>
      <w:bookmarkStart w:id="4" w:name="_Toc237817421"/>
      <w:r>
        <w:t>Scope</w:t>
      </w:r>
      <w:bookmarkEnd w:id="3"/>
      <w:bookmarkEnd w:id="4"/>
    </w:p>
    <w:p w14:paraId="2BDBA86B" w14:textId="77777777" w:rsidR="00A15BF7" w:rsidRDefault="00000000">
      <w:pPr>
        <w:pStyle w:val="BodyText9"/>
        <w:spacing w:after="120"/>
        <w:jc w:val="both"/>
      </w:pPr>
      <w:r>
        <w:rPr>
          <w:color w:val="404040" w:themeColor="text1" w:themeTint="BF"/>
        </w:rPr>
        <w:t>This Policy covers security incidents affecting Company or client information, the systems the Company runs, and the access it holds inside client environments. It covers events involving AI and agentic systems on the same terms as any other.</w:t>
      </w:r>
    </w:p>
    <w:p w14:paraId="24D8DEA6" w14:textId="77777777" w:rsidR="00A15BF7" w:rsidRDefault="00000000">
      <w:pPr>
        <w:pStyle w:val="BodyText9"/>
        <w:spacing w:after="120"/>
        <w:jc w:val="both"/>
      </w:pPr>
      <w:r>
        <w:rPr>
          <w:color w:val="404040" w:themeColor="text1" w:themeTint="BF"/>
        </w:rPr>
        <w:t>It applies to everyone, including contractors, and to events reported by clients, security researchers or the public.</w:t>
      </w:r>
    </w:p>
    <w:p w14:paraId="2EE24E9D" w14:textId="77777777" w:rsidR="00A15BF7" w:rsidRDefault="00000000">
      <w:pPr>
        <w:pStyle w:val="Heading1"/>
        <w:keepNext/>
        <w:numPr>
          <w:ilvl w:val="0"/>
          <w:numId w:val="13"/>
        </w:numPr>
        <w:spacing w:before="240" w:after="80"/>
      </w:pPr>
      <w:bookmarkStart w:id="5" w:name="_S503"/>
      <w:bookmarkStart w:id="6" w:name="_Toc237817422"/>
      <w:r>
        <w:t>Roles and Definitions</w:t>
      </w:r>
      <w:bookmarkEnd w:id="5"/>
      <w:bookmarkEnd w:id="6"/>
    </w:p>
    <w:p w14:paraId="3AEE9B60" w14:textId="77777777" w:rsidR="00A15BF7" w:rsidRDefault="00000000">
      <w:pPr>
        <w:pStyle w:val="Emphasis-Normal"/>
        <w:numPr>
          <w:ilvl w:val="0"/>
          <w:numId w:val="3"/>
        </w:numPr>
        <w:spacing w:after="120"/>
        <w:jc w:val="both"/>
      </w:pPr>
      <w:r>
        <w:rPr>
          <w:color w:val="404040" w:themeColor="text1" w:themeTint="BF"/>
        </w:rPr>
        <w:t>"The Company" refers to PromptHalo Technologies.</w:t>
      </w:r>
    </w:p>
    <w:p w14:paraId="6ECB9082" w14:textId="77777777" w:rsidR="00A15BF7"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273B4E1" w14:textId="77777777" w:rsidR="00A15BF7"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7BEED38E" w14:textId="77777777" w:rsidR="00A15BF7" w:rsidRDefault="00000000">
      <w:pPr>
        <w:pStyle w:val="Emphasis-Normal"/>
        <w:numPr>
          <w:ilvl w:val="0"/>
          <w:numId w:val="3"/>
        </w:numPr>
        <w:spacing w:after="120"/>
        <w:jc w:val="both"/>
      </w:pPr>
      <w:r>
        <w:rPr>
          <w:color w:val="404040" w:themeColor="text1" w:themeTint="BF"/>
        </w:rPr>
        <w:t xml:space="preserve">Incident roles are assigned by name in advance and held on the contact list: the incident lead who runs the response, the Accountable Party who decides on notification, the communications lead who speaks to clients, and the scribe who keeps the timeline.  </w:t>
      </w:r>
      <w:r>
        <w:rPr>
          <w:rFonts w:ascii="Calibri Light" w:eastAsia="Calibri Light" w:hAnsi="Calibri Light" w:cs="Calibri Light"/>
          <w:color w:val="404040" w:themeColor="text1" w:themeTint="BF"/>
          <w:sz w:val="18"/>
        </w:rPr>
        <w:t>[SOC 2: CC7.4, CC1.3]</w:t>
      </w:r>
    </w:p>
    <w:p w14:paraId="1436FB28" w14:textId="77777777" w:rsidR="00A15BF7" w:rsidRDefault="00000000">
      <w:pPr>
        <w:pStyle w:val="Emphasis-Normal"/>
        <w:numPr>
          <w:ilvl w:val="0"/>
          <w:numId w:val="3"/>
        </w:numPr>
        <w:spacing w:after="120"/>
        <w:jc w:val="both"/>
      </w:pPr>
      <w:r>
        <w:rPr>
          <w:color w:val="404040" w:themeColor="text1" w:themeTint="BF"/>
        </w:rPr>
        <w:t xml:space="preserve">At the Company's size one person will hold more than one of these. The incident lead and the communications lead are kept separate where two people are available, because the person containing the incident should not also be the one drafting client messages. Where they cannot be, that is recorded in the incident record rather than left implicit.  </w:t>
      </w:r>
      <w:r>
        <w:rPr>
          <w:rFonts w:ascii="Calibri Light" w:eastAsia="Calibri Light" w:hAnsi="Calibri Light" w:cs="Calibri Light"/>
          <w:color w:val="404040" w:themeColor="text1" w:themeTint="BF"/>
          <w:sz w:val="18"/>
        </w:rPr>
        <w:t>[SOC 2: CC7.4, CC1.3]</w:t>
      </w:r>
    </w:p>
    <w:p w14:paraId="1C4DD7B8" w14:textId="77777777" w:rsidR="00A15BF7" w:rsidRDefault="00000000">
      <w:pPr>
        <w:pStyle w:val="Emphasis-Normal"/>
        <w:numPr>
          <w:ilvl w:val="0"/>
          <w:numId w:val="3"/>
        </w:numPr>
        <w:spacing w:after="120"/>
        <w:jc w:val="both"/>
      </w:pPr>
      <w:r>
        <w:rPr>
          <w:color w:val="404040" w:themeColor="text1" w:themeTint="BF"/>
        </w:rPr>
        <w:t xml:space="preserve">Outside help is named before it is needed: the external counsel who advises on notification, and an incident responder the Company can call. Their contact details sit on the same list. Naming them in advance is what makes the four roles real at this headcount.  </w:t>
      </w:r>
      <w:r>
        <w:rPr>
          <w:rFonts w:ascii="Calibri Light" w:eastAsia="Calibri Light" w:hAnsi="Calibri Light" w:cs="Calibri Light"/>
          <w:color w:val="404040" w:themeColor="text1" w:themeTint="BF"/>
          <w:sz w:val="18"/>
        </w:rPr>
        <w:t>[SOC 2: CC7.4, CC9.2]</w:t>
      </w:r>
    </w:p>
    <w:p w14:paraId="71596B6F" w14:textId="77777777" w:rsidR="00A15BF7" w:rsidRDefault="00000000">
      <w:pPr>
        <w:pStyle w:val="Heading1"/>
        <w:keepNext/>
        <w:numPr>
          <w:ilvl w:val="0"/>
          <w:numId w:val="13"/>
        </w:numPr>
        <w:spacing w:before="240" w:after="80"/>
      </w:pPr>
      <w:bookmarkStart w:id="7" w:name="_S504"/>
      <w:bookmarkStart w:id="8" w:name="_Toc237817423"/>
      <w:r>
        <w:t>Terminology</w:t>
      </w:r>
      <w:bookmarkEnd w:id="7"/>
      <w:bookmarkEnd w:id="8"/>
    </w:p>
    <w:p w14:paraId="0E7B6701" w14:textId="77777777" w:rsidR="00A15BF7" w:rsidRDefault="00000000">
      <w:pPr>
        <w:pStyle w:val="BodyText9"/>
        <w:spacing w:after="120"/>
        <w:jc w:val="both"/>
      </w:pPr>
      <w:r>
        <w:rPr>
          <w:color w:val="404040" w:themeColor="text1" w:themeTint="BF"/>
        </w:rPr>
        <w:t>The following terms have the meanings given below wherever they appear in this policy.</w:t>
      </w:r>
    </w:p>
    <w:p w14:paraId="2F2B5793" w14:textId="77777777" w:rsidR="00A15BF7"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2CCB5D73" w14:textId="77777777" w:rsidR="00A15BF7"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10CCBD5A" w14:textId="77777777" w:rsidR="00A15BF7" w:rsidRDefault="00000000">
      <w:pPr>
        <w:pStyle w:val="Emphasis-Normal"/>
        <w:numPr>
          <w:ilvl w:val="0"/>
          <w:numId w:val="4"/>
        </w:numPr>
        <w:spacing w:after="120"/>
        <w:jc w:val="both"/>
      </w:pPr>
      <w:r>
        <w:rPr>
          <w:b/>
          <w:color w:val="404040" w:themeColor="text1" w:themeTint="BF"/>
        </w:rPr>
        <w:lastRenderedPageBreak/>
        <w:t>Containment</w:t>
      </w:r>
      <w:r>
        <w:rPr>
          <w:color w:val="404040" w:themeColor="text1" w:themeTint="BF"/>
        </w:rPr>
        <w:t xml:space="preserve"> — action taken to stop an incident spreading or continuing, which may precede understanding its cause.</w:t>
      </w:r>
    </w:p>
    <w:p w14:paraId="1988DE7E" w14:textId="77777777" w:rsidR="00A15BF7"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32CC557A" w14:textId="77777777" w:rsidR="00A15BF7"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63F7EAA8" w14:textId="77777777" w:rsidR="00A15BF7" w:rsidRDefault="00000000">
      <w:pPr>
        <w:pStyle w:val="Emphasis-Normal"/>
        <w:numPr>
          <w:ilvl w:val="0"/>
          <w:numId w:val="4"/>
        </w:numPr>
        <w:spacing w:after="120"/>
        <w:jc w:val="both"/>
      </w:pPr>
      <w:r>
        <w:rPr>
          <w:b/>
          <w:color w:val="404040" w:themeColor="text1" w:themeTint="BF"/>
        </w:rPr>
        <w:t>Event</w:t>
      </w:r>
      <w:r>
        <w:rPr>
          <w:color w:val="404040" w:themeColor="text1" w:themeTint="BF"/>
        </w:rPr>
        <w:t xml:space="preserve"> — something observed that may or may not be an incident, until it has been evaluated.</w:t>
      </w:r>
    </w:p>
    <w:p w14:paraId="38F217DB" w14:textId="77777777" w:rsidR="00A15BF7" w:rsidRDefault="00000000">
      <w:pPr>
        <w:pStyle w:val="Emphasis-Normal"/>
        <w:numPr>
          <w:ilvl w:val="0"/>
          <w:numId w:val="4"/>
        </w:numPr>
        <w:spacing w:after="120"/>
        <w:jc w:val="both"/>
      </w:pPr>
      <w:r>
        <w:rPr>
          <w:b/>
          <w:color w:val="404040" w:themeColor="text1" w:themeTint="BF"/>
        </w:rPr>
        <w:t>Incident</w:t>
      </w:r>
      <w:r>
        <w:rPr>
          <w:color w:val="404040" w:themeColor="text1" w:themeTint="BF"/>
        </w:rPr>
        <w:t xml:space="preserve"> — an event that has been evaluated and found to affect, or credibly threaten, the security of Company or client information.</w:t>
      </w:r>
    </w:p>
    <w:p w14:paraId="3A8A0AD2" w14:textId="77777777" w:rsidR="00A15BF7"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5CCDE118" w14:textId="77777777" w:rsidR="00A15BF7"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1414882" w14:textId="77777777" w:rsidR="00A15BF7" w:rsidRDefault="00000000">
      <w:pPr>
        <w:pStyle w:val="Emphasis-Normal"/>
        <w:numPr>
          <w:ilvl w:val="0"/>
          <w:numId w:val="4"/>
        </w:numPr>
        <w:spacing w:after="120"/>
        <w:jc w:val="both"/>
      </w:pPr>
      <w:r>
        <w:rPr>
          <w:b/>
          <w:color w:val="404040" w:themeColor="text1" w:themeTint="BF"/>
        </w:rPr>
        <w:t>Post-incident review</w:t>
      </w:r>
      <w:r>
        <w:rPr>
          <w:color w:val="404040" w:themeColor="text1" w:themeTint="BF"/>
        </w:rPr>
        <w:t xml:space="preserve"> — the recorded look back after an incident, covering what happened, what was done, and what changes follow.</w:t>
      </w:r>
    </w:p>
    <w:p w14:paraId="2087878F" w14:textId="77777777" w:rsidR="00A15BF7"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0A6834BF" w14:textId="77777777" w:rsidR="00A15BF7" w:rsidRDefault="00000000">
      <w:pPr>
        <w:pStyle w:val="Emphasis-Normal"/>
        <w:numPr>
          <w:ilvl w:val="0"/>
          <w:numId w:val="4"/>
        </w:numPr>
        <w:spacing w:after="120"/>
        <w:jc w:val="both"/>
      </w:pPr>
      <w:r>
        <w:rPr>
          <w:b/>
          <w:color w:val="404040" w:themeColor="text1" w:themeTint="BF"/>
        </w:rPr>
        <w:t>Severity</w:t>
      </w:r>
      <w:r>
        <w:rPr>
          <w:color w:val="404040" w:themeColor="text1" w:themeTint="BF"/>
        </w:rPr>
        <w:t xml:space="preserve"> — the level assigned to an incident under Section 6, which governs the response.</w:t>
      </w:r>
    </w:p>
    <w:p w14:paraId="5ABC34EA" w14:textId="77777777" w:rsidR="00A15BF7"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0146D153" w14:textId="77777777" w:rsidR="00A15BF7"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14D9083D" w14:textId="77777777" w:rsidR="00A15BF7" w:rsidRDefault="00000000">
      <w:pPr>
        <w:pStyle w:val="Heading1"/>
        <w:keepNext/>
        <w:numPr>
          <w:ilvl w:val="0"/>
          <w:numId w:val="13"/>
        </w:numPr>
        <w:spacing w:before="240" w:after="80"/>
      </w:pPr>
      <w:bookmarkStart w:id="9" w:name="_S505"/>
      <w:bookmarkStart w:id="10" w:name="_Toc237817424"/>
      <w:r>
        <w:t>Reporting an Event</w:t>
      </w:r>
      <w:bookmarkEnd w:id="9"/>
      <w:bookmarkEnd w:id="10"/>
    </w:p>
    <w:p w14:paraId="651DD0A5" w14:textId="77777777" w:rsidR="00A15BF7" w:rsidRDefault="00000000">
      <w:pPr>
        <w:pStyle w:val="Emphasis-Normal"/>
        <w:numPr>
          <w:ilvl w:val="0"/>
          <w:numId w:val="5"/>
        </w:numPr>
        <w:spacing w:after="120"/>
        <w:jc w:val="both"/>
      </w:pPr>
      <w:r>
        <w:rPr>
          <w:color w:val="404040" w:themeColor="text1" w:themeTint="BF"/>
        </w:rPr>
        <w:t xml:space="preserve">Anything that looks wrong is reported to security@prompthalo.com the same day. Reporting promptly is treated as doing the right thing; the mistake is concealing it, not making it.  </w:t>
      </w:r>
      <w:r>
        <w:rPr>
          <w:rFonts w:ascii="Calibri Light" w:eastAsia="Calibri Light" w:hAnsi="Calibri Light" w:cs="Calibri Light"/>
          <w:color w:val="404040" w:themeColor="text1" w:themeTint="BF"/>
          <w:sz w:val="18"/>
        </w:rPr>
        <w:t>[SOC 2: CC2.2, CC7.3]</w:t>
      </w:r>
    </w:p>
    <w:p w14:paraId="43DA3008" w14:textId="77777777" w:rsidR="00A15BF7" w:rsidRDefault="00000000">
      <w:pPr>
        <w:pStyle w:val="Emphasis-Normal"/>
        <w:numPr>
          <w:ilvl w:val="0"/>
          <w:numId w:val="5"/>
        </w:numPr>
        <w:spacing w:after="120"/>
        <w:jc w:val="both"/>
      </w:pPr>
      <w:r>
        <w:rPr>
          <w:color w:val="404040" w:themeColor="text1" w:themeTint="BF"/>
        </w:rPr>
        <w:t xml:space="preserve">Clients, security researchers and the public report through the address published in security.txt. Reports arriving that way are handled exactly as internal ones.  </w:t>
      </w:r>
      <w:r>
        <w:rPr>
          <w:rFonts w:ascii="Calibri Light" w:eastAsia="Calibri Light" w:hAnsi="Calibri Light" w:cs="Calibri Light"/>
          <w:color w:val="404040" w:themeColor="text1" w:themeTint="BF"/>
          <w:sz w:val="18"/>
        </w:rPr>
        <w:t>[SOC 2: CC7.3, CC2.3]</w:t>
      </w:r>
    </w:p>
    <w:p w14:paraId="24717C39" w14:textId="77777777" w:rsidR="00A15BF7" w:rsidRDefault="00000000">
      <w:pPr>
        <w:pStyle w:val="Emphasis-Normal"/>
        <w:numPr>
          <w:ilvl w:val="0"/>
          <w:numId w:val="5"/>
        </w:numPr>
        <w:spacing w:after="120"/>
        <w:jc w:val="both"/>
      </w:pPr>
      <w:r>
        <w:rPr>
          <w:color w:val="404040" w:themeColor="text1" w:themeTint="BF"/>
        </w:rPr>
        <w:t xml:space="preserve">Each report is evaluated by the Security Officer, given a severity, and either declared an incident or closed with the reason recorded. A closed event still leaves a record — the population of events is what shows the process runs.  </w:t>
      </w:r>
      <w:r>
        <w:rPr>
          <w:rFonts w:ascii="Calibri Light" w:eastAsia="Calibri Light" w:hAnsi="Calibri Light" w:cs="Calibri Light"/>
          <w:color w:val="404040" w:themeColor="text1" w:themeTint="BF"/>
          <w:sz w:val="18"/>
        </w:rPr>
        <w:t>[SOC 2: CC7.3, CC2.1]</w:t>
      </w:r>
    </w:p>
    <w:p w14:paraId="30B75DF7" w14:textId="77777777" w:rsidR="00A15BF7" w:rsidRDefault="00000000">
      <w:pPr>
        <w:pStyle w:val="Heading1"/>
        <w:keepNext/>
        <w:numPr>
          <w:ilvl w:val="0"/>
          <w:numId w:val="13"/>
        </w:numPr>
        <w:spacing w:before="240" w:after="80"/>
      </w:pPr>
      <w:bookmarkStart w:id="11" w:name="_S506"/>
      <w:bookmarkStart w:id="12" w:name="_Toc237817425"/>
      <w:r>
        <w:t>Severity</w:t>
      </w:r>
      <w:bookmarkEnd w:id="11"/>
      <w:bookmarkEnd w:id="12"/>
    </w:p>
    <w:p w14:paraId="059C9C9C" w14:textId="77777777" w:rsidR="00A15BF7" w:rsidRDefault="00000000">
      <w:pPr>
        <w:pStyle w:val="BodyText9"/>
        <w:spacing w:after="120"/>
        <w:jc w:val="both"/>
      </w:pPr>
      <w:r>
        <w:rPr>
          <w:color w:val="404040" w:themeColor="text1" w:themeTint="BF"/>
        </w:rPr>
        <w:t>Four levels, with triggers rather than judgement so that the level is arguable from the facts.</w:t>
      </w:r>
    </w:p>
    <w:p w14:paraId="6430B1E9" w14:textId="77777777" w:rsidR="00A15BF7" w:rsidRDefault="00000000">
      <w:pPr>
        <w:pStyle w:val="Emphasis-Normal"/>
        <w:numPr>
          <w:ilvl w:val="0"/>
          <w:numId w:val="6"/>
        </w:numPr>
        <w:spacing w:after="120"/>
        <w:jc w:val="both"/>
      </w:pPr>
      <w:r>
        <w:rPr>
          <w:color w:val="404040" w:themeColor="text1" w:themeTint="BF"/>
        </w:rPr>
        <w:lastRenderedPageBreak/>
        <w:t xml:space="preserve">Severity One — client information confirmed exposed, or the service materially unavailable. Severity Two — credible threat to client information, or an agent acting outside its scope on client systems. Severity Three — a Company system affected with no client exposure. Severity Four — a near miss or a control failure with no impact.  </w:t>
      </w:r>
      <w:r>
        <w:rPr>
          <w:rFonts w:ascii="Calibri Light" w:eastAsia="Calibri Light" w:hAnsi="Calibri Light" w:cs="Calibri Light"/>
          <w:color w:val="404040" w:themeColor="text1" w:themeTint="BF"/>
          <w:sz w:val="18"/>
        </w:rPr>
        <w:t>[SOC 2: CC7.3]</w:t>
      </w:r>
    </w:p>
    <w:p w14:paraId="3B261C0D" w14:textId="77777777" w:rsidR="00A15BF7" w:rsidRDefault="00000000">
      <w:pPr>
        <w:pStyle w:val="Emphasis-Normal"/>
        <w:numPr>
          <w:ilvl w:val="0"/>
          <w:numId w:val="6"/>
        </w:numPr>
        <w:spacing w:after="120"/>
        <w:jc w:val="both"/>
      </w:pPr>
      <w:r>
        <w:rPr>
          <w:color w:val="404040" w:themeColor="text1" w:themeTint="BF"/>
        </w:rPr>
        <w:t xml:space="preserve">Severity is reassessed as understanding improves, and both the original and revised levels stay in the record. Downgrading quietly is how a notification obligation gets missed.  </w:t>
      </w:r>
      <w:r>
        <w:rPr>
          <w:rFonts w:ascii="Calibri Light" w:eastAsia="Calibri Light" w:hAnsi="Calibri Light" w:cs="Calibri Light"/>
          <w:color w:val="404040" w:themeColor="text1" w:themeTint="BF"/>
          <w:sz w:val="18"/>
        </w:rPr>
        <w:t>[SOC 2: CC7.3]</w:t>
      </w:r>
    </w:p>
    <w:p w14:paraId="400EE17C" w14:textId="77777777" w:rsidR="00A15BF7" w:rsidRDefault="00000000">
      <w:pPr>
        <w:pStyle w:val="Emphasis-Normal"/>
        <w:numPr>
          <w:ilvl w:val="0"/>
          <w:numId w:val="6"/>
        </w:numPr>
        <w:spacing w:after="120"/>
        <w:jc w:val="both"/>
      </w:pPr>
      <w:r>
        <w:rPr>
          <w:color w:val="404040" w:themeColor="text1" w:themeTint="BF"/>
        </w:rPr>
        <w:t xml:space="preserve">Incidents involving AI or agentic systems are named as incidents on the same scale. The first containment action for an agent is to stop it, before diagnosing why.  </w:t>
      </w:r>
      <w:r>
        <w:rPr>
          <w:rFonts w:ascii="Calibri Light" w:eastAsia="Calibri Light" w:hAnsi="Calibri Light" w:cs="Calibri Light"/>
          <w:color w:val="404040" w:themeColor="text1" w:themeTint="BF"/>
          <w:sz w:val="18"/>
        </w:rPr>
        <w:t>[SOC 2: CC7.4]</w:t>
      </w:r>
    </w:p>
    <w:p w14:paraId="15ED25D2" w14:textId="77777777" w:rsidR="00A15BF7" w:rsidRDefault="00000000">
      <w:pPr>
        <w:pStyle w:val="Heading1"/>
        <w:keepNext/>
        <w:numPr>
          <w:ilvl w:val="0"/>
          <w:numId w:val="13"/>
        </w:numPr>
        <w:spacing w:before="240" w:after="80"/>
      </w:pPr>
      <w:bookmarkStart w:id="13" w:name="_S507"/>
      <w:bookmarkStart w:id="14" w:name="_Toc237817426"/>
      <w:r>
        <w:t>Response</w:t>
      </w:r>
      <w:bookmarkEnd w:id="13"/>
      <w:bookmarkEnd w:id="14"/>
    </w:p>
    <w:p w14:paraId="45D09F9D" w14:textId="77777777" w:rsidR="00A15BF7" w:rsidRDefault="00000000">
      <w:pPr>
        <w:pStyle w:val="Emphasis-Normal"/>
        <w:numPr>
          <w:ilvl w:val="0"/>
          <w:numId w:val="7"/>
        </w:numPr>
        <w:spacing w:after="120"/>
        <w:jc w:val="both"/>
      </w:pPr>
      <w:r>
        <w:rPr>
          <w:color w:val="404040" w:themeColor="text1" w:themeTint="BF"/>
        </w:rPr>
        <w:t xml:space="preserve">Containment is proportionate and may be taken before the cause is understood. Every containment action is recorded with the time it was taken — the timeline is the single most useful artifact afterwards.  </w:t>
      </w:r>
      <w:r>
        <w:rPr>
          <w:rFonts w:ascii="Calibri Light" w:eastAsia="Calibri Light" w:hAnsi="Calibri Light" w:cs="Calibri Light"/>
          <w:color w:val="404040" w:themeColor="text1" w:themeTint="BF"/>
          <w:sz w:val="18"/>
        </w:rPr>
        <w:t>[SOC 2: CC7.4]</w:t>
      </w:r>
    </w:p>
    <w:p w14:paraId="6F8817F5" w14:textId="77777777" w:rsidR="00A15BF7" w:rsidRDefault="00000000">
      <w:pPr>
        <w:pStyle w:val="Emphasis-Normal"/>
        <w:numPr>
          <w:ilvl w:val="0"/>
          <w:numId w:val="7"/>
        </w:numPr>
        <w:spacing w:after="120"/>
        <w:jc w:val="both"/>
      </w:pPr>
      <w:r>
        <w:rPr>
          <w:color w:val="404040" w:themeColor="text1" w:themeTint="BF"/>
        </w:rPr>
        <w:t xml:space="preserve">Evidence is captured before a compromised system is rebuilt, and logs covering the period are preserved beyond their normal retention. Rebuilding first is the commonest way to lose the answer.  </w:t>
      </w:r>
      <w:r>
        <w:rPr>
          <w:rFonts w:ascii="Calibri Light" w:eastAsia="Calibri Light" w:hAnsi="Calibri Light" w:cs="Calibri Light"/>
          <w:color w:val="404040" w:themeColor="text1" w:themeTint="BF"/>
          <w:sz w:val="18"/>
        </w:rPr>
        <w:t>[SOC 2: CC7.4, CC7.2]</w:t>
      </w:r>
    </w:p>
    <w:p w14:paraId="530C0E9C" w14:textId="77777777" w:rsidR="00A15BF7" w:rsidRDefault="00000000">
      <w:pPr>
        <w:pStyle w:val="Emphasis-Normal"/>
        <w:numPr>
          <w:ilvl w:val="0"/>
          <w:numId w:val="7"/>
        </w:numPr>
        <w:spacing w:after="120"/>
        <w:jc w:val="both"/>
      </w:pPr>
      <w:r>
        <w:rPr>
          <w:color w:val="404040" w:themeColor="text1" w:themeTint="BF"/>
        </w:rPr>
        <w:t xml:space="preserve">The scribe keeps a running timeline: what was seen, what was done, by whom, at what time. At this size a shared document is sufficient and no tooling is required.  </w:t>
      </w:r>
      <w:r>
        <w:rPr>
          <w:rFonts w:ascii="Calibri Light" w:eastAsia="Calibri Light" w:hAnsi="Calibri Light" w:cs="Calibri Light"/>
          <w:color w:val="404040" w:themeColor="text1" w:themeTint="BF"/>
          <w:sz w:val="18"/>
        </w:rPr>
        <w:t>[SOC 2: CC7.4, CC2.1]</w:t>
      </w:r>
    </w:p>
    <w:p w14:paraId="10995336" w14:textId="77777777" w:rsidR="00A15BF7" w:rsidRDefault="00000000">
      <w:pPr>
        <w:pStyle w:val="Heading1"/>
        <w:keepNext/>
        <w:numPr>
          <w:ilvl w:val="0"/>
          <w:numId w:val="13"/>
        </w:numPr>
        <w:spacing w:before="240" w:after="80"/>
      </w:pPr>
      <w:bookmarkStart w:id="15" w:name="_S508"/>
      <w:bookmarkStart w:id="16" w:name="_Toc237817427"/>
      <w:r>
        <w:t>Notification</w:t>
      </w:r>
      <w:bookmarkEnd w:id="15"/>
      <w:bookmarkEnd w:id="16"/>
    </w:p>
    <w:p w14:paraId="6519FE9B" w14:textId="77777777" w:rsidR="00A15BF7" w:rsidRDefault="00000000">
      <w:pPr>
        <w:pStyle w:val="Emphasis-Normal"/>
        <w:numPr>
          <w:ilvl w:val="0"/>
          <w:numId w:val="8"/>
        </w:numPr>
        <w:spacing w:after="120"/>
        <w:jc w:val="both"/>
      </w:pPr>
      <w:r>
        <w:rPr>
          <w:color w:val="404040" w:themeColor="text1" w:themeTint="BF"/>
        </w:rPr>
        <w:t xml:space="preserve">The notification obligations in customer agreements are extracted in advance into a notification matrix, with the shortest applicable period governing where several apply. Reading contracts during an incident is how deadlines get missed.  </w:t>
      </w:r>
      <w:r>
        <w:rPr>
          <w:rFonts w:ascii="Calibri Light" w:eastAsia="Calibri Light" w:hAnsi="Calibri Light" w:cs="Calibri Light"/>
          <w:color w:val="404040" w:themeColor="text1" w:themeTint="BF"/>
          <w:sz w:val="18"/>
        </w:rPr>
        <w:t>[SOC 2: CC2.3, CC7.4 · GDPR Art. 33]</w:t>
      </w:r>
    </w:p>
    <w:p w14:paraId="31495ECB" w14:textId="77777777" w:rsidR="00A15BF7" w:rsidRDefault="00000000">
      <w:pPr>
        <w:pStyle w:val="Emphasis-Normal"/>
        <w:numPr>
          <w:ilvl w:val="0"/>
          <w:numId w:val="8"/>
        </w:numPr>
        <w:spacing w:after="120"/>
        <w:jc w:val="both"/>
      </w:pPr>
      <w:r>
        <w:rPr>
          <w:color w:val="404040" w:themeColor="text1" w:themeTint="BF"/>
        </w:rPr>
        <w:t xml:space="preserve">The Accountable Party decides on notification, taking advice from the named external counsel where the position is unclear. The decision, its basis and its timing are recorded </w:t>
      </w:r>
      <w:proofErr w:type="gramStart"/>
      <w:r>
        <w:rPr>
          <w:color w:val="404040" w:themeColor="text1" w:themeTint="BF"/>
        </w:rPr>
        <w:t>whether or not</w:t>
      </w:r>
      <w:proofErr w:type="gramEnd"/>
      <w:r>
        <w:rPr>
          <w:color w:val="404040" w:themeColor="text1" w:themeTint="BF"/>
        </w:rPr>
        <w:t xml:space="preserve"> notification follows.  </w:t>
      </w:r>
      <w:r>
        <w:rPr>
          <w:rFonts w:ascii="Calibri Light" w:eastAsia="Calibri Light" w:hAnsi="Calibri Light" w:cs="Calibri Light"/>
          <w:color w:val="404040" w:themeColor="text1" w:themeTint="BF"/>
          <w:sz w:val="18"/>
        </w:rPr>
        <w:t>[SOC 2: CC2.3, CC7.4]</w:t>
      </w:r>
    </w:p>
    <w:p w14:paraId="66C66D75" w14:textId="77777777" w:rsidR="00A15BF7" w:rsidRDefault="00000000">
      <w:pPr>
        <w:pStyle w:val="Emphasis-Normal"/>
        <w:numPr>
          <w:ilvl w:val="0"/>
          <w:numId w:val="8"/>
        </w:numPr>
        <w:spacing w:after="120"/>
        <w:jc w:val="both"/>
      </w:pPr>
      <w:r>
        <w:rPr>
          <w:color w:val="404040" w:themeColor="text1" w:themeTint="BF"/>
        </w:rPr>
        <w:t xml:space="preserve">Where the Company is a processor, it notifies the controller without undue delay so they can meet their own obligations.  </w:t>
      </w:r>
      <w:r>
        <w:rPr>
          <w:rFonts w:ascii="Calibri Light" w:eastAsia="Calibri Light" w:hAnsi="Calibri Light" w:cs="Calibri Light"/>
          <w:color w:val="404040" w:themeColor="text1" w:themeTint="BF"/>
          <w:sz w:val="18"/>
        </w:rPr>
        <w:t>[SOC 2: CC2.3 · GDPR Art. 33]</w:t>
      </w:r>
    </w:p>
    <w:p w14:paraId="656207EE" w14:textId="77777777" w:rsidR="00A15BF7" w:rsidRDefault="00000000">
      <w:pPr>
        <w:pStyle w:val="Heading1"/>
        <w:keepNext/>
        <w:numPr>
          <w:ilvl w:val="0"/>
          <w:numId w:val="13"/>
        </w:numPr>
        <w:spacing w:before="240" w:after="80"/>
      </w:pPr>
      <w:bookmarkStart w:id="17" w:name="_S509"/>
      <w:bookmarkStart w:id="18" w:name="_Toc237817428"/>
      <w:r>
        <w:t>Recovery and Afterwards</w:t>
      </w:r>
      <w:bookmarkEnd w:id="17"/>
      <w:bookmarkEnd w:id="18"/>
    </w:p>
    <w:p w14:paraId="7CD71AE9" w14:textId="77777777" w:rsidR="00A15BF7" w:rsidRDefault="00000000">
      <w:pPr>
        <w:pStyle w:val="Emphasis-Normal"/>
        <w:numPr>
          <w:ilvl w:val="0"/>
          <w:numId w:val="9"/>
        </w:numPr>
        <w:spacing w:after="120"/>
        <w:jc w:val="both"/>
      </w:pPr>
      <w:r>
        <w:rPr>
          <w:color w:val="404040" w:themeColor="text1" w:themeTint="BF"/>
        </w:rPr>
        <w:t xml:space="preserve">Systems are restored to a known-good state, credentials rotated, and the vector confirmed closed before an incident is called resolved. “It stopped happening” is not confirmation.  </w:t>
      </w:r>
      <w:r>
        <w:rPr>
          <w:rFonts w:ascii="Calibri Light" w:eastAsia="Calibri Light" w:hAnsi="Calibri Light" w:cs="Calibri Light"/>
          <w:color w:val="404040" w:themeColor="text1" w:themeTint="BF"/>
          <w:sz w:val="18"/>
        </w:rPr>
        <w:t>[SOC 2: CC7.5]</w:t>
      </w:r>
    </w:p>
    <w:p w14:paraId="63305A99" w14:textId="77777777" w:rsidR="00A15BF7" w:rsidRDefault="00000000">
      <w:pPr>
        <w:pStyle w:val="Emphasis-Normal"/>
        <w:numPr>
          <w:ilvl w:val="0"/>
          <w:numId w:val="9"/>
        </w:numPr>
        <w:spacing w:after="120"/>
        <w:jc w:val="both"/>
      </w:pPr>
      <w:r>
        <w:rPr>
          <w:color w:val="404040" w:themeColor="text1" w:themeTint="BF"/>
        </w:rPr>
        <w:t xml:space="preserve">A post-incident review is held for every incident at Severity Two or above, and for any incident that reached a client whatever its severity. It covers what happened, what was done, what worked, and what changes follow.  </w:t>
      </w:r>
      <w:r>
        <w:rPr>
          <w:rFonts w:ascii="Calibri Light" w:eastAsia="Calibri Light" w:hAnsi="Calibri Light" w:cs="Calibri Light"/>
          <w:color w:val="404040" w:themeColor="text1" w:themeTint="BF"/>
          <w:sz w:val="18"/>
        </w:rPr>
        <w:t>[SOC 2: CC7.5]</w:t>
      </w:r>
    </w:p>
    <w:p w14:paraId="51108675" w14:textId="77777777" w:rsidR="00A15BF7" w:rsidRDefault="00000000">
      <w:pPr>
        <w:pStyle w:val="Emphasis-Normal"/>
        <w:numPr>
          <w:ilvl w:val="0"/>
          <w:numId w:val="9"/>
        </w:numPr>
        <w:spacing w:after="120"/>
        <w:jc w:val="both"/>
      </w:pPr>
      <w:r>
        <w:rPr>
          <w:color w:val="404040" w:themeColor="text1" w:themeTint="BF"/>
        </w:rPr>
        <w:t xml:space="preserve">Corrective actions from an incident are recorded in the plan of action maintained under the Information Security Policy, which is the Company's single deficiency population. This Policy </w:t>
      </w:r>
      <w:r>
        <w:rPr>
          <w:color w:val="404040" w:themeColor="text1" w:themeTint="BF"/>
        </w:rPr>
        <w:lastRenderedPageBreak/>
        <w:t xml:space="preserve">keeps no separate corrective action list — two lists diverge, and the one an auditor </w:t>
      </w:r>
      <w:proofErr w:type="gramStart"/>
      <w:r>
        <w:rPr>
          <w:color w:val="404040" w:themeColor="text1" w:themeTint="BF"/>
        </w:rPr>
        <w:t>samples</w:t>
      </w:r>
      <w:proofErr w:type="gramEnd"/>
      <w:r>
        <w:rPr>
          <w:color w:val="404040" w:themeColor="text1" w:themeTint="BF"/>
        </w:rPr>
        <w:t xml:space="preserve"> is always the other one.  </w:t>
      </w:r>
      <w:r>
        <w:rPr>
          <w:rFonts w:ascii="Calibri Light" w:eastAsia="Calibri Light" w:hAnsi="Calibri Light" w:cs="Calibri Light"/>
          <w:color w:val="404040" w:themeColor="text1" w:themeTint="BF"/>
          <w:sz w:val="18"/>
        </w:rPr>
        <w:t>[SOC 2: CC7.5, CC4.2]</w:t>
      </w:r>
    </w:p>
    <w:p w14:paraId="02031F68" w14:textId="77777777" w:rsidR="00A15BF7" w:rsidRDefault="00000000">
      <w:pPr>
        <w:pStyle w:val="Emphasis-Normal"/>
        <w:numPr>
          <w:ilvl w:val="0"/>
          <w:numId w:val="9"/>
        </w:numPr>
        <w:spacing w:after="120"/>
        <w:jc w:val="both"/>
      </w:pPr>
      <w:r>
        <w:rPr>
          <w:color w:val="404040" w:themeColor="text1" w:themeTint="BF"/>
        </w:rPr>
        <w:t xml:space="preserve">Themes across incidents are looked at once a year rather than incident by incident, and a recurring cause is escalated as a deficiency rather than fixed again.  </w:t>
      </w:r>
      <w:r>
        <w:rPr>
          <w:rFonts w:ascii="Calibri Light" w:eastAsia="Calibri Light" w:hAnsi="Calibri Light" w:cs="Calibri Light"/>
          <w:color w:val="404040" w:themeColor="text1" w:themeTint="BF"/>
          <w:sz w:val="18"/>
        </w:rPr>
        <w:t>[SOC 2: CC7.5, CC4.2]</w:t>
      </w:r>
    </w:p>
    <w:p w14:paraId="4CD897A5" w14:textId="77777777" w:rsidR="00A15BF7" w:rsidRDefault="00000000">
      <w:pPr>
        <w:pStyle w:val="Heading1"/>
        <w:keepNext/>
        <w:numPr>
          <w:ilvl w:val="0"/>
          <w:numId w:val="13"/>
        </w:numPr>
        <w:spacing w:before="240" w:after="80"/>
      </w:pPr>
      <w:bookmarkStart w:id="19" w:name="_S510"/>
      <w:bookmarkStart w:id="20" w:name="_Toc237817429"/>
      <w:r>
        <w:t>Exercising the Plan</w:t>
      </w:r>
      <w:bookmarkEnd w:id="19"/>
      <w:bookmarkEnd w:id="20"/>
    </w:p>
    <w:p w14:paraId="2C3E7DFF" w14:textId="77777777" w:rsidR="00A15BF7" w:rsidRDefault="00000000">
      <w:pPr>
        <w:pStyle w:val="Emphasis-Normal"/>
        <w:numPr>
          <w:ilvl w:val="0"/>
          <w:numId w:val="10"/>
        </w:numPr>
        <w:spacing w:after="120"/>
        <w:jc w:val="both"/>
      </w:pPr>
      <w:r>
        <w:rPr>
          <w:color w:val="404040" w:themeColor="text1" w:themeTint="BF"/>
        </w:rPr>
        <w:t xml:space="preserve">The plan is exercised once a year through a tabletop. The exercise confirms the contact list is current, the notification matrix is reachable, and the named external parties still answer.  </w:t>
      </w:r>
      <w:r>
        <w:rPr>
          <w:rFonts w:ascii="Calibri Light" w:eastAsia="Calibri Light" w:hAnsi="Calibri Light" w:cs="Calibri Light"/>
          <w:color w:val="404040" w:themeColor="text1" w:themeTint="BF"/>
          <w:sz w:val="18"/>
        </w:rPr>
        <w:t>[SOC 2: CC7.5]</w:t>
      </w:r>
    </w:p>
    <w:p w14:paraId="74745D13" w14:textId="77777777" w:rsidR="00A15BF7" w:rsidRDefault="00000000">
      <w:pPr>
        <w:pStyle w:val="Emphasis-Normal"/>
        <w:numPr>
          <w:ilvl w:val="0"/>
          <w:numId w:val="10"/>
        </w:numPr>
        <w:spacing w:after="120"/>
        <w:jc w:val="both"/>
      </w:pPr>
      <w:r>
        <w:rPr>
          <w:color w:val="404040" w:themeColor="text1" w:themeTint="BF"/>
        </w:rPr>
        <w:t xml:space="preserve">An hour and a written record </w:t>
      </w:r>
      <w:proofErr w:type="gramStart"/>
      <w:r>
        <w:rPr>
          <w:color w:val="404040" w:themeColor="text1" w:themeTint="BF"/>
        </w:rPr>
        <w:t>is</w:t>
      </w:r>
      <w:proofErr w:type="gramEnd"/>
      <w:r>
        <w:rPr>
          <w:color w:val="404040" w:themeColor="text1" w:themeTint="BF"/>
        </w:rPr>
        <w:t xml:space="preserve"> sufficient. What the exercise is for is finding the phone number that no longer works, not rehearsing a script.  </w:t>
      </w:r>
      <w:r>
        <w:rPr>
          <w:rFonts w:ascii="Calibri Light" w:eastAsia="Calibri Light" w:hAnsi="Calibri Light" w:cs="Calibri Light"/>
          <w:color w:val="404040" w:themeColor="text1" w:themeTint="BF"/>
          <w:sz w:val="18"/>
        </w:rPr>
        <w:t>[SOC 2: CC7.5]</w:t>
      </w:r>
    </w:p>
    <w:p w14:paraId="2F23A002" w14:textId="77777777" w:rsidR="00A15BF7" w:rsidRDefault="00000000">
      <w:pPr>
        <w:pStyle w:val="Heading1"/>
        <w:keepNext/>
        <w:numPr>
          <w:ilvl w:val="0"/>
          <w:numId w:val="13"/>
        </w:numPr>
        <w:spacing w:before="240" w:after="80"/>
      </w:pPr>
      <w:bookmarkStart w:id="21" w:name="_S511"/>
      <w:bookmarkStart w:id="22" w:name="_Toc237817430"/>
      <w:r>
        <w:t>Records</w:t>
      </w:r>
      <w:bookmarkEnd w:id="21"/>
      <w:bookmarkEnd w:id="22"/>
    </w:p>
    <w:p w14:paraId="04BE3B2E" w14:textId="77777777" w:rsidR="00A15BF7" w:rsidRDefault="00000000">
      <w:pPr>
        <w:pStyle w:val="Emphasis-Normal"/>
        <w:numPr>
          <w:ilvl w:val="0"/>
          <w:numId w:val="11"/>
        </w:numPr>
        <w:spacing w:after="120"/>
        <w:jc w:val="both"/>
      </w:pPr>
      <w:r>
        <w:rPr>
          <w:color w:val="404040" w:themeColor="text1" w:themeTint="BF"/>
        </w:rPr>
        <w:t xml:space="preserve">The event population for the period, including events closed as non-incidents.  </w:t>
      </w:r>
      <w:r>
        <w:rPr>
          <w:rFonts w:ascii="Calibri Light" w:eastAsia="Calibri Light" w:hAnsi="Calibri Light" w:cs="Calibri Light"/>
          <w:color w:val="404040" w:themeColor="text1" w:themeTint="BF"/>
          <w:sz w:val="18"/>
        </w:rPr>
        <w:t>[SOC 2: CC7.3]</w:t>
      </w:r>
    </w:p>
    <w:p w14:paraId="10F10E02" w14:textId="77777777" w:rsidR="00A15BF7" w:rsidRDefault="00000000">
      <w:pPr>
        <w:pStyle w:val="Emphasis-Normal"/>
        <w:numPr>
          <w:ilvl w:val="0"/>
          <w:numId w:val="11"/>
        </w:numPr>
        <w:spacing w:after="120"/>
        <w:jc w:val="both"/>
      </w:pPr>
      <w:r>
        <w:rPr>
          <w:color w:val="404040" w:themeColor="text1" w:themeTint="BF"/>
        </w:rPr>
        <w:t xml:space="preserve">Incident records with timelines, containment actions and severity history.  </w:t>
      </w:r>
      <w:r>
        <w:rPr>
          <w:rFonts w:ascii="Calibri Light" w:eastAsia="Calibri Light" w:hAnsi="Calibri Light" w:cs="Calibri Light"/>
          <w:color w:val="404040" w:themeColor="text1" w:themeTint="BF"/>
          <w:sz w:val="18"/>
        </w:rPr>
        <w:t>[SOC 2: CC7.4]</w:t>
      </w:r>
    </w:p>
    <w:p w14:paraId="0AB32258" w14:textId="77777777" w:rsidR="00A15BF7" w:rsidRDefault="00000000">
      <w:pPr>
        <w:pStyle w:val="Emphasis-Normal"/>
        <w:numPr>
          <w:ilvl w:val="0"/>
          <w:numId w:val="11"/>
        </w:numPr>
        <w:spacing w:after="120"/>
        <w:jc w:val="both"/>
      </w:pPr>
      <w:r>
        <w:rPr>
          <w:color w:val="404040" w:themeColor="text1" w:themeTint="BF"/>
        </w:rPr>
        <w:t xml:space="preserve">Notification decisions with basis and timing, </w:t>
      </w:r>
      <w:proofErr w:type="gramStart"/>
      <w:r>
        <w:rPr>
          <w:color w:val="404040" w:themeColor="text1" w:themeTint="BF"/>
        </w:rPr>
        <w:t>whether or not</w:t>
      </w:r>
      <w:proofErr w:type="gramEnd"/>
      <w:r>
        <w:rPr>
          <w:color w:val="404040" w:themeColor="text1" w:themeTint="BF"/>
        </w:rPr>
        <w:t xml:space="preserve"> notification followed.  </w:t>
      </w:r>
      <w:r>
        <w:rPr>
          <w:rFonts w:ascii="Calibri Light" w:eastAsia="Calibri Light" w:hAnsi="Calibri Light" w:cs="Calibri Light"/>
          <w:color w:val="404040" w:themeColor="text1" w:themeTint="BF"/>
          <w:sz w:val="18"/>
        </w:rPr>
        <w:t>[SOC 2: CC2.3]</w:t>
      </w:r>
    </w:p>
    <w:p w14:paraId="1539459D" w14:textId="77777777" w:rsidR="00A15BF7" w:rsidRDefault="00000000">
      <w:pPr>
        <w:pStyle w:val="Emphasis-Normal"/>
        <w:numPr>
          <w:ilvl w:val="0"/>
          <w:numId w:val="11"/>
        </w:numPr>
        <w:spacing w:after="120"/>
        <w:jc w:val="both"/>
      </w:pPr>
      <w:r>
        <w:rPr>
          <w:color w:val="404040" w:themeColor="text1" w:themeTint="BF"/>
        </w:rPr>
        <w:t xml:space="preserve">Post-incident reviews, and corrective actions carried in the plan of action.  </w:t>
      </w:r>
      <w:r>
        <w:rPr>
          <w:rFonts w:ascii="Calibri Light" w:eastAsia="Calibri Light" w:hAnsi="Calibri Light" w:cs="Calibri Light"/>
          <w:color w:val="404040" w:themeColor="text1" w:themeTint="BF"/>
          <w:sz w:val="18"/>
        </w:rPr>
        <w:t>[SOC 2: CC7.5]</w:t>
      </w:r>
    </w:p>
    <w:p w14:paraId="513061FD" w14:textId="77777777" w:rsidR="00A15BF7" w:rsidRDefault="00000000">
      <w:pPr>
        <w:pStyle w:val="Emphasis-Normal"/>
        <w:numPr>
          <w:ilvl w:val="0"/>
          <w:numId w:val="11"/>
        </w:numPr>
        <w:spacing w:after="120"/>
        <w:jc w:val="both"/>
      </w:pPr>
      <w:r>
        <w:rPr>
          <w:color w:val="404040" w:themeColor="text1" w:themeTint="BF"/>
        </w:rPr>
        <w:t xml:space="preserve">The annual tabletop record and the current contact list.  </w:t>
      </w:r>
      <w:r>
        <w:rPr>
          <w:rFonts w:ascii="Calibri Light" w:eastAsia="Calibri Light" w:hAnsi="Calibri Light" w:cs="Calibri Light"/>
          <w:color w:val="404040" w:themeColor="text1" w:themeTint="BF"/>
          <w:sz w:val="18"/>
        </w:rPr>
        <w:t>[SOC 2: CC7.5]</w:t>
      </w:r>
    </w:p>
    <w:p w14:paraId="482C0B77" w14:textId="77777777" w:rsidR="00A15BF7" w:rsidRDefault="00000000">
      <w:pPr>
        <w:pStyle w:val="Heading1"/>
        <w:keepNext/>
        <w:numPr>
          <w:ilvl w:val="0"/>
          <w:numId w:val="13"/>
        </w:numPr>
        <w:spacing w:before="240" w:after="80"/>
      </w:pPr>
      <w:bookmarkStart w:id="23" w:name="_S512"/>
      <w:bookmarkStart w:id="24" w:name="_Toc237817431"/>
      <w:r>
        <w:t>Exceptions</w:t>
      </w:r>
      <w:bookmarkEnd w:id="23"/>
      <w:bookmarkEnd w:id="24"/>
    </w:p>
    <w:p w14:paraId="5CC0A4ED" w14:textId="77777777" w:rsidR="00A15BF7" w:rsidRDefault="00000000">
      <w:pPr>
        <w:pStyle w:val="BodyText9"/>
        <w:spacing w:after="120"/>
        <w:jc w:val="both"/>
      </w:pPr>
      <w:r>
        <w:rPr>
          <w:color w:val="404040" w:themeColor="text1" w:themeTint="BF"/>
        </w:rPr>
        <w:t>Where a requirement of this Policy cannot be met during an incident, the departure is recorded in the incident record with the reason, rather than raised as an exception afterwards. Standing exceptions are recorded by the Accountable Party with a review date.</w:t>
      </w:r>
    </w:p>
    <w:p w14:paraId="658409FD" w14:textId="77777777" w:rsidR="00A15BF7" w:rsidRDefault="00000000">
      <w:pPr>
        <w:pStyle w:val="Heading1"/>
        <w:keepNext/>
        <w:numPr>
          <w:ilvl w:val="0"/>
          <w:numId w:val="13"/>
        </w:numPr>
        <w:spacing w:before="240" w:after="80"/>
      </w:pPr>
      <w:bookmarkStart w:id="25" w:name="_S513"/>
      <w:bookmarkStart w:id="26" w:name="_Toc237817432"/>
      <w:r>
        <w:t>Reference</w:t>
      </w:r>
      <w:bookmarkEnd w:id="25"/>
      <w:bookmarkEnd w:id="26"/>
    </w:p>
    <w:p w14:paraId="15800C59" w14:textId="7787C907" w:rsidR="00A15BF7" w:rsidRDefault="00000000">
      <w:pPr>
        <w:pStyle w:val="Emphasis-Normal"/>
        <w:numPr>
          <w:ilvl w:val="0"/>
          <w:numId w:val="12"/>
        </w:numPr>
        <w:spacing w:after="120"/>
        <w:jc w:val="both"/>
      </w:pPr>
      <w:r>
        <w:rPr>
          <w:color w:val="404040" w:themeColor="text1" w:themeTint="BF"/>
        </w:rPr>
        <w:t xml:space="preserve">SOC 2 Trust Services Criteria, Security </w:t>
      </w:r>
      <w:r w:rsidR="0097081B">
        <w:rPr>
          <w:color w:val="404040" w:themeColor="text1" w:themeTint="BF"/>
        </w:rPr>
        <w:t>category [</w:t>
      </w:r>
      <w:r>
        <w:rPr>
          <w:rFonts w:ascii="Calibri Light" w:eastAsia="Calibri Light" w:hAnsi="Calibri Light" w:cs="Calibri Light"/>
          <w:color w:val="404040" w:themeColor="text1" w:themeTint="BF"/>
          <w:sz w:val="18"/>
        </w:rPr>
        <w:t>CC2.2, CC2.3, CC7.3, CC7.4, CC7.5]</w:t>
      </w:r>
    </w:p>
    <w:p w14:paraId="6C667936" w14:textId="3F8EC9E2" w:rsidR="00A15BF7" w:rsidRDefault="00000000">
      <w:pPr>
        <w:pStyle w:val="Emphasis-Normal"/>
        <w:numPr>
          <w:ilvl w:val="0"/>
          <w:numId w:val="12"/>
        </w:numPr>
        <w:spacing w:after="120"/>
        <w:jc w:val="both"/>
      </w:pPr>
      <w:r>
        <w:rPr>
          <w:color w:val="404040" w:themeColor="text1" w:themeTint="BF"/>
        </w:rPr>
        <w:t xml:space="preserve">POL-ISP-001 Information Security </w:t>
      </w:r>
      <w:r w:rsidR="0097081B">
        <w:rPr>
          <w:color w:val="404040" w:themeColor="text1" w:themeTint="BF"/>
        </w:rPr>
        <w:t>Policy [</w:t>
      </w:r>
      <w:r>
        <w:rPr>
          <w:rFonts w:ascii="Calibri Light" w:eastAsia="Calibri Light" w:hAnsi="Calibri Light" w:cs="Calibri Light"/>
          <w:color w:val="404040" w:themeColor="text1" w:themeTint="BF"/>
          <w:sz w:val="18"/>
        </w:rPr>
        <w:t>SOC 2: CC4.2]</w:t>
      </w:r>
    </w:p>
    <w:p w14:paraId="32450660" w14:textId="0B37C241" w:rsidR="00A15BF7" w:rsidRDefault="00000000">
      <w:pPr>
        <w:pStyle w:val="Emphasis-Normal"/>
        <w:numPr>
          <w:ilvl w:val="0"/>
          <w:numId w:val="12"/>
        </w:numPr>
        <w:spacing w:after="120"/>
        <w:jc w:val="both"/>
      </w:pPr>
      <w:r>
        <w:rPr>
          <w:color w:val="404040" w:themeColor="text1" w:themeTint="BF"/>
        </w:rPr>
        <w:t xml:space="preserve">POL-LOG-001 Logging and Monitoring </w:t>
      </w:r>
      <w:r w:rsidR="0097081B">
        <w:rPr>
          <w:color w:val="404040" w:themeColor="text1" w:themeTint="BF"/>
        </w:rPr>
        <w:t>Policy [</w:t>
      </w:r>
      <w:r>
        <w:rPr>
          <w:rFonts w:ascii="Calibri Light" w:eastAsia="Calibri Light" w:hAnsi="Calibri Light" w:cs="Calibri Light"/>
          <w:color w:val="404040" w:themeColor="text1" w:themeTint="BF"/>
          <w:sz w:val="18"/>
        </w:rPr>
        <w:t>SOC 2: CC7.2]</w:t>
      </w:r>
    </w:p>
    <w:p w14:paraId="1D127129" w14:textId="5AA39FE0" w:rsidR="00A15BF7" w:rsidRDefault="00000000">
      <w:pPr>
        <w:pStyle w:val="Emphasis-Normal"/>
        <w:numPr>
          <w:ilvl w:val="0"/>
          <w:numId w:val="12"/>
        </w:numPr>
        <w:spacing w:after="120"/>
        <w:jc w:val="both"/>
      </w:pPr>
      <w:r>
        <w:rPr>
          <w:color w:val="404040" w:themeColor="text1" w:themeTint="BF"/>
        </w:rPr>
        <w:t xml:space="preserve">POL-AI-001 Artificial Intelligence Governance </w:t>
      </w:r>
      <w:r w:rsidR="0097081B">
        <w:rPr>
          <w:color w:val="404040" w:themeColor="text1" w:themeTint="BF"/>
        </w:rPr>
        <w:t>Policy [</w:t>
      </w:r>
      <w:r>
        <w:rPr>
          <w:rFonts w:ascii="Calibri Light" w:eastAsia="Calibri Light" w:hAnsi="Calibri Light" w:cs="Calibri Light"/>
          <w:color w:val="404040" w:themeColor="text1" w:themeTint="BF"/>
          <w:sz w:val="18"/>
        </w:rPr>
        <w:t>SOC 2: CC7.3]</w:t>
      </w:r>
    </w:p>
    <w:p w14:paraId="678BF507" w14:textId="2D6CBC24" w:rsidR="00A15BF7" w:rsidRDefault="00000000">
      <w:pPr>
        <w:pStyle w:val="Emphasis-Normal"/>
        <w:numPr>
          <w:ilvl w:val="0"/>
          <w:numId w:val="12"/>
        </w:numPr>
        <w:spacing w:after="120"/>
        <w:jc w:val="both"/>
      </w:pPr>
      <w:r>
        <w:rPr>
          <w:color w:val="404040" w:themeColor="text1" w:themeTint="BF"/>
        </w:rPr>
        <w:t xml:space="preserve">POL-COC-001 Code of </w:t>
      </w:r>
      <w:r w:rsidR="0097081B">
        <w:rPr>
          <w:color w:val="404040" w:themeColor="text1" w:themeTint="BF"/>
        </w:rPr>
        <w:t>Conduct [</w:t>
      </w:r>
      <w:r>
        <w:rPr>
          <w:rFonts w:ascii="Calibri Light" w:eastAsia="Calibri Light" w:hAnsi="Calibri Light" w:cs="Calibri Light"/>
          <w:color w:val="404040" w:themeColor="text1" w:themeTint="BF"/>
          <w:sz w:val="18"/>
        </w:rPr>
        <w:t>SOC 2: CC2.2]</w:t>
      </w:r>
    </w:p>
    <w:p w14:paraId="7F440427" w14:textId="2AAD0815" w:rsidR="00A15BF7" w:rsidRDefault="00000000">
      <w:pPr>
        <w:pStyle w:val="Emphasis-Normal"/>
        <w:numPr>
          <w:ilvl w:val="0"/>
          <w:numId w:val="12"/>
        </w:numPr>
        <w:spacing w:after="120"/>
        <w:jc w:val="both"/>
      </w:pPr>
      <w:r>
        <w:rPr>
          <w:color w:val="404040" w:themeColor="text1" w:themeTint="BF"/>
        </w:rPr>
        <w:t xml:space="preserve">POL-BCP-001 Business Continuity </w:t>
      </w:r>
      <w:r w:rsidR="0097081B">
        <w:rPr>
          <w:color w:val="404040" w:themeColor="text1" w:themeTint="BF"/>
        </w:rPr>
        <w:t>Policy [</w:t>
      </w:r>
      <w:r>
        <w:rPr>
          <w:rFonts w:ascii="Calibri Light" w:eastAsia="Calibri Light" w:hAnsi="Calibri Light" w:cs="Calibri Light"/>
          <w:color w:val="404040" w:themeColor="text1" w:themeTint="BF"/>
          <w:sz w:val="18"/>
        </w:rPr>
        <w:t>SOC 2: CC9.1]</w:t>
      </w:r>
    </w:p>
    <w:p w14:paraId="6F603A9C" w14:textId="77777777" w:rsidR="00A15BF7" w:rsidRDefault="00000000">
      <w:pPr>
        <w:pStyle w:val="Emphasis-Normal"/>
        <w:numPr>
          <w:ilvl w:val="0"/>
          <w:numId w:val="12"/>
        </w:numPr>
        <w:spacing w:after="120"/>
        <w:jc w:val="both"/>
      </w:pPr>
      <w:r>
        <w:rPr>
          <w:color w:val="404040" w:themeColor="text1" w:themeTint="BF"/>
        </w:rPr>
        <w:t>HIPAA Security Rule, 45 CFR §164.308(a)(6)</w:t>
      </w:r>
    </w:p>
    <w:p w14:paraId="59B568D5" w14:textId="77777777" w:rsidR="00A15BF7" w:rsidRDefault="00000000">
      <w:pPr>
        <w:pStyle w:val="Emphasis-Normal"/>
        <w:numPr>
          <w:ilvl w:val="0"/>
          <w:numId w:val="12"/>
        </w:numPr>
        <w:spacing w:after="120"/>
        <w:jc w:val="both"/>
      </w:pPr>
      <w:r>
        <w:rPr>
          <w:color w:val="404040" w:themeColor="text1" w:themeTint="BF"/>
        </w:rPr>
        <w:t>EU General Data Protection Regulation, Articles 33 and 34</w:t>
      </w:r>
    </w:p>
    <w:p w14:paraId="1F839E74" w14:textId="77777777" w:rsidR="00A15BF7" w:rsidRDefault="00000000" w:rsidP="0097081B">
      <w:pPr>
        <w:pStyle w:val="Heading1"/>
      </w:pPr>
      <w:bookmarkStart w:id="27" w:name="_Toc236674048"/>
      <w:bookmarkStart w:id="28" w:name="_Toc237817433"/>
      <w:r>
        <w:t>Document Policy History</w:t>
      </w:r>
      <w:bookmarkEnd w:id="27"/>
      <w:bookmarkEnd w:id="28"/>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A15BF7" w14:paraId="400DA049"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17629146" w14:textId="77777777" w:rsidR="00A15BF7" w:rsidRDefault="00000000">
            <w:pPr>
              <w:suppressLineNumbers/>
              <w:spacing w:before="40" w:after="40" w:line="240" w:lineRule="auto"/>
            </w:pPr>
            <w:r>
              <w:rPr>
                <w:b/>
                <w:sz w:val="20"/>
              </w:rPr>
              <w:lastRenderedPageBreak/>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3B6BE8B2" w14:textId="77777777" w:rsidR="00A15BF7"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35CACC55" w14:textId="77777777" w:rsidR="00A15BF7" w:rsidRDefault="00000000">
            <w:pPr>
              <w:suppressLineNumbers/>
              <w:spacing w:before="40" w:after="40" w:line="240" w:lineRule="auto"/>
            </w:pPr>
            <w:r>
              <w:rPr>
                <w:b/>
                <w:sz w:val="20"/>
              </w:rPr>
              <w:t>Description</w:t>
            </w:r>
          </w:p>
        </w:tc>
      </w:tr>
      <w:tr w:rsidR="00A15BF7" w14:paraId="02DC4A26"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65CAEE54" w14:textId="77777777" w:rsidR="00A15BF7"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3525F63E" w14:textId="77777777" w:rsidR="00A15BF7"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C646751" w14:textId="77777777" w:rsidR="00A15BF7" w:rsidRDefault="00000000">
            <w:pPr>
              <w:suppressLineNumbers/>
              <w:spacing w:before="40" w:after="40" w:line="240" w:lineRule="auto"/>
            </w:pPr>
            <w:r>
              <w:rPr>
                <w:sz w:val="20"/>
              </w:rPr>
              <w:t>Initial policy release</w:t>
            </w:r>
          </w:p>
        </w:tc>
      </w:tr>
    </w:tbl>
    <w:p w14:paraId="58153E5D" w14:textId="77777777" w:rsidR="00A15BF7" w:rsidRDefault="00A15BF7"/>
    <w:sectPr w:rsidR="00A15BF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4BA8DB" w14:textId="77777777" w:rsidR="009B5441" w:rsidRDefault="009B5441">
      <w:pPr>
        <w:spacing w:after="0" w:line="240" w:lineRule="auto"/>
      </w:pPr>
      <w:r>
        <w:separator/>
      </w:r>
    </w:p>
  </w:endnote>
  <w:endnote w:type="continuationSeparator" w:id="0">
    <w:p w14:paraId="5FD6FB72" w14:textId="77777777" w:rsidR="009B5441" w:rsidRDefault="009B5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65137" w14:textId="77777777" w:rsidR="00A15BF7" w:rsidRDefault="00A15B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890CA" w14:textId="77777777" w:rsidR="00A15BF7" w:rsidRDefault="00000000">
    <w:pPr>
      <w:suppressLineNumbers/>
      <w:pBdr>
        <w:top w:val="single" w:sz="6" w:space="4" w:color="1B4965"/>
      </w:pBdr>
      <w:spacing w:before="160" w:after="0"/>
      <w:jc w:val="center"/>
    </w:pPr>
    <w:r>
      <w:rPr>
        <w:sz w:val="17"/>
      </w:rPr>
      <w:t xml:space="preserve">PromptHalo Technologies   ·   Internal   ·   POL-IRP-001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14D10" w14:textId="77777777" w:rsidR="00A15BF7" w:rsidRDefault="00A15BF7">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29131" w14:textId="77777777" w:rsidR="00A15BF7" w:rsidRDefault="00A15B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BAE06" w14:textId="77777777" w:rsidR="00A15BF7" w:rsidRDefault="00000000">
    <w:pPr>
      <w:suppressLineNumbers/>
      <w:pBdr>
        <w:top w:val="single" w:sz="6" w:space="4" w:color="1B4965"/>
      </w:pBdr>
      <w:spacing w:before="160" w:after="0"/>
      <w:jc w:val="center"/>
    </w:pPr>
    <w:r>
      <w:rPr>
        <w:sz w:val="17"/>
      </w:rPr>
      <w:t xml:space="preserve">PromptHalo Technologies   ·   Internal   ·   POL-IRP-001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2193B1" w14:textId="77777777" w:rsidR="00A15BF7" w:rsidRDefault="00A15BF7">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67E2A5" w14:textId="77777777" w:rsidR="009B5441" w:rsidRDefault="009B5441">
      <w:pPr>
        <w:spacing w:after="0" w:line="240" w:lineRule="auto"/>
      </w:pPr>
      <w:r>
        <w:separator/>
      </w:r>
    </w:p>
  </w:footnote>
  <w:footnote w:type="continuationSeparator" w:id="0">
    <w:p w14:paraId="37F7D4F0" w14:textId="77777777" w:rsidR="009B5441" w:rsidRDefault="009B5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0E648" w14:textId="77777777" w:rsidR="00A15BF7" w:rsidRDefault="00A15B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E7D33" w14:textId="77777777" w:rsidR="00A15BF7" w:rsidRDefault="00000000">
    <w:pPr>
      <w:suppressLineNumbers/>
      <w:pBdr>
        <w:bottom w:val="single" w:sz="6" w:space="4" w:color="1B4965"/>
      </w:pBdr>
      <w:spacing w:after="160"/>
      <w:jc w:val="center"/>
    </w:pPr>
    <w:r>
      <w:rPr>
        <w:b/>
        <w:caps/>
        <w:spacing w:val="12"/>
        <w:sz w:val="17"/>
      </w:rPr>
      <w:t>INCIDENT RESPONSE POLICY   ·   INTERNAL   ·   POL-IRP-001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0C405" w14:textId="77777777" w:rsidR="00A15BF7" w:rsidRDefault="00A15BF7">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1BA0F" w14:textId="77777777" w:rsidR="00A15BF7" w:rsidRDefault="00A15B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5946C9" w14:textId="77777777" w:rsidR="00A15BF7" w:rsidRDefault="00000000">
    <w:pPr>
      <w:suppressLineNumbers/>
      <w:pBdr>
        <w:bottom w:val="single" w:sz="6" w:space="4" w:color="1B4965"/>
      </w:pBdr>
      <w:spacing w:after="160"/>
      <w:jc w:val="center"/>
    </w:pPr>
    <w:r>
      <w:rPr>
        <w:b/>
        <w:caps/>
        <w:spacing w:val="12"/>
        <w:sz w:val="17"/>
      </w:rPr>
      <w:t>INCIDENT RESPONSE POLICY   ·   INTERNAL   ·   POL-IRP-001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482A1" w14:textId="77777777" w:rsidR="00A15BF7" w:rsidRDefault="00A15BF7">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E5646"/>
    <w:multiLevelType w:val="multilevel"/>
    <w:tmpl w:val="E8746BE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5662184"/>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61B47EB"/>
    <w:multiLevelType w:val="multilevel"/>
    <w:tmpl w:val="80FCA3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41064594">
    <w:abstractNumId w:val="0"/>
  </w:num>
  <w:num w:numId="2" w16cid:durableId="2130660193">
    <w:abstractNumId w:val="1"/>
  </w:num>
  <w:num w:numId="3" w16cid:durableId="163328234">
    <w:abstractNumId w:val="2"/>
    <w:lvlOverride w:ilvl="0">
      <w:startOverride w:val="1"/>
    </w:lvlOverride>
  </w:num>
  <w:num w:numId="4" w16cid:durableId="1287542146">
    <w:abstractNumId w:val="2"/>
    <w:lvlOverride w:ilvl="0">
      <w:startOverride w:val="1"/>
    </w:lvlOverride>
  </w:num>
  <w:num w:numId="5" w16cid:durableId="1151363116">
    <w:abstractNumId w:val="2"/>
    <w:lvlOverride w:ilvl="0">
      <w:startOverride w:val="1"/>
    </w:lvlOverride>
  </w:num>
  <w:num w:numId="6" w16cid:durableId="261575140">
    <w:abstractNumId w:val="2"/>
    <w:lvlOverride w:ilvl="0">
      <w:startOverride w:val="1"/>
    </w:lvlOverride>
  </w:num>
  <w:num w:numId="7" w16cid:durableId="638345971">
    <w:abstractNumId w:val="2"/>
    <w:lvlOverride w:ilvl="0">
      <w:startOverride w:val="1"/>
    </w:lvlOverride>
  </w:num>
  <w:num w:numId="8" w16cid:durableId="596140138">
    <w:abstractNumId w:val="2"/>
    <w:lvlOverride w:ilvl="0">
      <w:startOverride w:val="1"/>
    </w:lvlOverride>
  </w:num>
  <w:num w:numId="9" w16cid:durableId="1329407632">
    <w:abstractNumId w:val="2"/>
    <w:lvlOverride w:ilvl="0">
      <w:startOverride w:val="1"/>
    </w:lvlOverride>
  </w:num>
  <w:num w:numId="10" w16cid:durableId="2079547683">
    <w:abstractNumId w:val="2"/>
    <w:lvlOverride w:ilvl="0">
      <w:startOverride w:val="1"/>
    </w:lvlOverride>
  </w:num>
  <w:num w:numId="11" w16cid:durableId="209346788">
    <w:abstractNumId w:val="2"/>
    <w:lvlOverride w:ilvl="0">
      <w:startOverride w:val="1"/>
    </w:lvlOverride>
  </w:num>
  <w:num w:numId="12" w16cid:durableId="996492533">
    <w:abstractNumId w:val="2"/>
    <w:lvlOverride w:ilvl="0">
      <w:startOverride w:val="1"/>
    </w:lvlOverride>
  </w:num>
  <w:num w:numId="13" w16cid:durableId="382797209">
    <w:abstractNumId w:val="0"/>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BF7"/>
    <w:rsid w:val="0097081B"/>
    <w:rsid w:val="009B5441"/>
    <w:rsid w:val="00A15BF7"/>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80AEE32"/>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1864</Words>
  <Characters>10625</Characters>
  <Application>Microsoft Office Word</Application>
  <DocSecurity>0</DocSecurity>
  <Lines>88</Lines>
  <Paragraphs>24</Paragraphs>
  <ScaleCrop>false</ScaleCrop>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2026-08-17T04:03:00Z</cp:lastPrinted>
  <dcterms:created xsi:type="dcterms:W3CDTF">2026-08-17T04:03:00Z</dcterms:created>
  <dcterms:modified xsi:type="dcterms:W3CDTF">2026-08-17T04:04:00Z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