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8DE3A"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AA2228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913452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43508DCF" w14:textId="77777777" w:rsidR="00160DA2"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RISK MANAGEMENT POLICY</w:t>
      </w:r>
    </w:p>
    <w:p w14:paraId="045D1139"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16A7514"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6C1A2AAC" w14:textId="77777777" w:rsidR="00160DA2"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2E40158" w14:textId="77777777" w:rsidR="00160DA2"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401471BF" w14:textId="77777777" w:rsidR="00160DA2"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B5C91FD" w14:textId="77777777" w:rsidR="00160DA2" w:rsidRDefault="00160DA2">
      <w:pPr>
        <w:suppressLineNumbers/>
        <w:spacing w:after="40" w:line="240" w:lineRule="auto"/>
        <w:jc w:val="center"/>
      </w:pPr>
    </w:p>
    <w:p w14:paraId="59597C70" w14:textId="77777777" w:rsidR="00160DA2" w:rsidRDefault="00160DA2">
      <w:pPr>
        <w:suppressLineNumbers/>
        <w:spacing w:after="40" w:line="240" w:lineRule="auto"/>
        <w:jc w:val="center"/>
      </w:pPr>
    </w:p>
    <w:p w14:paraId="5907B352" w14:textId="77777777" w:rsidR="00160DA2" w:rsidRDefault="00160DA2">
      <w:pPr>
        <w:suppressLineNumbers/>
        <w:spacing w:after="40" w:line="240" w:lineRule="auto"/>
        <w:jc w:val="center"/>
      </w:pPr>
    </w:p>
    <w:p w14:paraId="17773A71" w14:textId="77777777" w:rsidR="00160DA2" w:rsidRDefault="00160DA2">
      <w:pPr>
        <w:suppressLineNumbers/>
        <w:spacing w:after="40" w:line="240" w:lineRule="auto"/>
        <w:jc w:val="center"/>
      </w:pPr>
    </w:p>
    <w:p w14:paraId="5409B8DF" w14:textId="77777777" w:rsidR="00160DA2" w:rsidRDefault="00160DA2">
      <w:pPr>
        <w:suppressLineNumbers/>
        <w:spacing w:after="40" w:line="240" w:lineRule="auto"/>
        <w:jc w:val="center"/>
      </w:pPr>
    </w:p>
    <w:p w14:paraId="14062938" w14:textId="77777777" w:rsidR="00160DA2" w:rsidRDefault="00000000">
      <w:pPr>
        <w:suppressLineNumbers/>
        <w:spacing w:after="40" w:line="240" w:lineRule="auto"/>
        <w:jc w:val="center"/>
      </w:pPr>
      <w:bookmarkStart w:id="0" w:name="EffectiveDate"/>
      <w:r>
        <w:rPr>
          <w:noProof/>
        </w:rPr>
        <w:drawing>
          <wp:inline distT="0" distB="0" distL="0" distR="0" wp14:anchorId="216F5775" wp14:editId="477AF1D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B67F387" w14:textId="77777777" w:rsidR="00160DA2"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160DA2" w14:paraId="2CD862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DF665FF" w14:textId="77777777" w:rsidR="00160DA2"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0B3CD51" w14:textId="77777777" w:rsidR="00160DA2" w:rsidRDefault="00000000">
            <w:pPr>
              <w:pStyle w:val="BodyText9"/>
              <w:suppressLineNumbers/>
              <w:spacing w:before="40" w:after="40" w:line="240" w:lineRule="auto"/>
            </w:pPr>
            <w:r>
              <w:rPr>
                <w:b/>
                <w:color w:val="404040" w:themeColor="text1" w:themeTint="BF"/>
                <w:sz w:val="20"/>
                <w:szCs w:val="20"/>
              </w:rPr>
              <w:t>Governance, Ethics, and Security</w:t>
            </w:r>
          </w:p>
        </w:tc>
      </w:tr>
      <w:tr w:rsidR="00160DA2" w14:paraId="1CBE95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4CC243" w14:textId="77777777" w:rsidR="00160DA2"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53CEA" w14:textId="77777777" w:rsidR="00160DA2" w:rsidRDefault="00000000">
            <w:pPr>
              <w:pStyle w:val="BodyText9"/>
              <w:suppressLineNumbers/>
              <w:spacing w:before="40" w:after="40" w:line="240" w:lineRule="auto"/>
            </w:pPr>
            <w:r>
              <w:rPr>
                <w:color w:val="404040" w:themeColor="text1" w:themeTint="BF"/>
                <w:sz w:val="20"/>
              </w:rPr>
              <w:t>Risk Management Policy</w:t>
            </w:r>
          </w:p>
        </w:tc>
      </w:tr>
      <w:tr w:rsidR="00160DA2" w14:paraId="17252C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85CD89" w14:textId="77777777" w:rsidR="00160DA2"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662AE878" w14:textId="77777777" w:rsidR="00160DA2" w:rsidRDefault="00000000">
            <w:pPr>
              <w:pStyle w:val="BodyText9"/>
              <w:suppressLineNumbers/>
              <w:spacing w:before="40" w:after="40" w:line="240" w:lineRule="auto"/>
            </w:pPr>
            <w:r>
              <w:rPr>
                <w:color w:val="404040" w:themeColor="text1" w:themeTint="BF"/>
                <w:sz w:val="20"/>
              </w:rPr>
              <w:t>POL-RSK-001</w:t>
            </w:r>
          </w:p>
        </w:tc>
      </w:tr>
      <w:tr w:rsidR="00160DA2" w14:paraId="53012F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25E322" w14:textId="77777777" w:rsidR="00160DA2"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0875629" w14:textId="77777777" w:rsidR="00160DA2" w:rsidRDefault="00000000">
            <w:pPr>
              <w:pStyle w:val="BodyText9"/>
              <w:suppressLineNumbers/>
              <w:spacing w:before="40" w:after="40" w:line="240" w:lineRule="auto"/>
            </w:pPr>
            <w:r>
              <w:rPr>
                <w:color w:val="404040" w:themeColor="text1" w:themeTint="BF"/>
                <w:sz w:val="20"/>
              </w:rPr>
              <w:t>1.0</w:t>
            </w:r>
          </w:p>
        </w:tc>
      </w:tr>
      <w:tr w:rsidR="00160DA2" w14:paraId="7D3E36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81411E" w14:textId="77777777" w:rsidR="00160DA2"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CABFE0E" w14:textId="77777777" w:rsidR="00160DA2" w:rsidRDefault="00000000">
            <w:pPr>
              <w:pStyle w:val="BodyText9"/>
              <w:suppressLineNumbers/>
              <w:spacing w:before="40" w:after="40" w:line="240" w:lineRule="auto"/>
            </w:pPr>
            <w:r>
              <w:rPr>
                <w:color w:val="404040" w:themeColor="text1" w:themeTint="BF"/>
                <w:sz w:val="20"/>
              </w:rPr>
              <w:t>August 18, 2026</w:t>
            </w:r>
          </w:p>
        </w:tc>
      </w:tr>
      <w:tr w:rsidR="00160DA2" w14:paraId="16745A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CFF122" w14:textId="77777777" w:rsidR="00160DA2"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26276CD" w14:textId="77777777" w:rsidR="00160DA2" w:rsidRDefault="00000000">
            <w:pPr>
              <w:pStyle w:val="BodyText9"/>
              <w:suppressLineNumbers/>
              <w:spacing w:before="40" w:after="40" w:line="240" w:lineRule="auto"/>
            </w:pPr>
            <w:r>
              <w:rPr>
                <w:color w:val="404040" w:themeColor="text1" w:themeTint="BF"/>
                <w:sz w:val="20"/>
              </w:rPr>
              <w:t>Information Security Steering Committee</w:t>
            </w:r>
          </w:p>
        </w:tc>
      </w:tr>
      <w:tr w:rsidR="00160DA2" w14:paraId="679F1B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D24399" w14:textId="77777777" w:rsidR="00160DA2"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7FFDB" w14:textId="77777777" w:rsidR="00160DA2" w:rsidRDefault="00000000">
            <w:pPr>
              <w:pStyle w:val="BodyText9"/>
              <w:suppressLineNumbers/>
              <w:spacing w:before="40" w:after="40" w:line="240" w:lineRule="auto"/>
            </w:pPr>
            <w:r>
              <w:rPr>
                <w:color w:val="404040" w:themeColor="text1" w:themeTint="BF"/>
                <w:sz w:val="20"/>
              </w:rPr>
              <w:t>August 18, 2026</w:t>
            </w:r>
          </w:p>
        </w:tc>
      </w:tr>
      <w:tr w:rsidR="00160DA2" w14:paraId="7ECB5A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F56847" w14:textId="77777777" w:rsidR="00160DA2"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AAE60FC" w14:textId="77777777" w:rsidR="00160DA2" w:rsidRDefault="00000000">
            <w:pPr>
              <w:pStyle w:val="BodyText9"/>
              <w:suppressLineNumbers/>
              <w:spacing w:before="40" w:after="40" w:line="240" w:lineRule="auto"/>
            </w:pPr>
            <w:r>
              <w:rPr>
                <w:color w:val="404040" w:themeColor="text1" w:themeTint="BF"/>
                <w:sz w:val="20"/>
              </w:rPr>
              <w:t>August 18, 2027</w:t>
            </w:r>
          </w:p>
        </w:tc>
      </w:tr>
      <w:tr w:rsidR="00160DA2" w14:paraId="3F3267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54CD29" w14:textId="77777777" w:rsidR="00160DA2"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24F81C7" w14:textId="77777777" w:rsidR="00160DA2" w:rsidRDefault="00000000">
            <w:pPr>
              <w:pStyle w:val="BodyText9"/>
              <w:suppressLineNumbers/>
              <w:spacing w:before="40" w:after="40" w:line="240" w:lineRule="auto"/>
            </w:pPr>
            <w:r>
              <w:rPr>
                <w:color w:val="404040" w:themeColor="text1" w:themeTint="BF"/>
                <w:sz w:val="20"/>
              </w:rPr>
              <w:t>Internal</w:t>
            </w:r>
          </w:p>
        </w:tc>
      </w:tr>
      <w:tr w:rsidR="00160DA2" w14:paraId="6D84E6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BEC8D7" w14:textId="77777777" w:rsidR="00160DA2"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12B8472"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"DocOwner"</w:instrText>
            </w:r>
            <w:r w:rsidRPr="00D51241">
              <w:rPr>
                <w:color w:val="404040" w:themeColor="text1" w:themeTint="BF"/>
                <w:sz w:val="20"/>
              </w:rPr>
              <w:fldChar w:fldCharType="separate"/>
            </w:r>
            <w:r w:rsidRPr="00D51241">
              <w:rPr>
                <w:color w:val="404040" w:themeColor="text1" w:themeTint="BF"/>
                <w:sz w:val="20"/>
              </w:rPr>
              <w:t>Chief Executive Officer — Accountable Party</w:t>
            </w:r>
            <w:r w:rsidRPr="00D51241">
              <w:rPr>
                <w:color w:val="404040" w:themeColor="text1" w:themeTint="BF"/>
                <w:sz w:val="20"/>
              </w:rPr>
              <w:fldChar w:fldCharType="end"/>
            </w:r>
          </w:p>
        </w:tc>
      </w:tr>
      <w:tr w:rsidR="00160DA2" w14:paraId="4781ADA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9BDFF3" w14:textId="77777777" w:rsidR="00160DA2"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EB3CA0"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160DA2" w14:paraId="48D0A88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F0A0BC" w14:textId="77777777" w:rsidR="00160DA2"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E5332CD"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"ReviewCycle"</w:instrText>
            </w:r>
            <w:r w:rsidRPr="00D51241">
              <w:rPr>
                <w:color w:val="404040" w:themeColor="text1" w:themeTint="BF"/>
                <w:sz w:val="20"/>
              </w:rPr>
              <w:fldChar w:fldCharType="separate"/>
            </w:r>
            <w:r w:rsidRPr="00D51241">
              <w:rPr>
                <w:color w:val="404040" w:themeColor="text1" w:themeTint="BF"/>
                <w:sz w:val="20"/>
              </w:rPr>
              <w:t>Annual, or upon material change</w:t>
            </w:r>
            <w:r w:rsidRPr="00D51241">
              <w:rPr>
                <w:color w:val="404040" w:themeColor="text1" w:themeTint="BF"/>
                <w:sz w:val="20"/>
              </w:rPr>
              <w:fldChar w:fldCharType="end"/>
            </w:r>
          </w:p>
        </w:tc>
      </w:tr>
      <w:tr w:rsidR="00160DA2" w14:paraId="649CB3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7DE3CE1" w14:textId="77777777" w:rsidR="00160DA2"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3D2448C"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160DA2" w14:paraId="096043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A42298" w14:textId="77777777" w:rsidR="00160DA2"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5D00BC5"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"Audience"</w:instrText>
            </w:r>
            <w:r w:rsidRPr="00D51241">
              <w:rPr>
                <w:color w:val="404040" w:themeColor="text1" w:themeTint="BF"/>
                <w:sz w:val="20"/>
              </w:rPr>
              <w:fldChar w:fldCharType="separate"/>
            </w:r>
            <w:r w:rsidRPr="00D51241">
              <w:rPr>
                <w:color w:val="404040" w:themeColor="text1" w:themeTint="BF"/>
                <w:sz w:val="20"/>
              </w:rPr>
              <w:t>All personnel, including employees and contractors</w:t>
            </w:r>
            <w:r w:rsidRPr="00D51241">
              <w:rPr>
                <w:color w:val="404040" w:themeColor="text1" w:themeTint="BF"/>
                <w:sz w:val="20"/>
              </w:rPr>
              <w:fldChar w:fldCharType="end"/>
            </w:r>
          </w:p>
        </w:tc>
      </w:tr>
    </w:tbl>
    <w:p w14:paraId="4D01FC45" w14:textId="77777777" w:rsidR="00160DA2" w:rsidRDefault="00160DA2">
      <w:pPr>
        <w:suppressLineNumbers/>
        <w:rPr>
          <w:rStyle w:val="Strong"/>
        </w:rPr>
      </w:pPr>
    </w:p>
    <w:p w14:paraId="6037B81C" w14:textId="77777777" w:rsidR="00160DA2"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160DA2" w14:paraId="1A190806"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49EEA3B" w14:textId="77777777" w:rsidR="00160DA2"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F8CAE06" w14:textId="77777777" w:rsidR="00160DA2"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02FD1F29" w14:textId="77777777" w:rsidR="00160DA2"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43A1087D" w14:textId="77777777" w:rsidR="00160DA2"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3CF7DC7" w14:textId="77777777" w:rsidR="00160DA2" w:rsidRDefault="00000000">
            <w:pPr>
              <w:pStyle w:val="BodyText9"/>
              <w:suppressLineNumbers/>
              <w:spacing w:before="40" w:after="40" w:line="240" w:lineRule="auto"/>
            </w:pPr>
            <w:r>
              <w:rPr>
                <w:b/>
                <w:color w:val="404040" w:themeColor="text1" w:themeTint="BF"/>
                <w:sz w:val="20"/>
                <w:szCs w:val="20"/>
              </w:rPr>
              <w:t>Date</w:t>
            </w:r>
          </w:p>
        </w:tc>
      </w:tr>
      <w:tr w:rsidR="00160DA2" w14:paraId="08EC5D8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D5581A8" w14:textId="77777777" w:rsidR="00160DA2"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645BDBB4"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330861C8" w14:textId="77777777" w:rsidR="00160DA2"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39C03E1"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34DC0DA" w14:textId="77777777" w:rsidR="00160DA2" w:rsidRDefault="00000000">
            <w:pPr>
              <w:pStyle w:val="BodyText9"/>
              <w:suppressLineNumbers/>
              <w:spacing w:before="40" w:after="40" w:line="240" w:lineRule="auto"/>
            </w:pPr>
            <w:r>
              <w:rPr>
                <w:color w:val="404040" w:themeColor="text1" w:themeTint="BF"/>
                <w:sz w:val="20"/>
              </w:rPr>
              <w:t>August 18, 2026</w:t>
            </w:r>
          </w:p>
        </w:tc>
      </w:tr>
      <w:tr w:rsidR="00160DA2" w14:paraId="442B88B5"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ECD31A6" w14:textId="77777777" w:rsidR="00160DA2"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0F6A830"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19F0F15" w14:textId="77777777" w:rsidR="00160DA2"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E1263B4"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287F0BE" w14:textId="77777777" w:rsidR="00160DA2" w:rsidRDefault="00000000">
            <w:pPr>
              <w:pStyle w:val="BodyText9"/>
              <w:suppressLineNumbers/>
              <w:spacing w:before="40" w:after="40" w:line="240" w:lineRule="auto"/>
            </w:pPr>
            <w:r>
              <w:rPr>
                <w:color w:val="404040" w:themeColor="text1" w:themeTint="BF"/>
                <w:sz w:val="20"/>
              </w:rPr>
              <w:t>August 18, 2026</w:t>
            </w:r>
          </w:p>
        </w:tc>
      </w:tr>
    </w:tbl>
    <w:p w14:paraId="55285FDE" w14:textId="77777777" w:rsidR="00160DA2" w:rsidRDefault="00160DA2">
      <w:pPr>
        <w:suppressLineNumbers/>
        <w:rPr>
          <w:rStyle w:val="Strong"/>
        </w:rPr>
      </w:pPr>
    </w:p>
    <w:p w14:paraId="08F2B8DE" w14:textId="77777777" w:rsidR="00160DA2" w:rsidRDefault="00000000">
      <w:pPr>
        <w:suppressLineNumbers/>
        <w:spacing w:before="360" w:after="160"/>
      </w:pPr>
      <w:r>
        <w:rPr>
          <w:rStyle w:val="Strong"/>
          <w:caps/>
        </w:rPr>
        <w:t>COMPLIANCE</w:t>
      </w:r>
    </w:p>
    <w:p w14:paraId="62AAE1BB" w14:textId="5F0B83C3" w:rsidR="00160DA2" w:rsidRDefault="00000000">
      <w:pPr>
        <w:pStyle w:val="BodyText9"/>
        <w:suppressLineNumbers/>
        <w:spacing w:after="120"/>
        <w:jc w:val="both"/>
      </w:pPr>
      <w:r>
        <w:rPr>
          <w:color w:val="404040" w:themeColor="text1" w:themeTint="BF"/>
        </w:rPr>
        <w:t xml:space="preserve">This Policy is </w:t>
      </w:r>
      <w:r w:rsidR="00D51241">
        <w:rPr>
          <w:color w:val="404040" w:themeColor="text1" w:themeTint="BF"/>
        </w:rPr>
        <w:t>authorized</w:t>
      </w:r>
      <w:r>
        <w:rPr>
          <w:color w:val="404040" w:themeColor="text1" w:themeTint="BF"/>
        </w:rPr>
        <w:t xml:space="preserve"> by the Information Security Policy (POL-ISP-001) and supports the SOC 2 Trust Services Criteria CC1.2, CC3.1, CC3.2, CC3.3, CC3.4 and CC5.1, and GDPR Articles 32 and 35. It is written for a ten-person company and uses one register, one annual assessment and a short list of triggers.</w:t>
      </w:r>
    </w:p>
    <w:p w14:paraId="50A2AEE8" w14:textId="77777777" w:rsidR="00160DA2" w:rsidRDefault="00160DA2">
      <w:pPr>
        <w:pStyle w:val="BodyText9"/>
        <w:suppressLineNumbers/>
      </w:pPr>
    </w:p>
    <w:p w14:paraId="0C1CCA4F" w14:textId="77777777" w:rsidR="00160DA2" w:rsidRDefault="00000000">
      <w:pPr>
        <w:suppressLineNumbers/>
        <w:spacing w:before="360" w:after="160"/>
        <w:rPr>
          <w:rStyle w:val="Strong"/>
        </w:rPr>
      </w:pPr>
      <w:r>
        <w:rPr>
          <w:rStyle w:val="Strong"/>
          <w:caps/>
        </w:rPr>
        <w:t>DOCUMENT VALIDITY</w:t>
      </w:r>
    </w:p>
    <w:p w14:paraId="4789EBE0" w14:textId="77777777" w:rsidR="00160DA2"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12ACC8A" w14:textId="77777777" w:rsidR="00160DA2" w:rsidRDefault="00000000">
      <w:pPr>
        <w:suppressLineNumbers/>
      </w:pPr>
      <w:r>
        <w:br w:type="page"/>
      </w:r>
    </w:p>
    <w:p w14:paraId="0ED9F9B5" w14:textId="77777777" w:rsidR="00D51241" w:rsidRDefault="00000000">
      <w:pPr>
        <w:suppressLineNumbers/>
        <w:spacing w:after="160"/>
        <w:rPr>
          <w:noProof/>
        </w:rPr>
      </w:pPr>
      <w:r>
        <w:rPr>
          <w:rStyle w:val="Strong"/>
          <w:caps/>
        </w:rPr>
        <w:lastRenderedPageBreak/>
        <w:t>TABLE OF CONTENTS</w:t>
      </w:r>
      <w:r w:rsidR="00D51241">
        <w:rPr>
          <w:rStyle w:val="Strong"/>
          <w:caps/>
        </w:rPr>
        <w:fldChar w:fldCharType="begin"/>
      </w:r>
      <w:r w:rsidR="00D51241">
        <w:rPr>
          <w:rStyle w:val="Strong"/>
          <w:caps/>
        </w:rPr>
        <w:instrText xml:space="preserve"> TOC \o "1-3" \h \z \u </w:instrText>
      </w:r>
      <w:r w:rsidR="00D51241">
        <w:rPr>
          <w:rStyle w:val="Strong"/>
          <w:caps/>
        </w:rPr>
        <w:fldChar w:fldCharType="separate"/>
      </w:r>
    </w:p>
    <w:p w14:paraId="5B4D46E1" w14:textId="6513C89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4" w:history="1">
        <w:r w:rsidRPr="002629AD">
          <w:rPr>
            <w:rStyle w:val="Hyperlink"/>
            <w:noProof/>
          </w:rPr>
          <w:t>1 Overview and Purpose</w:t>
        </w:r>
        <w:r>
          <w:rPr>
            <w:noProof/>
            <w:webHidden/>
          </w:rPr>
          <w:tab/>
        </w:r>
        <w:r>
          <w:rPr>
            <w:noProof/>
            <w:webHidden/>
          </w:rPr>
          <w:fldChar w:fldCharType="begin"/>
        </w:r>
        <w:r>
          <w:rPr>
            <w:noProof/>
            <w:webHidden/>
          </w:rPr>
          <w:instrText xml:space="preserve"> PAGEREF _Toc237817104 \h </w:instrText>
        </w:r>
        <w:r>
          <w:rPr>
            <w:noProof/>
            <w:webHidden/>
          </w:rPr>
        </w:r>
        <w:r>
          <w:rPr>
            <w:noProof/>
            <w:webHidden/>
          </w:rPr>
          <w:fldChar w:fldCharType="separate"/>
        </w:r>
        <w:r w:rsidR="00F77148">
          <w:rPr>
            <w:noProof/>
            <w:webHidden/>
          </w:rPr>
          <w:t>5</w:t>
        </w:r>
        <w:r>
          <w:rPr>
            <w:noProof/>
            <w:webHidden/>
          </w:rPr>
          <w:fldChar w:fldCharType="end"/>
        </w:r>
      </w:hyperlink>
    </w:p>
    <w:p w14:paraId="3EA5136F" w14:textId="0BC2EBB7"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5" w:history="1">
        <w:r w:rsidRPr="002629AD">
          <w:rPr>
            <w:rStyle w:val="Hyperlink"/>
            <w:noProof/>
          </w:rPr>
          <w:t>2 Scope</w:t>
        </w:r>
        <w:r>
          <w:rPr>
            <w:noProof/>
            <w:webHidden/>
          </w:rPr>
          <w:tab/>
        </w:r>
        <w:r>
          <w:rPr>
            <w:noProof/>
            <w:webHidden/>
          </w:rPr>
          <w:fldChar w:fldCharType="begin"/>
        </w:r>
        <w:r>
          <w:rPr>
            <w:noProof/>
            <w:webHidden/>
          </w:rPr>
          <w:instrText xml:space="preserve"> PAGEREF _Toc237817105 \h </w:instrText>
        </w:r>
        <w:r>
          <w:rPr>
            <w:noProof/>
            <w:webHidden/>
          </w:rPr>
        </w:r>
        <w:r>
          <w:rPr>
            <w:noProof/>
            <w:webHidden/>
          </w:rPr>
          <w:fldChar w:fldCharType="separate"/>
        </w:r>
        <w:r w:rsidR="00F77148">
          <w:rPr>
            <w:noProof/>
            <w:webHidden/>
          </w:rPr>
          <w:t>5</w:t>
        </w:r>
        <w:r>
          <w:rPr>
            <w:noProof/>
            <w:webHidden/>
          </w:rPr>
          <w:fldChar w:fldCharType="end"/>
        </w:r>
      </w:hyperlink>
    </w:p>
    <w:p w14:paraId="5DE7602A" w14:textId="64AEFCC5"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6" w:history="1">
        <w:r w:rsidRPr="002629AD">
          <w:rPr>
            <w:rStyle w:val="Hyperlink"/>
            <w:noProof/>
          </w:rPr>
          <w:t>3 Roles and Definitions</w:t>
        </w:r>
        <w:r>
          <w:rPr>
            <w:noProof/>
            <w:webHidden/>
          </w:rPr>
          <w:tab/>
        </w:r>
        <w:r>
          <w:rPr>
            <w:noProof/>
            <w:webHidden/>
          </w:rPr>
          <w:fldChar w:fldCharType="begin"/>
        </w:r>
        <w:r>
          <w:rPr>
            <w:noProof/>
            <w:webHidden/>
          </w:rPr>
          <w:instrText xml:space="preserve"> PAGEREF _Toc237817106 \h </w:instrText>
        </w:r>
        <w:r>
          <w:rPr>
            <w:noProof/>
            <w:webHidden/>
          </w:rPr>
        </w:r>
        <w:r>
          <w:rPr>
            <w:noProof/>
            <w:webHidden/>
          </w:rPr>
          <w:fldChar w:fldCharType="separate"/>
        </w:r>
        <w:r w:rsidR="00F77148">
          <w:rPr>
            <w:noProof/>
            <w:webHidden/>
          </w:rPr>
          <w:t>5</w:t>
        </w:r>
        <w:r>
          <w:rPr>
            <w:noProof/>
            <w:webHidden/>
          </w:rPr>
          <w:fldChar w:fldCharType="end"/>
        </w:r>
      </w:hyperlink>
    </w:p>
    <w:p w14:paraId="1061191B" w14:textId="090CF84A"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7" w:history="1">
        <w:r w:rsidRPr="002629AD">
          <w:rPr>
            <w:rStyle w:val="Hyperlink"/>
            <w:noProof/>
          </w:rPr>
          <w:t>4 Terminology</w:t>
        </w:r>
        <w:r>
          <w:rPr>
            <w:noProof/>
            <w:webHidden/>
          </w:rPr>
          <w:tab/>
        </w:r>
        <w:r>
          <w:rPr>
            <w:noProof/>
            <w:webHidden/>
          </w:rPr>
          <w:fldChar w:fldCharType="begin"/>
        </w:r>
        <w:r>
          <w:rPr>
            <w:noProof/>
            <w:webHidden/>
          </w:rPr>
          <w:instrText xml:space="preserve"> PAGEREF _Toc237817107 \h </w:instrText>
        </w:r>
        <w:r>
          <w:rPr>
            <w:noProof/>
            <w:webHidden/>
          </w:rPr>
        </w:r>
        <w:r>
          <w:rPr>
            <w:noProof/>
            <w:webHidden/>
          </w:rPr>
          <w:fldChar w:fldCharType="separate"/>
        </w:r>
        <w:r w:rsidR="00F77148">
          <w:rPr>
            <w:noProof/>
            <w:webHidden/>
          </w:rPr>
          <w:t>5</w:t>
        </w:r>
        <w:r>
          <w:rPr>
            <w:noProof/>
            <w:webHidden/>
          </w:rPr>
          <w:fldChar w:fldCharType="end"/>
        </w:r>
      </w:hyperlink>
    </w:p>
    <w:p w14:paraId="780CDF39" w14:textId="2EEDED05"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8" w:history="1">
        <w:r w:rsidRPr="002629AD">
          <w:rPr>
            <w:rStyle w:val="Hyperlink"/>
            <w:noProof/>
          </w:rPr>
          <w:t>5 Risk Appetite</w:t>
        </w:r>
        <w:r>
          <w:rPr>
            <w:noProof/>
            <w:webHidden/>
          </w:rPr>
          <w:tab/>
        </w:r>
        <w:r>
          <w:rPr>
            <w:noProof/>
            <w:webHidden/>
          </w:rPr>
          <w:fldChar w:fldCharType="begin"/>
        </w:r>
        <w:r>
          <w:rPr>
            <w:noProof/>
            <w:webHidden/>
          </w:rPr>
          <w:instrText xml:space="preserve"> PAGEREF _Toc237817108 \h </w:instrText>
        </w:r>
        <w:r>
          <w:rPr>
            <w:noProof/>
            <w:webHidden/>
          </w:rPr>
        </w:r>
        <w:r>
          <w:rPr>
            <w:noProof/>
            <w:webHidden/>
          </w:rPr>
          <w:fldChar w:fldCharType="separate"/>
        </w:r>
        <w:r w:rsidR="00F77148">
          <w:rPr>
            <w:noProof/>
            <w:webHidden/>
          </w:rPr>
          <w:t>6</w:t>
        </w:r>
        <w:r>
          <w:rPr>
            <w:noProof/>
            <w:webHidden/>
          </w:rPr>
          <w:fldChar w:fldCharType="end"/>
        </w:r>
      </w:hyperlink>
    </w:p>
    <w:p w14:paraId="20DC7350" w14:textId="46C891E3"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09" w:history="1">
        <w:r w:rsidRPr="002629AD">
          <w:rPr>
            <w:rStyle w:val="Hyperlink"/>
            <w:noProof/>
          </w:rPr>
          <w:t>6 Scoring</w:t>
        </w:r>
        <w:r>
          <w:rPr>
            <w:noProof/>
            <w:webHidden/>
          </w:rPr>
          <w:tab/>
        </w:r>
        <w:r>
          <w:rPr>
            <w:noProof/>
            <w:webHidden/>
          </w:rPr>
          <w:fldChar w:fldCharType="begin"/>
        </w:r>
        <w:r>
          <w:rPr>
            <w:noProof/>
            <w:webHidden/>
          </w:rPr>
          <w:instrText xml:space="preserve"> PAGEREF _Toc237817109 \h </w:instrText>
        </w:r>
        <w:r>
          <w:rPr>
            <w:noProof/>
            <w:webHidden/>
          </w:rPr>
        </w:r>
        <w:r>
          <w:rPr>
            <w:noProof/>
            <w:webHidden/>
          </w:rPr>
          <w:fldChar w:fldCharType="separate"/>
        </w:r>
        <w:r w:rsidR="00F77148">
          <w:rPr>
            <w:noProof/>
            <w:webHidden/>
          </w:rPr>
          <w:t>6</w:t>
        </w:r>
        <w:r>
          <w:rPr>
            <w:noProof/>
            <w:webHidden/>
          </w:rPr>
          <w:fldChar w:fldCharType="end"/>
        </w:r>
      </w:hyperlink>
    </w:p>
    <w:p w14:paraId="4440833A" w14:textId="43669A5B"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0" w:history="1">
        <w:r w:rsidRPr="002629AD">
          <w:rPr>
            <w:rStyle w:val="Hyperlink"/>
            <w:noProof/>
          </w:rPr>
          <w:t>7 The Register</w:t>
        </w:r>
        <w:r>
          <w:rPr>
            <w:noProof/>
            <w:webHidden/>
          </w:rPr>
          <w:tab/>
        </w:r>
        <w:r>
          <w:rPr>
            <w:noProof/>
            <w:webHidden/>
          </w:rPr>
          <w:fldChar w:fldCharType="begin"/>
        </w:r>
        <w:r>
          <w:rPr>
            <w:noProof/>
            <w:webHidden/>
          </w:rPr>
          <w:instrText xml:space="preserve"> PAGEREF _Toc237817110 \h </w:instrText>
        </w:r>
        <w:r>
          <w:rPr>
            <w:noProof/>
            <w:webHidden/>
          </w:rPr>
        </w:r>
        <w:r>
          <w:rPr>
            <w:noProof/>
            <w:webHidden/>
          </w:rPr>
          <w:fldChar w:fldCharType="separate"/>
        </w:r>
        <w:r w:rsidR="00F77148">
          <w:rPr>
            <w:noProof/>
            <w:webHidden/>
          </w:rPr>
          <w:t>6</w:t>
        </w:r>
        <w:r>
          <w:rPr>
            <w:noProof/>
            <w:webHidden/>
          </w:rPr>
          <w:fldChar w:fldCharType="end"/>
        </w:r>
      </w:hyperlink>
    </w:p>
    <w:p w14:paraId="79F726A0" w14:textId="73B67C61"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1" w:history="1">
        <w:r w:rsidRPr="002629AD">
          <w:rPr>
            <w:rStyle w:val="Hyperlink"/>
            <w:noProof/>
          </w:rPr>
          <w:t>8 The Annual Assessment</w:t>
        </w:r>
        <w:r>
          <w:rPr>
            <w:noProof/>
            <w:webHidden/>
          </w:rPr>
          <w:tab/>
        </w:r>
        <w:r>
          <w:rPr>
            <w:noProof/>
            <w:webHidden/>
          </w:rPr>
          <w:fldChar w:fldCharType="begin"/>
        </w:r>
        <w:r>
          <w:rPr>
            <w:noProof/>
            <w:webHidden/>
          </w:rPr>
          <w:instrText xml:space="preserve"> PAGEREF _Toc237817111 \h </w:instrText>
        </w:r>
        <w:r>
          <w:rPr>
            <w:noProof/>
            <w:webHidden/>
          </w:rPr>
        </w:r>
        <w:r>
          <w:rPr>
            <w:noProof/>
            <w:webHidden/>
          </w:rPr>
          <w:fldChar w:fldCharType="separate"/>
        </w:r>
        <w:r w:rsidR="00F77148">
          <w:rPr>
            <w:noProof/>
            <w:webHidden/>
          </w:rPr>
          <w:t>7</w:t>
        </w:r>
        <w:r>
          <w:rPr>
            <w:noProof/>
            <w:webHidden/>
          </w:rPr>
          <w:fldChar w:fldCharType="end"/>
        </w:r>
      </w:hyperlink>
    </w:p>
    <w:p w14:paraId="1991D12C" w14:textId="201FFAA1"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2" w:history="1">
        <w:r w:rsidRPr="002629AD">
          <w:rPr>
            <w:rStyle w:val="Hyperlink"/>
            <w:noProof/>
          </w:rPr>
          <w:t>9 Reassessment Triggers</w:t>
        </w:r>
        <w:r>
          <w:rPr>
            <w:noProof/>
            <w:webHidden/>
          </w:rPr>
          <w:tab/>
        </w:r>
        <w:r>
          <w:rPr>
            <w:noProof/>
            <w:webHidden/>
          </w:rPr>
          <w:fldChar w:fldCharType="begin"/>
        </w:r>
        <w:r>
          <w:rPr>
            <w:noProof/>
            <w:webHidden/>
          </w:rPr>
          <w:instrText xml:space="preserve"> PAGEREF _Toc237817112 \h </w:instrText>
        </w:r>
        <w:r>
          <w:rPr>
            <w:noProof/>
            <w:webHidden/>
          </w:rPr>
        </w:r>
        <w:r>
          <w:rPr>
            <w:noProof/>
            <w:webHidden/>
          </w:rPr>
          <w:fldChar w:fldCharType="separate"/>
        </w:r>
        <w:r w:rsidR="00F77148">
          <w:rPr>
            <w:noProof/>
            <w:webHidden/>
          </w:rPr>
          <w:t>7</w:t>
        </w:r>
        <w:r>
          <w:rPr>
            <w:noProof/>
            <w:webHidden/>
          </w:rPr>
          <w:fldChar w:fldCharType="end"/>
        </w:r>
      </w:hyperlink>
    </w:p>
    <w:p w14:paraId="0A124101" w14:textId="4E23B1C4"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3" w:history="1">
        <w:r w:rsidRPr="002629AD">
          <w:rPr>
            <w:rStyle w:val="Hyperlink"/>
            <w:noProof/>
          </w:rPr>
          <w:t>10 From Risk to Control</w:t>
        </w:r>
        <w:r>
          <w:rPr>
            <w:noProof/>
            <w:webHidden/>
          </w:rPr>
          <w:tab/>
        </w:r>
        <w:r>
          <w:rPr>
            <w:noProof/>
            <w:webHidden/>
          </w:rPr>
          <w:fldChar w:fldCharType="begin"/>
        </w:r>
        <w:r>
          <w:rPr>
            <w:noProof/>
            <w:webHidden/>
          </w:rPr>
          <w:instrText xml:space="preserve"> PAGEREF _Toc237817113 \h </w:instrText>
        </w:r>
        <w:r>
          <w:rPr>
            <w:noProof/>
            <w:webHidden/>
          </w:rPr>
        </w:r>
        <w:r>
          <w:rPr>
            <w:noProof/>
            <w:webHidden/>
          </w:rPr>
          <w:fldChar w:fldCharType="separate"/>
        </w:r>
        <w:r w:rsidR="00F77148">
          <w:rPr>
            <w:noProof/>
            <w:webHidden/>
          </w:rPr>
          <w:t>8</w:t>
        </w:r>
        <w:r>
          <w:rPr>
            <w:noProof/>
            <w:webHidden/>
          </w:rPr>
          <w:fldChar w:fldCharType="end"/>
        </w:r>
      </w:hyperlink>
    </w:p>
    <w:p w14:paraId="795489CB" w14:textId="0217F3F4"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4" w:history="1">
        <w:r w:rsidRPr="002629AD">
          <w:rPr>
            <w:rStyle w:val="Hyperlink"/>
            <w:noProof/>
          </w:rPr>
          <w:t>11 Records</w:t>
        </w:r>
        <w:r>
          <w:rPr>
            <w:noProof/>
            <w:webHidden/>
          </w:rPr>
          <w:tab/>
        </w:r>
        <w:r>
          <w:rPr>
            <w:noProof/>
            <w:webHidden/>
          </w:rPr>
          <w:fldChar w:fldCharType="begin"/>
        </w:r>
        <w:r>
          <w:rPr>
            <w:noProof/>
            <w:webHidden/>
          </w:rPr>
          <w:instrText xml:space="preserve"> PAGEREF _Toc237817114 \h </w:instrText>
        </w:r>
        <w:r>
          <w:rPr>
            <w:noProof/>
            <w:webHidden/>
          </w:rPr>
        </w:r>
        <w:r>
          <w:rPr>
            <w:noProof/>
            <w:webHidden/>
          </w:rPr>
          <w:fldChar w:fldCharType="separate"/>
        </w:r>
        <w:r w:rsidR="00F77148">
          <w:rPr>
            <w:noProof/>
            <w:webHidden/>
          </w:rPr>
          <w:t>8</w:t>
        </w:r>
        <w:r>
          <w:rPr>
            <w:noProof/>
            <w:webHidden/>
          </w:rPr>
          <w:fldChar w:fldCharType="end"/>
        </w:r>
      </w:hyperlink>
    </w:p>
    <w:p w14:paraId="3B37270F" w14:textId="6DD35D98"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5" w:history="1">
        <w:r w:rsidRPr="002629AD">
          <w:rPr>
            <w:rStyle w:val="Hyperlink"/>
            <w:noProof/>
          </w:rPr>
          <w:t>12 Exceptions</w:t>
        </w:r>
        <w:r>
          <w:rPr>
            <w:noProof/>
            <w:webHidden/>
          </w:rPr>
          <w:tab/>
        </w:r>
        <w:r>
          <w:rPr>
            <w:noProof/>
            <w:webHidden/>
          </w:rPr>
          <w:fldChar w:fldCharType="begin"/>
        </w:r>
        <w:r>
          <w:rPr>
            <w:noProof/>
            <w:webHidden/>
          </w:rPr>
          <w:instrText xml:space="preserve"> PAGEREF _Toc237817115 \h </w:instrText>
        </w:r>
        <w:r>
          <w:rPr>
            <w:noProof/>
            <w:webHidden/>
          </w:rPr>
        </w:r>
        <w:r>
          <w:rPr>
            <w:noProof/>
            <w:webHidden/>
          </w:rPr>
          <w:fldChar w:fldCharType="separate"/>
        </w:r>
        <w:r w:rsidR="00F77148">
          <w:rPr>
            <w:noProof/>
            <w:webHidden/>
          </w:rPr>
          <w:t>8</w:t>
        </w:r>
        <w:r>
          <w:rPr>
            <w:noProof/>
            <w:webHidden/>
          </w:rPr>
          <w:fldChar w:fldCharType="end"/>
        </w:r>
      </w:hyperlink>
    </w:p>
    <w:p w14:paraId="4DE23D18" w14:textId="6E4967BD"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6" w:history="1">
        <w:r w:rsidRPr="002629AD">
          <w:rPr>
            <w:rStyle w:val="Hyperlink"/>
            <w:noProof/>
          </w:rPr>
          <w:t>13 Reference</w:t>
        </w:r>
        <w:r>
          <w:rPr>
            <w:noProof/>
            <w:webHidden/>
          </w:rPr>
          <w:tab/>
        </w:r>
        <w:r>
          <w:rPr>
            <w:noProof/>
            <w:webHidden/>
          </w:rPr>
          <w:fldChar w:fldCharType="begin"/>
        </w:r>
        <w:r>
          <w:rPr>
            <w:noProof/>
            <w:webHidden/>
          </w:rPr>
          <w:instrText xml:space="preserve"> PAGEREF _Toc237817116 \h </w:instrText>
        </w:r>
        <w:r>
          <w:rPr>
            <w:noProof/>
            <w:webHidden/>
          </w:rPr>
        </w:r>
        <w:r>
          <w:rPr>
            <w:noProof/>
            <w:webHidden/>
          </w:rPr>
          <w:fldChar w:fldCharType="separate"/>
        </w:r>
        <w:r w:rsidR="00F77148">
          <w:rPr>
            <w:noProof/>
            <w:webHidden/>
          </w:rPr>
          <w:t>8</w:t>
        </w:r>
        <w:r>
          <w:rPr>
            <w:noProof/>
            <w:webHidden/>
          </w:rPr>
          <w:fldChar w:fldCharType="end"/>
        </w:r>
      </w:hyperlink>
    </w:p>
    <w:p w14:paraId="7B4EA8F7" w14:textId="3D79B3EA"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117" w:history="1">
        <w:r w:rsidRPr="002629AD">
          <w:rPr>
            <w:rStyle w:val="Hyperlink"/>
            <w:noProof/>
          </w:rPr>
          <w:t>14 Document Policy History</w:t>
        </w:r>
        <w:r>
          <w:rPr>
            <w:noProof/>
            <w:webHidden/>
          </w:rPr>
          <w:tab/>
        </w:r>
        <w:r>
          <w:rPr>
            <w:noProof/>
            <w:webHidden/>
          </w:rPr>
          <w:fldChar w:fldCharType="begin"/>
        </w:r>
        <w:r>
          <w:rPr>
            <w:noProof/>
            <w:webHidden/>
          </w:rPr>
          <w:instrText xml:space="preserve"> PAGEREF _Toc237817117 \h </w:instrText>
        </w:r>
        <w:r>
          <w:rPr>
            <w:noProof/>
            <w:webHidden/>
          </w:rPr>
        </w:r>
        <w:r>
          <w:rPr>
            <w:noProof/>
            <w:webHidden/>
          </w:rPr>
          <w:fldChar w:fldCharType="separate"/>
        </w:r>
        <w:r w:rsidR="00F77148">
          <w:rPr>
            <w:noProof/>
            <w:webHidden/>
          </w:rPr>
          <w:t>8</w:t>
        </w:r>
        <w:r>
          <w:rPr>
            <w:noProof/>
            <w:webHidden/>
          </w:rPr>
          <w:fldChar w:fldCharType="end"/>
        </w:r>
      </w:hyperlink>
    </w:p>
    <w:p w14:paraId="31F58DA5" w14:textId="6AA8FBD6" w:rsidR="00160DA2" w:rsidRDefault="00D51241">
      <w:pPr>
        <w:suppressLineNumbers/>
        <w:spacing w:after="160"/>
        <w:rPr>
          <w:rStyle w:val="Strong"/>
        </w:rPr>
      </w:pPr>
      <w:r>
        <w:rPr>
          <w:rStyle w:val="Strong"/>
          <w:caps/>
        </w:rPr>
        <w:fldChar w:fldCharType="end"/>
      </w:r>
    </w:p>
    <w:sdt>
      <w:sdtPr>
        <w:id w:val="2066831296"/>
        <w:docPartObj>
          <w:docPartGallery w:val="Table of Contents"/>
          <w:docPartUnique/>
        </w:docPartObj>
      </w:sdtPr>
      <w:sdtContent>
        <w:p w14:paraId="3447BFAB" w14:textId="77777777" w:rsidR="00160DA2" w:rsidRDefault="00000000">
          <w:pPr>
            <w:sectPr w:rsidR="00160DA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3F90DCF6" w14:textId="77777777" w:rsidR="00160DA2" w:rsidRDefault="00000000">
      <w:pPr>
        <w:pStyle w:val="Heading1"/>
        <w:keepNext/>
        <w:numPr>
          <w:ilvl w:val="0"/>
          <w:numId w:val="13"/>
        </w:numPr>
        <w:spacing w:before="240" w:after="80"/>
      </w:pPr>
      <w:bookmarkStart w:id="1" w:name="_S501"/>
      <w:bookmarkStart w:id="2" w:name="_Toc237817104"/>
      <w:r>
        <w:lastRenderedPageBreak/>
        <w:t>Overview and Purpose</w:t>
      </w:r>
      <w:bookmarkEnd w:id="1"/>
      <w:bookmarkEnd w:id="2"/>
    </w:p>
    <w:p w14:paraId="33799B0A" w14:textId="77777777" w:rsidR="00160DA2" w:rsidRDefault="00000000">
      <w:pPr>
        <w:pStyle w:val="BodyText9"/>
        <w:spacing w:after="120"/>
        <w:jc w:val="both"/>
      </w:pPr>
      <w:r>
        <w:rPr>
          <w:color w:val="404040" w:themeColor="text1" w:themeTint="BF"/>
        </w:rPr>
        <w:t>PromptHalo Technologies (“the Company”) identifies what could go wrong, decides what to do about it, and records both. This Policy says how, on a scale that a ten-person team can sustain.</w:t>
      </w:r>
    </w:p>
    <w:p w14:paraId="5B3DA805" w14:textId="77777777" w:rsidR="00160DA2" w:rsidRDefault="00000000">
      <w:pPr>
        <w:pStyle w:val="BodyText9"/>
        <w:spacing w:after="120"/>
        <w:jc w:val="both"/>
      </w:pPr>
      <w:r>
        <w:rPr>
          <w:color w:val="404040" w:themeColor="text1" w:themeTint="BF"/>
        </w:rPr>
        <w:t>There is one register and one assessment a year, plus a reassessment when something on the trigger list at Section 9 happens. Risk work that is not written down is not risk work, but the writing should take an afternoon, not a quarter.</w:t>
      </w:r>
    </w:p>
    <w:p w14:paraId="6763BC67" w14:textId="77777777" w:rsidR="00160DA2" w:rsidRDefault="00000000">
      <w:pPr>
        <w:pStyle w:val="Heading1"/>
        <w:keepNext/>
        <w:numPr>
          <w:ilvl w:val="0"/>
          <w:numId w:val="13"/>
        </w:numPr>
        <w:spacing w:before="240" w:after="80"/>
      </w:pPr>
      <w:bookmarkStart w:id="3" w:name="_S502"/>
      <w:bookmarkStart w:id="4" w:name="_Toc237817105"/>
      <w:r>
        <w:t>Scope</w:t>
      </w:r>
      <w:bookmarkEnd w:id="3"/>
      <w:bookmarkEnd w:id="4"/>
    </w:p>
    <w:p w14:paraId="783FAD88" w14:textId="77777777" w:rsidR="00160DA2" w:rsidRDefault="00000000">
      <w:pPr>
        <w:pStyle w:val="BodyText9"/>
        <w:spacing w:after="120"/>
        <w:jc w:val="both"/>
      </w:pPr>
      <w:r>
        <w:rPr>
          <w:color w:val="404040" w:themeColor="text1" w:themeTint="BF"/>
        </w:rPr>
        <w:t>This Policy covers risks to the security of Company and client information: risks arising in the Company itself, in its vendors and sub-processors, and in the AI models and agents it runs.</w:t>
      </w:r>
    </w:p>
    <w:p w14:paraId="3DF12CBF" w14:textId="77777777" w:rsidR="00160DA2" w:rsidRDefault="00000000">
      <w:pPr>
        <w:pStyle w:val="BodyText9"/>
        <w:spacing w:after="120"/>
        <w:jc w:val="both"/>
      </w:pPr>
      <w:r>
        <w:rPr>
          <w:color w:val="404040" w:themeColor="text1" w:themeTint="BF"/>
        </w:rPr>
        <w:t>Where a requirement here would take longer to perform than the risk it addresses would cost, the lighter form is used and the reason is recorded. Proportionality is the rule, not an exception to it.</w:t>
      </w:r>
    </w:p>
    <w:p w14:paraId="684E7C44" w14:textId="77777777" w:rsidR="00160DA2" w:rsidRDefault="00000000">
      <w:pPr>
        <w:pStyle w:val="Heading1"/>
        <w:keepNext/>
        <w:numPr>
          <w:ilvl w:val="0"/>
          <w:numId w:val="13"/>
        </w:numPr>
        <w:spacing w:before="240" w:after="80"/>
      </w:pPr>
      <w:bookmarkStart w:id="5" w:name="_S503"/>
      <w:bookmarkStart w:id="6" w:name="_Toc237817106"/>
      <w:r>
        <w:t>Roles and Definitions</w:t>
      </w:r>
      <w:bookmarkEnd w:id="5"/>
      <w:bookmarkEnd w:id="6"/>
    </w:p>
    <w:p w14:paraId="26023796" w14:textId="77777777" w:rsidR="00160DA2" w:rsidRDefault="00000000">
      <w:pPr>
        <w:pStyle w:val="Emphasis-Normal"/>
        <w:numPr>
          <w:ilvl w:val="0"/>
          <w:numId w:val="3"/>
        </w:numPr>
        <w:spacing w:after="120"/>
        <w:jc w:val="both"/>
      </w:pPr>
      <w:r>
        <w:rPr>
          <w:color w:val="404040" w:themeColor="text1" w:themeTint="BF"/>
        </w:rPr>
        <w:t>"The Company" refers to PromptHalo Technologies.</w:t>
      </w:r>
    </w:p>
    <w:p w14:paraId="3E1B4B23" w14:textId="77777777" w:rsidR="00160DA2"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381E48CB" w14:textId="77777777" w:rsidR="00160DA2"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7CDB6DBB" w14:textId="77777777" w:rsidR="00160DA2" w:rsidRDefault="00000000">
      <w:pPr>
        <w:pStyle w:val="Emphasis-Normal"/>
        <w:numPr>
          <w:ilvl w:val="0"/>
          <w:numId w:val="3"/>
        </w:numPr>
        <w:spacing w:after="120"/>
        <w:jc w:val="both"/>
      </w:pPr>
      <w:r>
        <w:rPr>
          <w:color w:val="404040" w:themeColor="text1" w:themeTint="BF"/>
        </w:rPr>
        <w:t xml:space="preserve">The Accountable Party maintains the register, runs the annual assessment, and decides treatment. Risk acceptances are approved by the CEO.  </w:t>
      </w:r>
      <w:r>
        <w:rPr>
          <w:rFonts w:ascii="Calibri Light" w:eastAsia="Calibri Light" w:hAnsi="Calibri Light" w:cs="Calibri Light"/>
          <w:color w:val="404040" w:themeColor="text1" w:themeTint="BF"/>
          <w:sz w:val="18"/>
        </w:rPr>
        <w:t>[SOC 2: CC3.2, CC1.3]</w:t>
      </w:r>
    </w:p>
    <w:p w14:paraId="090DA4E9" w14:textId="5D9A6A43" w:rsidR="00160DA2" w:rsidRDefault="00000000">
      <w:pPr>
        <w:pStyle w:val="Emphasis-Normal"/>
        <w:numPr>
          <w:ilvl w:val="0"/>
          <w:numId w:val="3"/>
        </w:numPr>
        <w:spacing w:after="120"/>
        <w:jc w:val="both"/>
      </w:pPr>
      <w:r>
        <w:rPr>
          <w:color w:val="404040" w:themeColor="text1" w:themeTint="BF"/>
        </w:rPr>
        <w:t xml:space="preserve">Each risk has a named owner. At the Company's size that will usually be the same small number of </w:t>
      </w:r>
      <w:r w:rsidR="00D51241">
        <w:rPr>
          <w:color w:val="404040" w:themeColor="text1" w:themeTint="BF"/>
        </w:rPr>
        <w:t>people and</w:t>
      </w:r>
      <w:r>
        <w:rPr>
          <w:color w:val="404040" w:themeColor="text1" w:themeTint="BF"/>
        </w:rPr>
        <w:t xml:space="preserve"> naming them is still the point — an unowned risk is one nobody is watching.  </w:t>
      </w:r>
      <w:r>
        <w:rPr>
          <w:rFonts w:ascii="Calibri Light" w:eastAsia="Calibri Light" w:hAnsi="Calibri Light" w:cs="Calibri Light"/>
          <w:color w:val="404040" w:themeColor="text1" w:themeTint="BF"/>
          <w:sz w:val="18"/>
        </w:rPr>
        <w:t>[SOC 2: CC3.2]</w:t>
      </w:r>
    </w:p>
    <w:p w14:paraId="6B7C296D" w14:textId="77777777" w:rsidR="00160DA2" w:rsidRDefault="00000000">
      <w:pPr>
        <w:pStyle w:val="Heading1"/>
        <w:keepNext/>
        <w:numPr>
          <w:ilvl w:val="0"/>
          <w:numId w:val="13"/>
        </w:numPr>
        <w:spacing w:before="240" w:after="80"/>
      </w:pPr>
      <w:bookmarkStart w:id="7" w:name="_S504"/>
      <w:bookmarkStart w:id="8" w:name="_Toc237817107"/>
      <w:r>
        <w:t>Terminology</w:t>
      </w:r>
      <w:bookmarkEnd w:id="7"/>
      <w:bookmarkEnd w:id="8"/>
    </w:p>
    <w:p w14:paraId="154E2FF0" w14:textId="77777777" w:rsidR="00160DA2" w:rsidRDefault="00000000">
      <w:pPr>
        <w:pStyle w:val="BodyText9"/>
        <w:spacing w:after="120"/>
        <w:jc w:val="both"/>
      </w:pPr>
      <w:r>
        <w:rPr>
          <w:color w:val="404040" w:themeColor="text1" w:themeTint="BF"/>
        </w:rPr>
        <w:t>The following terms have the meanings given below wherever they appear in this policy.</w:t>
      </w:r>
    </w:p>
    <w:p w14:paraId="7391CEE5" w14:textId="77777777" w:rsidR="00160DA2"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3BBB16AF" w14:textId="77777777" w:rsidR="00160DA2"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13621C35" w14:textId="77777777" w:rsidR="00160DA2"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35E0CE8F" w14:textId="77777777" w:rsidR="00160DA2"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0C610B5C" w14:textId="77777777" w:rsidR="00160DA2"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w:t>
      </w:r>
      <w:r>
        <w:rPr>
          <w:color w:val="404040" w:themeColor="text1" w:themeTint="BF"/>
        </w:rPr>
        <w:lastRenderedPageBreak/>
        <w:t>in this policy to a decision, approval, review or report of the Committee is satisfied by a dated written record made or confirmed by the CEO; a formal meeting is not required.  [SOC 2: CC1.2, CC1.3]</w:t>
      </w:r>
    </w:p>
    <w:p w14:paraId="01FD7FDF" w14:textId="77777777" w:rsidR="00160DA2" w:rsidRDefault="00000000">
      <w:pPr>
        <w:pStyle w:val="Emphasis-Normal"/>
        <w:numPr>
          <w:ilvl w:val="0"/>
          <w:numId w:val="4"/>
        </w:numPr>
        <w:spacing w:after="120"/>
        <w:jc w:val="both"/>
      </w:pPr>
      <w:r>
        <w:rPr>
          <w:b/>
          <w:color w:val="404040" w:themeColor="text1" w:themeTint="BF"/>
        </w:rPr>
        <w:t>Inherent risk</w:t>
      </w:r>
      <w:r>
        <w:rPr>
          <w:color w:val="404040" w:themeColor="text1" w:themeTint="BF"/>
        </w:rPr>
        <w:t xml:space="preserve"> — the level of a risk before any treatment is applied.</w:t>
      </w:r>
    </w:p>
    <w:p w14:paraId="751F515F" w14:textId="77777777" w:rsidR="00160DA2"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4D818EAB" w14:textId="77777777" w:rsidR="00160DA2" w:rsidRDefault="00000000">
      <w:pPr>
        <w:pStyle w:val="Emphasis-Normal"/>
        <w:numPr>
          <w:ilvl w:val="0"/>
          <w:numId w:val="4"/>
        </w:numPr>
        <w:spacing w:after="120"/>
        <w:jc w:val="both"/>
      </w:pPr>
      <w:r>
        <w:rPr>
          <w:b/>
          <w:color w:val="404040" w:themeColor="text1" w:themeTint="BF"/>
        </w:rPr>
        <w:t>Residual risk</w:t>
      </w:r>
      <w:r>
        <w:rPr>
          <w:color w:val="404040" w:themeColor="text1" w:themeTint="BF"/>
        </w:rPr>
        <w:t xml:space="preserve"> — the level of a risk after treatment, which is what the Company </w:t>
      </w:r>
      <w:proofErr w:type="gramStart"/>
      <w:r>
        <w:rPr>
          <w:color w:val="404040" w:themeColor="text1" w:themeTint="BF"/>
        </w:rPr>
        <w:t>actually carries</w:t>
      </w:r>
      <w:proofErr w:type="gramEnd"/>
      <w:r>
        <w:rPr>
          <w:color w:val="404040" w:themeColor="text1" w:themeTint="BF"/>
        </w:rPr>
        <w:t>.</w:t>
      </w:r>
    </w:p>
    <w:p w14:paraId="7E4B08C3" w14:textId="77777777" w:rsidR="00160DA2" w:rsidRDefault="00000000">
      <w:pPr>
        <w:pStyle w:val="Emphasis-Normal"/>
        <w:numPr>
          <w:ilvl w:val="0"/>
          <w:numId w:val="4"/>
        </w:numPr>
        <w:spacing w:after="120"/>
        <w:jc w:val="both"/>
      </w:pPr>
      <w:r>
        <w:rPr>
          <w:b/>
          <w:color w:val="404040" w:themeColor="text1" w:themeTint="BF"/>
        </w:rPr>
        <w:t>Risk appetite</w:t>
      </w:r>
      <w:r>
        <w:rPr>
          <w:color w:val="404040" w:themeColor="text1" w:themeTint="BF"/>
        </w:rPr>
        <w:t xml:space="preserve"> — the level at or below which a risk may be accepted without treatment, stated at Section 5.</w:t>
      </w:r>
    </w:p>
    <w:p w14:paraId="1F9C2E75" w14:textId="77777777" w:rsidR="00160DA2"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5AEFD85" w14:textId="77777777" w:rsidR="00160DA2"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at Section 9 that requires risk reassessment.</w:t>
      </w:r>
    </w:p>
    <w:p w14:paraId="6540A7F0" w14:textId="77777777" w:rsidR="00160DA2"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7C778D1B" w14:textId="77777777" w:rsidR="00160DA2" w:rsidRDefault="00000000">
      <w:pPr>
        <w:pStyle w:val="Emphasis-Normal"/>
        <w:numPr>
          <w:ilvl w:val="0"/>
          <w:numId w:val="4"/>
        </w:numPr>
        <w:spacing w:after="120"/>
        <w:jc w:val="both"/>
      </w:pPr>
      <w:r>
        <w:rPr>
          <w:b/>
          <w:color w:val="404040" w:themeColor="text1" w:themeTint="BF"/>
        </w:rPr>
        <w:t>Treatment</w:t>
      </w:r>
      <w:r>
        <w:rPr>
          <w:color w:val="404040" w:themeColor="text1" w:themeTint="BF"/>
        </w:rPr>
        <w:t xml:space="preserve"> — what the Company decides to do about a risk: reduce, transfer, avoid or accept.</w:t>
      </w:r>
    </w:p>
    <w:p w14:paraId="116D4CBB" w14:textId="77777777" w:rsidR="00160DA2" w:rsidRDefault="00000000">
      <w:pPr>
        <w:pStyle w:val="Heading1"/>
        <w:keepNext/>
        <w:numPr>
          <w:ilvl w:val="0"/>
          <w:numId w:val="13"/>
        </w:numPr>
        <w:spacing w:before="240" w:after="80"/>
      </w:pPr>
      <w:bookmarkStart w:id="9" w:name="_S505"/>
      <w:bookmarkStart w:id="10" w:name="_Toc237817108"/>
      <w:r>
        <w:t>Risk Appetite</w:t>
      </w:r>
      <w:bookmarkEnd w:id="9"/>
      <w:bookmarkEnd w:id="10"/>
    </w:p>
    <w:p w14:paraId="29256871" w14:textId="77777777" w:rsidR="00160DA2" w:rsidRDefault="00000000">
      <w:pPr>
        <w:pStyle w:val="Emphasis-Normal"/>
        <w:numPr>
          <w:ilvl w:val="0"/>
          <w:numId w:val="5"/>
        </w:numPr>
        <w:spacing w:after="120"/>
        <w:jc w:val="both"/>
      </w:pPr>
      <w:r>
        <w:rPr>
          <w:color w:val="404040" w:themeColor="text1" w:themeTint="BF"/>
        </w:rPr>
        <w:t xml:space="preserve">Risks scoring at or below the accepted level may be carried without treatment, and the decision is recorded in the register. Risks above it </w:t>
      </w:r>
      <w:proofErr w:type="gramStart"/>
      <w:r>
        <w:rPr>
          <w:color w:val="404040" w:themeColor="text1" w:themeTint="BF"/>
        </w:rPr>
        <w:t>require</w:t>
      </w:r>
      <w:proofErr w:type="gramEnd"/>
      <w:r>
        <w:rPr>
          <w:color w:val="404040" w:themeColor="text1" w:themeTint="BF"/>
        </w:rPr>
        <w:t xml:space="preserve"> a treatment plan with an owner and a target date.  </w:t>
      </w:r>
      <w:r>
        <w:rPr>
          <w:rFonts w:ascii="Calibri Light" w:eastAsia="Calibri Light" w:hAnsi="Calibri Light" w:cs="Calibri Light"/>
          <w:color w:val="404040" w:themeColor="text1" w:themeTint="BF"/>
          <w:sz w:val="18"/>
        </w:rPr>
        <w:t>[SOC 2: CC3.1, CC3.2]</w:t>
      </w:r>
    </w:p>
    <w:p w14:paraId="1B248DF8" w14:textId="77777777" w:rsidR="00160DA2" w:rsidRDefault="00000000">
      <w:pPr>
        <w:pStyle w:val="Emphasis-Normal"/>
        <w:numPr>
          <w:ilvl w:val="0"/>
          <w:numId w:val="5"/>
        </w:numPr>
        <w:spacing w:after="120"/>
        <w:jc w:val="both"/>
      </w:pPr>
      <w:r>
        <w:rPr>
          <w:color w:val="404040" w:themeColor="text1" w:themeTint="BF"/>
        </w:rPr>
        <w:t xml:space="preserve">Anything that would expose client information, breach a client commitment, or stop the service for more than a day sits above the appetite regardless of score.  </w:t>
      </w:r>
      <w:r>
        <w:rPr>
          <w:rFonts w:ascii="Calibri Light" w:eastAsia="Calibri Light" w:hAnsi="Calibri Light" w:cs="Calibri Light"/>
          <w:color w:val="404040" w:themeColor="text1" w:themeTint="BF"/>
          <w:sz w:val="18"/>
        </w:rPr>
        <w:t>[SOC 2: CC3.1]</w:t>
      </w:r>
    </w:p>
    <w:p w14:paraId="6467318B" w14:textId="77777777" w:rsidR="00160DA2" w:rsidRDefault="00000000">
      <w:pPr>
        <w:pStyle w:val="Emphasis-Normal"/>
        <w:numPr>
          <w:ilvl w:val="0"/>
          <w:numId w:val="5"/>
        </w:numPr>
        <w:spacing w:after="120"/>
        <w:jc w:val="both"/>
      </w:pPr>
      <w:r>
        <w:rPr>
          <w:color w:val="404040" w:themeColor="text1" w:themeTint="BF"/>
        </w:rPr>
        <w:t xml:space="preserve">A risk accepted above the appetite is approved by the CEO and recorded with the rationale, the decider, the date and an expiry. An acceptance with no expiry is a decision nobody will revisit.  </w:t>
      </w:r>
      <w:r>
        <w:rPr>
          <w:rFonts w:ascii="Calibri Light" w:eastAsia="Calibri Light" w:hAnsi="Calibri Light" w:cs="Calibri Light"/>
          <w:color w:val="404040" w:themeColor="text1" w:themeTint="BF"/>
          <w:sz w:val="18"/>
        </w:rPr>
        <w:t>[SOC 2: CC3.2]</w:t>
      </w:r>
    </w:p>
    <w:p w14:paraId="65E48227" w14:textId="77777777" w:rsidR="00160DA2" w:rsidRDefault="00000000">
      <w:pPr>
        <w:pStyle w:val="Heading1"/>
        <w:keepNext/>
        <w:numPr>
          <w:ilvl w:val="0"/>
          <w:numId w:val="13"/>
        </w:numPr>
        <w:spacing w:before="240" w:after="80"/>
      </w:pPr>
      <w:bookmarkStart w:id="11" w:name="_S506"/>
      <w:bookmarkStart w:id="12" w:name="_Toc237817109"/>
      <w:r>
        <w:t>Scoring</w:t>
      </w:r>
      <w:bookmarkEnd w:id="11"/>
      <w:bookmarkEnd w:id="12"/>
    </w:p>
    <w:p w14:paraId="0A61F826" w14:textId="77777777" w:rsidR="00160DA2" w:rsidRDefault="00000000">
      <w:pPr>
        <w:pStyle w:val="Emphasis-Normal"/>
        <w:numPr>
          <w:ilvl w:val="0"/>
          <w:numId w:val="6"/>
        </w:numPr>
        <w:spacing w:after="120"/>
        <w:jc w:val="both"/>
      </w:pPr>
      <w:r>
        <w:rPr>
          <w:color w:val="404040" w:themeColor="text1" w:themeTint="BF"/>
        </w:rPr>
        <w:t xml:space="preserve">Likelihood and impact are each scored on a five-point scale and multiplied. The scales and what each point means are recorded once in the register rather than restated here, so that scoring stays consistent between assessments.  </w:t>
      </w:r>
      <w:r>
        <w:rPr>
          <w:rFonts w:ascii="Calibri Light" w:eastAsia="Calibri Light" w:hAnsi="Calibri Light" w:cs="Calibri Light"/>
          <w:color w:val="404040" w:themeColor="text1" w:themeTint="BF"/>
          <w:sz w:val="18"/>
        </w:rPr>
        <w:t>[SOC 2: CC3.2]</w:t>
      </w:r>
    </w:p>
    <w:p w14:paraId="6B798572" w14:textId="02AA211D" w:rsidR="00160DA2" w:rsidRDefault="00000000">
      <w:pPr>
        <w:pStyle w:val="Emphasis-Normal"/>
        <w:numPr>
          <w:ilvl w:val="0"/>
          <w:numId w:val="6"/>
        </w:numPr>
        <w:spacing w:after="120"/>
        <w:jc w:val="both"/>
      </w:pPr>
      <w:r>
        <w:rPr>
          <w:color w:val="404040" w:themeColor="text1" w:themeTint="BF"/>
        </w:rPr>
        <w:t xml:space="preserve">Each risk carries an inherent score, the treatment decision, and a residual score. The residual score is the one the Company is </w:t>
      </w:r>
      <w:r w:rsidR="00D51241">
        <w:rPr>
          <w:color w:val="404040" w:themeColor="text1" w:themeTint="BF"/>
        </w:rPr>
        <w:t>carrying</w:t>
      </w:r>
      <w:r>
        <w:rPr>
          <w:color w:val="404040" w:themeColor="text1" w:themeTint="BF"/>
        </w:rPr>
        <w:t xml:space="preserve"> and is the one reported.  </w:t>
      </w:r>
      <w:r>
        <w:rPr>
          <w:rFonts w:ascii="Calibri Light" w:eastAsia="Calibri Light" w:hAnsi="Calibri Light" w:cs="Calibri Light"/>
          <w:color w:val="404040" w:themeColor="text1" w:themeTint="BF"/>
          <w:sz w:val="18"/>
        </w:rPr>
        <w:t>[SOC 2: CC3.2]</w:t>
      </w:r>
    </w:p>
    <w:p w14:paraId="300156BC" w14:textId="77777777" w:rsidR="00160DA2" w:rsidRDefault="00000000">
      <w:pPr>
        <w:pStyle w:val="Heading1"/>
        <w:keepNext/>
        <w:numPr>
          <w:ilvl w:val="0"/>
          <w:numId w:val="13"/>
        </w:numPr>
        <w:spacing w:before="240" w:after="80"/>
      </w:pPr>
      <w:bookmarkStart w:id="13" w:name="_S507"/>
      <w:bookmarkStart w:id="14" w:name="_Toc237817110"/>
      <w:r>
        <w:t>The Register</w:t>
      </w:r>
      <w:bookmarkEnd w:id="13"/>
      <w:bookmarkEnd w:id="14"/>
    </w:p>
    <w:p w14:paraId="3E692890" w14:textId="77777777" w:rsidR="00160DA2" w:rsidRDefault="00000000">
      <w:pPr>
        <w:pStyle w:val="Emphasis-Normal"/>
        <w:numPr>
          <w:ilvl w:val="0"/>
          <w:numId w:val="7"/>
        </w:numPr>
        <w:spacing w:after="120"/>
        <w:jc w:val="both"/>
      </w:pPr>
      <w:r>
        <w:rPr>
          <w:color w:val="404040" w:themeColor="text1" w:themeTint="BF"/>
        </w:rPr>
        <w:t xml:space="preserve">One register holds every risk: what it is, who owns it, the inherent score, the treatment decision, the residual score, and the date last reviewed. A spreadsheet is sufficient and no tool is required.  </w:t>
      </w:r>
      <w:r>
        <w:rPr>
          <w:rFonts w:ascii="Calibri Light" w:eastAsia="Calibri Light" w:hAnsi="Calibri Light" w:cs="Calibri Light"/>
          <w:color w:val="404040" w:themeColor="text1" w:themeTint="BF"/>
          <w:sz w:val="18"/>
        </w:rPr>
        <w:t>[SOC 2: CC3.2, CC2.1]</w:t>
      </w:r>
    </w:p>
    <w:p w14:paraId="6345F3FA" w14:textId="77777777" w:rsidR="00160DA2" w:rsidRDefault="00000000">
      <w:pPr>
        <w:pStyle w:val="Emphasis-Normal"/>
        <w:numPr>
          <w:ilvl w:val="0"/>
          <w:numId w:val="7"/>
        </w:numPr>
        <w:spacing w:after="120"/>
        <w:jc w:val="both"/>
      </w:pPr>
      <w:r>
        <w:rPr>
          <w:color w:val="404040" w:themeColor="text1" w:themeTint="BF"/>
        </w:rPr>
        <w:lastRenderedPageBreak/>
        <w:t xml:space="preserve">Identification covers the Company itself, its vendors and sub-processors, and the AI models and agents it runs. Vendors are risk-assessed before onboarding and reassessed annually where they process client information.  </w:t>
      </w:r>
      <w:r>
        <w:rPr>
          <w:rFonts w:ascii="Calibri Light" w:eastAsia="Calibri Light" w:hAnsi="Calibri Light" w:cs="Calibri Light"/>
          <w:color w:val="404040" w:themeColor="text1" w:themeTint="BF"/>
          <w:sz w:val="18"/>
        </w:rPr>
        <w:t>[SOC 2: CC3.2, CC9.2]</w:t>
      </w:r>
    </w:p>
    <w:p w14:paraId="0DADAB98" w14:textId="77777777" w:rsidR="00160DA2" w:rsidRDefault="00000000">
      <w:pPr>
        <w:pStyle w:val="Emphasis-Normal"/>
        <w:numPr>
          <w:ilvl w:val="0"/>
          <w:numId w:val="7"/>
        </w:numPr>
        <w:spacing w:after="120"/>
        <w:jc w:val="both"/>
      </w:pPr>
      <w:r>
        <w:rPr>
          <w:color w:val="404040" w:themeColor="text1" w:themeTint="BF"/>
        </w:rPr>
        <w:t xml:space="preserve">Treatment progress is reviewed at the annual assessment and whenever a target date passes. A plan whose date has passed without comment is a deficiency, not a delay.  </w:t>
      </w:r>
      <w:r>
        <w:rPr>
          <w:rFonts w:ascii="Calibri Light" w:eastAsia="Calibri Light" w:hAnsi="Calibri Light" w:cs="Calibri Light"/>
          <w:color w:val="404040" w:themeColor="text1" w:themeTint="BF"/>
          <w:sz w:val="18"/>
        </w:rPr>
        <w:t>[SOC 2: CC3.2]</w:t>
      </w:r>
    </w:p>
    <w:p w14:paraId="5A9C9DAA" w14:textId="77777777" w:rsidR="00160DA2" w:rsidRDefault="00000000">
      <w:pPr>
        <w:pStyle w:val="Heading1"/>
        <w:keepNext/>
        <w:numPr>
          <w:ilvl w:val="0"/>
          <w:numId w:val="13"/>
        </w:numPr>
        <w:spacing w:before="240" w:after="80"/>
      </w:pPr>
      <w:bookmarkStart w:id="15" w:name="_S508"/>
      <w:bookmarkStart w:id="16" w:name="_Toc237817111"/>
      <w:r>
        <w:t>The Annual Assessment</w:t>
      </w:r>
      <w:bookmarkEnd w:id="15"/>
      <w:bookmarkEnd w:id="16"/>
    </w:p>
    <w:p w14:paraId="45596C7B" w14:textId="77777777" w:rsidR="00160DA2" w:rsidRDefault="00000000">
      <w:pPr>
        <w:pStyle w:val="BodyText9"/>
        <w:spacing w:after="120"/>
        <w:jc w:val="both"/>
      </w:pPr>
      <w:r>
        <w:rPr>
          <w:color w:val="404040" w:themeColor="text1" w:themeTint="BF"/>
        </w:rPr>
        <w:t>One sitting a year, recorded in the Annual Control Environment Assessment where that is the natural place for a conclusion. It covers the sections below and takes an afternoon.</w:t>
      </w:r>
    </w:p>
    <w:p w14:paraId="12A38FD7" w14:textId="77777777" w:rsidR="00160DA2" w:rsidRDefault="00000000">
      <w:pPr>
        <w:pStyle w:val="Emphasis-Normal"/>
        <w:numPr>
          <w:ilvl w:val="0"/>
          <w:numId w:val="8"/>
        </w:numPr>
        <w:spacing w:after="120"/>
        <w:jc w:val="both"/>
      </w:pPr>
      <w:r>
        <w:rPr>
          <w:color w:val="404040" w:themeColor="text1" w:themeTint="BF"/>
        </w:rPr>
        <w:t xml:space="preserve">The register is reviewed in full: new risks added, closed risks closed, scores revisited where something changed.  </w:t>
      </w:r>
      <w:r>
        <w:rPr>
          <w:rFonts w:ascii="Calibri Light" w:eastAsia="Calibri Light" w:hAnsi="Calibri Light" w:cs="Calibri Light"/>
          <w:color w:val="404040" w:themeColor="text1" w:themeTint="BF"/>
          <w:sz w:val="18"/>
        </w:rPr>
        <w:t>[SOC 2: CC3.2]</w:t>
      </w:r>
    </w:p>
    <w:p w14:paraId="27D1E6D3" w14:textId="77777777" w:rsidR="00160DA2" w:rsidRDefault="00000000">
      <w:pPr>
        <w:pStyle w:val="Emphasis-Normal"/>
        <w:numPr>
          <w:ilvl w:val="0"/>
          <w:numId w:val="8"/>
        </w:numPr>
        <w:spacing w:after="120"/>
        <w:jc w:val="both"/>
      </w:pPr>
      <w:r>
        <w:rPr>
          <w:color w:val="404040" w:themeColor="text1" w:themeTint="BF"/>
        </w:rPr>
        <w:t xml:space="preserve">Fraud is considered explicitly: fraudulent reporting, misappropriation of assets, circumvention of controls, insider misuse of privileged access — including standing access held inside customer environments — and the potential for management override given a single approver. Where no case arose in the year, a nil return is recorded; the absence of cases is the </w:t>
      </w:r>
      <w:proofErr w:type="gramStart"/>
      <w:r>
        <w:rPr>
          <w:color w:val="404040" w:themeColor="text1" w:themeTint="BF"/>
        </w:rPr>
        <w:t>evidence</w:t>
      </w:r>
      <w:proofErr w:type="gramEnd"/>
      <w:r>
        <w:rPr>
          <w:color w:val="404040" w:themeColor="text1" w:themeTint="BF"/>
        </w:rPr>
        <w:t xml:space="preserve"> and an empty section is not.  </w:t>
      </w:r>
      <w:r>
        <w:rPr>
          <w:rFonts w:ascii="Calibri Light" w:eastAsia="Calibri Light" w:hAnsi="Calibri Light" w:cs="Calibri Light"/>
          <w:color w:val="404040" w:themeColor="text1" w:themeTint="BF"/>
          <w:sz w:val="18"/>
        </w:rPr>
        <w:t>[SOC 2: CC3.3, CC1.1]</w:t>
      </w:r>
    </w:p>
    <w:p w14:paraId="3A90FD93" w14:textId="77777777" w:rsidR="00160DA2" w:rsidRDefault="00000000">
      <w:pPr>
        <w:pStyle w:val="Emphasis-Normal"/>
        <w:numPr>
          <w:ilvl w:val="0"/>
          <w:numId w:val="8"/>
        </w:numPr>
        <w:spacing w:after="120"/>
        <w:jc w:val="both"/>
      </w:pPr>
      <w:r>
        <w:rPr>
          <w:color w:val="404040" w:themeColor="text1" w:themeTint="BF"/>
        </w:rPr>
        <w:t xml:space="preserve">The absence of oversight independent of security operations is carried as a recorded risk with an annual review date, rather than left as an unstated feature of the Company's size.  </w:t>
      </w:r>
      <w:r>
        <w:rPr>
          <w:rFonts w:ascii="Calibri Light" w:eastAsia="Calibri Light" w:hAnsi="Calibri Light" w:cs="Calibri Light"/>
          <w:color w:val="404040" w:themeColor="text1" w:themeTint="BF"/>
          <w:sz w:val="18"/>
        </w:rPr>
        <w:t>[SOC 2: CC1.2, CC1.3]</w:t>
      </w:r>
    </w:p>
    <w:p w14:paraId="675CD0D5" w14:textId="77777777" w:rsidR="00160DA2" w:rsidRDefault="00000000">
      <w:pPr>
        <w:pStyle w:val="Emphasis-Normal"/>
        <w:numPr>
          <w:ilvl w:val="0"/>
          <w:numId w:val="8"/>
        </w:numPr>
        <w:spacing w:after="120"/>
        <w:jc w:val="both"/>
      </w:pPr>
      <w:r>
        <w:rPr>
          <w:color w:val="404040" w:themeColor="text1" w:themeTint="BF"/>
        </w:rPr>
        <w:t xml:space="preserve">External change is reviewed: the threat landscape, applicable regulation, and AI-specific developments including provider terms, model deprecations and published attack techniques. The sources relied on are the ones named in the external information source list under the Information Security Policy, so this is checkable rather than an assertion of vigilance. Where nothing changed the Company's position, that is recorded.  </w:t>
      </w:r>
      <w:r>
        <w:rPr>
          <w:rFonts w:ascii="Calibri Light" w:eastAsia="Calibri Light" w:hAnsi="Calibri Light" w:cs="Calibri Light"/>
          <w:color w:val="404040" w:themeColor="text1" w:themeTint="BF"/>
          <w:sz w:val="18"/>
        </w:rPr>
        <w:t>[SOC 2: CC3.4, CC2.1]</w:t>
      </w:r>
    </w:p>
    <w:p w14:paraId="6EC472D0" w14:textId="77777777" w:rsidR="00160DA2" w:rsidRDefault="00000000">
      <w:pPr>
        <w:pStyle w:val="Heading1"/>
        <w:keepNext/>
        <w:numPr>
          <w:ilvl w:val="0"/>
          <w:numId w:val="13"/>
        </w:numPr>
        <w:spacing w:before="240" w:after="80"/>
      </w:pPr>
      <w:bookmarkStart w:id="17" w:name="_S509"/>
      <w:bookmarkStart w:id="18" w:name="_Toc237817112"/>
      <w:r>
        <w:t>Reassessment Triggers</w:t>
      </w:r>
      <w:bookmarkEnd w:id="17"/>
      <w:bookmarkEnd w:id="18"/>
    </w:p>
    <w:p w14:paraId="017583F0" w14:textId="77777777" w:rsidR="00160DA2" w:rsidRDefault="00000000">
      <w:pPr>
        <w:pStyle w:val="BodyText9"/>
        <w:spacing w:after="120"/>
        <w:jc w:val="both"/>
      </w:pPr>
      <w:r>
        <w:rPr>
          <w:color w:val="404040" w:themeColor="text1" w:themeTint="BF"/>
        </w:rPr>
        <w:t>Between annual assessments, these oblige a reassessment. The list is short so that it gets read.</w:t>
      </w:r>
    </w:p>
    <w:p w14:paraId="145330BC" w14:textId="77777777" w:rsidR="00160DA2" w:rsidRDefault="00000000">
      <w:pPr>
        <w:pStyle w:val="Emphasis-Normal"/>
        <w:numPr>
          <w:ilvl w:val="0"/>
          <w:numId w:val="9"/>
        </w:numPr>
        <w:spacing w:after="120"/>
        <w:jc w:val="both"/>
      </w:pPr>
      <w:r>
        <w:rPr>
          <w:color w:val="404040" w:themeColor="text1" w:themeTint="BF"/>
        </w:rPr>
        <w:t xml:space="preserve">A new product, service or model in the path of what the Company delivers; a new customer segment or a client with materially different obligations; a new vendor or sub-processor handling client information; a material change to the system boundary; or a significant incident.  </w:t>
      </w:r>
      <w:r>
        <w:rPr>
          <w:rFonts w:ascii="Calibri Light" w:eastAsia="Calibri Light" w:hAnsi="Calibri Light" w:cs="Calibri Light"/>
          <w:color w:val="404040" w:themeColor="text1" w:themeTint="BF"/>
          <w:sz w:val="18"/>
        </w:rPr>
        <w:t>[SOC 2: CC3.4]</w:t>
      </w:r>
    </w:p>
    <w:p w14:paraId="568145A8" w14:textId="77777777" w:rsidR="00160DA2" w:rsidRDefault="00000000">
      <w:pPr>
        <w:pStyle w:val="Emphasis-Normal"/>
        <w:numPr>
          <w:ilvl w:val="0"/>
          <w:numId w:val="9"/>
        </w:numPr>
        <w:spacing w:after="120"/>
        <w:jc w:val="both"/>
      </w:pPr>
      <w:r>
        <w:rPr>
          <w:color w:val="404040" w:themeColor="text1" w:themeTint="BF"/>
        </w:rPr>
        <w:t xml:space="preserve">When a trigger fires, the assessment is refreshed for what changed — not repeated in full — and the change is approved before it goes live.  </w:t>
      </w:r>
      <w:r>
        <w:rPr>
          <w:rFonts w:ascii="Calibri Light" w:eastAsia="Calibri Light" w:hAnsi="Calibri Light" w:cs="Calibri Light"/>
          <w:color w:val="404040" w:themeColor="text1" w:themeTint="BF"/>
          <w:sz w:val="18"/>
        </w:rPr>
        <w:t>[SOC 2: CC3.4, CC8.1]</w:t>
      </w:r>
    </w:p>
    <w:p w14:paraId="385A2D90" w14:textId="77777777" w:rsidR="00160DA2" w:rsidRDefault="00000000">
      <w:pPr>
        <w:pStyle w:val="Emphasis-Normal"/>
        <w:numPr>
          <w:ilvl w:val="0"/>
          <w:numId w:val="9"/>
        </w:numPr>
        <w:spacing w:after="120"/>
        <w:jc w:val="both"/>
      </w:pPr>
      <w:r>
        <w:rPr>
          <w:color w:val="404040" w:themeColor="text1" w:themeTint="BF"/>
        </w:rPr>
        <w:t xml:space="preserve">Closing a trigger includes updating the System Security Plan and the asset inventory where the boundary moved.  </w:t>
      </w:r>
      <w:r>
        <w:rPr>
          <w:rFonts w:ascii="Calibri Light" w:eastAsia="Calibri Light" w:hAnsi="Calibri Light" w:cs="Calibri Light"/>
          <w:color w:val="404040" w:themeColor="text1" w:themeTint="BF"/>
          <w:sz w:val="18"/>
        </w:rPr>
        <w:t>[SOC 2: CC3.4, CC2.1]</w:t>
      </w:r>
    </w:p>
    <w:p w14:paraId="7692C247" w14:textId="77777777" w:rsidR="00160DA2" w:rsidRDefault="00000000">
      <w:pPr>
        <w:pStyle w:val="Heading1"/>
        <w:keepNext/>
        <w:numPr>
          <w:ilvl w:val="0"/>
          <w:numId w:val="13"/>
        </w:numPr>
        <w:spacing w:before="240" w:after="80"/>
      </w:pPr>
      <w:bookmarkStart w:id="19" w:name="_S510"/>
      <w:bookmarkStart w:id="20" w:name="_Toc237817113"/>
      <w:r>
        <w:lastRenderedPageBreak/>
        <w:t>From Risk to Control</w:t>
      </w:r>
      <w:bookmarkEnd w:id="19"/>
      <w:bookmarkEnd w:id="20"/>
    </w:p>
    <w:p w14:paraId="77341D3E" w14:textId="77777777" w:rsidR="00160DA2" w:rsidRDefault="00000000">
      <w:pPr>
        <w:pStyle w:val="Emphasis-Normal"/>
        <w:numPr>
          <w:ilvl w:val="0"/>
          <w:numId w:val="10"/>
        </w:numPr>
        <w:spacing w:after="120"/>
        <w:jc w:val="both"/>
      </w:pPr>
      <w:r>
        <w:rPr>
          <w:color w:val="404040" w:themeColor="text1" w:themeTint="BF"/>
        </w:rPr>
        <w:t xml:space="preserve">Controls are selected to treat identified risks, and the mapping from risk to control is recorded so that both directions can be read: what treats this risk, and what risk does this control exist for.  </w:t>
      </w:r>
      <w:r>
        <w:rPr>
          <w:rFonts w:ascii="Calibri Light" w:eastAsia="Calibri Light" w:hAnsi="Calibri Light" w:cs="Calibri Light"/>
          <w:color w:val="404040" w:themeColor="text1" w:themeTint="BF"/>
          <w:sz w:val="18"/>
        </w:rPr>
        <w:t>[SOC 2: CC5.1]</w:t>
      </w:r>
    </w:p>
    <w:p w14:paraId="2552D2AE" w14:textId="77777777" w:rsidR="00160DA2" w:rsidRDefault="00000000">
      <w:pPr>
        <w:pStyle w:val="Emphasis-Normal"/>
        <w:numPr>
          <w:ilvl w:val="0"/>
          <w:numId w:val="10"/>
        </w:numPr>
        <w:spacing w:after="120"/>
        <w:jc w:val="both"/>
      </w:pPr>
      <w:r>
        <w:rPr>
          <w:color w:val="404040" w:themeColor="text1" w:themeTint="BF"/>
        </w:rPr>
        <w:t xml:space="preserve">Selection considers where the risk arises and combines preventing it with detecting it. A risk treated only by detection is one the Company has decided to notice rather than avoid, and that is a choice worth making deliberately.  </w:t>
      </w:r>
      <w:r>
        <w:rPr>
          <w:rFonts w:ascii="Calibri Light" w:eastAsia="Calibri Light" w:hAnsi="Calibri Light" w:cs="Calibri Light"/>
          <w:color w:val="404040" w:themeColor="text1" w:themeTint="BF"/>
          <w:sz w:val="18"/>
        </w:rPr>
        <w:t>[SOC 2: CC5.1]</w:t>
      </w:r>
    </w:p>
    <w:p w14:paraId="75691A20" w14:textId="77777777" w:rsidR="00160DA2" w:rsidRDefault="00000000">
      <w:pPr>
        <w:pStyle w:val="Emphasis-Normal"/>
        <w:numPr>
          <w:ilvl w:val="0"/>
          <w:numId w:val="10"/>
        </w:numPr>
        <w:spacing w:after="120"/>
        <w:jc w:val="both"/>
      </w:pPr>
      <w:r>
        <w:rPr>
          <w:color w:val="404040" w:themeColor="text1" w:themeTint="BF"/>
        </w:rPr>
        <w:t xml:space="preserve">A control is not adopted because a framework lists it. A control that treats no identified risk is removed rather than carried, because every control carried is one that must be operated and evidenced.  </w:t>
      </w:r>
      <w:r>
        <w:rPr>
          <w:rFonts w:ascii="Calibri Light" w:eastAsia="Calibri Light" w:hAnsi="Calibri Light" w:cs="Calibri Light"/>
          <w:color w:val="404040" w:themeColor="text1" w:themeTint="BF"/>
          <w:sz w:val="18"/>
        </w:rPr>
        <w:t>[SOC 2: CC5.1, CC5.3]</w:t>
      </w:r>
    </w:p>
    <w:p w14:paraId="5C1C3150" w14:textId="77777777" w:rsidR="00160DA2" w:rsidRDefault="00000000">
      <w:pPr>
        <w:pStyle w:val="Heading1"/>
        <w:keepNext/>
        <w:numPr>
          <w:ilvl w:val="0"/>
          <w:numId w:val="13"/>
        </w:numPr>
        <w:spacing w:before="240" w:after="80"/>
      </w:pPr>
      <w:bookmarkStart w:id="21" w:name="_S511"/>
      <w:bookmarkStart w:id="22" w:name="_Toc237817114"/>
      <w:r>
        <w:t>Records</w:t>
      </w:r>
      <w:bookmarkEnd w:id="21"/>
      <w:bookmarkEnd w:id="22"/>
    </w:p>
    <w:p w14:paraId="409CB549" w14:textId="77777777" w:rsidR="00160DA2" w:rsidRDefault="00000000">
      <w:pPr>
        <w:pStyle w:val="Emphasis-Normal"/>
        <w:numPr>
          <w:ilvl w:val="0"/>
          <w:numId w:val="11"/>
        </w:numPr>
        <w:spacing w:after="120"/>
        <w:jc w:val="both"/>
      </w:pPr>
      <w:r>
        <w:rPr>
          <w:color w:val="404040" w:themeColor="text1" w:themeTint="BF"/>
        </w:rPr>
        <w:t xml:space="preserve">The risk register, including the scoring scales and the appetite statement.  </w:t>
      </w:r>
      <w:r>
        <w:rPr>
          <w:rFonts w:ascii="Calibri Light" w:eastAsia="Calibri Light" w:hAnsi="Calibri Light" w:cs="Calibri Light"/>
          <w:color w:val="404040" w:themeColor="text1" w:themeTint="BF"/>
          <w:sz w:val="18"/>
        </w:rPr>
        <w:t>[SOC 2: CC3.2]</w:t>
      </w:r>
    </w:p>
    <w:p w14:paraId="56E38896" w14:textId="77777777" w:rsidR="00160DA2" w:rsidRDefault="00000000">
      <w:pPr>
        <w:pStyle w:val="Emphasis-Normal"/>
        <w:numPr>
          <w:ilvl w:val="0"/>
          <w:numId w:val="11"/>
        </w:numPr>
        <w:spacing w:after="120"/>
        <w:jc w:val="both"/>
      </w:pPr>
      <w:r>
        <w:rPr>
          <w:color w:val="404040" w:themeColor="text1" w:themeTint="BF"/>
        </w:rPr>
        <w:t xml:space="preserve">The annual assessment record, including the fraud section and its nil return where applicable.  </w:t>
      </w:r>
      <w:r>
        <w:rPr>
          <w:rFonts w:ascii="Calibri Light" w:eastAsia="Calibri Light" w:hAnsi="Calibri Light" w:cs="Calibri Light"/>
          <w:color w:val="404040" w:themeColor="text1" w:themeTint="BF"/>
          <w:sz w:val="18"/>
        </w:rPr>
        <w:t>[SOC 2: CC3.3]</w:t>
      </w:r>
    </w:p>
    <w:p w14:paraId="71FBBEE0" w14:textId="77777777" w:rsidR="00160DA2" w:rsidRDefault="00000000">
      <w:pPr>
        <w:pStyle w:val="Emphasis-Normal"/>
        <w:numPr>
          <w:ilvl w:val="0"/>
          <w:numId w:val="11"/>
        </w:numPr>
        <w:spacing w:after="120"/>
        <w:jc w:val="both"/>
      </w:pPr>
      <w:r>
        <w:rPr>
          <w:color w:val="404040" w:themeColor="text1" w:themeTint="BF"/>
        </w:rPr>
        <w:t xml:space="preserve">Risk acceptances with rationale, decider, date and expiry.  </w:t>
      </w:r>
      <w:r>
        <w:rPr>
          <w:rFonts w:ascii="Calibri Light" w:eastAsia="Calibri Light" w:hAnsi="Calibri Light" w:cs="Calibri Light"/>
          <w:color w:val="404040" w:themeColor="text1" w:themeTint="BF"/>
          <w:sz w:val="18"/>
        </w:rPr>
        <w:t>[SOC 2: CC3.2]</w:t>
      </w:r>
    </w:p>
    <w:p w14:paraId="61D69627" w14:textId="77777777" w:rsidR="00160DA2" w:rsidRDefault="00000000">
      <w:pPr>
        <w:pStyle w:val="Emphasis-Normal"/>
        <w:numPr>
          <w:ilvl w:val="0"/>
          <w:numId w:val="11"/>
        </w:numPr>
        <w:spacing w:after="120"/>
        <w:jc w:val="both"/>
      </w:pPr>
      <w:r>
        <w:rPr>
          <w:color w:val="404040" w:themeColor="text1" w:themeTint="BF"/>
        </w:rPr>
        <w:t xml:space="preserve">Reassessment records where a trigger fired.  </w:t>
      </w:r>
      <w:r>
        <w:rPr>
          <w:rFonts w:ascii="Calibri Light" w:eastAsia="Calibri Light" w:hAnsi="Calibri Light" w:cs="Calibri Light"/>
          <w:color w:val="404040" w:themeColor="text1" w:themeTint="BF"/>
          <w:sz w:val="18"/>
        </w:rPr>
        <w:t>[SOC 2: CC3.4]</w:t>
      </w:r>
    </w:p>
    <w:p w14:paraId="004B3CE6" w14:textId="77777777" w:rsidR="00160DA2" w:rsidRDefault="00000000">
      <w:pPr>
        <w:pStyle w:val="Emphasis-Normal"/>
        <w:numPr>
          <w:ilvl w:val="0"/>
          <w:numId w:val="11"/>
        </w:numPr>
        <w:spacing w:after="120"/>
        <w:jc w:val="both"/>
      </w:pPr>
      <w:r>
        <w:rPr>
          <w:color w:val="404040" w:themeColor="text1" w:themeTint="BF"/>
        </w:rPr>
        <w:t xml:space="preserve">The risk-to-control mapping.  </w:t>
      </w:r>
      <w:r>
        <w:rPr>
          <w:rFonts w:ascii="Calibri Light" w:eastAsia="Calibri Light" w:hAnsi="Calibri Light" w:cs="Calibri Light"/>
          <w:color w:val="404040" w:themeColor="text1" w:themeTint="BF"/>
          <w:sz w:val="18"/>
        </w:rPr>
        <w:t>[SOC 2: CC5.1]</w:t>
      </w:r>
    </w:p>
    <w:p w14:paraId="616BF827" w14:textId="77777777" w:rsidR="00160DA2" w:rsidRDefault="00000000">
      <w:pPr>
        <w:pStyle w:val="Heading1"/>
        <w:keepNext/>
        <w:numPr>
          <w:ilvl w:val="0"/>
          <w:numId w:val="13"/>
        </w:numPr>
        <w:spacing w:before="240" w:after="80"/>
      </w:pPr>
      <w:bookmarkStart w:id="23" w:name="_S512"/>
      <w:bookmarkStart w:id="24" w:name="_Toc237817115"/>
      <w:r>
        <w:t>Exceptions</w:t>
      </w:r>
      <w:bookmarkEnd w:id="23"/>
      <w:bookmarkEnd w:id="24"/>
    </w:p>
    <w:p w14:paraId="061BDDA5" w14:textId="77777777" w:rsidR="00160DA2" w:rsidRDefault="00000000">
      <w:pPr>
        <w:pStyle w:val="BodyText9"/>
        <w:spacing w:after="120"/>
        <w:jc w:val="both"/>
      </w:pPr>
      <w:r>
        <w:rPr>
          <w:color w:val="404040" w:themeColor="text1" w:themeTint="BF"/>
        </w:rPr>
        <w:t>Where a requirement of this Policy cannot be met proportionately, the position is recorded by the Accountable Party with the compensating measure and a review date. Where no exceptions are in force, that is recorded affirmatively at the annual review.</w:t>
      </w:r>
    </w:p>
    <w:p w14:paraId="7612ACE6" w14:textId="77777777" w:rsidR="00160DA2" w:rsidRDefault="00000000">
      <w:pPr>
        <w:pStyle w:val="Heading1"/>
        <w:keepNext/>
        <w:numPr>
          <w:ilvl w:val="0"/>
          <w:numId w:val="13"/>
        </w:numPr>
        <w:spacing w:before="240" w:after="80"/>
      </w:pPr>
      <w:bookmarkStart w:id="25" w:name="_S513"/>
      <w:bookmarkStart w:id="26" w:name="_Toc237817116"/>
      <w:r>
        <w:t>Reference</w:t>
      </w:r>
      <w:bookmarkEnd w:id="25"/>
      <w:bookmarkEnd w:id="26"/>
    </w:p>
    <w:p w14:paraId="457FE8F8" w14:textId="778BF74D" w:rsidR="00160DA2" w:rsidRDefault="00000000">
      <w:pPr>
        <w:pStyle w:val="Emphasis-Normal"/>
        <w:numPr>
          <w:ilvl w:val="0"/>
          <w:numId w:val="12"/>
        </w:numPr>
        <w:spacing w:after="120"/>
        <w:jc w:val="both"/>
      </w:pPr>
      <w:r>
        <w:rPr>
          <w:color w:val="404040" w:themeColor="text1" w:themeTint="BF"/>
        </w:rPr>
        <w:t xml:space="preserve">SOC 2 Trust Services Criteria, Security </w:t>
      </w:r>
      <w:r w:rsidR="00D51241">
        <w:rPr>
          <w:color w:val="404040" w:themeColor="text1" w:themeTint="BF"/>
        </w:rPr>
        <w:t>category [</w:t>
      </w:r>
      <w:r>
        <w:rPr>
          <w:rFonts w:ascii="Calibri Light" w:eastAsia="Calibri Light" w:hAnsi="Calibri Light" w:cs="Calibri Light"/>
          <w:color w:val="404040" w:themeColor="text1" w:themeTint="BF"/>
          <w:sz w:val="18"/>
        </w:rPr>
        <w:t>CC1.2, CC3.1, CC3.2, CC3.3, CC3.4, CC5.1]</w:t>
      </w:r>
    </w:p>
    <w:p w14:paraId="57193DD8" w14:textId="29165254" w:rsidR="00160DA2" w:rsidRDefault="00000000">
      <w:pPr>
        <w:pStyle w:val="Emphasis-Normal"/>
        <w:numPr>
          <w:ilvl w:val="0"/>
          <w:numId w:val="12"/>
        </w:numPr>
        <w:spacing w:after="120"/>
        <w:jc w:val="both"/>
      </w:pPr>
      <w:r>
        <w:rPr>
          <w:color w:val="404040" w:themeColor="text1" w:themeTint="BF"/>
        </w:rPr>
        <w:t xml:space="preserve">POL-ISP-001 Information Security </w:t>
      </w:r>
      <w:r w:rsidR="00D51241">
        <w:rPr>
          <w:color w:val="404040" w:themeColor="text1" w:themeTint="BF"/>
        </w:rPr>
        <w:t>Policy [</w:t>
      </w:r>
      <w:r>
        <w:rPr>
          <w:rFonts w:ascii="Calibri Light" w:eastAsia="Calibri Light" w:hAnsi="Calibri Light" w:cs="Calibri Light"/>
          <w:color w:val="404040" w:themeColor="text1" w:themeTint="BF"/>
          <w:sz w:val="18"/>
        </w:rPr>
        <w:t>SOC 2: CC5.3, CC2.1]</w:t>
      </w:r>
    </w:p>
    <w:p w14:paraId="7E6679CE" w14:textId="26C25861" w:rsidR="00160DA2" w:rsidRDefault="00000000">
      <w:pPr>
        <w:pStyle w:val="Emphasis-Normal"/>
        <w:numPr>
          <w:ilvl w:val="0"/>
          <w:numId w:val="12"/>
        </w:numPr>
        <w:spacing w:after="120"/>
        <w:jc w:val="both"/>
      </w:pPr>
      <w:r>
        <w:rPr>
          <w:color w:val="404040" w:themeColor="text1" w:themeTint="BF"/>
        </w:rPr>
        <w:t xml:space="preserve">FRM-CE-001 Annual Control Environment </w:t>
      </w:r>
      <w:r w:rsidR="00D51241">
        <w:rPr>
          <w:color w:val="404040" w:themeColor="text1" w:themeTint="BF"/>
        </w:rPr>
        <w:t>Assessment [</w:t>
      </w:r>
      <w:r>
        <w:rPr>
          <w:rFonts w:ascii="Calibri Light" w:eastAsia="Calibri Light" w:hAnsi="Calibri Light" w:cs="Calibri Light"/>
          <w:color w:val="404040" w:themeColor="text1" w:themeTint="BF"/>
          <w:sz w:val="18"/>
        </w:rPr>
        <w:t>SOC 2: CC4.1]</w:t>
      </w:r>
    </w:p>
    <w:p w14:paraId="3C5BDB15" w14:textId="4032DF94" w:rsidR="00160DA2" w:rsidRDefault="00000000">
      <w:pPr>
        <w:pStyle w:val="Emphasis-Normal"/>
        <w:numPr>
          <w:ilvl w:val="0"/>
          <w:numId w:val="12"/>
        </w:numPr>
        <w:spacing w:after="120"/>
        <w:jc w:val="both"/>
      </w:pPr>
      <w:r>
        <w:rPr>
          <w:color w:val="404040" w:themeColor="text1" w:themeTint="BF"/>
        </w:rPr>
        <w:t xml:space="preserve">POL-COC-001 Code of </w:t>
      </w:r>
      <w:r w:rsidR="00D51241">
        <w:rPr>
          <w:color w:val="404040" w:themeColor="text1" w:themeTint="BF"/>
        </w:rPr>
        <w:t>Conduct [</w:t>
      </w:r>
      <w:r>
        <w:rPr>
          <w:rFonts w:ascii="Calibri Light" w:eastAsia="Calibri Light" w:hAnsi="Calibri Light" w:cs="Calibri Light"/>
          <w:color w:val="404040" w:themeColor="text1" w:themeTint="BF"/>
          <w:sz w:val="18"/>
        </w:rPr>
        <w:t>SOC 2: CC1.1]</w:t>
      </w:r>
    </w:p>
    <w:p w14:paraId="2AF08939" w14:textId="6C627C27" w:rsidR="00160DA2" w:rsidRDefault="00000000">
      <w:pPr>
        <w:pStyle w:val="Emphasis-Normal"/>
        <w:numPr>
          <w:ilvl w:val="0"/>
          <w:numId w:val="12"/>
        </w:numPr>
        <w:spacing w:after="120"/>
        <w:jc w:val="both"/>
      </w:pPr>
      <w:r>
        <w:rPr>
          <w:color w:val="404040" w:themeColor="text1" w:themeTint="BF"/>
        </w:rPr>
        <w:t xml:space="preserve">POL-VM-001 Vendor Management </w:t>
      </w:r>
      <w:r w:rsidR="00D51241">
        <w:rPr>
          <w:color w:val="404040" w:themeColor="text1" w:themeTint="BF"/>
        </w:rPr>
        <w:t>Policy [</w:t>
      </w:r>
      <w:r>
        <w:rPr>
          <w:rFonts w:ascii="Calibri Light" w:eastAsia="Calibri Light" w:hAnsi="Calibri Light" w:cs="Calibri Light"/>
          <w:color w:val="404040" w:themeColor="text1" w:themeTint="BF"/>
          <w:sz w:val="18"/>
        </w:rPr>
        <w:t>SOC 2: CC9.2]</w:t>
      </w:r>
    </w:p>
    <w:p w14:paraId="68CD2C51" w14:textId="02E91F70" w:rsidR="00160DA2" w:rsidRDefault="00000000">
      <w:pPr>
        <w:pStyle w:val="Emphasis-Normal"/>
        <w:numPr>
          <w:ilvl w:val="0"/>
          <w:numId w:val="12"/>
        </w:numPr>
        <w:spacing w:after="120"/>
        <w:jc w:val="both"/>
      </w:pPr>
      <w:r>
        <w:rPr>
          <w:color w:val="404040" w:themeColor="text1" w:themeTint="BF"/>
        </w:rPr>
        <w:t xml:space="preserve">POL-AI-001 Artificial Intelligence Governance </w:t>
      </w:r>
      <w:r w:rsidR="00D51241">
        <w:rPr>
          <w:color w:val="404040" w:themeColor="text1" w:themeTint="BF"/>
        </w:rPr>
        <w:t>Policy [</w:t>
      </w:r>
      <w:r>
        <w:rPr>
          <w:rFonts w:ascii="Calibri Light" w:eastAsia="Calibri Light" w:hAnsi="Calibri Light" w:cs="Calibri Light"/>
          <w:color w:val="404040" w:themeColor="text1" w:themeTint="BF"/>
          <w:sz w:val="18"/>
        </w:rPr>
        <w:t>SOC 2: CC3.4]</w:t>
      </w:r>
    </w:p>
    <w:p w14:paraId="222A0CC0" w14:textId="62129821" w:rsidR="00160DA2" w:rsidRDefault="00000000">
      <w:pPr>
        <w:pStyle w:val="Emphasis-Normal"/>
        <w:numPr>
          <w:ilvl w:val="0"/>
          <w:numId w:val="12"/>
        </w:numPr>
        <w:spacing w:after="120"/>
        <w:jc w:val="both"/>
      </w:pPr>
      <w:r>
        <w:rPr>
          <w:color w:val="404040" w:themeColor="text1" w:themeTint="BF"/>
        </w:rPr>
        <w:t xml:space="preserve">POL-CM-001 Change Management </w:t>
      </w:r>
      <w:r w:rsidR="00D51241">
        <w:rPr>
          <w:color w:val="404040" w:themeColor="text1" w:themeTint="BF"/>
        </w:rPr>
        <w:t>Policy [</w:t>
      </w:r>
      <w:r>
        <w:rPr>
          <w:rFonts w:ascii="Calibri Light" w:eastAsia="Calibri Light" w:hAnsi="Calibri Light" w:cs="Calibri Light"/>
          <w:color w:val="404040" w:themeColor="text1" w:themeTint="BF"/>
          <w:sz w:val="18"/>
        </w:rPr>
        <w:t>SOC 2: CC8.1]</w:t>
      </w:r>
    </w:p>
    <w:p w14:paraId="4237D5C0" w14:textId="77777777" w:rsidR="00160DA2" w:rsidRDefault="00000000">
      <w:pPr>
        <w:pStyle w:val="Emphasis-Normal"/>
        <w:numPr>
          <w:ilvl w:val="0"/>
          <w:numId w:val="12"/>
        </w:numPr>
        <w:spacing w:after="120"/>
        <w:jc w:val="both"/>
      </w:pPr>
      <w:r>
        <w:rPr>
          <w:color w:val="404040" w:themeColor="text1" w:themeTint="BF"/>
        </w:rPr>
        <w:t>EU General Data Protection Regulation, Articles 32 and 35</w:t>
      </w:r>
    </w:p>
    <w:p w14:paraId="731002D6" w14:textId="77777777" w:rsidR="00160DA2" w:rsidRDefault="00000000" w:rsidP="00D51241">
      <w:pPr>
        <w:pStyle w:val="Heading1"/>
      </w:pPr>
      <w:bookmarkStart w:id="27" w:name="_Toc236674048"/>
      <w:bookmarkStart w:id="28" w:name="_Toc237817117"/>
      <w:r>
        <w:t xml:space="preserve">Document Policy </w:t>
      </w:r>
      <w:r w:rsidRPr="00D51241">
        <w:t>History</w:t>
      </w:r>
      <w:bookmarkEnd w:id="27"/>
      <w:bookmarkEnd w:id="28"/>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160DA2" w14:paraId="4DDAC80B"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849AEA6" w14:textId="77777777" w:rsidR="00160DA2" w:rsidRDefault="00000000">
            <w:pPr>
              <w:suppressLineNumbers/>
              <w:spacing w:before="40" w:after="40" w:line="240" w:lineRule="auto"/>
            </w:pPr>
            <w:r>
              <w:rPr>
                <w:b/>
                <w:sz w:val="20"/>
              </w:rPr>
              <w:lastRenderedPageBreak/>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DBDE727" w14:textId="77777777" w:rsidR="00160DA2"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9599CA3" w14:textId="77777777" w:rsidR="00160DA2" w:rsidRDefault="00000000">
            <w:pPr>
              <w:suppressLineNumbers/>
              <w:spacing w:before="40" w:after="40" w:line="240" w:lineRule="auto"/>
            </w:pPr>
            <w:r>
              <w:rPr>
                <w:b/>
                <w:sz w:val="20"/>
              </w:rPr>
              <w:t>Description</w:t>
            </w:r>
          </w:p>
        </w:tc>
      </w:tr>
      <w:tr w:rsidR="00160DA2" w14:paraId="23FC7953"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D393BFD" w14:textId="77777777" w:rsidR="00160DA2"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7BF4B9F" w14:textId="77777777" w:rsidR="00160DA2"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0C5167D" w14:textId="77777777" w:rsidR="00160DA2" w:rsidRDefault="00000000">
            <w:pPr>
              <w:suppressLineNumbers/>
              <w:spacing w:before="40" w:after="40" w:line="240" w:lineRule="auto"/>
            </w:pPr>
            <w:r>
              <w:rPr>
                <w:sz w:val="20"/>
              </w:rPr>
              <w:t>Initial policy release</w:t>
            </w:r>
          </w:p>
        </w:tc>
      </w:tr>
    </w:tbl>
    <w:p w14:paraId="27C73CAC" w14:textId="77777777" w:rsidR="00160DA2" w:rsidRDefault="00160DA2"/>
    <w:sectPr w:rsidR="00160DA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199947" w14:textId="77777777" w:rsidR="00166905" w:rsidRDefault="00166905">
      <w:pPr>
        <w:spacing w:after="0" w:line="240" w:lineRule="auto"/>
      </w:pPr>
      <w:r>
        <w:separator/>
      </w:r>
    </w:p>
  </w:endnote>
  <w:endnote w:type="continuationSeparator" w:id="0">
    <w:p w14:paraId="1D057F2F" w14:textId="77777777" w:rsidR="00166905" w:rsidRDefault="00166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4A352" w14:textId="77777777" w:rsidR="00160DA2" w:rsidRDefault="00160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6628" w14:textId="77777777" w:rsidR="00160DA2" w:rsidRDefault="00000000">
    <w:pPr>
      <w:suppressLineNumbers/>
      <w:pBdr>
        <w:top w:val="single" w:sz="6" w:space="4" w:color="1B4965"/>
      </w:pBdr>
      <w:spacing w:before="160" w:after="0"/>
      <w:jc w:val="center"/>
    </w:pPr>
    <w:r>
      <w:rPr>
        <w:sz w:val="17"/>
      </w:rPr>
      <w:t xml:space="preserve">PromptHalo Technologies   ·   Internal   ·   POL-RSK-001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6284" w14:textId="77777777" w:rsidR="00160DA2" w:rsidRDefault="00160DA2">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5E3D2" w14:textId="77777777" w:rsidR="00160DA2" w:rsidRDefault="00160D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672AE" w14:textId="77777777" w:rsidR="00160DA2" w:rsidRDefault="00000000">
    <w:pPr>
      <w:suppressLineNumbers/>
      <w:pBdr>
        <w:top w:val="single" w:sz="6" w:space="4" w:color="1B4965"/>
      </w:pBdr>
      <w:spacing w:before="160" w:after="0"/>
      <w:jc w:val="center"/>
    </w:pPr>
    <w:r>
      <w:rPr>
        <w:sz w:val="17"/>
      </w:rPr>
      <w:t xml:space="preserve">PromptHalo Technologies   ·   Internal   ·   POL-RSK-001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DD2A7" w14:textId="77777777" w:rsidR="00160DA2" w:rsidRDefault="00160DA2">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8434B" w14:textId="77777777" w:rsidR="00166905" w:rsidRDefault="00166905">
      <w:pPr>
        <w:spacing w:after="0" w:line="240" w:lineRule="auto"/>
      </w:pPr>
      <w:r>
        <w:separator/>
      </w:r>
    </w:p>
  </w:footnote>
  <w:footnote w:type="continuationSeparator" w:id="0">
    <w:p w14:paraId="7D6C4DA8" w14:textId="77777777" w:rsidR="00166905" w:rsidRDefault="00166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5063" w14:textId="77777777" w:rsidR="00160DA2" w:rsidRDefault="00160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F982A" w14:textId="77777777" w:rsidR="00160DA2" w:rsidRDefault="00000000">
    <w:pPr>
      <w:suppressLineNumbers/>
      <w:pBdr>
        <w:bottom w:val="single" w:sz="6" w:space="4" w:color="1B4965"/>
      </w:pBdr>
      <w:spacing w:after="160"/>
      <w:jc w:val="center"/>
    </w:pPr>
    <w:r>
      <w:rPr>
        <w:b/>
        <w:caps/>
        <w:spacing w:val="12"/>
        <w:sz w:val="17"/>
      </w:rPr>
      <w:t>RISK MANAGEMENT POLICY   ·   INTERNAL   ·   POL-RSK-001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E93F6" w14:textId="77777777" w:rsidR="00160DA2" w:rsidRDefault="00160DA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D26BB" w14:textId="77777777" w:rsidR="00160DA2" w:rsidRDefault="00160D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C77E" w14:textId="77777777" w:rsidR="00160DA2" w:rsidRDefault="00000000">
    <w:pPr>
      <w:suppressLineNumbers/>
      <w:pBdr>
        <w:bottom w:val="single" w:sz="6" w:space="4" w:color="1B4965"/>
      </w:pBdr>
      <w:spacing w:after="160"/>
      <w:jc w:val="center"/>
    </w:pPr>
    <w:r>
      <w:rPr>
        <w:b/>
        <w:caps/>
        <w:spacing w:val="12"/>
        <w:sz w:val="17"/>
      </w:rPr>
      <w:t>RISK MANAGEMENT POLICY   ·   INTERNAL   ·   POL-RSK-001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833B7" w14:textId="77777777" w:rsidR="00160DA2" w:rsidRDefault="00160DA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02ACE"/>
    <w:multiLevelType w:val="multilevel"/>
    <w:tmpl w:val="9C94857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505191"/>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327119F"/>
    <w:multiLevelType w:val="multilevel"/>
    <w:tmpl w:val="601C75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3950659">
    <w:abstractNumId w:val="0"/>
  </w:num>
  <w:num w:numId="2" w16cid:durableId="1642298840">
    <w:abstractNumId w:val="1"/>
  </w:num>
  <w:num w:numId="3" w16cid:durableId="1194346300">
    <w:abstractNumId w:val="2"/>
    <w:lvlOverride w:ilvl="0">
      <w:startOverride w:val="1"/>
    </w:lvlOverride>
  </w:num>
  <w:num w:numId="4" w16cid:durableId="1891960760">
    <w:abstractNumId w:val="2"/>
    <w:lvlOverride w:ilvl="0">
      <w:startOverride w:val="1"/>
    </w:lvlOverride>
  </w:num>
  <w:num w:numId="5" w16cid:durableId="1168249472">
    <w:abstractNumId w:val="2"/>
    <w:lvlOverride w:ilvl="0">
      <w:startOverride w:val="1"/>
    </w:lvlOverride>
  </w:num>
  <w:num w:numId="6" w16cid:durableId="1998225123">
    <w:abstractNumId w:val="2"/>
    <w:lvlOverride w:ilvl="0">
      <w:startOverride w:val="1"/>
    </w:lvlOverride>
  </w:num>
  <w:num w:numId="7" w16cid:durableId="134032693">
    <w:abstractNumId w:val="2"/>
    <w:lvlOverride w:ilvl="0">
      <w:startOverride w:val="1"/>
    </w:lvlOverride>
  </w:num>
  <w:num w:numId="8" w16cid:durableId="1250386701">
    <w:abstractNumId w:val="2"/>
    <w:lvlOverride w:ilvl="0">
      <w:startOverride w:val="1"/>
    </w:lvlOverride>
  </w:num>
  <w:num w:numId="9" w16cid:durableId="1955594900">
    <w:abstractNumId w:val="2"/>
    <w:lvlOverride w:ilvl="0">
      <w:startOverride w:val="1"/>
    </w:lvlOverride>
  </w:num>
  <w:num w:numId="10" w16cid:durableId="975791089">
    <w:abstractNumId w:val="2"/>
    <w:lvlOverride w:ilvl="0">
      <w:startOverride w:val="1"/>
    </w:lvlOverride>
  </w:num>
  <w:num w:numId="11" w16cid:durableId="349071107">
    <w:abstractNumId w:val="2"/>
    <w:lvlOverride w:ilvl="0">
      <w:startOverride w:val="1"/>
    </w:lvlOverride>
  </w:num>
  <w:num w:numId="12" w16cid:durableId="1003627852">
    <w:abstractNumId w:val="2"/>
    <w:lvlOverride w:ilvl="0">
      <w:startOverride w:val="1"/>
    </w:lvlOverride>
  </w:num>
  <w:num w:numId="13" w16cid:durableId="2035031182">
    <w:abstractNumId w:val="0"/>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DA2"/>
    <w:rsid w:val="00160DA2"/>
    <w:rsid w:val="00166905"/>
    <w:rsid w:val="00D232B4"/>
    <w:rsid w:val="00D51241"/>
    <w:rsid w:val="00F77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A39EAA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2026-08-17T03:58:00Z</cp:lastPrinted>
  <dcterms:created xsi:type="dcterms:W3CDTF">2026-08-17T03:58:00Z</dcterms:created>
  <dcterms:modified xsi:type="dcterms:W3CDTF">2026-08-17T03:58:00Z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