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BFBEB2"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53037F8A"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4840B8E9"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76028C12" w14:textId="77777777" w:rsidR="00D47934"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PRIVACY POLICY</w:t>
      </w:r>
    </w:p>
    <w:p w14:paraId="5AC48F0A"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41B06041" w14:textId="77777777" w:rsidR="00D47934" w:rsidRDefault="00D47934">
      <w:pPr>
        <w:pStyle w:val="Title"/>
        <w:suppressLineNumbers/>
        <w:spacing w:after="240"/>
        <w:jc w:val="center"/>
        <w:rPr>
          <w:rStyle w:val="Emphasis"/>
          <w:rFonts w:eastAsia="Times New Roman"/>
          <w:b w:val="0"/>
          <w:i w:val="0"/>
          <w:smallCaps/>
          <w:color w:val="074F6A"/>
          <w:spacing w:val="0"/>
          <w:sz w:val="52"/>
          <w:szCs w:val="52"/>
        </w:rPr>
      </w:pPr>
    </w:p>
    <w:p w14:paraId="26696D7D" w14:textId="77777777" w:rsidR="00D47934"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1.1</w:t>
      </w:r>
    </w:p>
    <w:p w14:paraId="359A2004" w14:textId="77777777" w:rsidR="00D47934" w:rsidRDefault="00000000">
      <w:pPr>
        <w:suppressLineNumbers/>
        <w:spacing w:after="40" w:line="240" w:lineRule="auto"/>
        <w:jc w:val="center"/>
        <w:rPr>
          <w:rFonts w:ascii="Calibri Light" w:hAnsi="Calibri Light" w:cs="Calibri Light"/>
          <w:sz w:val="20"/>
          <w:szCs w:val="20"/>
        </w:rPr>
      </w:pPr>
      <w:r>
        <w:rPr>
          <w:sz w:val="21"/>
        </w:rPr>
        <w:t>Revision Date: August 28, 2026</w:t>
      </w:r>
    </w:p>
    <w:p w14:paraId="74CAF77E" w14:textId="77777777" w:rsidR="00D47934"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298585E6" w14:textId="77777777" w:rsidR="00D47934" w:rsidRDefault="00D47934">
      <w:pPr>
        <w:suppressLineNumbers/>
        <w:spacing w:after="40" w:line="240" w:lineRule="auto"/>
        <w:jc w:val="center"/>
      </w:pPr>
    </w:p>
    <w:p w14:paraId="026E9C67" w14:textId="77777777" w:rsidR="00D47934" w:rsidRDefault="00D47934">
      <w:pPr>
        <w:suppressLineNumbers/>
        <w:spacing w:after="40" w:line="240" w:lineRule="auto"/>
        <w:jc w:val="center"/>
      </w:pPr>
    </w:p>
    <w:p w14:paraId="6872D8B5" w14:textId="77777777" w:rsidR="00D47934" w:rsidRDefault="00D47934">
      <w:pPr>
        <w:suppressLineNumbers/>
        <w:spacing w:after="40" w:line="240" w:lineRule="auto"/>
        <w:jc w:val="center"/>
      </w:pPr>
    </w:p>
    <w:p w14:paraId="18F087ED" w14:textId="77777777" w:rsidR="00D47934" w:rsidRDefault="00D47934">
      <w:pPr>
        <w:suppressLineNumbers/>
        <w:spacing w:after="40" w:line="240" w:lineRule="auto"/>
        <w:jc w:val="center"/>
      </w:pPr>
    </w:p>
    <w:p w14:paraId="5E9B565A" w14:textId="77777777" w:rsidR="00D47934" w:rsidRDefault="00D47934">
      <w:pPr>
        <w:suppressLineNumbers/>
        <w:spacing w:after="40" w:line="240" w:lineRule="auto"/>
        <w:jc w:val="center"/>
      </w:pPr>
    </w:p>
    <w:p w14:paraId="084CB0F0" w14:textId="77777777" w:rsidR="00D47934" w:rsidRDefault="00000000">
      <w:pPr>
        <w:suppressLineNumbers/>
        <w:spacing w:after="40" w:line="240" w:lineRule="auto"/>
        <w:jc w:val="center"/>
      </w:pPr>
      <w:bookmarkStart w:id="0" w:name="EffectiveDate"/>
      <w:r>
        <w:rPr>
          <w:noProof/>
        </w:rPr>
        <w:drawing>
          <wp:inline distT="0" distB="0" distL="0" distR="0" wp14:anchorId="02B8FEE1" wp14:editId="0E169FFC">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012C8C6E" w14:textId="77777777" w:rsidR="00D47934"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D47934" w14:paraId="345B95E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141601" w14:textId="77777777" w:rsidR="00D47934"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0E9CE721" w14:textId="77777777" w:rsidR="00D47934" w:rsidRDefault="00000000">
            <w:pPr>
              <w:pStyle w:val="BodyText9"/>
              <w:suppressLineNumbers/>
              <w:spacing w:before="40" w:after="40" w:line="240" w:lineRule="auto"/>
            </w:pPr>
            <w:r>
              <w:rPr>
                <w:b/>
                <w:color w:val="404040" w:themeColor="text1" w:themeTint="BF"/>
                <w:sz w:val="20"/>
                <w:szCs w:val="20"/>
              </w:rPr>
              <w:t>Governance, Ethics, and Security</w:t>
            </w:r>
          </w:p>
        </w:tc>
      </w:tr>
      <w:tr w:rsidR="00D47934" w14:paraId="3A05BCA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8925D87" w14:textId="77777777" w:rsidR="00D47934"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621AD261" w14:textId="77777777" w:rsidR="00D47934" w:rsidRDefault="00000000">
            <w:pPr>
              <w:pStyle w:val="BodyText9"/>
              <w:suppressLineNumbers/>
              <w:spacing w:before="40" w:after="40" w:line="240" w:lineRule="auto"/>
            </w:pPr>
            <w:r>
              <w:rPr>
                <w:color w:val="404040" w:themeColor="text1" w:themeTint="BF"/>
                <w:sz w:val="20"/>
              </w:rPr>
              <w:t>Privacy Policy</w:t>
            </w:r>
          </w:p>
        </w:tc>
      </w:tr>
      <w:tr w:rsidR="00D47934" w14:paraId="2CFE67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9238F0B" w14:textId="77777777" w:rsidR="00D47934"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34333ED6" w14:textId="77777777" w:rsidR="00D47934" w:rsidRDefault="00000000">
            <w:pPr>
              <w:pStyle w:val="BodyText9"/>
              <w:suppressLineNumbers/>
              <w:spacing w:before="40" w:after="40" w:line="240" w:lineRule="auto"/>
            </w:pPr>
            <w:r>
              <w:rPr>
                <w:color w:val="404040" w:themeColor="text1" w:themeTint="BF"/>
                <w:sz w:val="20"/>
              </w:rPr>
              <w:t>POL-PRIV-001</w:t>
            </w:r>
          </w:p>
        </w:tc>
      </w:tr>
      <w:tr w:rsidR="00D47934" w14:paraId="4F414F5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C8A4C7" w14:textId="77777777" w:rsidR="00D47934"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A663D0F" w14:textId="77777777" w:rsidR="00D47934" w:rsidRDefault="00000000">
            <w:pPr>
              <w:pStyle w:val="BodyText9"/>
              <w:suppressLineNumbers/>
              <w:spacing w:before="40" w:after="40" w:line="240" w:lineRule="auto"/>
            </w:pPr>
            <w:r>
              <w:rPr>
                <w:color w:val="404040" w:themeColor="text1" w:themeTint="BF"/>
                <w:sz w:val="20"/>
              </w:rPr>
              <w:t>1.1</w:t>
            </w:r>
          </w:p>
        </w:tc>
      </w:tr>
      <w:tr w:rsidR="00D47934" w14:paraId="3719DA5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78D0C0E" w14:textId="77777777" w:rsidR="00D47934"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91433F4" w14:textId="77777777" w:rsidR="00D47934" w:rsidRDefault="00000000">
            <w:pPr>
              <w:pStyle w:val="BodyText9"/>
              <w:suppressLineNumbers/>
              <w:spacing w:before="40" w:after="40" w:line="240" w:lineRule="auto"/>
            </w:pPr>
            <w:r>
              <w:rPr>
                <w:color w:val="404040" w:themeColor="text1" w:themeTint="BF"/>
                <w:sz w:val="20"/>
              </w:rPr>
              <w:t>August 28, 2026</w:t>
            </w:r>
          </w:p>
        </w:tc>
      </w:tr>
      <w:tr w:rsidR="00D47934" w14:paraId="7F9B3C5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5D99550" w14:textId="77777777" w:rsidR="00D47934"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3742253C" w14:textId="77777777" w:rsidR="00D47934" w:rsidRDefault="00000000">
            <w:pPr>
              <w:pStyle w:val="BodyText9"/>
              <w:suppressLineNumbers/>
              <w:spacing w:before="40" w:after="40" w:line="240" w:lineRule="auto"/>
            </w:pPr>
            <w:r>
              <w:rPr>
                <w:color w:val="404040" w:themeColor="text1" w:themeTint="BF"/>
                <w:sz w:val="20"/>
              </w:rPr>
              <w:t>Information Security Steering Committee</w:t>
            </w:r>
          </w:p>
        </w:tc>
      </w:tr>
      <w:tr w:rsidR="00D47934" w14:paraId="0A6A9D8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166FC1A" w14:textId="77777777" w:rsidR="00D47934"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6E215C9" w14:textId="77777777" w:rsidR="00D47934" w:rsidRDefault="00000000">
            <w:pPr>
              <w:pStyle w:val="BodyText9"/>
              <w:suppressLineNumbers/>
              <w:spacing w:before="40" w:after="40" w:line="240" w:lineRule="auto"/>
            </w:pPr>
            <w:r>
              <w:rPr>
                <w:color w:val="404040" w:themeColor="text1" w:themeTint="BF"/>
                <w:sz w:val="20"/>
              </w:rPr>
              <w:t>August 28, 2026</w:t>
            </w:r>
          </w:p>
        </w:tc>
      </w:tr>
      <w:tr w:rsidR="00D47934" w14:paraId="7C7AC01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72A43B9" w14:textId="77777777" w:rsidR="00D47934"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B74D776" w14:textId="77777777" w:rsidR="00D47934" w:rsidRDefault="00000000">
            <w:pPr>
              <w:pStyle w:val="BodyText9"/>
              <w:suppressLineNumbers/>
              <w:spacing w:before="40" w:after="40" w:line="240" w:lineRule="auto"/>
            </w:pPr>
            <w:r>
              <w:rPr>
                <w:color w:val="404040" w:themeColor="text1" w:themeTint="BF"/>
                <w:sz w:val="20"/>
              </w:rPr>
              <w:t>August 28, 2027</w:t>
            </w:r>
          </w:p>
        </w:tc>
      </w:tr>
      <w:tr w:rsidR="00D47934" w14:paraId="60A472D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C28976A" w14:textId="77777777" w:rsidR="00D47934"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C457BA0" w14:textId="77777777" w:rsidR="00D47934" w:rsidRDefault="00000000">
            <w:pPr>
              <w:pStyle w:val="BodyText9"/>
              <w:suppressLineNumbers/>
              <w:spacing w:before="40" w:after="40" w:line="240" w:lineRule="auto"/>
            </w:pPr>
            <w:r>
              <w:rPr>
                <w:color w:val="404040" w:themeColor="text1" w:themeTint="BF"/>
                <w:sz w:val="20"/>
              </w:rPr>
              <w:t>Internal</w:t>
            </w:r>
          </w:p>
        </w:tc>
      </w:tr>
      <w:tr w:rsidR="00D47934" w14:paraId="003266D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FD70B36" w14:textId="77777777" w:rsidR="00D47934"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17D5CD51"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fldChar w:fldCharType="begin"/>
            </w:r>
            <w:r>
              <w:rPr>
                <w:color w:val="404040" w:themeColor="text1" w:themeTint="BF"/>
                <w:sz w:val="20"/>
              </w:rPr>
              <w:instrText xml:space="preserve"> DOCPROPERTY "DocOwner"</w:instrText>
            </w:r>
            <w:r>
              <w:rPr>
                <w:color w:val="404040" w:themeColor="text1" w:themeTint="BF"/>
                <w:sz w:val="20"/>
              </w:rPr>
              <w:fldChar w:fldCharType="separate"/>
            </w:r>
            <w:r>
              <w:rPr>
                <w:color w:val="404040" w:themeColor="text1" w:themeTint="BF"/>
                <w:sz w:val="20"/>
              </w:rPr>
              <w:t>Chief Executive Officer — Accountable Party</w:t>
            </w:r>
            <w:r>
              <w:rPr>
                <w:color w:val="404040" w:themeColor="text1" w:themeTint="BF"/>
                <w:sz w:val="20"/>
              </w:rPr>
              <w:fldChar w:fldCharType="end"/>
            </w:r>
          </w:p>
        </w:tc>
      </w:tr>
      <w:tr w:rsidR="00D47934" w14:paraId="46322F8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89FBB05" w14:textId="77777777" w:rsidR="00D47934"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12D666CB"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D47934" w14:paraId="40B55C0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E56D160" w14:textId="77777777" w:rsidR="00D47934"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33AAF63D"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fldChar w:fldCharType="begin"/>
            </w:r>
            <w:r>
              <w:rPr>
                <w:color w:val="404040" w:themeColor="text1" w:themeTint="BF"/>
                <w:sz w:val="20"/>
              </w:rPr>
              <w:instrText xml:space="preserve"> DOCPROPERTY "ReviewCycle"</w:instrText>
            </w:r>
            <w:r>
              <w:rPr>
                <w:color w:val="404040" w:themeColor="text1" w:themeTint="BF"/>
                <w:sz w:val="20"/>
              </w:rPr>
              <w:fldChar w:fldCharType="separate"/>
            </w:r>
            <w:r>
              <w:rPr>
                <w:color w:val="404040" w:themeColor="text1" w:themeTint="BF"/>
                <w:sz w:val="20"/>
              </w:rPr>
              <w:t>Annual, or upon material change</w:t>
            </w:r>
            <w:r>
              <w:rPr>
                <w:color w:val="404040" w:themeColor="text1" w:themeTint="BF"/>
                <w:sz w:val="20"/>
              </w:rPr>
              <w:fldChar w:fldCharType="end"/>
            </w:r>
          </w:p>
        </w:tc>
      </w:tr>
      <w:tr w:rsidR="00D47934" w14:paraId="1D98079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973DAD" w14:textId="77777777" w:rsidR="00D47934"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2D25C8E0"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t>POL-PRIV-001 v1.0</w:t>
            </w:r>
          </w:p>
        </w:tc>
      </w:tr>
      <w:tr w:rsidR="00D47934" w14:paraId="2449043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C686AB2" w14:textId="77777777" w:rsidR="00D47934"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7CD22100" w14:textId="77777777" w:rsidR="00D47934" w:rsidRPr="005A6D40" w:rsidRDefault="00000000">
            <w:pPr>
              <w:pStyle w:val="BodyText9"/>
              <w:suppressLineNumbers/>
              <w:spacing w:before="40" w:after="40" w:line="240" w:lineRule="auto"/>
              <w:rPr>
                <w:color w:val="404040" w:themeColor="text1" w:themeTint="BF"/>
                <w:sz w:val="20"/>
              </w:rPr>
            </w:pPr>
            <w:r>
              <w:rPr>
                <w:color w:val="404040" w:themeColor="text1" w:themeTint="BF"/>
                <w:sz w:val="20"/>
              </w:rPr>
              <w:fldChar w:fldCharType="begin"/>
            </w:r>
            <w:r>
              <w:rPr>
                <w:color w:val="404040" w:themeColor="text1" w:themeTint="BF"/>
                <w:sz w:val="20"/>
              </w:rPr>
              <w:instrText xml:space="preserve"> DOCPROPERTY "Audience"</w:instrText>
            </w:r>
            <w:r>
              <w:rPr>
                <w:color w:val="404040" w:themeColor="text1" w:themeTint="BF"/>
                <w:sz w:val="20"/>
              </w:rPr>
              <w:fldChar w:fldCharType="separate"/>
            </w:r>
            <w:r>
              <w:rPr>
                <w:color w:val="404040" w:themeColor="text1" w:themeTint="BF"/>
                <w:sz w:val="20"/>
              </w:rPr>
              <w:t>All personnel, including employees and contractors</w:t>
            </w:r>
            <w:r>
              <w:rPr>
                <w:color w:val="404040" w:themeColor="text1" w:themeTint="BF"/>
                <w:sz w:val="20"/>
              </w:rPr>
              <w:fldChar w:fldCharType="end"/>
            </w:r>
          </w:p>
        </w:tc>
      </w:tr>
    </w:tbl>
    <w:p w14:paraId="2034B97C" w14:textId="77777777" w:rsidR="00D47934" w:rsidRDefault="00D47934">
      <w:pPr>
        <w:suppressLineNumbers/>
        <w:rPr>
          <w:rStyle w:val="Strong"/>
        </w:rPr>
      </w:pPr>
    </w:p>
    <w:p w14:paraId="21BC804C" w14:textId="77777777" w:rsidR="00D47934"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D47934" w14:paraId="65D5F01F"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792AA91" w14:textId="77777777" w:rsidR="00D47934"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30A6570A" w14:textId="77777777" w:rsidR="00D47934"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865F6B7" w14:textId="77777777" w:rsidR="00D47934"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7AB6D3BF" w14:textId="77777777" w:rsidR="00D47934"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52E63D99" w14:textId="77777777" w:rsidR="00D47934" w:rsidRDefault="00000000">
            <w:pPr>
              <w:pStyle w:val="BodyText9"/>
              <w:suppressLineNumbers/>
              <w:spacing w:before="40" w:after="40" w:line="240" w:lineRule="auto"/>
            </w:pPr>
            <w:r>
              <w:rPr>
                <w:b/>
                <w:color w:val="404040" w:themeColor="text1" w:themeTint="BF"/>
                <w:sz w:val="20"/>
                <w:szCs w:val="20"/>
              </w:rPr>
              <w:t>Date</w:t>
            </w:r>
          </w:p>
        </w:tc>
      </w:tr>
      <w:tr w:rsidR="00D47934" w14:paraId="7E917E52"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5B69B16C" w14:textId="77777777" w:rsidR="00D47934" w:rsidRDefault="00000000">
            <w:pPr>
              <w:pStyle w:val="BodyText9"/>
              <w:suppressLineNumbers/>
              <w:spacing w:before="40" w:after="40" w:line="240" w:lineRule="auto"/>
            </w:pPr>
            <w:r>
              <w:rPr>
                <w:b/>
                <w:color w:val="404040" w:themeColor="text1" w:themeTint="BF"/>
                <w:sz w:val="20"/>
                <w:szCs w:val="20"/>
              </w:rPr>
              <w:t>Madhuri Chandoor</w:t>
            </w:r>
          </w:p>
        </w:tc>
        <w:tc>
          <w:tcPr>
            <w:tcW w:w="1107" w:type="dxa"/>
            <w:tcBorders>
              <w:top w:val="single" w:sz="2" w:space="0" w:color="808080"/>
              <w:left w:val="single" w:sz="2" w:space="0" w:color="808080"/>
              <w:bottom w:val="single" w:sz="2" w:space="0" w:color="808080"/>
              <w:right w:val="single" w:sz="2" w:space="0" w:color="808080"/>
            </w:tcBorders>
          </w:tcPr>
          <w:p w14:paraId="00C8661D" w14:textId="77777777" w:rsidR="00D4793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3020CE7" w14:textId="77777777" w:rsidR="00D47934"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0B5AD66" w14:textId="77777777" w:rsidR="00D47934" w:rsidRDefault="00D4793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4C9D8DD" w14:textId="77777777" w:rsidR="00D47934" w:rsidRDefault="00000000">
            <w:pPr>
              <w:pStyle w:val="BodyText9"/>
              <w:suppressLineNumbers/>
              <w:spacing w:before="40" w:after="40" w:line="240" w:lineRule="auto"/>
            </w:pPr>
            <w:r>
              <w:rPr>
                <w:color w:val="404040" w:themeColor="text1" w:themeTint="BF"/>
                <w:sz w:val="20"/>
              </w:rPr>
              <w:t>August 18, 2026</w:t>
            </w:r>
          </w:p>
        </w:tc>
      </w:tr>
      <w:tr w:rsidR="00D47934" w14:paraId="720AEE8E"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2EA804C1" w14:textId="77777777" w:rsidR="00D47934"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7ECB286A" w14:textId="77777777" w:rsidR="00D4793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52DA7593" w14:textId="77777777" w:rsidR="00D47934"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1DD670A" w14:textId="77777777" w:rsidR="00D47934" w:rsidRDefault="00D4793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5C6ADEB" w14:textId="77777777" w:rsidR="00D47934" w:rsidRDefault="00000000">
            <w:pPr>
              <w:pStyle w:val="BodyText9"/>
              <w:suppressLineNumbers/>
              <w:spacing w:before="40" w:after="40" w:line="240" w:lineRule="auto"/>
            </w:pPr>
            <w:r>
              <w:rPr>
                <w:color w:val="404040" w:themeColor="text1" w:themeTint="BF"/>
                <w:sz w:val="20"/>
              </w:rPr>
              <w:t>August 18, 2026</w:t>
            </w:r>
          </w:p>
        </w:tc>
      </w:tr>
    </w:tbl>
    <w:p w14:paraId="286EA3CA" w14:textId="77777777" w:rsidR="00D47934" w:rsidRDefault="00D47934">
      <w:pPr>
        <w:suppressLineNumbers/>
        <w:rPr>
          <w:rStyle w:val="Strong"/>
        </w:rPr>
      </w:pPr>
    </w:p>
    <w:p w14:paraId="378E4CEE" w14:textId="77777777" w:rsidR="00D47934" w:rsidRDefault="00000000">
      <w:pPr>
        <w:suppressLineNumbers/>
        <w:spacing w:before="360" w:after="160"/>
      </w:pPr>
      <w:r>
        <w:rPr>
          <w:rStyle w:val="Strong"/>
          <w:caps/>
        </w:rPr>
        <w:t>COMPLIANCE</w:t>
      </w:r>
    </w:p>
    <w:p w14:paraId="692A2A6A" w14:textId="77777777" w:rsidR="00D47934" w:rsidRDefault="00000000">
      <w:pPr>
        <w:pStyle w:val="BodyText9"/>
        <w:suppressLineNumbers/>
        <w:spacing w:after="120"/>
        <w:jc w:val="both"/>
      </w:pPr>
      <w:r>
        <w:rPr>
          <w:color w:val="404040" w:themeColor="text1" w:themeTint="BF"/>
        </w:rPr>
        <w:t>This Policy is authorized by the Information Security Policy (POL-ISP-001). The Privacy category of the Trust Services Criteria is not in the scope of the Company's current examination; this Policy records that position and states the obligations the Company carries under data protection law regardless. It also records how personal data is protected and to whom it is disclosed, so that the position stated in the published Privacy Notice has an internal control behind it.</w:t>
      </w:r>
    </w:p>
    <w:p w14:paraId="11AA0A30" w14:textId="77777777" w:rsidR="00D47934" w:rsidRDefault="00D47934">
      <w:pPr>
        <w:pStyle w:val="BodyText9"/>
        <w:suppressLineNumbers/>
      </w:pPr>
    </w:p>
    <w:p w14:paraId="43559992" w14:textId="77777777" w:rsidR="005A6D40" w:rsidRDefault="005A6D40">
      <w:pPr>
        <w:suppressLineNumbers/>
        <w:spacing w:before="360" w:after="160"/>
        <w:rPr>
          <w:rStyle w:val="Strong"/>
          <w:caps/>
        </w:rPr>
      </w:pPr>
    </w:p>
    <w:p w14:paraId="45F1507A" w14:textId="77777777" w:rsidR="00D47934" w:rsidRDefault="00000000">
      <w:pPr>
        <w:suppressLineNumbers/>
        <w:spacing w:before="360" w:after="160"/>
        <w:rPr>
          <w:rStyle w:val="Strong"/>
        </w:rPr>
      </w:pPr>
      <w:r>
        <w:rPr>
          <w:rStyle w:val="Strong"/>
          <w:caps/>
        </w:rPr>
        <w:t>DOCUMENT VALIDITY</w:t>
      </w:r>
    </w:p>
    <w:p w14:paraId="55A93B60" w14:textId="77777777" w:rsidR="00D47934"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5857B0A8" w14:textId="77777777" w:rsidR="00D47934" w:rsidRDefault="00000000">
      <w:pPr>
        <w:suppressLineNumbers/>
      </w:pPr>
      <w:r>
        <w:br w:type="page"/>
      </w:r>
    </w:p>
    <w:p w14:paraId="3721149E" w14:textId="77777777" w:rsidR="005A6D40" w:rsidRDefault="00000000">
      <w:pPr>
        <w:suppressLineNumbers/>
        <w:spacing w:after="160"/>
        <w:rPr>
          <w:noProof/>
        </w:rPr>
      </w:pPr>
      <w:r>
        <w:rPr>
          <w:rStyle w:val="Strong"/>
          <w:caps/>
        </w:rPr>
        <w:lastRenderedPageBreak/>
        <w:t>TABLE OF CONTENTS</w:t>
      </w:r>
      <w:r w:rsidR="005A6D40">
        <w:rPr>
          <w:rStyle w:val="Strong"/>
          <w:caps/>
        </w:rPr>
        <w:fldChar w:fldCharType="begin"/>
      </w:r>
      <w:r>
        <w:rPr>
          <w:rStyle w:val="Strong"/>
          <w:caps/>
        </w:rPr>
        <w:instrText xml:space="preserve"> TOC \o "1-3" \h \z \u </w:instrText>
      </w:r>
      <w:r w:rsidR="005A6D40">
        <w:rPr>
          <w:rStyle w:val="Strong"/>
          <w:caps/>
        </w:rPr>
        <w:fldChar w:fldCharType="separate"/>
      </w:r>
    </w:p>
    <w:p w14:paraId="0B20C758" w14:textId="399DA95B"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24" w:history="1">
        <w:r>
          <w:rPr>
            <w:rStyle w:val="Hyperlink"/>
            <w:noProof/>
          </w:rPr>
          <w:t>1 Overview and Purpose</w:t>
        </w:r>
        <w:r>
          <w:rPr>
            <w:noProof/>
            <w:webHidden/>
          </w:rPr>
          <w:tab/>
        </w:r>
        <w:r>
          <w:rPr>
            <w:noProof/>
            <w:webHidden/>
          </w:rPr>
          <w:fldChar w:fldCharType="begin"/>
        </w:r>
        <w:r>
          <w:rPr>
            <w:noProof/>
            <w:webHidden/>
          </w:rPr>
          <w:instrText xml:space="preserve"> PAGEREF _Toc237819424 \h </w:instrText>
        </w:r>
        <w:r>
          <w:rPr>
            <w:noProof/>
            <w:webHidden/>
          </w:rPr>
        </w:r>
        <w:r>
          <w:rPr>
            <w:noProof/>
            <w:webHidden/>
          </w:rPr>
          <w:fldChar w:fldCharType="separate"/>
        </w:r>
        <w:r w:rsidR="00CE3A3F">
          <w:rPr>
            <w:noProof/>
            <w:webHidden/>
          </w:rPr>
          <w:t>5</w:t>
        </w:r>
        <w:r>
          <w:rPr>
            <w:noProof/>
            <w:webHidden/>
          </w:rPr>
          <w:fldChar w:fldCharType="end"/>
        </w:r>
      </w:hyperlink>
    </w:p>
    <w:p w14:paraId="038C3B90" w14:textId="054BF5E6"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25" w:history="1">
        <w:r>
          <w:rPr>
            <w:rStyle w:val="Hyperlink"/>
            <w:noProof/>
          </w:rPr>
          <w:t>2 Scope</w:t>
        </w:r>
        <w:r>
          <w:rPr>
            <w:noProof/>
            <w:webHidden/>
          </w:rPr>
          <w:tab/>
        </w:r>
        <w:r>
          <w:rPr>
            <w:noProof/>
            <w:webHidden/>
          </w:rPr>
          <w:fldChar w:fldCharType="begin"/>
        </w:r>
        <w:r>
          <w:rPr>
            <w:noProof/>
            <w:webHidden/>
          </w:rPr>
          <w:instrText xml:space="preserve"> PAGEREF _Toc237819425 \h </w:instrText>
        </w:r>
        <w:r>
          <w:rPr>
            <w:noProof/>
            <w:webHidden/>
          </w:rPr>
        </w:r>
        <w:r>
          <w:rPr>
            <w:noProof/>
            <w:webHidden/>
          </w:rPr>
          <w:fldChar w:fldCharType="separate"/>
        </w:r>
        <w:r w:rsidR="00CE3A3F">
          <w:rPr>
            <w:noProof/>
            <w:webHidden/>
          </w:rPr>
          <w:t>5</w:t>
        </w:r>
        <w:r>
          <w:rPr>
            <w:noProof/>
            <w:webHidden/>
          </w:rPr>
          <w:fldChar w:fldCharType="end"/>
        </w:r>
      </w:hyperlink>
    </w:p>
    <w:p w14:paraId="35D5A674" w14:textId="0416D512"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26" w:history="1">
        <w:r>
          <w:rPr>
            <w:rStyle w:val="Hyperlink"/>
            <w:noProof/>
          </w:rPr>
          <w:t>3 Roles and Definitions</w:t>
        </w:r>
        <w:r>
          <w:rPr>
            <w:noProof/>
            <w:webHidden/>
          </w:rPr>
          <w:tab/>
        </w:r>
        <w:r>
          <w:rPr>
            <w:noProof/>
            <w:webHidden/>
          </w:rPr>
          <w:fldChar w:fldCharType="begin"/>
        </w:r>
        <w:r>
          <w:rPr>
            <w:noProof/>
            <w:webHidden/>
          </w:rPr>
          <w:instrText xml:space="preserve"> PAGEREF _Toc237819426 \h </w:instrText>
        </w:r>
        <w:r>
          <w:rPr>
            <w:noProof/>
            <w:webHidden/>
          </w:rPr>
        </w:r>
        <w:r>
          <w:rPr>
            <w:noProof/>
            <w:webHidden/>
          </w:rPr>
          <w:fldChar w:fldCharType="separate"/>
        </w:r>
        <w:r w:rsidR="00CE3A3F">
          <w:rPr>
            <w:noProof/>
            <w:webHidden/>
          </w:rPr>
          <w:t>5</w:t>
        </w:r>
        <w:r>
          <w:rPr>
            <w:noProof/>
            <w:webHidden/>
          </w:rPr>
          <w:fldChar w:fldCharType="end"/>
        </w:r>
      </w:hyperlink>
    </w:p>
    <w:p w14:paraId="605F913F" w14:textId="376D39CE"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27" w:history="1">
        <w:r>
          <w:rPr>
            <w:rStyle w:val="Hyperlink"/>
            <w:noProof/>
          </w:rPr>
          <w:t>4 Terminology</w:t>
        </w:r>
        <w:r>
          <w:rPr>
            <w:noProof/>
            <w:webHidden/>
          </w:rPr>
          <w:tab/>
        </w:r>
        <w:r>
          <w:rPr>
            <w:noProof/>
            <w:webHidden/>
          </w:rPr>
          <w:fldChar w:fldCharType="begin"/>
        </w:r>
        <w:r>
          <w:rPr>
            <w:noProof/>
            <w:webHidden/>
          </w:rPr>
          <w:instrText xml:space="preserve"> PAGEREF _Toc237819427 \h </w:instrText>
        </w:r>
        <w:r>
          <w:rPr>
            <w:noProof/>
            <w:webHidden/>
          </w:rPr>
        </w:r>
        <w:r>
          <w:rPr>
            <w:noProof/>
            <w:webHidden/>
          </w:rPr>
          <w:fldChar w:fldCharType="separate"/>
        </w:r>
        <w:r w:rsidR="00CE3A3F">
          <w:rPr>
            <w:noProof/>
            <w:webHidden/>
          </w:rPr>
          <w:t>5</w:t>
        </w:r>
        <w:r>
          <w:rPr>
            <w:noProof/>
            <w:webHidden/>
          </w:rPr>
          <w:fldChar w:fldCharType="end"/>
        </w:r>
      </w:hyperlink>
    </w:p>
    <w:p w14:paraId="4D54074F" w14:textId="231BBAF5"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28" w:history="1">
        <w:r>
          <w:rPr>
            <w:rStyle w:val="Hyperlink"/>
            <w:noProof/>
          </w:rPr>
          <w:t>5 What the Company Processes</w:t>
        </w:r>
        <w:r>
          <w:rPr>
            <w:noProof/>
            <w:webHidden/>
          </w:rPr>
          <w:tab/>
        </w:r>
        <w:r>
          <w:rPr>
            <w:noProof/>
            <w:webHidden/>
          </w:rPr>
          <w:fldChar w:fldCharType="begin"/>
        </w:r>
        <w:r>
          <w:rPr>
            <w:noProof/>
            <w:webHidden/>
          </w:rPr>
          <w:instrText xml:space="preserve"> PAGEREF _Toc237819428 \h </w:instrText>
        </w:r>
        <w:r>
          <w:rPr>
            <w:noProof/>
            <w:webHidden/>
          </w:rPr>
        </w:r>
        <w:r>
          <w:rPr>
            <w:noProof/>
            <w:webHidden/>
          </w:rPr>
          <w:fldChar w:fldCharType="separate"/>
        </w:r>
        <w:r w:rsidR="00CE3A3F">
          <w:rPr>
            <w:noProof/>
            <w:webHidden/>
          </w:rPr>
          <w:t>6</w:t>
        </w:r>
        <w:r>
          <w:rPr>
            <w:noProof/>
            <w:webHidden/>
          </w:rPr>
          <w:fldChar w:fldCharType="end"/>
        </w:r>
      </w:hyperlink>
    </w:p>
    <w:p w14:paraId="2BA95158" w14:textId="2352B06C"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29" w:history="1">
        <w:r>
          <w:rPr>
            <w:rStyle w:val="Hyperlink"/>
            <w:noProof/>
          </w:rPr>
          <w:t>6 Obligations the Company Carries</w:t>
        </w:r>
        <w:r>
          <w:rPr>
            <w:noProof/>
            <w:webHidden/>
          </w:rPr>
          <w:tab/>
        </w:r>
        <w:r>
          <w:rPr>
            <w:noProof/>
            <w:webHidden/>
          </w:rPr>
          <w:fldChar w:fldCharType="begin"/>
        </w:r>
        <w:r>
          <w:rPr>
            <w:noProof/>
            <w:webHidden/>
          </w:rPr>
          <w:instrText xml:space="preserve"> PAGEREF _Toc237819429 \h </w:instrText>
        </w:r>
        <w:r>
          <w:rPr>
            <w:noProof/>
            <w:webHidden/>
          </w:rPr>
        </w:r>
        <w:r>
          <w:rPr>
            <w:noProof/>
            <w:webHidden/>
          </w:rPr>
          <w:fldChar w:fldCharType="separate"/>
        </w:r>
        <w:r w:rsidR="00CE3A3F">
          <w:rPr>
            <w:noProof/>
            <w:webHidden/>
          </w:rPr>
          <w:t>6</w:t>
        </w:r>
        <w:r>
          <w:rPr>
            <w:noProof/>
            <w:webHidden/>
          </w:rPr>
          <w:fldChar w:fldCharType="end"/>
        </w:r>
      </w:hyperlink>
    </w:p>
    <w:p w14:paraId="19A2692C" w14:textId="5A91EDCC" w:rsidR="002B6D90"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700101" w:history="1">
        <w:r>
          <w:rPr>
            <w:rStyle w:val="Hyperlink"/>
            <w:noProof/>
          </w:rPr>
          <w:t>7 How the Company Protects Personal Data</w:t>
        </w:r>
        <w:r>
          <w:rPr>
            <w:noProof/>
            <w:webHidden/>
          </w:rPr>
          <w:tab/>
        </w:r>
        <w:r>
          <w:rPr>
            <w:noProof/>
            <w:webHidden/>
          </w:rPr>
          <w:fldChar w:fldCharType="begin"/>
        </w:r>
        <w:r>
          <w:rPr>
            <w:noProof/>
            <w:webHidden/>
          </w:rPr>
          <w:instrText xml:space="preserve"> PAGEREF _Toc700101 \h </w:instrText>
        </w:r>
        <w:r>
          <w:rPr>
            <w:noProof/>
            <w:webHidden/>
          </w:rPr>
        </w:r>
        <w:r>
          <w:rPr>
            <w:noProof/>
            <w:webHidden/>
          </w:rPr>
          <w:fldChar w:fldCharType="separate"/>
        </w:r>
        <w:r w:rsidR="00CE3A3F">
          <w:rPr>
            <w:noProof/>
            <w:webHidden/>
          </w:rPr>
          <w:t>7</w:t>
        </w:r>
        <w:r>
          <w:rPr>
            <w:noProof/>
            <w:webHidden/>
          </w:rPr>
          <w:fldChar w:fldCharType="end"/>
        </w:r>
      </w:hyperlink>
    </w:p>
    <w:p w14:paraId="06A98C6A" w14:textId="1C057AAB" w:rsidR="002B6D90"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700102" w:history="1">
        <w:r>
          <w:rPr>
            <w:rStyle w:val="Hyperlink"/>
            <w:noProof/>
          </w:rPr>
          <w:t>8 How the Company Shares Personal Data</w:t>
        </w:r>
        <w:r>
          <w:rPr>
            <w:noProof/>
            <w:webHidden/>
          </w:rPr>
          <w:tab/>
        </w:r>
        <w:r>
          <w:rPr>
            <w:noProof/>
            <w:webHidden/>
          </w:rPr>
          <w:fldChar w:fldCharType="begin"/>
        </w:r>
        <w:r>
          <w:rPr>
            <w:noProof/>
            <w:webHidden/>
          </w:rPr>
          <w:instrText xml:space="preserve"> PAGEREF _Toc700102 \h </w:instrText>
        </w:r>
        <w:r>
          <w:rPr>
            <w:noProof/>
            <w:webHidden/>
          </w:rPr>
        </w:r>
        <w:r>
          <w:rPr>
            <w:noProof/>
            <w:webHidden/>
          </w:rPr>
          <w:fldChar w:fldCharType="separate"/>
        </w:r>
        <w:r w:rsidR="00CE3A3F">
          <w:rPr>
            <w:noProof/>
            <w:webHidden/>
          </w:rPr>
          <w:t>8</w:t>
        </w:r>
        <w:r>
          <w:rPr>
            <w:noProof/>
            <w:webHidden/>
          </w:rPr>
          <w:fldChar w:fldCharType="end"/>
        </w:r>
      </w:hyperlink>
    </w:p>
    <w:p w14:paraId="317C604D" w14:textId="3DF3BFE3"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30" w:history="1">
        <w:r>
          <w:rPr>
            <w:rStyle w:val="Hyperlink"/>
            <w:noProof/>
          </w:rPr>
          <w:t>9 Records</w:t>
        </w:r>
        <w:r>
          <w:rPr>
            <w:noProof/>
            <w:webHidden/>
          </w:rPr>
          <w:tab/>
        </w:r>
        <w:r>
          <w:rPr>
            <w:noProof/>
            <w:webHidden/>
          </w:rPr>
          <w:fldChar w:fldCharType="begin"/>
        </w:r>
        <w:r>
          <w:rPr>
            <w:noProof/>
            <w:webHidden/>
          </w:rPr>
          <w:instrText xml:space="preserve"> PAGEREF _Toc237819430 \h </w:instrText>
        </w:r>
        <w:r>
          <w:rPr>
            <w:noProof/>
            <w:webHidden/>
          </w:rPr>
        </w:r>
        <w:r>
          <w:rPr>
            <w:noProof/>
            <w:webHidden/>
          </w:rPr>
          <w:fldChar w:fldCharType="separate"/>
        </w:r>
        <w:r w:rsidR="00CE3A3F">
          <w:rPr>
            <w:noProof/>
            <w:webHidden/>
          </w:rPr>
          <w:t>8</w:t>
        </w:r>
        <w:r>
          <w:rPr>
            <w:noProof/>
            <w:webHidden/>
          </w:rPr>
          <w:fldChar w:fldCharType="end"/>
        </w:r>
      </w:hyperlink>
    </w:p>
    <w:p w14:paraId="0B8740BE" w14:textId="08632B6D"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31" w:history="1">
        <w:r>
          <w:rPr>
            <w:rStyle w:val="Hyperlink"/>
            <w:noProof/>
          </w:rPr>
          <w:t>10 Exceptions</w:t>
        </w:r>
        <w:r>
          <w:rPr>
            <w:noProof/>
            <w:webHidden/>
          </w:rPr>
          <w:tab/>
        </w:r>
        <w:r>
          <w:rPr>
            <w:noProof/>
            <w:webHidden/>
          </w:rPr>
          <w:fldChar w:fldCharType="begin"/>
        </w:r>
        <w:r>
          <w:rPr>
            <w:noProof/>
            <w:webHidden/>
          </w:rPr>
          <w:instrText xml:space="preserve"> PAGEREF _Toc237819431 \h </w:instrText>
        </w:r>
        <w:r>
          <w:rPr>
            <w:noProof/>
            <w:webHidden/>
          </w:rPr>
        </w:r>
        <w:r>
          <w:rPr>
            <w:noProof/>
            <w:webHidden/>
          </w:rPr>
          <w:fldChar w:fldCharType="separate"/>
        </w:r>
        <w:r w:rsidR="00CE3A3F">
          <w:rPr>
            <w:noProof/>
            <w:webHidden/>
          </w:rPr>
          <w:t>9</w:t>
        </w:r>
        <w:r>
          <w:rPr>
            <w:noProof/>
            <w:webHidden/>
          </w:rPr>
          <w:fldChar w:fldCharType="end"/>
        </w:r>
      </w:hyperlink>
    </w:p>
    <w:p w14:paraId="5ECB7989" w14:textId="27485EA9"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32" w:history="1">
        <w:r>
          <w:rPr>
            <w:rStyle w:val="Hyperlink"/>
            <w:noProof/>
          </w:rPr>
          <w:t>11 Reference</w:t>
        </w:r>
        <w:r>
          <w:rPr>
            <w:noProof/>
            <w:webHidden/>
          </w:rPr>
          <w:tab/>
        </w:r>
        <w:r>
          <w:rPr>
            <w:noProof/>
            <w:webHidden/>
          </w:rPr>
          <w:fldChar w:fldCharType="begin"/>
        </w:r>
        <w:r>
          <w:rPr>
            <w:noProof/>
            <w:webHidden/>
          </w:rPr>
          <w:instrText xml:space="preserve"> PAGEREF _Toc237819432 \h </w:instrText>
        </w:r>
        <w:r>
          <w:rPr>
            <w:noProof/>
            <w:webHidden/>
          </w:rPr>
        </w:r>
        <w:r>
          <w:rPr>
            <w:noProof/>
            <w:webHidden/>
          </w:rPr>
          <w:fldChar w:fldCharType="separate"/>
        </w:r>
        <w:r w:rsidR="00CE3A3F">
          <w:rPr>
            <w:noProof/>
            <w:webHidden/>
          </w:rPr>
          <w:t>9</w:t>
        </w:r>
        <w:r>
          <w:rPr>
            <w:noProof/>
            <w:webHidden/>
          </w:rPr>
          <w:fldChar w:fldCharType="end"/>
        </w:r>
      </w:hyperlink>
    </w:p>
    <w:p w14:paraId="3F0265AB" w14:textId="06A99B33" w:rsidR="005A6D40" w:rsidRDefault="005A6D4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433" w:history="1">
        <w:r>
          <w:rPr>
            <w:rStyle w:val="Hyperlink"/>
            <w:noProof/>
          </w:rPr>
          <w:t>12 Document Policy History</w:t>
        </w:r>
        <w:r>
          <w:rPr>
            <w:noProof/>
            <w:webHidden/>
          </w:rPr>
          <w:tab/>
        </w:r>
        <w:r>
          <w:rPr>
            <w:noProof/>
            <w:webHidden/>
          </w:rPr>
          <w:fldChar w:fldCharType="begin"/>
        </w:r>
        <w:r>
          <w:rPr>
            <w:noProof/>
            <w:webHidden/>
          </w:rPr>
          <w:instrText xml:space="preserve"> PAGEREF _Toc237819433 \h </w:instrText>
        </w:r>
        <w:r>
          <w:rPr>
            <w:noProof/>
            <w:webHidden/>
          </w:rPr>
        </w:r>
        <w:r>
          <w:rPr>
            <w:noProof/>
            <w:webHidden/>
          </w:rPr>
          <w:fldChar w:fldCharType="separate"/>
        </w:r>
        <w:r w:rsidR="00CE3A3F">
          <w:rPr>
            <w:noProof/>
            <w:webHidden/>
          </w:rPr>
          <w:t>9</w:t>
        </w:r>
        <w:r>
          <w:rPr>
            <w:noProof/>
            <w:webHidden/>
          </w:rPr>
          <w:fldChar w:fldCharType="end"/>
        </w:r>
      </w:hyperlink>
    </w:p>
    <w:p w14:paraId="5A033659" w14:textId="77777777" w:rsidR="00D47934" w:rsidRDefault="005A6D40">
      <w:pPr>
        <w:suppressLineNumbers/>
        <w:spacing w:after="160"/>
        <w:rPr>
          <w:rStyle w:val="Strong"/>
        </w:rPr>
      </w:pPr>
      <w:r>
        <w:rPr>
          <w:rStyle w:val="Strong"/>
          <w:caps/>
        </w:rPr>
        <w:fldChar w:fldCharType="end"/>
      </w:r>
    </w:p>
    <w:sdt>
      <w:sdtPr>
        <w:id w:val="-757437688"/>
        <w:docPartObj>
          <w:docPartGallery w:val="Table of Contents"/>
          <w:docPartUnique/>
        </w:docPartObj>
      </w:sdtPr>
      <w:sdtContent>
        <w:p w14:paraId="4848DD62" w14:textId="77777777" w:rsidR="00D47934" w:rsidRDefault="00000000">
          <w:pPr>
            <w:sectPr w:rsidR="00D4793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2E61C568" w14:textId="77777777" w:rsidR="00D47934" w:rsidRDefault="00000000">
      <w:pPr>
        <w:pStyle w:val="Heading1"/>
        <w:keepNext/>
        <w:numPr>
          <w:ilvl w:val="0"/>
          <w:numId w:val="11"/>
        </w:numPr>
        <w:spacing w:before="240" w:after="80"/>
      </w:pPr>
      <w:bookmarkStart w:id="1" w:name="_S501"/>
      <w:bookmarkStart w:id="2" w:name="_Toc237819424"/>
      <w:r>
        <w:lastRenderedPageBreak/>
        <w:t>Overview and Purpose</w:t>
      </w:r>
      <w:bookmarkEnd w:id="1"/>
      <w:bookmarkEnd w:id="2"/>
    </w:p>
    <w:p w14:paraId="77DEE139" w14:textId="77777777" w:rsidR="00D47934" w:rsidRDefault="00000000">
      <w:pPr>
        <w:pStyle w:val="BodyText9"/>
        <w:spacing w:after="120"/>
        <w:jc w:val="both"/>
      </w:pPr>
      <w:r>
        <w:rPr>
          <w:color w:val="404040" w:themeColor="text1" w:themeTint="BF"/>
        </w:rPr>
        <w:t>PromptHalo Technologies (“the Company”) processes personal data — its own personnel records, and client personal data as a processor. This Policy says what it does with both.</w:t>
      </w:r>
    </w:p>
    <w:p w14:paraId="3C733B9F" w14:textId="77777777" w:rsidR="00D47934" w:rsidRDefault="00000000">
      <w:pPr>
        <w:pStyle w:val="BodyText9"/>
        <w:spacing w:after="120"/>
        <w:jc w:val="both"/>
      </w:pPr>
      <w:r>
        <w:rPr>
          <w:color w:val="404040" w:themeColor="text1" w:themeTint="BF"/>
        </w:rPr>
        <w:t>The Privacy category of the Trust Services Criteria is not in scope for the current examination. That is a scoping decision, recorded here and in the risk register, and it is revisited when a client agreement requires the category or when the Company begins acting as a controller for material volumes of personal data.</w:t>
      </w:r>
    </w:p>
    <w:p w14:paraId="2BC31C9A" w14:textId="77777777" w:rsidR="00D47934" w:rsidRDefault="00000000">
      <w:pPr>
        <w:pStyle w:val="Heading1"/>
        <w:keepNext/>
        <w:numPr>
          <w:ilvl w:val="0"/>
          <w:numId w:val="11"/>
        </w:numPr>
        <w:spacing w:before="240" w:after="80"/>
      </w:pPr>
      <w:bookmarkStart w:id="3" w:name="_S502"/>
      <w:bookmarkStart w:id="4" w:name="_Toc237819425"/>
      <w:r>
        <w:t>Scope</w:t>
      </w:r>
      <w:bookmarkEnd w:id="3"/>
      <w:bookmarkEnd w:id="4"/>
    </w:p>
    <w:p w14:paraId="772D119D" w14:textId="77777777" w:rsidR="00D47934" w:rsidRDefault="00000000">
      <w:pPr>
        <w:pStyle w:val="BodyText9"/>
        <w:spacing w:after="120"/>
        <w:jc w:val="both"/>
      </w:pPr>
      <w:r>
        <w:rPr>
          <w:color w:val="404040" w:themeColor="text1" w:themeTint="BF"/>
        </w:rPr>
        <w:t>This Policy covers personal data the Company holds about its own personnel and candidates, and personal data it processes on behalf of clients.</w:t>
      </w:r>
    </w:p>
    <w:p w14:paraId="1709B3CA" w14:textId="77777777" w:rsidR="00D47934" w:rsidRDefault="00000000">
      <w:pPr>
        <w:pStyle w:val="Heading1"/>
        <w:keepNext/>
        <w:numPr>
          <w:ilvl w:val="0"/>
          <w:numId w:val="11"/>
        </w:numPr>
        <w:spacing w:before="240" w:after="80"/>
      </w:pPr>
      <w:bookmarkStart w:id="5" w:name="_S503"/>
      <w:bookmarkStart w:id="6" w:name="_Toc237819426"/>
      <w:r>
        <w:t>Roles and Definitions</w:t>
      </w:r>
      <w:bookmarkEnd w:id="5"/>
      <w:bookmarkEnd w:id="6"/>
    </w:p>
    <w:p w14:paraId="6A431AAE" w14:textId="77777777" w:rsidR="00D47934" w:rsidRDefault="00000000">
      <w:pPr>
        <w:pStyle w:val="Emphasis-Normal"/>
        <w:numPr>
          <w:ilvl w:val="0"/>
          <w:numId w:val="3"/>
        </w:numPr>
        <w:spacing w:after="120"/>
        <w:jc w:val="both"/>
      </w:pPr>
      <w:r>
        <w:rPr>
          <w:color w:val="404040" w:themeColor="text1" w:themeTint="BF"/>
        </w:rPr>
        <w:t>"The Company" refers to PromptHalo Technologies.</w:t>
      </w:r>
    </w:p>
    <w:p w14:paraId="2B637E4C" w14:textId="77777777" w:rsidR="00D47934"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22F0F178" w14:textId="77777777" w:rsidR="00D47934"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106C437E" w14:textId="77777777" w:rsidR="00D47934" w:rsidRDefault="00000000">
      <w:pPr>
        <w:pStyle w:val="Emphasis-Normal"/>
        <w:numPr>
          <w:ilvl w:val="0"/>
          <w:numId w:val="3"/>
        </w:numPr>
        <w:spacing w:after="120"/>
        <w:jc w:val="both"/>
      </w:pPr>
      <w:r>
        <w:rPr>
          <w:color w:val="404040" w:themeColor="text1" w:themeTint="BF"/>
        </w:rPr>
        <w:t xml:space="preserve">The Accountable Party handles data subject requests and decides, with external advice where needed, whether the Company is acting as controller or processor for a given processing activity.  </w:t>
      </w:r>
      <w:r>
        <w:rPr>
          <w:rFonts w:ascii="Calibri Light" w:eastAsia="Calibri Light" w:hAnsi="Calibri Light" w:cs="Calibri Light"/>
          <w:color w:val="404040" w:themeColor="text1" w:themeTint="BF"/>
          <w:sz w:val="18"/>
        </w:rPr>
        <w:t>[SOC 2: CC1.3 · GDPR Art. 28]</w:t>
      </w:r>
    </w:p>
    <w:p w14:paraId="2465E369" w14:textId="77777777" w:rsidR="00D47934" w:rsidRDefault="00000000">
      <w:pPr>
        <w:pStyle w:val="Heading1"/>
        <w:keepNext/>
        <w:numPr>
          <w:ilvl w:val="0"/>
          <w:numId w:val="11"/>
        </w:numPr>
        <w:spacing w:before="240" w:after="80"/>
      </w:pPr>
      <w:bookmarkStart w:id="7" w:name="_S504"/>
      <w:bookmarkStart w:id="8" w:name="_Toc237819427"/>
      <w:r>
        <w:t>Terminology</w:t>
      </w:r>
      <w:bookmarkEnd w:id="7"/>
      <w:bookmarkEnd w:id="8"/>
    </w:p>
    <w:p w14:paraId="73D1F42E" w14:textId="77777777" w:rsidR="00D47934" w:rsidRDefault="00000000">
      <w:pPr>
        <w:pStyle w:val="BodyText9"/>
        <w:spacing w:after="120"/>
        <w:jc w:val="both"/>
      </w:pPr>
      <w:r>
        <w:rPr>
          <w:color w:val="404040" w:themeColor="text1" w:themeTint="BF"/>
        </w:rPr>
        <w:t>The following terms have the meanings given below wherever they appear in this policy.</w:t>
      </w:r>
    </w:p>
    <w:p w14:paraId="58917C06" w14:textId="77777777" w:rsidR="00D47934"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604FE0FF" w14:textId="77777777" w:rsidR="00D47934"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73778946" w14:textId="77777777" w:rsidR="00D47934"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4BDA3F2F" w14:textId="77777777" w:rsidR="00D47934" w:rsidRDefault="00000000">
      <w:pPr>
        <w:pStyle w:val="Emphasis-Normal"/>
        <w:numPr>
          <w:ilvl w:val="0"/>
          <w:numId w:val="4"/>
        </w:numPr>
        <w:spacing w:after="120"/>
        <w:jc w:val="both"/>
      </w:pPr>
      <w:r>
        <w:rPr>
          <w:b/>
          <w:color w:val="404040" w:themeColor="text1" w:themeTint="BF"/>
        </w:rPr>
        <w:t>Controller</w:t>
      </w:r>
      <w:r>
        <w:rPr>
          <w:color w:val="404040" w:themeColor="text1" w:themeTint="BF"/>
        </w:rPr>
        <w:t xml:space="preserve"> — the party that decides why and how personal data is processed.</w:t>
      </w:r>
    </w:p>
    <w:p w14:paraId="0EB6D88D" w14:textId="77777777" w:rsidR="002B6D90" w:rsidRDefault="00000000">
      <w:pPr>
        <w:pStyle w:val="Emphasis-Normal"/>
        <w:numPr>
          <w:ilvl w:val="0"/>
          <w:numId w:val="4"/>
        </w:numPr>
        <w:spacing w:after="120"/>
        <w:jc w:val="both"/>
      </w:pPr>
      <w:r>
        <w:rPr>
          <w:b/>
          <w:color w:val="404040" w:themeColor="text1" w:themeTint="BF"/>
        </w:rPr>
        <w:t>Cross-context behavioral advertising</w:t>
      </w:r>
      <w:r>
        <w:rPr>
          <w:color w:val="404040" w:themeColor="text1" w:themeTint="BF"/>
        </w:rPr>
        <w:t xml:space="preserve"> — advertising to a person based on personal data obtained from their activity across businesses or services other than the one they are dealing with. The Company does not engage in it.</w:t>
      </w:r>
    </w:p>
    <w:p w14:paraId="179E50F9" w14:textId="77777777" w:rsidR="00D47934" w:rsidRDefault="00000000">
      <w:pPr>
        <w:pStyle w:val="Emphasis-Normal"/>
        <w:numPr>
          <w:ilvl w:val="0"/>
          <w:numId w:val="4"/>
        </w:numPr>
        <w:spacing w:after="120"/>
        <w:jc w:val="both"/>
      </w:pPr>
      <w:r>
        <w:rPr>
          <w:b/>
          <w:color w:val="404040" w:themeColor="text1" w:themeTint="BF"/>
        </w:rPr>
        <w:t>Data subject request</w:t>
      </w:r>
      <w:r>
        <w:rPr>
          <w:color w:val="404040" w:themeColor="text1" w:themeTint="BF"/>
        </w:rPr>
        <w:t xml:space="preserve"> — a request from an individual to exercise a right over their personal data.</w:t>
      </w:r>
    </w:p>
    <w:p w14:paraId="2F951954" w14:textId="77777777" w:rsidR="00D47934"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05F98030" w14:textId="77777777" w:rsidR="00D47934" w:rsidRDefault="00000000">
      <w:pPr>
        <w:pStyle w:val="Emphasis-Normal"/>
        <w:numPr>
          <w:ilvl w:val="0"/>
          <w:numId w:val="4"/>
        </w:numPr>
        <w:spacing w:after="120"/>
        <w:jc w:val="both"/>
      </w:pPr>
      <w:r>
        <w:rPr>
          <w:b/>
          <w:color w:val="404040" w:themeColor="text1" w:themeTint="BF"/>
        </w:rPr>
        <w:lastRenderedPageBreak/>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4FB76EA7" w14:textId="77777777" w:rsidR="002B6D90" w:rsidRDefault="00000000">
      <w:pPr>
        <w:pStyle w:val="Emphasis-Normal"/>
        <w:numPr>
          <w:ilvl w:val="0"/>
          <w:numId w:val="4"/>
        </w:numPr>
        <w:spacing w:after="120"/>
        <w:jc w:val="both"/>
      </w:pPr>
      <w:r>
        <w:rPr>
          <w:b/>
          <w:color w:val="404040" w:themeColor="text1" w:themeTint="BF"/>
        </w:rPr>
        <w:t>Personal data</w:t>
      </w:r>
      <w:r>
        <w:rPr>
          <w:color w:val="404040" w:themeColor="text1" w:themeTint="BF"/>
        </w:rPr>
        <w:t xml:space="preserve"> — information relating to an identified or identifiable individual, including personal information as US state privacy law defines it.</w:t>
      </w:r>
    </w:p>
    <w:p w14:paraId="4B1CE5DE" w14:textId="77777777" w:rsidR="00D47934"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2EAB5063" w14:textId="77777777" w:rsidR="00D47934" w:rsidRDefault="00000000">
      <w:pPr>
        <w:pStyle w:val="Emphasis-Normal"/>
        <w:numPr>
          <w:ilvl w:val="0"/>
          <w:numId w:val="4"/>
        </w:numPr>
        <w:spacing w:after="120"/>
        <w:jc w:val="both"/>
      </w:pPr>
      <w:r>
        <w:rPr>
          <w:b/>
          <w:color w:val="404040" w:themeColor="text1" w:themeTint="BF"/>
        </w:rPr>
        <w:t>Processor</w:t>
      </w:r>
      <w:r>
        <w:rPr>
          <w:color w:val="404040" w:themeColor="text1" w:themeTint="BF"/>
        </w:rPr>
        <w:t xml:space="preserve"> — a party that processes personal data on a controller's instructions.</w:t>
      </w:r>
    </w:p>
    <w:p w14:paraId="7D37BE87" w14:textId="77777777" w:rsidR="00D47934"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5E9535B4" w14:textId="77777777" w:rsidR="00D47934"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1D3A338D" w14:textId="77777777" w:rsidR="002B6D90" w:rsidRDefault="00000000">
      <w:pPr>
        <w:pStyle w:val="Emphasis-Normal"/>
        <w:numPr>
          <w:ilvl w:val="0"/>
          <w:numId w:val="4"/>
        </w:numPr>
        <w:spacing w:after="120"/>
        <w:jc w:val="both"/>
      </w:pPr>
      <w:r>
        <w:rPr>
          <w:b/>
          <w:color w:val="404040" w:themeColor="text1" w:themeTint="BF"/>
        </w:rPr>
        <w:t>Sub-processor</w:t>
      </w:r>
      <w:r>
        <w:rPr>
          <w:color w:val="404040" w:themeColor="text1" w:themeTint="BF"/>
        </w:rPr>
        <w:t xml:space="preserve"> — a processor engaged by the Company to process personal data on a client's behalf, under the terms of the Company's agreement with that client.</w:t>
      </w:r>
    </w:p>
    <w:p w14:paraId="5CD8770C" w14:textId="77777777" w:rsidR="00D47934"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775BE47E" w14:textId="77777777" w:rsidR="00D47934" w:rsidRDefault="00000000">
      <w:pPr>
        <w:pStyle w:val="Heading1"/>
        <w:keepNext/>
        <w:numPr>
          <w:ilvl w:val="0"/>
          <w:numId w:val="11"/>
        </w:numPr>
        <w:spacing w:before="240" w:after="80"/>
      </w:pPr>
      <w:bookmarkStart w:id="9" w:name="_S505"/>
      <w:bookmarkStart w:id="10" w:name="_Toc237819428"/>
      <w:r>
        <w:t>What the Company Processes</w:t>
      </w:r>
      <w:bookmarkEnd w:id="9"/>
      <w:bookmarkEnd w:id="10"/>
    </w:p>
    <w:p w14:paraId="1B59AD83" w14:textId="77777777" w:rsidR="00D47934" w:rsidRDefault="00000000">
      <w:pPr>
        <w:pStyle w:val="Emphasis-Normal"/>
        <w:numPr>
          <w:ilvl w:val="0"/>
          <w:numId w:val="5"/>
        </w:numPr>
        <w:spacing w:after="120"/>
        <w:jc w:val="both"/>
      </w:pPr>
      <w:r>
        <w:rPr>
          <w:color w:val="404040" w:themeColor="text1" w:themeTint="BF"/>
        </w:rPr>
        <w:t xml:space="preserve">As controller: personnel and candidate records, held under the Human Resources Security Policy and the Screening Standard, and retained under the Data Retention, Disposal and Disaster Recovery Policy.  </w:t>
      </w:r>
      <w:r>
        <w:rPr>
          <w:rFonts w:ascii="Calibri Light" w:eastAsia="Calibri Light" w:hAnsi="Calibri Light" w:cs="Calibri Light"/>
          <w:color w:val="404040" w:themeColor="text1" w:themeTint="BF"/>
          <w:sz w:val="18"/>
        </w:rPr>
        <w:t>[SOC 2: CC2.1 · GDPR Art. 5, 6]</w:t>
      </w:r>
    </w:p>
    <w:p w14:paraId="5A62381B" w14:textId="77777777" w:rsidR="00D47934" w:rsidRDefault="00000000">
      <w:pPr>
        <w:pStyle w:val="Emphasis-Normal"/>
        <w:numPr>
          <w:ilvl w:val="0"/>
          <w:numId w:val="5"/>
        </w:numPr>
        <w:spacing w:after="120"/>
        <w:jc w:val="both"/>
      </w:pPr>
      <w:r>
        <w:rPr>
          <w:color w:val="404040" w:themeColor="text1" w:themeTint="BF"/>
        </w:rPr>
        <w:t xml:space="preserve">As processor: client personal data encountered during engagements, processed only on the client's instructions and under the terms of the engagement agreement.  </w:t>
      </w:r>
      <w:r>
        <w:rPr>
          <w:rFonts w:ascii="Calibri Light" w:eastAsia="Calibri Light" w:hAnsi="Calibri Light" w:cs="Calibri Light"/>
          <w:color w:val="404040" w:themeColor="text1" w:themeTint="BF"/>
          <w:sz w:val="18"/>
        </w:rPr>
        <w:t>[SOC 2: CC9.2 · GDPR Art. 28]</w:t>
      </w:r>
    </w:p>
    <w:p w14:paraId="050F4286" w14:textId="77777777" w:rsidR="00D47934" w:rsidRDefault="00000000">
      <w:pPr>
        <w:pStyle w:val="Emphasis-Normal"/>
        <w:numPr>
          <w:ilvl w:val="0"/>
          <w:numId w:val="5"/>
        </w:numPr>
        <w:spacing w:after="120"/>
        <w:jc w:val="both"/>
      </w:pPr>
      <w:r>
        <w:rPr>
          <w:color w:val="404040" w:themeColor="text1" w:themeTint="BF"/>
        </w:rPr>
        <w:t xml:space="preserve">The Company does not sell personal data, does not use client personal data to train models, and does not process personal data for its own purposes beyond running the business.  </w:t>
      </w:r>
      <w:r>
        <w:rPr>
          <w:rFonts w:ascii="Calibri Light" w:eastAsia="Calibri Light" w:hAnsi="Calibri Light" w:cs="Calibri Light"/>
          <w:color w:val="404040" w:themeColor="text1" w:themeTint="BF"/>
          <w:sz w:val="18"/>
        </w:rPr>
        <w:t>[SOC 2: CC9.2 · GDPR Art. 6]</w:t>
      </w:r>
    </w:p>
    <w:p w14:paraId="3577B292" w14:textId="77777777" w:rsidR="00D47934" w:rsidRDefault="00000000">
      <w:pPr>
        <w:pStyle w:val="Heading1"/>
        <w:keepNext/>
        <w:numPr>
          <w:ilvl w:val="0"/>
          <w:numId w:val="11"/>
        </w:numPr>
        <w:spacing w:before="240" w:after="80"/>
      </w:pPr>
      <w:bookmarkStart w:id="11" w:name="_S506"/>
      <w:bookmarkStart w:id="12" w:name="_Toc237819429"/>
      <w:r>
        <w:t>Obligations the Company Carries</w:t>
      </w:r>
      <w:bookmarkEnd w:id="11"/>
      <w:bookmarkEnd w:id="12"/>
    </w:p>
    <w:p w14:paraId="4C0A651A" w14:textId="77777777" w:rsidR="00D47934" w:rsidRDefault="00000000">
      <w:pPr>
        <w:pStyle w:val="Emphasis-Normal"/>
        <w:numPr>
          <w:ilvl w:val="0"/>
          <w:numId w:val="6"/>
        </w:numPr>
        <w:spacing w:after="120"/>
        <w:jc w:val="both"/>
      </w:pPr>
      <w:r>
        <w:rPr>
          <w:color w:val="404040" w:themeColor="text1" w:themeTint="BF"/>
        </w:rPr>
        <w:t xml:space="preserve">Personal data is collected only where there is a basis for it, kept only as long as the retention schedule allows, and protected to the standard the Data Classification and Encryption Policies set.  </w:t>
      </w:r>
      <w:r>
        <w:rPr>
          <w:rFonts w:ascii="Calibri Light" w:eastAsia="Calibri Light" w:hAnsi="Calibri Light" w:cs="Calibri Light"/>
          <w:color w:val="404040" w:themeColor="text1" w:themeTint="BF"/>
          <w:sz w:val="18"/>
        </w:rPr>
        <w:t>[SOC 2: CC6.7 · GDPR Art. 5, 32]</w:t>
      </w:r>
    </w:p>
    <w:p w14:paraId="45D57D06" w14:textId="77777777" w:rsidR="00D47934" w:rsidRDefault="00000000">
      <w:pPr>
        <w:pStyle w:val="Emphasis-Normal"/>
        <w:numPr>
          <w:ilvl w:val="0"/>
          <w:numId w:val="6"/>
        </w:numPr>
        <w:spacing w:after="120"/>
        <w:jc w:val="both"/>
      </w:pPr>
      <w:r>
        <w:rPr>
          <w:color w:val="404040" w:themeColor="text1" w:themeTint="BF"/>
        </w:rPr>
        <w:t xml:space="preserve">Sub-processors handling client personal data are recorded on the sub-processor list and notified to clients under the Vendor Management Policy.  </w:t>
      </w:r>
      <w:r>
        <w:rPr>
          <w:rFonts w:ascii="Calibri Light" w:eastAsia="Calibri Light" w:hAnsi="Calibri Light" w:cs="Calibri Light"/>
          <w:color w:val="404040" w:themeColor="text1" w:themeTint="BF"/>
          <w:sz w:val="18"/>
        </w:rPr>
        <w:t>[SOC 2: CC9.2 · GDPR Art. 28]</w:t>
      </w:r>
    </w:p>
    <w:p w14:paraId="2A2A1C35" w14:textId="77777777" w:rsidR="00D47934" w:rsidRDefault="00000000">
      <w:pPr>
        <w:pStyle w:val="Emphasis-Normal"/>
        <w:numPr>
          <w:ilvl w:val="0"/>
          <w:numId w:val="6"/>
        </w:numPr>
        <w:spacing w:after="120"/>
        <w:jc w:val="both"/>
      </w:pPr>
      <w:r>
        <w:rPr>
          <w:color w:val="404040" w:themeColor="text1" w:themeTint="BF"/>
        </w:rPr>
        <w:lastRenderedPageBreak/>
        <w:t xml:space="preserve">A personal data breach is handled as an incident, and the notification obligations in the notification matrix govern who is told and by when. Where the Company is a processor, it notifies the controller without undue delay.  </w:t>
      </w:r>
      <w:r>
        <w:rPr>
          <w:rFonts w:ascii="Calibri Light" w:eastAsia="Calibri Light" w:hAnsi="Calibri Light" w:cs="Calibri Light"/>
          <w:color w:val="404040" w:themeColor="text1" w:themeTint="BF"/>
          <w:sz w:val="18"/>
        </w:rPr>
        <w:t>[SOC 2: CC7.4 · GDPR Art. 33]</w:t>
      </w:r>
    </w:p>
    <w:p w14:paraId="2C88EC9B" w14:textId="77777777" w:rsidR="00D47934" w:rsidRDefault="00000000">
      <w:pPr>
        <w:pStyle w:val="Emphasis-Normal"/>
        <w:numPr>
          <w:ilvl w:val="0"/>
          <w:numId w:val="6"/>
        </w:numPr>
        <w:spacing w:after="120"/>
        <w:jc w:val="both"/>
      </w:pPr>
      <w:r>
        <w:rPr>
          <w:color w:val="404040" w:themeColor="text1" w:themeTint="BF"/>
        </w:rPr>
        <w:t xml:space="preserve">A data subject request received by the Company as controller is acknowledged and answered within the period the applicable law allows. A request relating to client data is passed to the client, which is the controller, rather than answered by the Company.  </w:t>
      </w:r>
      <w:r>
        <w:rPr>
          <w:rFonts w:ascii="Calibri Light" w:eastAsia="Calibri Light" w:hAnsi="Calibri Light" w:cs="Calibri Light"/>
          <w:color w:val="404040" w:themeColor="text1" w:themeTint="BF"/>
          <w:sz w:val="18"/>
        </w:rPr>
        <w:t>[SOC 2: CC2.3 · GDPR Art. 12, 15]</w:t>
      </w:r>
    </w:p>
    <w:p w14:paraId="1BE9B780" w14:textId="77777777" w:rsidR="00D47934" w:rsidRDefault="00000000">
      <w:pPr>
        <w:pStyle w:val="Emphasis-Normal"/>
        <w:numPr>
          <w:ilvl w:val="0"/>
          <w:numId w:val="6"/>
        </w:numPr>
        <w:spacing w:after="120"/>
        <w:jc w:val="both"/>
      </w:pPr>
      <w:r>
        <w:rPr>
          <w:color w:val="404040" w:themeColor="text1" w:themeTint="BF"/>
        </w:rPr>
        <w:t xml:space="preserve">What the Company tells website visitors, enquirers and customer contacts about its processing is set out in the published Privacy Notice, which is the Company's Article 13 and 14 disclosures. This Policy governs the internal position; the Notice is what the public sees, and the two are reviewed together so they cannot drift apart.  </w:t>
      </w:r>
      <w:r>
        <w:rPr>
          <w:rFonts w:ascii="Calibri Light" w:eastAsia="Calibri Light" w:hAnsi="Calibri Light" w:cs="Calibri Light"/>
          <w:color w:val="404040" w:themeColor="text1" w:themeTint="BF"/>
          <w:sz w:val="18"/>
        </w:rPr>
        <w:t>[SOC 2: CC2.3 · GDPR Art. 13, 14]</w:t>
      </w:r>
    </w:p>
    <w:p w14:paraId="70315E06" w14:textId="77777777" w:rsidR="002B6D90" w:rsidRDefault="00000000">
      <w:pPr>
        <w:pStyle w:val="Heading1"/>
        <w:keepNext/>
        <w:numPr>
          <w:ilvl w:val="0"/>
          <w:numId w:val="11"/>
        </w:numPr>
        <w:spacing w:before="240" w:after="80"/>
      </w:pPr>
      <w:bookmarkStart w:id="13" w:name="_Toc700101"/>
      <w:r>
        <w:t>How the Company Protects Personal Data</w:t>
      </w:r>
      <w:bookmarkEnd w:id="13"/>
    </w:p>
    <w:p w14:paraId="30F0F2AF" w14:textId="77777777" w:rsidR="002B6D90" w:rsidRDefault="00000000">
      <w:pPr>
        <w:pStyle w:val="BodyText9"/>
        <w:spacing w:after="120"/>
        <w:jc w:val="both"/>
      </w:pPr>
      <w:r>
        <w:rPr>
          <w:color w:val="404040" w:themeColor="text1" w:themeTint="BF"/>
        </w:rPr>
        <w:t>The controls that protect personal data are the controls that protect everything else. This section records which of them carry the privacy obligation, so that the claim made in the Privacy Notice can be traced to something that operates.</w:t>
      </w:r>
    </w:p>
    <w:p w14:paraId="269AE9A2" w14:textId="77777777" w:rsidR="002B6D90" w:rsidRDefault="00000000">
      <w:pPr>
        <w:pStyle w:val="Emphasis-Normal"/>
        <w:numPr>
          <w:ilvl w:val="0"/>
          <w:numId w:val="9"/>
        </w:numPr>
        <w:spacing w:after="120"/>
        <w:jc w:val="both"/>
      </w:pPr>
      <w:r>
        <w:rPr>
          <w:color w:val="404040" w:themeColor="text1" w:themeTint="BF"/>
        </w:rPr>
        <w:t xml:space="preserve">Personal data is classified and handled under the Data Classification Policy, and encrypted in transit and at rest to the standard the Encryption Policy sets.  </w:t>
      </w:r>
      <w:r>
        <w:rPr>
          <w:rFonts w:ascii="Calibri Light" w:eastAsia="Calibri Light" w:hAnsi="Calibri Light" w:cs="Calibri Light"/>
          <w:color w:val="404040" w:themeColor="text1" w:themeTint="BF"/>
          <w:sz w:val="18"/>
        </w:rPr>
        <w:t>[SOC 2: CC6.1, CC6.7 · GDPR Art. 32]</w:t>
      </w:r>
    </w:p>
    <w:p w14:paraId="2001BF53" w14:textId="77777777" w:rsidR="002B6D90" w:rsidRDefault="00000000">
      <w:pPr>
        <w:pStyle w:val="Emphasis-Normal"/>
        <w:numPr>
          <w:ilvl w:val="0"/>
          <w:numId w:val="9"/>
        </w:numPr>
        <w:spacing w:after="120"/>
        <w:jc w:val="both"/>
      </w:pPr>
      <w:r>
        <w:rPr>
          <w:color w:val="404040" w:themeColor="text1" w:themeTint="BF"/>
        </w:rPr>
        <w:t xml:space="preserve">Access to personal data is granted on least privilege, requires multi-factor authentication, is reviewed at the cadence the Access Control Policy sets, and is removed on separation.  </w:t>
      </w:r>
      <w:r>
        <w:rPr>
          <w:rFonts w:ascii="Calibri Light" w:eastAsia="Calibri Light" w:hAnsi="Calibri Light" w:cs="Calibri Light"/>
          <w:color w:val="404040" w:themeColor="text1" w:themeTint="BF"/>
          <w:sz w:val="18"/>
        </w:rPr>
        <w:t>[SOC 2: CC6.1, CC6.2, CC6.3 · GDPR Art. 32]</w:t>
      </w:r>
    </w:p>
    <w:p w14:paraId="7E1593F6" w14:textId="77777777" w:rsidR="002B6D90" w:rsidRDefault="00000000">
      <w:pPr>
        <w:pStyle w:val="Emphasis-Normal"/>
        <w:numPr>
          <w:ilvl w:val="0"/>
          <w:numId w:val="9"/>
        </w:numPr>
        <w:spacing w:after="120"/>
        <w:jc w:val="both"/>
      </w:pPr>
      <w:r>
        <w:rPr>
          <w:color w:val="404040" w:themeColor="text1" w:themeTint="BF"/>
        </w:rPr>
        <w:t xml:space="preserve">Personnel with access to personal data are screened under the Screening Standard, are bound by confidentiality terms, and complete privacy and security awareness training.  </w:t>
      </w:r>
      <w:r>
        <w:rPr>
          <w:rFonts w:ascii="Calibri Light" w:eastAsia="Calibri Light" w:hAnsi="Calibri Light" w:cs="Calibri Light"/>
          <w:color w:val="404040" w:themeColor="text1" w:themeTint="BF"/>
          <w:sz w:val="18"/>
        </w:rPr>
        <w:t>[SOC 2: CC1.4, CC2.2 · GDPR Art. 32(4)]</w:t>
      </w:r>
    </w:p>
    <w:p w14:paraId="1CDA4925" w14:textId="77777777" w:rsidR="002B6D90" w:rsidRDefault="00000000">
      <w:pPr>
        <w:pStyle w:val="Emphasis-Normal"/>
        <w:numPr>
          <w:ilvl w:val="0"/>
          <w:numId w:val="9"/>
        </w:numPr>
        <w:spacing w:after="120"/>
        <w:jc w:val="both"/>
      </w:pPr>
      <w:r>
        <w:rPr>
          <w:color w:val="404040" w:themeColor="text1" w:themeTint="BF"/>
        </w:rPr>
        <w:t xml:space="preserve">Access to systems holding personal data is logged and monitored, so that an unauthorized access is capable of being detected rather than assumed not to have happened.  </w:t>
      </w:r>
      <w:r>
        <w:rPr>
          <w:rFonts w:ascii="Calibri Light" w:eastAsia="Calibri Light" w:hAnsi="Calibri Light" w:cs="Calibri Light"/>
          <w:color w:val="404040" w:themeColor="text1" w:themeTint="BF"/>
          <w:sz w:val="18"/>
        </w:rPr>
        <w:t>[SOC 2: CC7.2 · GDPR Art. 32]</w:t>
      </w:r>
    </w:p>
    <w:p w14:paraId="7D34BED2" w14:textId="77777777" w:rsidR="002B6D90" w:rsidRDefault="00000000">
      <w:pPr>
        <w:pStyle w:val="Emphasis-Normal"/>
        <w:numPr>
          <w:ilvl w:val="0"/>
          <w:numId w:val="9"/>
        </w:numPr>
        <w:spacing w:after="120"/>
        <w:jc w:val="both"/>
      </w:pPr>
      <w:r>
        <w:rPr>
          <w:color w:val="404040" w:themeColor="text1" w:themeTint="BF"/>
        </w:rPr>
        <w:t xml:space="preserve">Availability and restorability of personal data are governed by the Data Retention, Disposal and Disaster Recovery Policy, including the backup, recovery objectives and restoration testing it requires.  </w:t>
      </w:r>
      <w:r>
        <w:rPr>
          <w:rFonts w:ascii="Calibri Light" w:eastAsia="Calibri Light" w:hAnsi="Calibri Light" w:cs="Calibri Light"/>
          <w:color w:val="404040" w:themeColor="text1" w:themeTint="BF"/>
          <w:sz w:val="18"/>
        </w:rPr>
        <w:t>[SOC 2: A1.2 · GDPR Art. 32(1)(c)]</w:t>
      </w:r>
    </w:p>
    <w:p w14:paraId="6B8968D6" w14:textId="77777777" w:rsidR="002B6D90" w:rsidRDefault="00000000">
      <w:pPr>
        <w:pStyle w:val="Emphasis-Normal"/>
        <w:numPr>
          <w:ilvl w:val="0"/>
          <w:numId w:val="9"/>
        </w:numPr>
        <w:spacing w:after="120"/>
        <w:jc w:val="both"/>
      </w:pPr>
      <w:r>
        <w:rPr>
          <w:color w:val="404040" w:themeColor="text1" w:themeTint="BF"/>
        </w:rPr>
        <w:t xml:space="preserve">Production personal data is not used in development or test environments unless it has been de-identified. Where that is not practicable, the Accountable Party approves the use and records it with a review date.  </w:t>
      </w:r>
      <w:r>
        <w:rPr>
          <w:rFonts w:ascii="Calibri Light" w:eastAsia="Calibri Light" w:hAnsi="Calibri Light" w:cs="Calibri Light"/>
          <w:color w:val="404040" w:themeColor="text1" w:themeTint="BF"/>
          <w:sz w:val="18"/>
        </w:rPr>
        <w:t>[SOC 2: CC6.1 · GDPR Art. 5(1)(c)]</w:t>
      </w:r>
    </w:p>
    <w:p w14:paraId="1187BED3" w14:textId="77777777" w:rsidR="002B6D90" w:rsidRDefault="00000000">
      <w:pPr>
        <w:pStyle w:val="Emphasis-Normal"/>
        <w:numPr>
          <w:ilvl w:val="0"/>
          <w:numId w:val="9"/>
        </w:numPr>
        <w:spacing w:after="120"/>
        <w:jc w:val="both"/>
      </w:pPr>
      <w:r>
        <w:rPr>
          <w:color w:val="404040" w:themeColor="text1" w:themeTint="BF"/>
        </w:rPr>
        <w:t xml:space="preserve">Safeguards are reassessed on any significant change and at the annual review. The Company does not state a standard of protection it has not tested.  </w:t>
      </w:r>
      <w:r>
        <w:rPr>
          <w:rFonts w:ascii="Calibri Light" w:eastAsia="Calibri Light" w:hAnsi="Calibri Light" w:cs="Calibri Light"/>
          <w:color w:val="404040" w:themeColor="text1" w:themeTint="BF"/>
          <w:sz w:val="18"/>
        </w:rPr>
        <w:t>[SOC 2: CC3.2 · GDPR Art. 32(1)(d)]</w:t>
      </w:r>
    </w:p>
    <w:p w14:paraId="1FB0597B" w14:textId="77777777" w:rsidR="002B6D90" w:rsidRDefault="00000000">
      <w:pPr>
        <w:pStyle w:val="Heading1"/>
        <w:keepNext/>
        <w:numPr>
          <w:ilvl w:val="0"/>
          <w:numId w:val="11"/>
        </w:numPr>
        <w:spacing w:before="240" w:after="80"/>
      </w:pPr>
      <w:bookmarkStart w:id="14" w:name="_Toc700102"/>
      <w:r>
        <w:lastRenderedPageBreak/>
        <w:t>How the Company Shares Personal Data</w:t>
      </w:r>
      <w:bookmarkEnd w:id="14"/>
    </w:p>
    <w:p w14:paraId="4B657955" w14:textId="77777777" w:rsidR="002B6D90" w:rsidRDefault="00000000">
      <w:pPr>
        <w:pStyle w:val="BodyText9"/>
        <w:spacing w:after="120"/>
        <w:jc w:val="both"/>
      </w:pPr>
      <w:r>
        <w:rPr>
          <w:color w:val="404040" w:themeColor="text1" w:themeTint="BF"/>
        </w:rPr>
        <w:t>The Company does not sell personal data. It does disclose personal data to the service providers it runs on, which is a different thing. This section keeps the two apart, so that neither statement has to be qualified later.</w:t>
      </w:r>
    </w:p>
    <w:p w14:paraId="0EEC8DD2" w14:textId="77777777" w:rsidR="002B6D90" w:rsidRDefault="00000000">
      <w:pPr>
        <w:pStyle w:val="Emphasis-Normal"/>
        <w:numPr>
          <w:ilvl w:val="0"/>
          <w:numId w:val="10"/>
        </w:numPr>
        <w:spacing w:after="120"/>
        <w:jc w:val="both"/>
      </w:pPr>
      <w:r>
        <w:rPr>
          <w:color w:val="404040" w:themeColor="text1" w:themeTint="BF"/>
        </w:rPr>
        <w:t xml:space="preserve">The Company does not sell personal data and does not share it for cross-context behavioral advertising as US state privacy law defines those terms. It does not disclose personal data to any third party for that party's own purposes.  </w:t>
      </w:r>
      <w:r>
        <w:rPr>
          <w:rFonts w:ascii="Calibri Light" w:eastAsia="Calibri Light" w:hAnsi="Calibri Light" w:cs="Calibri Light"/>
          <w:color w:val="404040" w:themeColor="text1" w:themeTint="BF"/>
          <w:sz w:val="18"/>
        </w:rPr>
        <w:t>[SOC 2: CC9.2 · CPRA §1798.120]</w:t>
      </w:r>
    </w:p>
    <w:p w14:paraId="24095FE6" w14:textId="77777777" w:rsidR="002B6D90" w:rsidRDefault="00000000">
      <w:pPr>
        <w:pStyle w:val="Emphasis-Normal"/>
        <w:numPr>
          <w:ilvl w:val="0"/>
          <w:numId w:val="10"/>
        </w:numPr>
        <w:spacing w:after="120"/>
        <w:jc w:val="both"/>
      </w:pPr>
      <w:r>
        <w:rPr>
          <w:color w:val="404040" w:themeColor="text1" w:themeTint="BF"/>
        </w:rPr>
        <w:t xml:space="preserve">Personal data is disclosed to sub-processors and service providers acting on the Company's documented instructions under written contract, and only so far as they need it to perform. Each is recorded on the sub-processor list.  </w:t>
      </w:r>
      <w:r>
        <w:rPr>
          <w:rFonts w:ascii="Calibri Light" w:eastAsia="Calibri Light" w:hAnsi="Calibri Light" w:cs="Calibri Light"/>
          <w:color w:val="404040" w:themeColor="text1" w:themeTint="BF"/>
          <w:sz w:val="18"/>
        </w:rPr>
        <w:t>[SOC 2: CC9.2 · GDPR Art. 28]</w:t>
      </w:r>
    </w:p>
    <w:p w14:paraId="16B0AD49" w14:textId="77777777" w:rsidR="002B6D90" w:rsidRDefault="00000000">
      <w:pPr>
        <w:pStyle w:val="Emphasis-Normal"/>
        <w:numPr>
          <w:ilvl w:val="0"/>
          <w:numId w:val="10"/>
        </w:numPr>
        <w:spacing w:after="120"/>
        <w:jc w:val="both"/>
      </w:pPr>
      <w:r>
        <w:rPr>
          <w:color w:val="404040" w:themeColor="text1" w:themeTint="BF"/>
        </w:rPr>
        <w:t xml:space="preserve">A sub-processor is assessed before engagement and reassessed under the Vendor Management Policy. Clients are notified before a new sub-processor begins processing their personal data, on the terms the engagement agreement sets.  </w:t>
      </w:r>
      <w:r>
        <w:rPr>
          <w:rFonts w:ascii="Calibri Light" w:eastAsia="Calibri Light" w:hAnsi="Calibri Light" w:cs="Calibri Light"/>
          <w:color w:val="404040" w:themeColor="text1" w:themeTint="BF"/>
          <w:sz w:val="18"/>
        </w:rPr>
        <w:t>[SOC 2: CC9.2 · GDPR Art. 28(2)]</w:t>
      </w:r>
    </w:p>
    <w:p w14:paraId="12F47BE0" w14:textId="77777777" w:rsidR="002B6D90" w:rsidRDefault="00000000">
      <w:pPr>
        <w:pStyle w:val="Emphasis-Normal"/>
        <w:numPr>
          <w:ilvl w:val="0"/>
          <w:numId w:val="10"/>
        </w:numPr>
        <w:spacing w:after="120"/>
        <w:jc w:val="both"/>
      </w:pPr>
      <w:r>
        <w:rPr>
          <w:color w:val="404040" w:themeColor="text1" w:themeTint="BF"/>
        </w:rPr>
        <w:t xml:space="preserve">Client personal data is processed only on the client’s documented instructions and is not used for any purpose of the Company, including training or evaluating models, whether the Company’s own or a provider's. Where a commercial AI service is used in delivery, it is used under terms that exclude submissions from provider training.  </w:t>
      </w:r>
      <w:r>
        <w:rPr>
          <w:rFonts w:ascii="Calibri Light" w:eastAsia="Calibri Light" w:hAnsi="Calibri Light" w:cs="Calibri Light"/>
          <w:color w:val="404040" w:themeColor="text1" w:themeTint="BF"/>
          <w:sz w:val="18"/>
        </w:rPr>
        <w:t>[SOC 2: CC9.2 · GDPR Art. 28(3)(a)]</w:t>
      </w:r>
    </w:p>
    <w:p w14:paraId="4840F640" w14:textId="77777777" w:rsidR="002B6D90" w:rsidRDefault="00000000">
      <w:pPr>
        <w:pStyle w:val="Emphasis-Normal"/>
        <w:numPr>
          <w:ilvl w:val="0"/>
          <w:numId w:val="10"/>
        </w:numPr>
        <w:spacing w:after="120"/>
        <w:jc w:val="both"/>
      </w:pPr>
      <w:r>
        <w:rPr>
          <w:color w:val="404040" w:themeColor="text1" w:themeTint="BF"/>
        </w:rPr>
        <w:t xml:space="preserve">Personal data transferred out of the UK or the EEA moves under the Standard Contractual Clauses with the UK Addendum, or under an adequacy decision, with a transfer assessment recorded where one is needed.  </w:t>
      </w:r>
      <w:r>
        <w:rPr>
          <w:rFonts w:ascii="Calibri Light" w:eastAsia="Calibri Light" w:hAnsi="Calibri Light" w:cs="Calibri Light"/>
          <w:color w:val="404040" w:themeColor="text1" w:themeTint="BF"/>
          <w:sz w:val="18"/>
        </w:rPr>
        <w:t>[SOC 2: CC9.2 · GDPR Art. 46]</w:t>
      </w:r>
    </w:p>
    <w:p w14:paraId="7F33BFBA" w14:textId="77777777" w:rsidR="002B6D90" w:rsidRDefault="00000000">
      <w:pPr>
        <w:pStyle w:val="Emphasis-Normal"/>
        <w:numPr>
          <w:ilvl w:val="0"/>
          <w:numId w:val="10"/>
        </w:numPr>
        <w:spacing w:after="120"/>
        <w:jc w:val="both"/>
      </w:pPr>
      <w:r>
        <w:rPr>
          <w:color w:val="404040" w:themeColor="text1" w:themeTint="BF"/>
        </w:rPr>
        <w:t xml:space="preserve">Personal data is disclosed to law enforcement, a regulator or a court only where the Company is legally required to do so, or to establish or defend a legal claim. The disclosure is recorded, and the client is told where the Company is permitted to tell them.  </w:t>
      </w:r>
      <w:r>
        <w:rPr>
          <w:rFonts w:ascii="Calibri Light" w:eastAsia="Calibri Light" w:hAnsi="Calibri Light" w:cs="Calibri Light"/>
          <w:color w:val="404040" w:themeColor="text1" w:themeTint="BF"/>
          <w:sz w:val="18"/>
        </w:rPr>
        <w:t>[SOC 2: CC2.3 · GDPR Art. 6(1)(c)]</w:t>
      </w:r>
    </w:p>
    <w:p w14:paraId="7F4F3189" w14:textId="77777777" w:rsidR="002B6D90" w:rsidRDefault="00000000">
      <w:pPr>
        <w:pStyle w:val="Emphasis-Normal"/>
        <w:numPr>
          <w:ilvl w:val="0"/>
          <w:numId w:val="10"/>
        </w:numPr>
        <w:spacing w:after="120"/>
        <w:jc w:val="both"/>
      </w:pPr>
      <w:r>
        <w:rPr>
          <w:color w:val="404040" w:themeColor="text1" w:themeTint="BF"/>
        </w:rPr>
        <w:t xml:space="preserve">On a merger, acquisition or sale of the business, personal data may transfer to the acquiring entity subject to this Policy, and affected clients are told before it does.  </w:t>
      </w:r>
      <w:r>
        <w:rPr>
          <w:rFonts w:ascii="Calibri Light" w:eastAsia="Calibri Light" w:hAnsi="Calibri Light" w:cs="Calibri Light"/>
          <w:color w:val="404040" w:themeColor="text1" w:themeTint="BF"/>
          <w:sz w:val="18"/>
        </w:rPr>
        <w:t>[SOC 2: CC9.2]</w:t>
      </w:r>
    </w:p>
    <w:p w14:paraId="1C2C556D" w14:textId="77777777" w:rsidR="002B6D90" w:rsidRDefault="00000000">
      <w:pPr>
        <w:pStyle w:val="Emphasis-Normal"/>
        <w:numPr>
          <w:ilvl w:val="0"/>
          <w:numId w:val="10"/>
        </w:numPr>
        <w:spacing w:after="120"/>
        <w:jc w:val="both"/>
      </w:pPr>
      <w:r>
        <w:rPr>
          <w:color w:val="404040" w:themeColor="text1" w:themeTint="BF"/>
        </w:rPr>
        <w:t xml:space="preserve">Any disclosure not described above is approved in advance by the Accountable Party and recorded.  </w:t>
      </w:r>
      <w:r>
        <w:rPr>
          <w:rFonts w:ascii="Calibri Light" w:eastAsia="Calibri Light" w:hAnsi="Calibri Light" w:cs="Calibri Light"/>
          <w:color w:val="404040" w:themeColor="text1" w:themeTint="BF"/>
          <w:sz w:val="18"/>
        </w:rPr>
        <w:t>[SOC 2: CC9.2]</w:t>
      </w:r>
    </w:p>
    <w:p w14:paraId="6BD5E56D" w14:textId="77777777" w:rsidR="00D47934" w:rsidRDefault="00000000">
      <w:pPr>
        <w:pStyle w:val="Heading1"/>
        <w:keepNext/>
        <w:numPr>
          <w:ilvl w:val="0"/>
          <w:numId w:val="11"/>
        </w:numPr>
        <w:spacing w:before="240" w:after="80"/>
      </w:pPr>
      <w:bookmarkStart w:id="15" w:name="_S507"/>
      <w:bookmarkStart w:id="16" w:name="_Toc237819430"/>
      <w:r>
        <w:t>Records</w:t>
      </w:r>
      <w:bookmarkEnd w:id="15"/>
      <w:bookmarkEnd w:id="16"/>
    </w:p>
    <w:p w14:paraId="07CF7499" w14:textId="77777777" w:rsidR="00D47934" w:rsidRDefault="00000000">
      <w:pPr>
        <w:pStyle w:val="Emphasis-Normal"/>
        <w:numPr>
          <w:ilvl w:val="0"/>
          <w:numId w:val="7"/>
        </w:numPr>
        <w:spacing w:after="120"/>
        <w:jc w:val="both"/>
      </w:pPr>
      <w:r>
        <w:rPr>
          <w:color w:val="404040" w:themeColor="text1" w:themeTint="BF"/>
        </w:rPr>
        <w:t xml:space="preserve">The scoping decision recording that the Privacy category is out of scope, with its review date.  </w:t>
      </w:r>
      <w:r>
        <w:rPr>
          <w:rFonts w:ascii="Calibri Light" w:eastAsia="Calibri Light" w:hAnsi="Calibri Light" w:cs="Calibri Light"/>
          <w:color w:val="404040" w:themeColor="text1" w:themeTint="BF"/>
          <w:sz w:val="18"/>
        </w:rPr>
        <w:t>[SOC 2: CC3.2]</w:t>
      </w:r>
    </w:p>
    <w:p w14:paraId="3CB8B792" w14:textId="77777777" w:rsidR="00D47934" w:rsidRDefault="00000000">
      <w:pPr>
        <w:pStyle w:val="Emphasis-Normal"/>
        <w:numPr>
          <w:ilvl w:val="0"/>
          <w:numId w:val="7"/>
        </w:numPr>
        <w:spacing w:after="120"/>
        <w:jc w:val="both"/>
      </w:pPr>
      <w:r>
        <w:rPr>
          <w:color w:val="404040" w:themeColor="text1" w:themeTint="BF"/>
        </w:rPr>
        <w:t xml:space="preserve">The record of processing activities, so far as one is required.  </w:t>
      </w:r>
      <w:r>
        <w:rPr>
          <w:rFonts w:ascii="Calibri Light" w:eastAsia="Calibri Light" w:hAnsi="Calibri Light" w:cs="Calibri Light"/>
          <w:color w:val="404040" w:themeColor="text1" w:themeTint="BF"/>
          <w:sz w:val="18"/>
        </w:rPr>
        <w:t>[SOC 2: CC2.1 · GDPR Art. 30]</w:t>
      </w:r>
    </w:p>
    <w:p w14:paraId="15673967" w14:textId="77777777" w:rsidR="00D47934" w:rsidRDefault="00000000">
      <w:pPr>
        <w:pStyle w:val="Emphasis-Normal"/>
        <w:numPr>
          <w:ilvl w:val="0"/>
          <w:numId w:val="7"/>
        </w:numPr>
        <w:spacing w:after="120"/>
        <w:jc w:val="both"/>
      </w:pPr>
      <w:r>
        <w:rPr>
          <w:color w:val="404040" w:themeColor="text1" w:themeTint="BF"/>
        </w:rPr>
        <w:t xml:space="preserve">The sub-processor list and client notifications.  </w:t>
      </w:r>
      <w:r>
        <w:rPr>
          <w:rFonts w:ascii="Calibri Light" w:eastAsia="Calibri Light" w:hAnsi="Calibri Light" w:cs="Calibri Light"/>
          <w:color w:val="404040" w:themeColor="text1" w:themeTint="BF"/>
          <w:sz w:val="18"/>
        </w:rPr>
        <w:t>[SOC 2: CC9.2]</w:t>
      </w:r>
    </w:p>
    <w:p w14:paraId="3411E455" w14:textId="77777777" w:rsidR="00D47934" w:rsidRDefault="00000000">
      <w:pPr>
        <w:pStyle w:val="Emphasis-Normal"/>
        <w:numPr>
          <w:ilvl w:val="0"/>
          <w:numId w:val="7"/>
        </w:numPr>
        <w:spacing w:after="120"/>
        <w:jc w:val="both"/>
      </w:pPr>
      <w:r>
        <w:rPr>
          <w:color w:val="404040" w:themeColor="text1" w:themeTint="BF"/>
        </w:rPr>
        <w:t xml:space="preserve">Data subject requests received and how they were handled.  </w:t>
      </w:r>
      <w:r>
        <w:rPr>
          <w:rFonts w:ascii="Calibri Light" w:eastAsia="Calibri Light" w:hAnsi="Calibri Light" w:cs="Calibri Light"/>
          <w:color w:val="404040" w:themeColor="text1" w:themeTint="BF"/>
          <w:sz w:val="18"/>
        </w:rPr>
        <w:t>[SOC 2: CC2.3]</w:t>
      </w:r>
    </w:p>
    <w:p w14:paraId="2D716866" w14:textId="77777777" w:rsidR="00D47934" w:rsidRDefault="00000000">
      <w:pPr>
        <w:pStyle w:val="Emphasis-Normal"/>
        <w:numPr>
          <w:ilvl w:val="0"/>
          <w:numId w:val="7"/>
        </w:numPr>
        <w:spacing w:after="120"/>
        <w:jc w:val="both"/>
      </w:pPr>
      <w:r>
        <w:rPr>
          <w:color w:val="404040" w:themeColor="text1" w:themeTint="BF"/>
        </w:rPr>
        <w:t xml:space="preserve">The published Privacy Notice and its version history.  </w:t>
      </w:r>
      <w:r>
        <w:rPr>
          <w:rFonts w:ascii="Calibri Light" w:eastAsia="Calibri Light" w:hAnsi="Calibri Light" w:cs="Calibri Light"/>
          <w:color w:val="404040" w:themeColor="text1" w:themeTint="BF"/>
          <w:sz w:val="18"/>
        </w:rPr>
        <w:t>[SOC 2: CC2.3]</w:t>
      </w:r>
    </w:p>
    <w:p w14:paraId="72BECA86" w14:textId="77777777" w:rsidR="002B6D90" w:rsidRDefault="00000000">
      <w:pPr>
        <w:pStyle w:val="Emphasis-Normal"/>
        <w:numPr>
          <w:ilvl w:val="0"/>
          <w:numId w:val="7"/>
        </w:numPr>
        <w:spacing w:after="120"/>
        <w:jc w:val="both"/>
      </w:pPr>
      <w:r>
        <w:rPr>
          <w:color w:val="404040" w:themeColor="text1" w:themeTint="BF"/>
        </w:rPr>
        <w:t xml:space="preserve">The transfer mechanisms relied on, with any transfer assessments.  </w:t>
      </w:r>
      <w:r>
        <w:rPr>
          <w:rFonts w:ascii="Calibri Light" w:eastAsia="Calibri Light" w:hAnsi="Calibri Light" w:cs="Calibri Light"/>
          <w:color w:val="404040" w:themeColor="text1" w:themeTint="BF"/>
          <w:sz w:val="18"/>
        </w:rPr>
        <w:t>[SOC 2: CC9.2 · GDPR Art. 46]</w:t>
      </w:r>
    </w:p>
    <w:p w14:paraId="1C6C5CBC" w14:textId="77777777" w:rsidR="002B6D90" w:rsidRDefault="00000000">
      <w:pPr>
        <w:pStyle w:val="Emphasis-Normal"/>
        <w:numPr>
          <w:ilvl w:val="0"/>
          <w:numId w:val="7"/>
        </w:numPr>
        <w:spacing w:after="120"/>
        <w:jc w:val="both"/>
      </w:pPr>
      <w:r>
        <w:rPr>
          <w:color w:val="404040" w:themeColor="text1" w:themeTint="BF"/>
        </w:rPr>
        <w:lastRenderedPageBreak/>
        <w:t xml:space="preserve">Disclosures made under legal compulsion, with what was disclosed and to whom.  </w:t>
      </w:r>
      <w:r>
        <w:rPr>
          <w:rFonts w:ascii="Calibri Light" w:eastAsia="Calibri Light" w:hAnsi="Calibri Light" w:cs="Calibri Light"/>
          <w:color w:val="404040" w:themeColor="text1" w:themeTint="BF"/>
          <w:sz w:val="18"/>
        </w:rPr>
        <w:t>[SOC 2: CC2.3]</w:t>
      </w:r>
    </w:p>
    <w:p w14:paraId="042E5AE9" w14:textId="77777777" w:rsidR="002B6D90" w:rsidRDefault="00000000">
      <w:pPr>
        <w:pStyle w:val="Emphasis-Normal"/>
        <w:numPr>
          <w:ilvl w:val="0"/>
          <w:numId w:val="7"/>
        </w:numPr>
        <w:spacing w:after="120"/>
        <w:jc w:val="both"/>
      </w:pPr>
      <w:r>
        <w:rPr>
          <w:color w:val="404040" w:themeColor="text1" w:themeTint="BF"/>
        </w:rPr>
        <w:t xml:space="preserve">Approvals for any use of personal data outside a production environment.  </w:t>
      </w:r>
      <w:r>
        <w:rPr>
          <w:rFonts w:ascii="Calibri Light" w:eastAsia="Calibri Light" w:hAnsi="Calibri Light" w:cs="Calibri Light"/>
          <w:color w:val="404040" w:themeColor="text1" w:themeTint="BF"/>
          <w:sz w:val="18"/>
        </w:rPr>
        <w:t>[SOC 2: CC6.1]</w:t>
      </w:r>
    </w:p>
    <w:p w14:paraId="0162627B" w14:textId="77777777" w:rsidR="00D47934" w:rsidRDefault="00000000">
      <w:pPr>
        <w:pStyle w:val="Heading1"/>
        <w:keepNext/>
        <w:numPr>
          <w:ilvl w:val="0"/>
          <w:numId w:val="11"/>
        </w:numPr>
        <w:spacing w:before="240" w:after="80"/>
      </w:pPr>
      <w:bookmarkStart w:id="17" w:name="_S508"/>
      <w:bookmarkStart w:id="18" w:name="_Toc237819431"/>
      <w:r>
        <w:t>Exceptions</w:t>
      </w:r>
      <w:bookmarkEnd w:id="17"/>
      <w:bookmarkEnd w:id="18"/>
    </w:p>
    <w:p w14:paraId="3668C740" w14:textId="77777777" w:rsidR="00D47934" w:rsidRDefault="00000000">
      <w:pPr>
        <w:pStyle w:val="BodyText9"/>
        <w:spacing w:after="120"/>
        <w:jc w:val="both"/>
      </w:pPr>
      <w:r>
        <w:rPr>
          <w:color w:val="404040" w:themeColor="text1" w:themeTint="BF"/>
        </w:rPr>
        <w:t>Where a client agreement requires the Privacy category to be in scope, or requires obligations beyond this Policy, that requirement governs and this Policy is reissued rather than an exception being recorded.</w:t>
      </w:r>
    </w:p>
    <w:p w14:paraId="6CB0AF6D" w14:textId="77777777" w:rsidR="00D47934" w:rsidRDefault="00000000">
      <w:pPr>
        <w:pStyle w:val="Heading1"/>
        <w:keepNext/>
        <w:numPr>
          <w:ilvl w:val="0"/>
          <w:numId w:val="11"/>
        </w:numPr>
        <w:spacing w:before="240" w:after="80"/>
      </w:pPr>
      <w:bookmarkStart w:id="19" w:name="_S509"/>
      <w:bookmarkStart w:id="20" w:name="_Toc237819432"/>
      <w:r>
        <w:t>Reference</w:t>
      </w:r>
      <w:bookmarkEnd w:id="19"/>
      <w:bookmarkEnd w:id="20"/>
    </w:p>
    <w:p w14:paraId="5146D159" w14:textId="77777777" w:rsidR="00D47934" w:rsidRDefault="00000000">
      <w:pPr>
        <w:pStyle w:val="Emphasis-Normal"/>
        <w:numPr>
          <w:ilvl w:val="0"/>
          <w:numId w:val="8"/>
        </w:numPr>
        <w:spacing w:after="120"/>
        <w:jc w:val="both"/>
      </w:pPr>
      <w:r>
        <w:rPr>
          <w:color w:val="404040" w:themeColor="text1" w:themeTint="BF"/>
        </w:rPr>
        <w:t>SOC 2 Trust Services Criteria, Security category [</w:t>
      </w:r>
      <w:r>
        <w:rPr>
          <w:rFonts w:ascii="Calibri Light" w:eastAsia="Calibri Light" w:hAnsi="Calibri Light" w:cs="Calibri Light"/>
          <w:color w:val="404040" w:themeColor="text1" w:themeTint="BF"/>
          <w:sz w:val="18"/>
        </w:rPr>
        <w:t>CC2.1, CC2.3, CC7.4, CC9.2]</w:t>
      </w:r>
    </w:p>
    <w:p w14:paraId="24DA1AA0" w14:textId="77777777" w:rsidR="00D47934" w:rsidRDefault="00000000">
      <w:pPr>
        <w:pStyle w:val="Emphasis-Normal"/>
        <w:numPr>
          <w:ilvl w:val="0"/>
          <w:numId w:val="8"/>
        </w:numPr>
        <w:spacing w:after="120"/>
        <w:jc w:val="both"/>
      </w:pPr>
      <w:r>
        <w:rPr>
          <w:color w:val="404040" w:themeColor="text1" w:themeTint="BF"/>
        </w:rPr>
        <w:t>POL-ISP-001 Information Security Policy [</w:t>
      </w:r>
      <w:r>
        <w:rPr>
          <w:rFonts w:ascii="Calibri Light" w:eastAsia="Calibri Light" w:hAnsi="Calibri Light" w:cs="Calibri Light"/>
          <w:color w:val="404040" w:themeColor="text1" w:themeTint="BF"/>
          <w:sz w:val="18"/>
        </w:rPr>
        <w:t>SOC 2: CC5.3]</w:t>
      </w:r>
    </w:p>
    <w:p w14:paraId="5E3C370D" w14:textId="77777777" w:rsidR="00D47934" w:rsidRDefault="00000000">
      <w:pPr>
        <w:pStyle w:val="Emphasis-Normal"/>
        <w:numPr>
          <w:ilvl w:val="0"/>
          <w:numId w:val="8"/>
        </w:numPr>
        <w:spacing w:after="120"/>
        <w:jc w:val="both"/>
      </w:pPr>
      <w:r>
        <w:rPr>
          <w:color w:val="404040" w:themeColor="text1" w:themeTint="BF"/>
        </w:rPr>
        <w:t>POL-VM-001 Vendor Management Policy [</w:t>
      </w:r>
      <w:r>
        <w:rPr>
          <w:rFonts w:ascii="Calibri Light" w:eastAsia="Calibri Light" w:hAnsi="Calibri Light" w:cs="Calibri Light"/>
          <w:color w:val="404040" w:themeColor="text1" w:themeTint="BF"/>
          <w:sz w:val="18"/>
        </w:rPr>
        <w:t>SOC 2: CC9.2]</w:t>
      </w:r>
    </w:p>
    <w:p w14:paraId="4718E023" w14:textId="77777777" w:rsidR="00D47934" w:rsidRDefault="00000000">
      <w:pPr>
        <w:pStyle w:val="Emphasis-Normal"/>
        <w:numPr>
          <w:ilvl w:val="0"/>
          <w:numId w:val="8"/>
        </w:numPr>
        <w:spacing w:after="120"/>
        <w:jc w:val="both"/>
      </w:pPr>
      <w:r>
        <w:rPr>
          <w:color w:val="404040" w:themeColor="text1" w:themeTint="BF"/>
        </w:rPr>
        <w:t>POL-IRP-001 Incident Response Policy [</w:t>
      </w:r>
      <w:r>
        <w:rPr>
          <w:rFonts w:ascii="Calibri Light" w:eastAsia="Calibri Light" w:hAnsi="Calibri Light" w:cs="Calibri Light"/>
          <w:color w:val="404040" w:themeColor="text1" w:themeTint="BF"/>
          <w:sz w:val="18"/>
        </w:rPr>
        <w:t>SOC 2: CC7.4]</w:t>
      </w:r>
    </w:p>
    <w:p w14:paraId="205B8691" w14:textId="77777777" w:rsidR="00D47934" w:rsidRDefault="00000000">
      <w:pPr>
        <w:pStyle w:val="Emphasis-Normal"/>
        <w:numPr>
          <w:ilvl w:val="0"/>
          <w:numId w:val="8"/>
        </w:numPr>
        <w:spacing w:after="120"/>
        <w:jc w:val="both"/>
      </w:pPr>
      <w:r>
        <w:rPr>
          <w:color w:val="404040" w:themeColor="text1" w:themeTint="BF"/>
        </w:rPr>
        <w:t>POL-DRD-001 Data Retention, Disposal and Disaster Recovery Policy [</w:t>
      </w:r>
      <w:r>
        <w:rPr>
          <w:rFonts w:ascii="Calibri Light" w:eastAsia="Calibri Light" w:hAnsi="Calibri Light" w:cs="Calibri Light"/>
          <w:color w:val="404040" w:themeColor="text1" w:themeTint="BF"/>
          <w:sz w:val="18"/>
        </w:rPr>
        <w:t>SOC 2: CC6.5]</w:t>
      </w:r>
    </w:p>
    <w:p w14:paraId="72463912" w14:textId="77777777" w:rsidR="00D47934" w:rsidRDefault="00000000">
      <w:pPr>
        <w:pStyle w:val="Emphasis-Normal"/>
        <w:numPr>
          <w:ilvl w:val="0"/>
          <w:numId w:val="8"/>
        </w:numPr>
        <w:spacing w:after="120"/>
        <w:jc w:val="both"/>
      </w:pPr>
      <w:r>
        <w:rPr>
          <w:color w:val="404040" w:themeColor="text1" w:themeTint="BF"/>
        </w:rPr>
        <w:t>POL-DCL-001 Data Classification Policy [</w:t>
      </w:r>
      <w:r>
        <w:rPr>
          <w:rFonts w:ascii="Calibri Light" w:eastAsia="Calibri Light" w:hAnsi="Calibri Light" w:cs="Calibri Light"/>
          <w:color w:val="404040" w:themeColor="text1" w:themeTint="BF"/>
          <w:sz w:val="18"/>
        </w:rPr>
        <w:t>SOC 2: CC2.1]</w:t>
      </w:r>
    </w:p>
    <w:p w14:paraId="0B0863EC" w14:textId="77777777" w:rsidR="00D47934" w:rsidRDefault="00000000">
      <w:pPr>
        <w:pStyle w:val="Emphasis-Normal"/>
        <w:numPr>
          <w:ilvl w:val="0"/>
          <w:numId w:val="8"/>
        </w:numPr>
        <w:spacing w:after="120"/>
        <w:jc w:val="both"/>
      </w:pPr>
      <w:r>
        <w:rPr>
          <w:color w:val="404040" w:themeColor="text1" w:themeTint="BF"/>
        </w:rPr>
        <w:t>EU General Data Protection Regulation, Articles 5, 6, 12, 15, 28, 30, 32, 33 and 46</w:t>
      </w:r>
    </w:p>
    <w:p w14:paraId="5BEE1C4A" w14:textId="77777777" w:rsidR="002B6D90" w:rsidRDefault="00000000">
      <w:pPr>
        <w:pStyle w:val="Emphasis-Normal"/>
        <w:numPr>
          <w:ilvl w:val="0"/>
          <w:numId w:val="8"/>
        </w:numPr>
        <w:spacing w:after="120"/>
        <w:jc w:val="both"/>
      </w:pPr>
      <w:r>
        <w:rPr>
          <w:color w:val="404040" w:themeColor="text1" w:themeTint="BF"/>
        </w:rPr>
        <w:t xml:space="preserve">POL-ENC-001 Encryption Policy  </w:t>
      </w:r>
      <w:r>
        <w:rPr>
          <w:rFonts w:ascii="Calibri Light" w:eastAsia="Calibri Light" w:hAnsi="Calibri Light" w:cs="Calibri Light"/>
          <w:color w:val="404040" w:themeColor="text1" w:themeTint="BF"/>
          <w:sz w:val="18"/>
        </w:rPr>
        <w:t>[SOC 2: CC6.7]</w:t>
      </w:r>
    </w:p>
    <w:p w14:paraId="58C02EA1" w14:textId="77777777" w:rsidR="002B6D90" w:rsidRDefault="00000000">
      <w:pPr>
        <w:pStyle w:val="Emphasis-Normal"/>
        <w:numPr>
          <w:ilvl w:val="0"/>
          <w:numId w:val="8"/>
        </w:numPr>
        <w:spacing w:after="120"/>
        <w:jc w:val="both"/>
      </w:pPr>
      <w:r>
        <w:rPr>
          <w:color w:val="404040" w:themeColor="text1" w:themeTint="BF"/>
        </w:rPr>
        <w:t>California Consumer Privacy Act as amended by the CPRA, §§1798.100–1798.199</w:t>
      </w:r>
    </w:p>
    <w:p w14:paraId="5FC9B7F8" w14:textId="77777777" w:rsidR="00D47934" w:rsidRDefault="00000000" w:rsidP="005A6D40">
      <w:pPr>
        <w:pStyle w:val="Heading1"/>
      </w:pPr>
      <w:bookmarkStart w:id="21" w:name="_Toc236674048"/>
      <w:bookmarkStart w:id="22" w:name="_Toc237819433"/>
      <w:r>
        <w:t>Document Policy History</w:t>
      </w:r>
      <w:bookmarkEnd w:id="21"/>
      <w:bookmarkEnd w:id="22"/>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D47934" w14:paraId="3284DEEA"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58A38AFF" w14:textId="77777777" w:rsidR="00D47934"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151833AD" w14:textId="77777777" w:rsidR="00D47934"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5C8341EC" w14:textId="77777777" w:rsidR="00D47934" w:rsidRDefault="00000000">
            <w:pPr>
              <w:suppressLineNumbers/>
              <w:spacing w:before="40" w:after="40" w:line="240" w:lineRule="auto"/>
            </w:pPr>
            <w:r>
              <w:rPr>
                <w:b/>
                <w:sz w:val="20"/>
              </w:rPr>
              <w:t>Description</w:t>
            </w:r>
          </w:p>
        </w:tc>
      </w:tr>
      <w:tr w:rsidR="00D47934" w14:paraId="06E118A2"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2E688B3B" w14:textId="77777777" w:rsidR="00D47934"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7BB21033" w14:textId="77777777" w:rsidR="00D47934"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79247673" w14:textId="77777777" w:rsidR="00D47934" w:rsidRDefault="00000000">
            <w:pPr>
              <w:suppressLineNumbers/>
              <w:spacing w:before="40" w:after="40" w:line="240" w:lineRule="auto"/>
            </w:pPr>
            <w:r>
              <w:rPr>
                <w:sz w:val="20"/>
              </w:rPr>
              <w:t>Initial policy release</w:t>
            </w:r>
          </w:p>
        </w:tc>
      </w:tr>
      <w:tr w:rsidR="002B6D90" w14:paraId="206BAD41" w14:textId="77777777">
        <w:tc>
          <w:tcPr>
            <w:tcW w:w="1434" w:type="dxa"/>
            <w:tcBorders>
              <w:top w:val="single" w:sz="4" w:space="0" w:color="BFCDD4"/>
              <w:left w:val="single" w:sz="4" w:space="0" w:color="BFCDD4"/>
              <w:bottom w:val="single" w:sz="4" w:space="0" w:color="BFCDD4"/>
              <w:right w:val="single" w:sz="4" w:space="0" w:color="BFCDD4"/>
            </w:tcBorders>
            <w:vAlign w:val="center"/>
          </w:tcPr>
          <w:p w14:paraId="047AC643" w14:textId="77777777" w:rsidR="002B6D90" w:rsidRDefault="00000000">
            <w:pPr>
              <w:suppressLineNumbers/>
              <w:spacing w:before="40" w:after="40" w:line="240" w:lineRule="auto"/>
            </w:pPr>
            <w:r>
              <w:rPr>
                <w:sz w:val="20"/>
              </w:rPr>
              <w:t>1.1</w:t>
            </w:r>
          </w:p>
        </w:tc>
        <w:tc>
          <w:tcPr>
            <w:tcW w:w="2310" w:type="dxa"/>
            <w:tcBorders>
              <w:top w:val="single" w:sz="4" w:space="0" w:color="BFCDD4"/>
              <w:left w:val="single" w:sz="4" w:space="0" w:color="BFCDD4"/>
              <w:bottom w:val="single" w:sz="4" w:space="0" w:color="BFCDD4"/>
              <w:right w:val="single" w:sz="4" w:space="0" w:color="BFCDD4"/>
            </w:tcBorders>
            <w:vAlign w:val="center"/>
          </w:tcPr>
          <w:p w14:paraId="7514AFC9" w14:textId="77777777" w:rsidR="002B6D90" w:rsidRDefault="00000000">
            <w:pPr>
              <w:suppressLineNumbers/>
              <w:spacing w:before="40" w:after="40" w:line="240" w:lineRule="auto"/>
            </w:pPr>
            <w:r>
              <w:rPr>
                <w:sz w:val="20"/>
              </w:rPr>
              <w:t>August 28, 2026</w:t>
            </w:r>
          </w:p>
        </w:tc>
        <w:tc>
          <w:tcPr>
            <w:tcW w:w="5616" w:type="dxa"/>
            <w:tcBorders>
              <w:top w:val="single" w:sz="4" w:space="0" w:color="BFCDD4"/>
              <w:left w:val="single" w:sz="4" w:space="0" w:color="BFCDD4"/>
              <w:bottom w:val="single" w:sz="4" w:space="0" w:color="BFCDD4"/>
              <w:right w:val="single" w:sz="4" w:space="0" w:color="BFCDD4"/>
            </w:tcBorders>
            <w:vAlign w:val="center"/>
          </w:tcPr>
          <w:p w14:paraId="35A89BBF" w14:textId="77777777" w:rsidR="002B6D90" w:rsidRDefault="00000000">
            <w:pPr>
              <w:suppressLineNumbers/>
              <w:spacing w:before="40" w:after="40" w:line="240" w:lineRule="auto"/>
            </w:pPr>
            <w:r>
              <w:rPr>
                <w:sz w:val="20"/>
              </w:rPr>
              <w:t>Added How the Company Protects Personal Data and How the Company Shares Personal Data. Terminology, records and references extended. Cross-references updated for the retitled POL-DRD-001.</w:t>
            </w:r>
          </w:p>
        </w:tc>
      </w:tr>
    </w:tbl>
    <w:p w14:paraId="5DE2594C" w14:textId="77777777" w:rsidR="00D47934" w:rsidRDefault="00D47934"/>
    <w:sectPr w:rsidR="00D4793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15CE1D" w14:textId="77777777" w:rsidR="00800025" w:rsidRDefault="00800025">
      <w:pPr>
        <w:spacing w:after="0" w:line="240" w:lineRule="auto"/>
      </w:pPr>
      <w:r>
        <w:separator/>
      </w:r>
    </w:p>
  </w:endnote>
  <w:endnote w:type="continuationSeparator" w:id="0">
    <w:p w14:paraId="1CFB1C8D" w14:textId="77777777" w:rsidR="00800025" w:rsidRDefault="00800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624D1" w14:textId="77777777" w:rsidR="00D47934" w:rsidRDefault="00D479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60EDAC" w14:textId="77777777" w:rsidR="00D47934"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POL-PRIV-001   ·   Version 1.1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70100" w14:textId="77777777" w:rsidR="00D47934" w:rsidRDefault="00D47934">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96298" w14:textId="77777777" w:rsidR="00D47934" w:rsidRDefault="00D479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894DF" w14:textId="77777777" w:rsidR="00D47934"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POL-PRIV-001   ·   Version 1.1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C62C1" w14:textId="77777777" w:rsidR="00D47934" w:rsidRDefault="00D47934">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0ECE4" w14:textId="77777777" w:rsidR="00800025" w:rsidRDefault="00800025">
      <w:pPr>
        <w:spacing w:after="0" w:line="240" w:lineRule="auto"/>
      </w:pPr>
      <w:r>
        <w:separator/>
      </w:r>
    </w:p>
  </w:footnote>
  <w:footnote w:type="continuationSeparator" w:id="0">
    <w:p w14:paraId="4374B86B" w14:textId="77777777" w:rsidR="00800025" w:rsidRDefault="00800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71785" w14:textId="77777777" w:rsidR="00D47934" w:rsidRDefault="00D479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6F3435" w14:textId="77777777" w:rsidR="00D47934" w:rsidRDefault="00000000">
    <w:pPr>
      <w:suppressLineNumbers/>
      <w:pBdr>
        <w:bottom w:val="single" w:sz="6" w:space="4" w:color="1B4965"/>
      </w:pBdr>
      <w:spacing w:after="160"/>
      <w:jc w:val="center"/>
    </w:pPr>
    <w:r>
      <w:rPr>
        <w:b/>
        <w:caps/>
        <w:spacing w:val="12"/>
        <w:sz w:val="17"/>
      </w:rPr>
      <w:t>PRIVACY POLICY   ·   INTERNAL   ·   POL-PRIV-001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9C057" w14:textId="77777777" w:rsidR="00D47934" w:rsidRDefault="00D47934">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5EE614" w14:textId="77777777" w:rsidR="00D47934" w:rsidRDefault="00D479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06CCD" w14:textId="77777777" w:rsidR="00D47934" w:rsidRDefault="00000000">
    <w:pPr>
      <w:suppressLineNumbers/>
      <w:pBdr>
        <w:bottom w:val="single" w:sz="6" w:space="4" w:color="1B4965"/>
      </w:pBdr>
      <w:spacing w:after="160"/>
      <w:jc w:val="center"/>
    </w:pPr>
    <w:r>
      <w:rPr>
        <w:b/>
        <w:caps/>
        <w:spacing w:val="12"/>
        <w:sz w:val="17"/>
      </w:rPr>
      <w:t>PRIVACY POLICY   ·   INTERNAL   ·   POL-PRIV-001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365C89" w14:textId="77777777" w:rsidR="00D47934" w:rsidRDefault="00D47934">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E5640"/>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7CF7669"/>
    <w:multiLevelType w:val="multilevel"/>
    <w:tmpl w:val="DFCC19A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CD1396F"/>
    <w:multiLevelType w:val="multilevel"/>
    <w:tmpl w:val="2774D3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13944232">
    <w:abstractNumId w:val="1"/>
  </w:num>
  <w:num w:numId="2" w16cid:durableId="1334256672">
    <w:abstractNumId w:val="0"/>
  </w:num>
  <w:num w:numId="3" w16cid:durableId="2113011850">
    <w:abstractNumId w:val="2"/>
    <w:lvlOverride w:ilvl="0">
      <w:startOverride w:val="1"/>
    </w:lvlOverride>
  </w:num>
  <w:num w:numId="4" w16cid:durableId="1087074390">
    <w:abstractNumId w:val="2"/>
    <w:lvlOverride w:ilvl="0">
      <w:startOverride w:val="1"/>
    </w:lvlOverride>
  </w:num>
  <w:num w:numId="5" w16cid:durableId="1074861657">
    <w:abstractNumId w:val="2"/>
    <w:lvlOverride w:ilvl="0">
      <w:startOverride w:val="1"/>
    </w:lvlOverride>
  </w:num>
  <w:num w:numId="6" w16cid:durableId="1404914923">
    <w:abstractNumId w:val="2"/>
    <w:lvlOverride w:ilvl="0">
      <w:startOverride w:val="1"/>
    </w:lvlOverride>
  </w:num>
  <w:num w:numId="7" w16cid:durableId="1074819636">
    <w:abstractNumId w:val="2"/>
    <w:lvlOverride w:ilvl="0">
      <w:startOverride w:val="1"/>
    </w:lvlOverride>
  </w:num>
  <w:num w:numId="8" w16cid:durableId="168833346">
    <w:abstractNumId w:val="2"/>
    <w:lvlOverride w:ilvl="0">
      <w:startOverride w:val="1"/>
    </w:lvlOverride>
  </w:num>
  <w:num w:numId="9" w16cid:durableId="60000010">
    <w:abstractNumId w:val="2"/>
    <w:lvlOverride w:ilvl="0">
      <w:startOverride w:val="1"/>
    </w:lvlOverride>
  </w:num>
  <w:num w:numId="10" w16cid:durableId="60000011">
    <w:abstractNumId w:val="2"/>
    <w:lvlOverride w:ilvl="0">
      <w:startOverride w:val="1"/>
    </w:lvlOverride>
  </w:num>
  <w:num w:numId="11" w16cid:durableId="1940209478">
    <w:abstractNumId w:val="1"/>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934"/>
    <w:rsid w:val="002B6D90"/>
    <w:rsid w:val="005A6D40"/>
    <w:rsid w:val="00800025"/>
    <w:rsid w:val="00A13AF2"/>
    <w:rsid w:val="00CE3A3F"/>
    <w:rsid w:val="00D232B4"/>
    <w:rsid w:val="00D47934"/>
    <w:rsid w:val="00DA40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986EC1E"/>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2125</Words>
  <Characters>12117</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2026-08-29T00:32:00Z</cp:lastPrinted>
  <dcterms:created xsi:type="dcterms:W3CDTF">2026-08-29T00:32:00Z</dcterms:created>
  <dcterms:modified xsi:type="dcterms:W3CDTF">2026-08-29T00:32:00Z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