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1BDB69" w14:textId="77777777" w:rsidR="00D47934" w:rsidRDefault="00D47934">
      <w:pPr>
        <w:pStyle w:val="Title"/>
        <w:suppressLineNumbers/>
        <w:spacing w:after="240"/>
        <w:jc w:val="center"/>
        <w:rPr>
          <w:rStyle w:val="Emphasis"/>
          <w:rFonts w:eastAsia="Times New Roman"/>
          <w:b w:val="0"/>
          <w:i w:val="0"/>
          <w:smallCaps/>
          <w:color w:val="074F6A"/>
          <w:spacing w:val="0"/>
          <w:sz w:val="52"/>
          <w:szCs w:val="52"/>
        </w:rPr>
      </w:pPr>
    </w:p>
    <w:p w14:paraId="62BD29B4" w14:textId="77777777" w:rsidR="00D47934" w:rsidRDefault="00D47934">
      <w:pPr>
        <w:pStyle w:val="Title"/>
        <w:suppressLineNumbers/>
        <w:spacing w:after="240"/>
        <w:jc w:val="center"/>
        <w:rPr>
          <w:rStyle w:val="Emphasis"/>
          <w:rFonts w:eastAsia="Times New Roman"/>
          <w:b w:val="0"/>
          <w:i w:val="0"/>
          <w:smallCaps/>
          <w:color w:val="074F6A"/>
          <w:spacing w:val="0"/>
          <w:sz w:val="52"/>
          <w:szCs w:val="52"/>
        </w:rPr>
      </w:pPr>
    </w:p>
    <w:p w14:paraId="0DF5C113" w14:textId="77777777" w:rsidR="00D47934" w:rsidRDefault="00D47934">
      <w:pPr>
        <w:pStyle w:val="Title"/>
        <w:suppressLineNumbers/>
        <w:spacing w:after="240"/>
        <w:jc w:val="center"/>
        <w:rPr>
          <w:rStyle w:val="Emphasis"/>
          <w:rFonts w:eastAsia="Times New Roman"/>
          <w:b w:val="0"/>
          <w:i w:val="0"/>
          <w:smallCaps/>
          <w:color w:val="074F6A"/>
          <w:spacing w:val="0"/>
          <w:sz w:val="52"/>
          <w:szCs w:val="52"/>
        </w:rPr>
      </w:pPr>
    </w:p>
    <w:p w14:paraId="27FCB1D9" w14:textId="77777777" w:rsidR="00D47934"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PRIVACY IMPLEMENTATION PLAN</w:t>
      </w:r>
    </w:p>
    <w:p w14:paraId="243F914C" w14:textId="77777777" w:rsidR="00D47934" w:rsidRDefault="00D47934">
      <w:pPr>
        <w:pStyle w:val="Title"/>
        <w:suppressLineNumbers/>
        <w:spacing w:after="240"/>
        <w:jc w:val="center"/>
        <w:rPr>
          <w:rStyle w:val="Emphasis"/>
          <w:rFonts w:eastAsia="Times New Roman"/>
          <w:b w:val="0"/>
          <w:i w:val="0"/>
          <w:smallCaps/>
          <w:color w:val="074F6A"/>
          <w:spacing w:val="0"/>
          <w:sz w:val="52"/>
          <w:szCs w:val="52"/>
        </w:rPr>
      </w:pPr>
    </w:p>
    <w:p w14:paraId="35B5E4AE" w14:textId="77777777" w:rsidR="00D47934" w:rsidRDefault="00D47934">
      <w:pPr>
        <w:pStyle w:val="Title"/>
        <w:suppressLineNumbers/>
        <w:spacing w:after="240"/>
        <w:jc w:val="center"/>
        <w:rPr>
          <w:rStyle w:val="Emphasis"/>
          <w:rFonts w:eastAsia="Times New Roman"/>
          <w:b w:val="0"/>
          <w:i w:val="0"/>
          <w:smallCaps/>
          <w:color w:val="074F6A"/>
          <w:spacing w:val="0"/>
          <w:sz w:val="52"/>
          <w:szCs w:val="52"/>
        </w:rPr>
      </w:pPr>
    </w:p>
    <w:p w14:paraId="1E12B969" w14:textId="77777777" w:rsidR="00D47934"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4F5FAE96" w14:textId="77777777" w:rsidR="00D47934" w:rsidRDefault="00000000">
      <w:pPr>
        <w:suppressLineNumbers/>
        <w:spacing w:after="40" w:line="240" w:lineRule="auto"/>
        <w:jc w:val="center"/>
        <w:rPr>
          <w:rFonts w:ascii="Calibri Light" w:hAnsi="Calibri Light" w:cs="Calibri Light"/>
          <w:sz w:val="20"/>
          <w:szCs w:val="20"/>
        </w:rPr>
      </w:pPr>
      <w:r>
        <w:rPr>
          <w:sz w:val="21"/>
        </w:rPr>
        <w:t>Revision Date: August 28, 2026</w:t>
      </w:r>
    </w:p>
    <w:p w14:paraId="24B9883C" w14:textId="77777777" w:rsidR="00D47934"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7CAC342B" w14:textId="77777777" w:rsidR="00D47934" w:rsidRDefault="00D47934">
      <w:pPr>
        <w:suppressLineNumbers/>
        <w:spacing w:after="40" w:line="240" w:lineRule="auto"/>
        <w:jc w:val="center"/>
      </w:pPr>
    </w:p>
    <w:p w14:paraId="755A55AC" w14:textId="77777777" w:rsidR="00D47934" w:rsidRDefault="00D47934">
      <w:pPr>
        <w:suppressLineNumbers/>
        <w:spacing w:after="40" w:line="240" w:lineRule="auto"/>
        <w:jc w:val="center"/>
      </w:pPr>
    </w:p>
    <w:p w14:paraId="259591A9" w14:textId="77777777" w:rsidR="00D47934" w:rsidRDefault="00D47934">
      <w:pPr>
        <w:suppressLineNumbers/>
        <w:spacing w:after="40" w:line="240" w:lineRule="auto"/>
        <w:jc w:val="center"/>
      </w:pPr>
    </w:p>
    <w:p w14:paraId="7601C2B4" w14:textId="77777777" w:rsidR="00D47934" w:rsidRDefault="00D47934">
      <w:pPr>
        <w:suppressLineNumbers/>
        <w:spacing w:after="40" w:line="240" w:lineRule="auto"/>
        <w:jc w:val="center"/>
      </w:pPr>
    </w:p>
    <w:p w14:paraId="3C976A14" w14:textId="77777777" w:rsidR="00D47934" w:rsidRDefault="00D47934">
      <w:pPr>
        <w:suppressLineNumbers/>
        <w:spacing w:after="40" w:line="240" w:lineRule="auto"/>
        <w:jc w:val="center"/>
      </w:pPr>
    </w:p>
    <w:p w14:paraId="17CD5051" w14:textId="77777777" w:rsidR="00D47934" w:rsidRDefault="00000000">
      <w:pPr>
        <w:suppressLineNumbers/>
        <w:spacing w:after="40" w:line="240" w:lineRule="auto"/>
        <w:jc w:val="center"/>
      </w:pPr>
      <w:bookmarkStart w:id="0" w:name="EffectiveDate"/>
      <w:r>
        <w:rPr>
          <w:noProof/>
        </w:rPr>
        <w:drawing>
          <wp:inline distT="0" distB="0" distL="0" distR="0" wp14:anchorId="02B8FEE1" wp14:editId="0E169FFC">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3A8EFF1B" w14:textId="77777777" w:rsidR="00D47934"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D47934" w14:paraId="6D0A679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ADD73D2" w14:textId="77777777" w:rsidR="00D47934"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3CB0FDEE" w14:textId="77777777" w:rsidR="00D47934" w:rsidRDefault="00000000">
            <w:pPr>
              <w:pStyle w:val="BodyText9"/>
              <w:suppressLineNumbers/>
              <w:spacing w:before="40" w:after="40" w:line="240" w:lineRule="auto"/>
            </w:pPr>
            <w:r>
              <w:rPr>
                <w:b/>
                <w:color w:val="404040" w:themeColor="text1" w:themeTint="BF"/>
                <w:sz w:val="20"/>
                <w:szCs w:val="20"/>
              </w:rPr>
              <w:t>Governance, Ethics, and Security</w:t>
            </w:r>
          </w:p>
        </w:tc>
      </w:tr>
      <w:tr w:rsidR="00D47934" w14:paraId="5494B6B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3357E79" w14:textId="77777777" w:rsidR="00D47934"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641C7A3" w14:textId="77777777" w:rsidR="00D47934" w:rsidRDefault="00000000">
            <w:pPr>
              <w:pStyle w:val="BodyText9"/>
              <w:suppressLineNumbers/>
              <w:spacing w:before="40" w:after="40" w:line="240" w:lineRule="auto"/>
            </w:pPr>
            <w:r>
              <w:rPr>
                <w:color w:val="404040" w:themeColor="text1" w:themeTint="BF"/>
                <w:sz w:val="20"/>
              </w:rPr>
              <w:t>Privacy Implementation Plan</w:t>
            </w:r>
          </w:p>
        </w:tc>
      </w:tr>
      <w:tr w:rsidR="00D47934" w14:paraId="657E390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8319584" w14:textId="77777777" w:rsidR="00D47934"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5141D466" w14:textId="77777777" w:rsidR="00D47934" w:rsidRDefault="00000000">
            <w:pPr>
              <w:pStyle w:val="BodyText9"/>
              <w:suppressLineNumbers/>
              <w:spacing w:before="40" w:after="40" w:line="240" w:lineRule="auto"/>
            </w:pPr>
            <w:r>
              <w:rPr>
                <w:color w:val="404040" w:themeColor="text1" w:themeTint="BF"/>
                <w:sz w:val="20"/>
              </w:rPr>
              <w:t>PLN-PRIV-001</w:t>
            </w:r>
          </w:p>
        </w:tc>
      </w:tr>
      <w:tr w:rsidR="00D47934" w14:paraId="48E9B72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65E9191" w14:textId="77777777" w:rsidR="00D47934"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65034137" w14:textId="77777777" w:rsidR="00D47934" w:rsidRDefault="00000000">
            <w:pPr>
              <w:pStyle w:val="BodyText9"/>
              <w:suppressLineNumbers/>
              <w:spacing w:before="40" w:after="40" w:line="240" w:lineRule="auto"/>
            </w:pPr>
            <w:r>
              <w:rPr>
                <w:color w:val="404040" w:themeColor="text1" w:themeTint="BF"/>
                <w:sz w:val="20"/>
              </w:rPr>
              <w:t>1.0</w:t>
            </w:r>
          </w:p>
        </w:tc>
      </w:tr>
      <w:tr w:rsidR="00D47934" w14:paraId="1F5589F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923C9F4" w14:textId="77777777" w:rsidR="00D47934"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D07625D" w14:textId="77777777" w:rsidR="00D47934" w:rsidRDefault="00000000">
            <w:pPr>
              <w:pStyle w:val="BodyText9"/>
              <w:suppressLineNumbers/>
              <w:spacing w:before="40" w:after="40" w:line="240" w:lineRule="auto"/>
            </w:pPr>
            <w:r>
              <w:rPr>
                <w:color w:val="404040" w:themeColor="text1" w:themeTint="BF"/>
                <w:sz w:val="20"/>
              </w:rPr>
              <w:t>August 28, 2026</w:t>
            </w:r>
          </w:p>
        </w:tc>
      </w:tr>
      <w:tr w:rsidR="00D47934" w14:paraId="4C73FF6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F9B80A9" w14:textId="77777777" w:rsidR="00D47934"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7BA38D63" w14:textId="77777777" w:rsidR="00D47934" w:rsidRDefault="00000000">
            <w:pPr>
              <w:pStyle w:val="BodyText9"/>
              <w:suppressLineNumbers/>
              <w:spacing w:before="40" w:after="40" w:line="240" w:lineRule="auto"/>
            </w:pPr>
            <w:r>
              <w:rPr>
                <w:color w:val="404040" w:themeColor="text1" w:themeTint="BF"/>
                <w:sz w:val="20"/>
              </w:rPr>
              <w:t>Information Security Steering Committee</w:t>
            </w:r>
          </w:p>
        </w:tc>
      </w:tr>
      <w:tr w:rsidR="00D47934" w14:paraId="3E68BEC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91B1187" w14:textId="77777777" w:rsidR="00D47934"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3E7C3778" w14:textId="77777777" w:rsidR="00D47934" w:rsidRDefault="00000000">
            <w:pPr>
              <w:pStyle w:val="BodyText9"/>
              <w:suppressLineNumbers/>
              <w:spacing w:before="40" w:after="40" w:line="240" w:lineRule="auto"/>
            </w:pPr>
            <w:r>
              <w:rPr>
                <w:color w:val="404040" w:themeColor="text1" w:themeTint="BF"/>
                <w:sz w:val="20"/>
              </w:rPr>
              <w:t>August 28, 2026</w:t>
            </w:r>
          </w:p>
        </w:tc>
      </w:tr>
      <w:tr w:rsidR="00D47934" w14:paraId="663315E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36AA284" w14:textId="77777777" w:rsidR="00D47934"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3CE988D5" w14:textId="77777777" w:rsidR="00D47934" w:rsidRDefault="00000000">
            <w:pPr>
              <w:pStyle w:val="BodyText9"/>
              <w:suppressLineNumbers/>
              <w:spacing w:before="40" w:after="40" w:line="240" w:lineRule="auto"/>
            </w:pPr>
            <w:r>
              <w:rPr>
                <w:color w:val="404040" w:themeColor="text1" w:themeTint="BF"/>
                <w:sz w:val="20"/>
              </w:rPr>
              <w:t>August 28, 2027</w:t>
            </w:r>
          </w:p>
        </w:tc>
      </w:tr>
      <w:tr w:rsidR="00D47934" w14:paraId="33F36EA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0DC973C" w14:textId="77777777" w:rsidR="00D47934"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39A2C1D9" w14:textId="77777777" w:rsidR="00D47934" w:rsidRDefault="00000000">
            <w:pPr>
              <w:pStyle w:val="BodyText9"/>
              <w:suppressLineNumbers/>
              <w:spacing w:before="40" w:after="40" w:line="240" w:lineRule="auto"/>
            </w:pPr>
            <w:r>
              <w:rPr>
                <w:color w:val="404040" w:themeColor="text1" w:themeTint="BF"/>
                <w:sz w:val="20"/>
              </w:rPr>
              <w:t>Internal</w:t>
            </w:r>
          </w:p>
        </w:tc>
      </w:tr>
      <w:tr w:rsidR="00D47934" w14:paraId="537282A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CE81DA9" w14:textId="77777777" w:rsidR="00D47934"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0FC6A9F3" w14:textId="77777777" w:rsidR="00D47934" w:rsidRPr="005A6D40" w:rsidRDefault="00000000">
            <w:pPr>
              <w:pStyle w:val="BodyText9"/>
              <w:suppressLineNumbers/>
              <w:spacing w:before="40" w:after="40" w:line="240" w:lineRule="auto"/>
              <w:rPr>
                <w:color w:val="404040" w:themeColor="text1" w:themeTint="BF"/>
                <w:sz w:val="20"/>
              </w:rPr>
            </w:pPr>
            <w:r>
              <w:rPr>
                <w:color w:val="404040" w:themeColor="text1" w:themeTint="BF"/>
                <w:sz w:val="20"/>
              </w:rPr>
              <w:fldChar w:fldCharType="begin"/>
            </w:r>
            <w:r>
              <w:rPr>
                <w:color w:val="404040" w:themeColor="text1" w:themeTint="BF"/>
                <w:sz w:val="20"/>
              </w:rPr>
              <w:instrText xml:space="preserve"> DOCPROPERTY "DocOwner"</w:instrText>
            </w:r>
            <w:r>
              <w:rPr>
                <w:color w:val="404040" w:themeColor="text1" w:themeTint="BF"/>
                <w:sz w:val="20"/>
              </w:rPr>
              <w:fldChar w:fldCharType="separate"/>
            </w:r>
            <w:r>
              <w:rPr>
                <w:color w:val="404040" w:themeColor="text1" w:themeTint="BF"/>
                <w:sz w:val="20"/>
              </w:rPr>
              <w:t>Chief Executive Officer — Accountable Party</w:t>
            </w:r>
            <w:r>
              <w:rPr>
                <w:color w:val="404040" w:themeColor="text1" w:themeTint="BF"/>
                <w:sz w:val="20"/>
              </w:rPr>
              <w:fldChar w:fldCharType="end"/>
            </w:r>
          </w:p>
        </w:tc>
      </w:tr>
      <w:tr w:rsidR="00D47934" w14:paraId="3B57412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B0C17EA" w14:textId="77777777" w:rsidR="00D47934"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49FE4985" w14:textId="77777777" w:rsidR="00D47934" w:rsidRPr="005A6D40"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D47934" w14:paraId="1B6EDCF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D6BDDE6" w14:textId="77777777" w:rsidR="00D47934"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4E2C7AC6" w14:textId="77777777" w:rsidR="00D47934" w:rsidRPr="005A6D40" w:rsidRDefault="00000000">
            <w:pPr>
              <w:pStyle w:val="BodyText9"/>
              <w:suppressLineNumbers/>
              <w:spacing w:before="40" w:after="40" w:line="240" w:lineRule="auto"/>
              <w:rPr>
                <w:color w:val="404040" w:themeColor="text1" w:themeTint="BF"/>
                <w:sz w:val="20"/>
              </w:rPr>
            </w:pPr>
            <w:r>
              <w:rPr>
                <w:color w:val="404040" w:themeColor="text1" w:themeTint="BF"/>
                <w:sz w:val="20"/>
              </w:rPr>
              <w:fldChar w:fldCharType="begin"/>
            </w:r>
            <w:r>
              <w:rPr>
                <w:color w:val="404040" w:themeColor="text1" w:themeTint="BF"/>
                <w:sz w:val="20"/>
              </w:rPr>
              <w:instrText xml:space="preserve"> DOCPROPERTY "ReviewCycle"</w:instrText>
            </w:r>
            <w:r>
              <w:rPr>
                <w:color w:val="404040" w:themeColor="text1" w:themeTint="BF"/>
                <w:sz w:val="20"/>
              </w:rPr>
              <w:fldChar w:fldCharType="separate"/>
            </w:r>
            <w:r>
              <w:rPr>
                <w:color w:val="404040" w:themeColor="text1" w:themeTint="BF"/>
                <w:sz w:val="20"/>
              </w:rPr>
              <w:t>Quarterly while open, then annual</w:t>
            </w:r>
            <w:r>
              <w:rPr>
                <w:color w:val="404040" w:themeColor="text1" w:themeTint="BF"/>
                <w:sz w:val="20"/>
              </w:rPr>
              <w:fldChar w:fldCharType="end"/>
            </w:r>
          </w:p>
        </w:tc>
      </w:tr>
      <w:tr w:rsidR="00D47934" w14:paraId="6ED9F87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71EC952" w14:textId="77777777" w:rsidR="00D47934"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431DF201" w14:textId="77777777" w:rsidR="00D47934" w:rsidRPr="005A6D40"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D47934" w14:paraId="2AE6F52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B1CC5FE" w14:textId="77777777" w:rsidR="00D47934"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59E46AED" w14:textId="77777777" w:rsidR="00D47934" w:rsidRPr="005A6D40" w:rsidRDefault="00000000">
            <w:pPr>
              <w:pStyle w:val="BodyText9"/>
              <w:suppressLineNumbers/>
              <w:spacing w:before="40" w:after="40" w:line="240" w:lineRule="auto"/>
              <w:rPr>
                <w:color w:val="404040" w:themeColor="text1" w:themeTint="BF"/>
                <w:sz w:val="20"/>
              </w:rPr>
            </w:pPr>
            <w:r>
              <w:rPr>
                <w:color w:val="404040" w:themeColor="text1" w:themeTint="BF"/>
                <w:sz w:val="20"/>
              </w:rPr>
              <w:fldChar w:fldCharType="begin"/>
            </w:r>
            <w:r>
              <w:rPr>
                <w:color w:val="404040" w:themeColor="text1" w:themeTint="BF"/>
                <w:sz w:val="20"/>
              </w:rPr>
              <w:instrText xml:space="preserve"> DOCPROPERTY "Audience"</w:instrText>
            </w:r>
            <w:r>
              <w:rPr>
                <w:color w:val="404040" w:themeColor="text1" w:themeTint="BF"/>
                <w:sz w:val="20"/>
              </w:rPr>
              <w:fldChar w:fldCharType="separate"/>
            </w:r>
            <w:r>
              <w:rPr>
                <w:color w:val="404040" w:themeColor="text1" w:themeTint="BF"/>
                <w:sz w:val="20"/>
              </w:rPr>
              <w:t>All personnel, including employees and contractors</w:t>
            </w:r>
            <w:r>
              <w:rPr>
                <w:color w:val="404040" w:themeColor="text1" w:themeTint="BF"/>
                <w:sz w:val="20"/>
              </w:rPr>
              <w:fldChar w:fldCharType="end"/>
            </w:r>
          </w:p>
        </w:tc>
      </w:tr>
    </w:tbl>
    <w:p w14:paraId="79574742" w14:textId="77777777" w:rsidR="00D47934" w:rsidRDefault="00D47934">
      <w:pPr>
        <w:suppressLineNumbers/>
        <w:rPr>
          <w:rStyle w:val="Strong"/>
        </w:rPr>
      </w:pPr>
    </w:p>
    <w:p w14:paraId="24559F5F" w14:textId="77777777" w:rsidR="00D47934"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D47934" w14:paraId="0F522327"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03CFC4AD" w14:textId="77777777" w:rsidR="00D47934"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54B8C70F" w14:textId="77777777" w:rsidR="00D47934"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4FB97CB7" w14:textId="77777777" w:rsidR="00D47934"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19F25266" w14:textId="77777777" w:rsidR="00D47934"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004FC556" w14:textId="77777777" w:rsidR="00D47934" w:rsidRDefault="00000000">
            <w:pPr>
              <w:pStyle w:val="BodyText9"/>
              <w:suppressLineNumbers/>
              <w:spacing w:before="40" w:after="40" w:line="240" w:lineRule="auto"/>
            </w:pPr>
            <w:r>
              <w:rPr>
                <w:b/>
                <w:color w:val="404040" w:themeColor="text1" w:themeTint="BF"/>
                <w:sz w:val="20"/>
                <w:szCs w:val="20"/>
              </w:rPr>
              <w:t>Date</w:t>
            </w:r>
          </w:p>
        </w:tc>
      </w:tr>
      <w:tr w:rsidR="00D47934" w14:paraId="319104D9"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5D1B3768" w14:textId="77777777" w:rsidR="00D47934" w:rsidRDefault="00000000">
            <w:pPr>
              <w:pStyle w:val="BodyText9"/>
              <w:suppressLineNumbers/>
              <w:spacing w:before="40" w:after="40" w:line="240" w:lineRule="auto"/>
            </w:pPr>
            <w:r>
              <w:rPr>
                <w:b/>
                <w:color w:val="404040" w:themeColor="text1" w:themeTint="BF"/>
                <w:sz w:val="20"/>
                <w:szCs w:val="20"/>
              </w:rPr>
              <w:t>Madhuri Chandoor</w:t>
            </w:r>
          </w:p>
        </w:tc>
        <w:tc>
          <w:tcPr>
            <w:tcW w:w="1107" w:type="dxa"/>
            <w:tcBorders>
              <w:top w:val="single" w:sz="2" w:space="0" w:color="808080"/>
              <w:left w:val="single" w:sz="2" w:space="0" w:color="808080"/>
              <w:bottom w:val="single" w:sz="2" w:space="0" w:color="808080"/>
              <w:right w:val="single" w:sz="2" w:space="0" w:color="808080"/>
            </w:tcBorders>
          </w:tcPr>
          <w:p w14:paraId="78296760" w14:textId="77777777" w:rsidR="00D47934"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676FD50B" w14:textId="77777777" w:rsidR="00D47934"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484CFAE9" w14:textId="77777777" w:rsidR="00D47934" w:rsidRDefault="00D47934">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4C429668" w14:textId="77777777" w:rsidR="00D47934" w:rsidRDefault="00000000">
            <w:pPr>
              <w:pStyle w:val="BodyText9"/>
              <w:suppressLineNumbers/>
              <w:spacing w:before="40" w:after="40" w:line="240" w:lineRule="auto"/>
            </w:pPr>
            <w:r>
              <w:rPr>
                <w:color w:val="404040" w:themeColor="text1" w:themeTint="BF"/>
                <w:sz w:val="20"/>
              </w:rPr>
              <w:t>August 18, 2026</w:t>
            </w:r>
          </w:p>
        </w:tc>
      </w:tr>
      <w:tr w:rsidR="00D47934" w14:paraId="76C71CA7"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2373D658" w14:textId="77777777" w:rsidR="00D47934"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2DF2BBD2" w14:textId="77777777" w:rsidR="00D47934"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541C3690" w14:textId="77777777" w:rsidR="00D47934"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596612E5" w14:textId="77777777" w:rsidR="00D47934" w:rsidRDefault="00D47934">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3BEFBA33" w14:textId="77777777" w:rsidR="00D47934" w:rsidRDefault="00000000">
            <w:pPr>
              <w:pStyle w:val="BodyText9"/>
              <w:suppressLineNumbers/>
              <w:spacing w:before="40" w:after="40" w:line="240" w:lineRule="auto"/>
            </w:pPr>
            <w:r>
              <w:rPr>
                <w:color w:val="404040" w:themeColor="text1" w:themeTint="BF"/>
                <w:sz w:val="20"/>
              </w:rPr>
              <w:t>August 18, 2026</w:t>
            </w:r>
          </w:p>
        </w:tc>
      </w:tr>
    </w:tbl>
    <w:p w14:paraId="4FA3229C" w14:textId="77777777" w:rsidR="00D47934" w:rsidRDefault="00D47934">
      <w:pPr>
        <w:suppressLineNumbers/>
        <w:rPr>
          <w:rStyle w:val="Strong"/>
        </w:rPr>
      </w:pPr>
    </w:p>
    <w:p w14:paraId="4073A2BF" w14:textId="77777777" w:rsidR="00D47934" w:rsidRDefault="00000000">
      <w:pPr>
        <w:suppressLineNumbers/>
        <w:spacing w:before="360" w:after="160"/>
      </w:pPr>
      <w:r>
        <w:rPr>
          <w:rStyle w:val="Strong"/>
          <w:caps/>
        </w:rPr>
        <w:t>COMPLIANCE</w:t>
      </w:r>
    </w:p>
    <w:p w14:paraId="2F375EB1" w14:textId="77777777" w:rsidR="00D47934" w:rsidRDefault="00000000">
      <w:pPr>
        <w:pStyle w:val="BodyText9"/>
        <w:suppressLineNumbers/>
        <w:spacing w:after="120"/>
        <w:jc w:val="both"/>
      </w:pPr>
      <w:r>
        <w:rPr>
          <w:color w:val="404040" w:themeColor="text1" w:themeTint="BF"/>
        </w:rPr>
        <w:t>This Plan is authorized by the Privacy Policy (POL-PRIV-001) and sets out how the obligations that Policy states are put into operation and evidenced. The Privacy category of the Trust Services Criteria remains out of scope for the current examination; this Plan is what makes the category achievable when a client agreement requires it, without a restart.</w:t>
      </w:r>
    </w:p>
    <w:p w14:paraId="7A3875F4" w14:textId="77777777" w:rsidR="00D47934" w:rsidRDefault="00D47934">
      <w:pPr>
        <w:pStyle w:val="BodyText9"/>
        <w:suppressLineNumbers/>
      </w:pPr>
    </w:p>
    <w:p w14:paraId="631200AF" w14:textId="77777777" w:rsidR="005A6D40" w:rsidRDefault="005A6D40">
      <w:pPr>
        <w:suppressLineNumbers/>
        <w:spacing w:before="360" w:after="160"/>
        <w:rPr>
          <w:rStyle w:val="Strong"/>
          <w:caps/>
        </w:rPr>
      </w:pPr>
    </w:p>
    <w:p w14:paraId="44B11AC2" w14:textId="77777777" w:rsidR="00D47934" w:rsidRDefault="00000000">
      <w:pPr>
        <w:suppressLineNumbers/>
        <w:spacing w:before="360" w:after="160"/>
        <w:rPr>
          <w:rStyle w:val="Strong"/>
        </w:rPr>
      </w:pPr>
      <w:r>
        <w:rPr>
          <w:rStyle w:val="Strong"/>
          <w:caps/>
        </w:rPr>
        <w:lastRenderedPageBreak/>
        <w:t>DOCUMENT VALIDITY</w:t>
      </w:r>
    </w:p>
    <w:p w14:paraId="595C4E81" w14:textId="77777777" w:rsidR="00D47934"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453C9663" w14:textId="77777777" w:rsidR="00D47934" w:rsidRDefault="00000000">
      <w:pPr>
        <w:suppressLineNumbers/>
      </w:pPr>
      <w:r>
        <w:br w:type="page"/>
      </w:r>
    </w:p>
    <w:p w14:paraId="4062208B" w14:textId="77777777" w:rsidR="005A6D40" w:rsidRDefault="00000000">
      <w:pPr>
        <w:suppressLineNumbers/>
        <w:spacing w:after="160"/>
        <w:rPr>
          <w:noProof/>
        </w:rPr>
      </w:pPr>
      <w:r>
        <w:rPr>
          <w:rStyle w:val="Strong"/>
          <w:caps/>
        </w:rPr>
        <w:lastRenderedPageBreak/>
        <w:t>TABLE OF CONTENTS</w:t>
      </w:r>
      <w:r w:rsidR="005A6D40">
        <w:rPr>
          <w:rStyle w:val="Strong"/>
          <w:caps/>
        </w:rPr>
        <w:fldChar w:fldCharType="begin"/>
      </w:r>
      <w:r>
        <w:rPr>
          <w:rStyle w:val="Strong"/>
          <w:caps/>
        </w:rPr>
        <w:instrText xml:space="preserve"> TOC \o "1-3" \h \z \u </w:instrText>
      </w:r>
      <w:r w:rsidR="005A6D40">
        <w:rPr>
          <w:rStyle w:val="Strong"/>
          <w:caps/>
        </w:rPr>
        <w:fldChar w:fldCharType="separate"/>
      </w:r>
    </w:p>
    <w:p w14:paraId="0F874067" w14:textId="72E79522"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01" w:history="1">
        <w:r>
          <w:rPr>
            <w:rStyle w:val="Hyperlink"/>
            <w:noProof/>
          </w:rPr>
          <w:t>1 Purpose</w:t>
        </w:r>
        <w:r>
          <w:rPr>
            <w:noProof/>
            <w:webHidden/>
          </w:rPr>
          <w:tab/>
        </w:r>
        <w:r>
          <w:rPr>
            <w:noProof/>
            <w:webHidden/>
          </w:rPr>
          <w:fldChar w:fldCharType="begin"/>
        </w:r>
        <w:r>
          <w:rPr>
            <w:noProof/>
            <w:webHidden/>
          </w:rPr>
          <w:instrText xml:space="preserve"> PAGEREF _Toc800001 \h </w:instrText>
        </w:r>
        <w:r>
          <w:rPr>
            <w:noProof/>
            <w:webHidden/>
          </w:rPr>
        </w:r>
        <w:r>
          <w:rPr>
            <w:noProof/>
            <w:webHidden/>
          </w:rPr>
          <w:fldChar w:fldCharType="separate"/>
        </w:r>
        <w:r w:rsidR="002624B5">
          <w:rPr>
            <w:noProof/>
            <w:webHidden/>
          </w:rPr>
          <w:t>5</w:t>
        </w:r>
        <w:r>
          <w:rPr>
            <w:noProof/>
            <w:webHidden/>
          </w:rPr>
          <w:fldChar w:fldCharType="end"/>
        </w:r>
      </w:hyperlink>
    </w:p>
    <w:p w14:paraId="52BE62F8" w14:textId="5A9CADFC"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02" w:history="1">
        <w:r>
          <w:rPr>
            <w:rStyle w:val="Hyperlink"/>
            <w:noProof/>
          </w:rPr>
          <w:t>2 Scope</w:t>
        </w:r>
        <w:r>
          <w:rPr>
            <w:noProof/>
            <w:webHidden/>
          </w:rPr>
          <w:tab/>
        </w:r>
        <w:r>
          <w:rPr>
            <w:noProof/>
            <w:webHidden/>
          </w:rPr>
          <w:fldChar w:fldCharType="begin"/>
        </w:r>
        <w:r>
          <w:rPr>
            <w:noProof/>
            <w:webHidden/>
          </w:rPr>
          <w:instrText xml:space="preserve"> PAGEREF _Toc800002 \h </w:instrText>
        </w:r>
        <w:r>
          <w:rPr>
            <w:noProof/>
            <w:webHidden/>
          </w:rPr>
        </w:r>
        <w:r>
          <w:rPr>
            <w:noProof/>
            <w:webHidden/>
          </w:rPr>
          <w:fldChar w:fldCharType="separate"/>
        </w:r>
        <w:r w:rsidR="002624B5">
          <w:rPr>
            <w:noProof/>
            <w:webHidden/>
          </w:rPr>
          <w:t>5</w:t>
        </w:r>
        <w:r>
          <w:rPr>
            <w:noProof/>
            <w:webHidden/>
          </w:rPr>
          <w:fldChar w:fldCharType="end"/>
        </w:r>
      </w:hyperlink>
    </w:p>
    <w:p w14:paraId="6CE79CBB" w14:textId="64331E01"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03" w:history="1">
        <w:r>
          <w:rPr>
            <w:rStyle w:val="Hyperlink"/>
            <w:noProof/>
          </w:rPr>
          <w:t>3 Roles and Responsibilities</w:t>
        </w:r>
        <w:r>
          <w:rPr>
            <w:noProof/>
            <w:webHidden/>
          </w:rPr>
          <w:tab/>
        </w:r>
        <w:r>
          <w:rPr>
            <w:noProof/>
            <w:webHidden/>
          </w:rPr>
          <w:fldChar w:fldCharType="begin"/>
        </w:r>
        <w:r>
          <w:rPr>
            <w:noProof/>
            <w:webHidden/>
          </w:rPr>
          <w:instrText xml:space="preserve"> PAGEREF _Toc800003 \h </w:instrText>
        </w:r>
        <w:r>
          <w:rPr>
            <w:noProof/>
            <w:webHidden/>
          </w:rPr>
        </w:r>
        <w:r>
          <w:rPr>
            <w:noProof/>
            <w:webHidden/>
          </w:rPr>
          <w:fldChar w:fldCharType="separate"/>
        </w:r>
        <w:r w:rsidR="002624B5">
          <w:rPr>
            <w:noProof/>
            <w:webHidden/>
          </w:rPr>
          <w:t>5</w:t>
        </w:r>
        <w:r>
          <w:rPr>
            <w:noProof/>
            <w:webHidden/>
          </w:rPr>
          <w:fldChar w:fldCharType="end"/>
        </w:r>
      </w:hyperlink>
    </w:p>
    <w:p w14:paraId="0C74AD92" w14:textId="2BD35F80"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04" w:history="1">
        <w:r>
          <w:rPr>
            <w:rStyle w:val="Hyperlink"/>
            <w:noProof/>
          </w:rPr>
          <w:t>4 Current Position</w:t>
        </w:r>
        <w:r>
          <w:rPr>
            <w:noProof/>
            <w:webHidden/>
          </w:rPr>
          <w:tab/>
        </w:r>
        <w:r>
          <w:rPr>
            <w:noProof/>
            <w:webHidden/>
          </w:rPr>
          <w:fldChar w:fldCharType="begin"/>
        </w:r>
        <w:r>
          <w:rPr>
            <w:noProof/>
            <w:webHidden/>
          </w:rPr>
          <w:instrText xml:space="preserve"> PAGEREF _Toc800004 \h </w:instrText>
        </w:r>
        <w:r>
          <w:rPr>
            <w:noProof/>
            <w:webHidden/>
          </w:rPr>
        </w:r>
        <w:r>
          <w:rPr>
            <w:noProof/>
            <w:webHidden/>
          </w:rPr>
          <w:fldChar w:fldCharType="separate"/>
        </w:r>
        <w:r w:rsidR="002624B5">
          <w:rPr>
            <w:noProof/>
            <w:webHidden/>
          </w:rPr>
          <w:t>5</w:t>
        </w:r>
        <w:r>
          <w:rPr>
            <w:noProof/>
            <w:webHidden/>
          </w:rPr>
          <w:fldChar w:fldCharType="end"/>
        </w:r>
      </w:hyperlink>
    </w:p>
    <w:p w14:paraId="73336246" w14:textId="0984AE24"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05" w:history="1">
        <w:r>
          <w:rPr>
            <w:rStyle w:val="Hyperlink"/>
            <w:noProof/>
          </w:rPr>
          <w:t>5 Workstream 1 — Processing Inventory</w:t>
        </w:r>
        <w:r>
          <w:rPr>
            <w:noProof/>
            <w:webHidden/>
          </w:rPr>
          <w:tab/>
        </w:r>
        <w:r>
          <w:rPr>
            <w:noProof/>
            <w:webHidden/>
          </w:rPr>
          <w:fldChar w:fldCharType="begin"/>
        </w:r>
        <w:r>
          <w:rPr>
            <w:noProof/>
            <w:webHidden/>
          </w:rPr>
          <w:instrText xml:space="preserve"> PAGEREF _Toc800005 \h </w:instrText>
        </w:r>
        <w:r>
          <w:rPr>
            <w:noProof/>
            <w:webHidden/>
          </w:rPr>
        </w:r>
        <w:r>
          <w:rPr>
            <w:noProof/>
            <w:webHidden/>
          </w:rPr>
          <w:fldChar w:fldCharType="separate"/>
        </w:r>
        <w:r w:rsidR="002624B5">
          <w:rPr>
            <w:noProof/>
            <w:webHidden/>
          </w:rPr>
          <w:t>5</w:t>
        </w:r>
        <w:r>
          <w:rPr>
            <w:noProof/>
            <w:webHidden/>
          </w:rPr>
          <w:fldChar w:fldCharType="end"/>
        </w:r>
      </w:hyperlink>
    </w:p>
    <w:p w14:paraId="154E0607" w14:textId="60464AFD"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06" w:history="1">
        <w:r>
          <w:rPr>
            <w:rStyle w:val="Hyperlink"/>
            <w:noProof/>
          </w:rPr>
          <w:t>6 Workstream 2 — Notice, Cookies and Consent</w:t>
        </w:r>
        <w:r>
          <w:rPr>
            <w:noProof/>
            <w:webHidden/>
          </w:rPr>
          <w:tab/>
        </w:r>
        <w:r>
          <w:rPr>
            <w:noProof/>
            <w:webHidden/>
          </w:rPr>
          <w:fldChar w:fldCharType="begin"/>
        </w:r>
        <w:r>
          <w:rPr>
            <w:noProof/>
            <w:webHidden/>
          </w:rPr>
          <w:instrText xml:space="preserve"> PAGEREF _Toc800006 \h </w:instrText>
        </w:r>
        <w:r>
          <w:rPr>
            <w:noProof/>
            <w:webHidden/>
          </w:rPr>
        </w:r>
        <w:r>
          <w:rPr>
            <w:noProof/>
            <w:webHidden/>
          </w:rPr>
          <w:fldChar w:fldCharType="separate"/>
        </w:r>
        <w:r w:rsidR="002624B5">
          <w:rPr>
            <w:noProof/>
            <w:webHidden/>
          </w:rPr>
          <w:t>6</w:t>
        </w:r>
        <w:r>
          <w:rPr>
            <w:noProof/>
            <w:webHidden/>
          </w:rPr>
          <w:fldChar w:fldCharType="end"/>
        </w:r>
      </w:hyperlink>
    </w:p>
    <w:p w14:paraId="6D49F1EA" w14:textId="39EB0B11"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07" w:history="1">
        <w:r>
          <w:rPr>
            <w:rStyle w:val="Hyperlink"/>
            <w:noProof/>
          </w:rPr>
          <w:t>7 Workstream 3 — Data Subject Requests</w:t>
        </w:r>
        <w:r>
          <w:rPr>
            <w:noProof/>
            <w:webHidden/>
          </w:rPr>
          <w:tab/>
        </w:r>
        <w:r>
          <w:rPr>
            <w:noProof/>
            <w:webHidden/>
          </w:rPr>
          <w:fldChar w:fldCharType="begin"/>
        </w:r>
        <w:r>
          <w:rPr>
            <w:noProof/>
            <w:webHidden/>
          </w:rPr>
          <w:instrText xml:space="preserve"> PAGEREF _Toc800007 \h </w:instrText>
        </w:r>
        <w:r>
          <w:rPr>
            <w:noProof/>
            <w:webHidden/>
          </w:rPr>
        </w:r>
        <w:r>
          <w:rPr>
            <w:noProof/>
            <w:webHidden/>
          </w:rPr>
          <w:fldChar w:fldCharType="separate"/>
        </w:r>
        <w:r w:rsidR="002624B5">
          <w:rPr>
            <w:noProof/>
            <w:webHidden/>
          </w:rPr>
          <w:t>6</w:t>
        </w:r>
        <w:r>
          <w:rPr>
            <w:noProof/>
            <w:webHidden/>
          </w:rPr>
          <w:fldChar w:fldCharType="end"/>
        </w:r>
      </w:hyperlink>
    </w:p>
    <w:p w14:paraId="48D280C3" w14:textId="6C2C9660"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08" w:history="1">
        <w:r>
          <w:rPr>
            <w:rStyle w:val="Hyperlink"/>
            <w:noProof/>
          </w:rPr>
          <w:t>8 Workstream 4 — Sub-processors and Transfers</w:t>
        </w:r>
        <w:r>
          <w:rPr>
            <w:noProof/>
            <w:webHidden/>
          </w:rPr>
          <w:tab/>
        </w:r>
        <w:r>
          <w:rPr>
            <w:noProof/>
            <w:webHidden/>
          </w:rPr>
          <w:fldChar w:fldCharType="begin"/>
        </w:r>
        <w:r>
          <w:rPr>
            <w:noProof/>
            <w:webHidden/>
          </w:rPr>
          <w:instrText xml:space="preserve"> PAGEREF _Toc800008 \h </w:instrText>
        </w:r>
        <w:r>
          <w:rPr>
            <w:noProof/>
            <w:webHidden/>
          </w:rPr>
        </w:r>
        <w:r>
          <w:rPr>
            <w:noProof/>
            <w:webHidden/>
          </w:rPr>
          <w:fldChar w:fldCharType="separate"/>
        </w:r>
        <w:r w:rsidR="002624B5">
          <w:rPr>
            <w:noProof/>
            <w:webHidden/>
          </w:rPr>
          <w:t>6</w:t>
        </w:r>
        <w:r>
          <w:rPr>
            <w:noProof/>
            <w:webHidden/>
          </w:rPr>
          <w:fldChar w:fldCharType="end"/>
        </w:r>
      </w:hyperlink>
    </w:p>
    <w:p w14:paraId="4EA2A21D" w14:textId="4746BB84"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09" w:history="1">
        <w:r>
          <w:rPr>
            <w:rStyle w:val="Hyperlink"/>
            <w:noProof/>
          </w:rPr>
          <w:t>9 Workstream 5 — Breach Notification</w:t>
        </w:r>
        <w:r>
          <w:rPr>
            <w:noProof/>
            <w:webHidden/>
          </w:rPr>
          <w:tab/>
        </w:r>
        <w:r>
          <w:rPr>
            <w:noProof/>
            <w:webHidden/>
          </w:rPr>
          <w:fldChar w:fldCharType="begin"/>
        </w:r>
        <w:r>
          <w:rPr>
            <w:noProof/>
            <w:webHidden/>
          </w:rPr>
          <w:instrText xml:space="preserve"> PAGEREF _Toc800009 \h </w:instrText>
        </w:r>
        <w:r>
          <w:rPr>
            <w:noProof/>
            <w:webHidden/>
          </w:rPr>
        </w:r>
        <w:r>
          <w:rPr>
            <w:noProof/>
            <w:webHidden/>
          </w:rPr>
          <w:fldChar w:fldCharType="separate"/>
        </w:r>
        <w:r w:rsidR="002624B5">
          <w:rPr>
            <w:noProof/>
            <w:webHidden/>
          </w:rPr>
          <w:t>7</w:t>
        </w:r>
        <w:r>
          <w:rPr>
            <w:noProof/>
            <w:webHidden/>
          </w:rPr>
          <w:fldChar w:fldCharType="end"/>
        </w:r>
      </w:hyperlink>
    </w:p>
    <w:p w14:paraId="5032143E" w14:textId="030D5BB4"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10" w:history="1">
        <w:r>
          <w:rPr>
            <w:rStyle w:val="Hyperlink"/>
            <w:noProof/>
          </w:rPr>
          <w:t>10 Workstream 6 — AI Processing Position</w:t>
        </w:r>
        <w:r>
          <w:rPr>
            <w:noProof/>
            <w:webHidden/>
          </w:rPr>
          <w:tab/>
        </w:r>
        <w:r>
          <w:rPr>
            <w:noProof/>
            <w:webHidden/>
          </w:rPr>
          <w:fldChar w:fldCharType="begin"/>
        </w:r>
        <w:r>
          <w:rPr>
            <w:noProof/>
            <w:webHidden/>
          </w:rPr>
          <w:instrText xml:space="preserve"> PAGEREF _Toc800010 \h </w:instrText>
        </w:r>
        <w:r>
          <w:rPr>
            <w:noProof/>
            <w:webHidden/>
          </w:rPr>
        </w:r>
        <w:r>
          <w:rPr>
            <w:noProof/>
            <w:webHidden/>
          </w:rPr>
          <w:fldChar w:fldCharType="separate"/>
        </w:r>
        <w:r w:rsidR="002624B5">
          <w:rPr>
            <w:noProof/>
            <w:webHidden/>
          </w:rPr>
          <w:t>7</w:t>
        </w:r>
        <w:r>
          <w:rPr>
            <w:noProof/>
            <w:webHidden/>
          </w:rPr>
          <w:fldChar w:fldCharType="end"/>
        </w:r>
      </w:hyperlink>
    </w:p>
    <w:p w14:paraId="2C3F62F8" w14:textId="045D7339"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11" w:history="1">
        <w:r>
          <w:rPr>
            <w:rStyle w:val="Hyperlink"/>
            <w:noProof/>
          </w:rPr>
          <w:t>11 Sequence and Milestones</w:t>
        </w:r>
        <w:r>
          <w:rPr>
            <w:noProof/>
            <w:webHidden/>
          </w:rPr>
          <w:tab/>
        </w:r>
        <w:r>
          <w:rPr>
            <w:noProof/>
            <w:webHidden/>
          </w:rPr>
          <w:fldChar w:fldCharType="begin"/>
        </w:r>
        <w:r>
          <w:rPr>
            <w:noProof/>
            <w:webHidden/>
          </w:rPr>
          <w:instrText xml:space="preserve"> PAGEREF _Toc800011 \h </w:instrText>
        </w:r>
        <w:r>
          <w:rPr>
            <w:noProof/>
            <w:webHidden/>
          </w:rPr>
        </w:r>
        <w:r>
          <w:rPr>
            <w:noProof/>
            <w:webHidden/>
          </w:rPr>
          <w:fldChar w:fldCharType="separate"/>
        </w:r>
        <w:r w:rsidR="002624B5">
          <w:rPr>
            <w:noProof/>
            <w:webHidden/>
          </w:rPr>
          <w:t>7</w:t>
        </w:r>
        <w:r>
          <w:rPr>
            <w:noProof/>
            <w:webHidden/>
          </w:rPr>
          <w:fldChar w:fldCharType="end"/>
        </w:r>
      </w:hyperlink>
    </w:p>
    <w:p w14:paraId="16C492C5" w14:textId="4EADAB9F"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12" w:history="1">
        <w:r>
          <w:rPr>
            <w:rStyle w:val="Hyperlink"/>
            <w:noProof/>
          </w:rPr>
          <w:t>12 Evidence Produced</w:t>
        </w:r>
        <w:r>
          <w:rPr>
            <w:noProof/>
            <w:webHidden/>
          </w:rPr>
          <w:tab/>
        </w:r>
        <w:r>
          <w:rPr>
            <w:noProof/>
            <w:webHidden/>
          </w:rPr>
          <w:fldChar w:fldCharType="begin"/>
        </w:r>
        <w:r>
          <w:rPr>
            <w:noProof/>
            <w:webHidden/>
          </w:rPr>
          <w:instrText xml:space="preserve"> PAGEREF _Toc800012 \h </w:instrText>
        </w:r>
        <w:r>
          <w:rPr>
            <w:noProof/>
            <w:webHidden/>
          </w:rPr>
        </w:r>
        <w:r>
          <w:rPr>
            <w:noProof/>
            <w:webHidden/>
          </w:rPr>
          <w:fldChar w:fldCharType="separate"/>
        </w:r>
        <w:r w:rsidR="002624B5">
          <w:rPr>
            <w:noProof/>
            <w:webHidden/>
          </w:rPr>
          <w:t>8</w:t>
        </w:r>
        <w:r>
          <w:rPr>
            <w:noProof/>
            <w:webHidden/>
          </w:rPr>
          <w:fldChar w:fldCharType="end"/>
        </w:r>
      </w:hyperlink>
    </w:p>
    <w:p w14:paraId="0E3F5EC5" w14:textId="7A9CAEAD"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13" w:history="1">
        <w:r>
          <w:rPr>
            <w:rStyle w:val="Hyperlink"/>
            <w:noProof/>
          </w:rPr>
          <w:t>13 Measures</w:t>
        </w:r>
        <w:r>
          <w:rPr>
            <w:noProof/>
            <w:webHidden/>
          </w:rPr>
          <w:tab/>
        </w:r>
        <w:r>
          <w:rPr>
            <w:noProof/>
            <w:webHidden/>
          </w:rPr>
          <w:fldChar w:fldCharType="begin"/>
        </w:r>
        <w:r>
          <w:rPr>
            <w:noProof/>
            <w:webHidden/>
          </w:rPr>
          <w:instrText xml:space="preserve"> PAGEREF _Toc800013 \h </w:instrText>
        </w:r>
        <w:r>
          <w:rPr>
            <w:noProof/>
            <w:webHidden/>
          </w:rPr>
        </w:r>
        <w:r>
          <w:rPr>
            <w:noProof/>
            <w:webHidden/>
          </w:rPr>
          <w:fldChar w:fldCharType="separate"/>
        </w:r>
        <w:r w:rsidR="002624B5">
          <w:rPr>
            <w:noProof/>
            <w:webHidden/>
          </w:rPr>
          <w:t>8</w:t>
        </w:r>
        <w:r>
          <w:rPr>
            <w:noProof/>
            <w:webHidden/>
          </w:rPr>
          <w:fldChar w:fldCharType="end"/>
        </w:r>
      </w:hyperlink>
    </w:p>
    <w:p w14:paraId="30235ED2" w14:textId="01EFC614"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14" w:history="1">
        <w:r>
          <w:rPr>
            <w:rStyle w:val="Hyperlink"/>
            <w:noProof/>
          </w:rPr>
          <w:t>14 Assumptions and Dependencies</w:t>
        </w:r>
        <w:r>
          <w:rPr>
            <w:noProof/>
            <w:webHidden/>
          </w:rPr>
          <w:tab/>
        </w:r>
        <w:r>
          <w:rPr>
            <w:noProof/>
            <w:webHidden/>
          </w:rPr>
          <w:fldChar w:fldCharType="begin"/>
        </w:r>
        <w:r>
          <w:rPr>
            <w:noProof/>
            <w:webHidden/>
          </w:rPr>
          <w:instrText xml:space="preserve"> PAGEREF _Toc800014 \h </w:instrText>
        </w:r>
        <w:r>
          <w:rPr>
            <w:noProof/>
            <w:webHidden/>
          </w:rPr>
        </w:r>
        <w:r>
          <w:rPr>
            <w:noProof/>
            <w:webHidden/>
          </w:rPr>
          <w:fldChar w:fldCharType="separate"/>
        </w:r>
        <w:r w:rsidR="002624B5">
          <w:rPr>
            <w:noProof/>
            <w:webHidden/>
          </w:rPr>
          <w:t>8</w:t>
        </w:r>
        <w:r>
          <w:rPr>
            <w:noProof/>
            <w:webHidden/>
          </w:rPr>
          <w:fldChar w:fldCharType="end"/>
        </w:r>
      </w:hyperlink>
    </w:p>
    <w:p w14:paraId="57F95B0E" w14:textId="0899CC20"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800015" w:history="1">
        <w:r>
          <w:rPr>
            <w:rStyle w:val="Hyperlink"/>
            <w:noProof/>
          </w:rPr>
          <w:t>15 Reference</w:t>
        </w:r>
        <w:r>
          <w:rPr>
            <w:noProof/>
            <w:webHidden/>
          </w:rPr>
          <w:tab/>
        </w:r>
        <w:r>
          <w:rPr>
            <w:noProof/>
            <w:webHidden/>
          </w:rPr>
          <w:fldChar w:fldCharType="begin"/>
        </w:r>
        <w:r>
          <w:rPr>
            <w:noProof/>
            <w:webHidden/>
          </w:rPr>
          <w:instrText xml:space="preserve"> PAGEREF _Toc800015 \h </w:instrText>
        </w:r>
        <w:r>
          <w:rPr>
            <w:noProof/>
            <w:webHidden/>
          </w:rPr>
        </w:r>
        <w:r>
          <w:rPr>
            <w:noProof/>
            <w:webHidden/>
          </w:rPr>
          <w:fldChar w:fldCharType="separate"/>
        </w:r>
        <w:r w:rsidR="002624B5">
          <w:rPr>
            <w:noProof/>
            <w:webHidden/>
          </w:rPr>
          <w:t>9</w:t>
        </w:r>
        <w:r>
          <w:rPr>
            <w:noProof/>
            <w:webHidden/>
          </w:rPr>
          <w:fldChar w:fldCharType="end"/>
        </w:r>
      </w:hyperlink>
    </w:p>
    <w:p w14:paraId="14270DD7" w14:textId="084FD562" w:rsidR="005D44B5"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33" w:history="1">
        <w:r>
          <w:rPr>
            <w:rStyle w:val="Hyperlink"/>
            <w:noProof/>
          </w:rPr>
          <w:t>16 Document Plan History</w:t>
        </w:r>
        <w:r>
          <w:rPr>
            <w:noProof/>
            <w:webHidden/>
          </w:rPr>
          <w:tab/>
        </w:r>
        <w:r>
          <w:rPr>
            <w:noProof/>
            <w:webHidden/>
          </w:rPr>
          <w:fldChar w:fldCharType="begin"/>
        </w:r>
        <w:r>
          <w:rPr>
            <w:noProof/>
            <w:webHidden/>
          </w:rPr>
          <w:instrText xml:space="preserve"> PAGEREF _Toc237819433 \h </w:instrText>
        </w:r>
        <w:r>
          <w:rPr>
            <w:noProof/>
            <w:webHidden/>
          </w:rPr>
        </w:r>
        <w:r>
          <w:rPr>
            <w:noProof/>
            <w:webHidden/>
          </w:rPr>
          <w:fldChar w:fldCharType="separate"/>
        </w:r>
        <w:r w:rsidR="002624B5">
          <w:rPr>
            <w:noProof/>
            <w:webHidden/>
          </w:rPr>
          <w:t>9</w:t>
        </w:r>
        <w:r>
          <w:rPr>
            <w:noProof/>
            <w:webHidden/>
          </w:rPr>
          <w:fldChar w:fldCharType="end"/>
        </w:r>
      </w:hyperlink>
    </w:p>
    <w:p w14:paraId="394ABE35" w14:textId="77777777" w:rsidR="00D47934" w:rsidRDefault="005A6D40">
      <w:pPr>
        <w:suppressLineNumbers/>
        <w:spacing w:after="160"/>
        <w:rPr>
          <w:rStyle w:val="Strong"/>
        </w:rPr>
      </w:pPr>
      <w:r>
        <w:rPr>
          <w:rStyle w:val="Strong"/>
          <w:caps/>
        </w:rPr>
        <w:fldChar w:fldCharType="end"/>
      </w:r>
    </w:p>
    <w:sdt>
      <w:sdtPr>
        <w:id w:val="-757437688"/>
        <w:docPartObj>
          <w:docPartGallery w:val="Table of Contents"/>
          <w:docPartUnique/>
        </w:docPartObj>
      </w:sdtPr>
      <w:sdtContent>
        <w:p w14:paraId="036FCD93" w14:textId="77777777" w:rsidR="00D47934" w:rsidRDefault="00000000">
          <w:pPr>
            <w:sectPr w:rsidR="00D4793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732E3D77" w14:textId="77777777" w:rsidR="005D44B5" w:rsidRDefault="00000000">
      <w:pPr>
        <w:pStyle w:val="Heading1"/>
        <w:keepNext/>
        <w:numPr>
          <w:ilvl w:val="0"/>
          <w:numId w:val="16"/>
        </w:numPr>
        <w:spacing w:before="240" w:after="80"/>
      </w:pPr>
      <w:bookmarkStart w:id="1" w:name="_Toc800001"/>
      <w:r>
        <w:lastRenderedPageBreak/>
        <w:t>Purpose</w:t>
      </w:r>
      <w:bookmarkEnd w:id="1"/>
    </w:p>
    <w:p w14:paraId="4FF8FFDB" w14:textId="77777777" w:rsidR="005D44B5" w:rsidRDefault="00000000">
      <w:pPr>
        <w:pStyle w:val="BodyText9"/>
        <w:spacing w:after="120"/>
        <w:jc w:val="both"/>
      </w:pPr>
      <w:r>
        <w:rPr>
          <w:color w:val="404040" w:themeColor="text1" w:themeTint="BF"/>
        </w:rPr>
        <w:t>The Privacy Policy states what the Company owes the people whose personal data it holds. This Plan says who does what about it, by when, and what artifact proves it was done. Nothing here creates a new obligation; it schedules the ones already carried.</w:t>
      </w:r>
    </w:p>
    <w:p w14:paraId="1E7C578B" w14:textId="77777777" w:rsidR="005D44B5" w:rsidRDefault="00000000">
      <w:pPr>
        <w:pStyle w:val="BodyText9"/>
        <w:spacing w:after="120"/>
        <w:jc w:val="both"/>
      </w:pPr>
      <w:r>
        <w:rPr>
          <w:color w:val="404040" w:themeColor="text1" w:themeTint="BF"/>
        </w:rPr>
        <w:t>The Plan is worked in order. A workstream that is complete stays in the document with its evidence named, because the next examination will ask when it was done and not whether it is still on a list.</w:t>
      </w:r>
    </w:p>
    <w:p w14:paraId="233720F3" w14:textId="77777777" w:rsidR="005D44B5" w:rsidRDefault="00000000">
      <w:pPr>
        <w:pStyle w:val="Heading1"/>
        <w:keepNext/>
        <w:numPr>
          <w:ilvl w:val="0"/>
          <w:numId w:val="16"/>
        </w:numPr>
        <w:spacing w:before="240" w:after="80"/>
      </w:pPr>
      <w:bookmarkStart w:id="2" w:name="_Toc800002"/>
      <w:r>
        <w:t>Scope</w:t>
      </w:r>
      <w:bookmarkEnd w:id="2"/>
    </w:p>
    <w:p w14:paraId="14F7DFA0" w14:textId="77777777" w:rsidR="005D44B5" w:rsidRDefault="00000000">
      <w:pPr>
        <w:pStyle w:val="BodyText9"/>
        <w:spacing w:after="120"/>
        <w:jc w:val="both"/>
      </w:pPr>
      <w:r>
        <w:rPr>
          <w:color w:val="404040" w:themeColor="text1" w:themeTint="BF"/>
        </w:rPr>
        <w:t>Personal data the Company holds as controller — personnel, candidates, website visitors, enquirers and customer contacts — and personal data it processes as processor on behalf of clients. The Plan covers the systems that hold that data and the sub-processors that touch it.</w:t>
      </w:r>
    </w:p>
    <w:p w14:paraId="044AAC55" w14:textId="77777777" w:rsidR="005D44B5" w:rsidRDefault="00000000">
      <w:pPr>
        <w:pStyle w:val="Heading1"/>
        <w:keepNext/>
        <w:numPr>
          <w:ilvl w:val="0"/>
          <w:numId w:val="16"/>
        </w:numPr>
        <w:spacing w:before="240" w:after="80"/>
      </w:pPr>
      <w:bookmarkStart w:id="3" w:name="_Toc800003"/>
      <w:r>
        <w:t>Roles and Responsibilities</w:t>
      </w:r>
      <w:bookmarkEnd w:id="3"/>
    </w:p>
    <w:p w14:paraId="3FC1FCFD" w14:textId="77777777" w:rsidR="005D44B5" w:rsidRDefault="00000000">
      <w:pPr>
        <w:pStyle w:val="Emphasis-Normal"/>
        <w:numPr>
          <w:ilvl w:val="0"/>
          <w:numId w:val="3"/>
        </w:numPr>
        <w:spacing w:after="120"/>
        <w:jc w:val="both"/>
      </w:pPr>
      <w:r>
        <w:rPr>
          <w:color w:val="404040" w:themeColor="text1" w:themeTint="BF"/>
        </w:rPr>
        <w:t xml:space="preserve">The Accountable Party owns the Plan, approves the scoping position, and accepts or rejects any workstream that closes without meeting its measure.  </w:t>
      </w:r>
      <w:r>
        <w:rPr>
          <w:rFonts w:ascii="Calibri Light" w:eastAsia="Calibri Light" w:hAnsi="Calibri Light" w:cs="Calibri Light"/>
          <w:color w:val="404040" w:themeColor="text1" w:themeTint="BF"/>
          <w:sz w:val="18"/>
        </w:rPr>
        <w:t>[SOC 2: CC1.3]</w:t>
      </w:r>
    </w:p>
    <w:p w14:paraId="10135406" w14:textId="77777777" w:rsidR="005D44B5" w:rsidRDefault="00000000">
      <w:pPr>
        <w:pStyle w:val="Emphasis-Normal"/>
        <w:numPr>
          <w:ilvl w:val="0"/>
          <w:numId w:val="3"/>
        </w:numPr>
        <w:spacing w:after="120"/>
        <w:jc w:val="both"/>
      </w:pPr>
      <w:r>
        <w:rPr>
          <w:color w:val="404040" w:themeColor="text1" w:themeTint="BF"/>
        </w:rPr>
        <w:t xml:space="preserve">The Security Officer runs the Plan day to day, holds the artifacts, and reports progress at each quarterly review while workstreams remain open.  </w:t>
      </w:r>
      <w:r>
        <w:rPr>
          <w:rFonts w:ascii="Calibri Light" w:eastAsia="Calibri Light" w:hAnsi="Calibri Light" w:cs="Calibri Light"/>
          <w:color w:val="404040" w:themeColor="text1" w:themeTint="BF"/>
          <w:sz w:val="18"/>
        </w:rPr>
        <w:t>[SOC 2: CC1.3, CC4.2]</w:t>
      </w:r>
    </w:p>
    <w:p w14:paraId="508B230D" w14:textId="77777777" w:rsidR="005D44B5" w:rsidRDefault="00000000">
      <w:pPr>
        <w:pStyle w:val="Emphasis-Normal"/>
        <w:numPr>
          <w:ilvl w:val="0"/>
          <w:numId w:val="3"/>
        </w:numPr>
        <w:spacing w:after="120"/>
        <w:jc w:val="both"/>
      </w:pPr>
      <w:r>
        <w:rPr>
          <w:color w:val="404040" w:themeColor="text1" w:themeTint="BF"/>
        </w:rPr>
        <w:t xml:space="preserve">The Information Security Steering Committee receives the report, and its acceptance of a closed workstream is recorded in the same way as any other Committee decision.  </w:t>
      </w:r>
      <w:r>
        <w:rPr>
          <w:rFonts w:ascii="Calibri Light" w:eastAsia="Calibri Light" w:hAnsi="Calibri Light" w:cs="Calibri Light"/>
          <w:color w:val="404040" w:themeColor="text1" w:themeTint="BF"/>
          <w:sz w:val="18"/>
        </w:rPr>
        <w:t>[SOC 2: CC1.2]</w:t>
      </w:r>
    </w:p>
    <w:p w14:paraId="04CC7E65" w14:textId="77777777" w:rsidR="005D44B5" w:rsidRDefault="00000000">
      <w:pPr>
        <w:pStyle w:val="Emphasis-Normal"/>
        <w:numPr>
          <w:ilvl w:val="0"/>
          <w:numId w:val="3"/>
        </w:numPr>
        <w:spacing w:after="120"/>
        <w:jc w:val="both"/>
      </w:pPr>
      <w:r>
        <w:rPr>
          <w:color w:val="404040" w:themeColor="text1" w:themeTint="BF"/>
        </w:rPr>
        <w:t xml:space="preserve">Where a workstream depends on external counsel — a transfer assessment, a controller/processor determination — the Accountable Party engages it and the advice is retained with the artifact.  </w:t>
      </w:r>
      <w:r>
        <w:rPr>
          <w:rFonts w:ascii="Calibri Light" w:eastAsia="Calibri Light" w:hAnsi="Calibri Light" w:cs="Calibri Light"/>
          <w:color w:val="404040" w:themeColor="text1" w:themeTint="BF"/>
          <w:sz w:val="18"/>
        </w:rPr>
        <w:t>[SOC 2: CC1.3]</w:t>
      </w:r>
    </w:p>
    <w:p w14:paraId="3419A5E9" w14:textId="77777777" w:rsidR="005D44B5" w:rsidRDefault="00000000">
      <w:pPr>
        <w:pStyle w:val="Heading1"/>
        <w:keepNext/>
        <w:numPr>
          <w:ilvl w:val="0"/>
          <w:numId w:val="16"/>
        </w:numPr>
        <w:spacing w:before="240" w:after="80"/>
      </w:pPr>
      <w:bookmarkStart w:id="4" w:name="_Toc800004"/>
      <w:r>
        <w:t>Current Position</w:t>
      </w:r>
      <w:bookmarkEnd w:id="4"/>
    </w:p>
    <w:p w14:paraId="56FE9E7B" w14:textId="77777777" w:rsidR="005D44B5" w:rsidRDefault="00000000">
      <w:pPr>
        <w:pStyle w:val="Emphasis-Normal"/>
        <w:numPr>
          <w:ilvl w:val="0"/>
          <w:numId w:val="4"/>
        </w:numPr>
        <w:spacing w:after="120"/>
        <w:jc w:val="both"/>
      </w:pPr>
      <w:r>
        <w:rPr>
          <w:color w:val="404040" w:themeColor="text1" w:themeTint="BF"/>
        </w:rPr>
        <w:t xml:space="preserve">The Privacy Policy and the published Privacy Notice exist and are aligned. The Notice carries the Article 13 and 14 disclosures.  </w:t>
      </w:r>
      <w:r>
        <w:rPr>
          <w:rFonts w:ascii="Calibri Light" w:eastAsia="Calibri Light" w:hAnsi="Calibri Light" w:cs="Calibri Light"/>
          <w:color w:val="404040" w:themeColor="text1" w:themeTint="BF"/>
          <w:sz w:val="18"/>
        </w:rPr>
        <w:t>[GDPR Art. 13, 14]</w:t>
      </w:r>
    </w:p>
    <w:p w14:paraId="0112AF6D" w14:textId="77777777" w:rsidR="005D44B5" w:rsidRDefault="00000000">
      <w:pPr>
        <w:pStyle w:val="Emphasis-Normal"/>
        <w:numPr>
          <w:ilvl w:val="0"/>
          <w:numId w:val="4"/>
        </w:numPr>
        <w:spacing w:after="120"/>
        <w:jc w:val="both"/>
      </w:pPr>
      <w:r>
        <w:rPr>
          <w:color w:val="404040" w:themeColor="text1" w:themeTint="BF"/>
        </w:rPr>
        <w:t xml:space="preserve">The Privacy category of the Trust Services Criteria is out of scope by a recorded decision, revisited when a client agreement requires it or when the Company begins acting as controller for material volumes.  </w:t>
      </w:r>
      <w:r>
        <w:rPr>
          <w:rFonts w:ascii="Calibri Light" w:eastAsia="Calibri Light" w:hAnsi="Calibri Light" w:cs="Calibri Light"/>
          <w:color w:val="404040" w:themeColor="text1" w:themeTint="BF"/>
          <w:sz w:val="18"/>
        </w:rPr>
        <w:t>[SOC 2: CC3.2]</w:t>
      </w:r>
    </w:p>
    <w:p w14:paraId="44E09ACD" w14:textId="77777777" w:rsidR="005D44B5" w:rsidRDefault="00000000">
      <w:pPr>
        <w:pStyle w:val="Emphasis-Normal"/>
        <w:numPr>
          <w:ilvl w:val="0"/>
          <w:numId w:val="4"/>
        </w:numPr>
        <w:spacing w:after="120"/>
        <w:jc w:val="both"/>
      </w:pPr>
      <w:r>
        <w:rPr>
          <w:color w:val="404040" w:themeColor="text1" w:themeTint="BF"/>
        </w:rPr>
        <w:t xml:space="preserve">The obligations are stated but the operating record behind several of them is thin: there is no completed processing inventory, no exercised data subject request procedure, and no tested breach notification path. That gap is what this Plan closes.  </w:t>
      </w:r>
      <w:r>
        <w:rPr>
          <w:rFonts w:ascii="Calibri Light" w:eastAsia="Calibri Light" w:hAnsi="Calibri Light" w:cs="Calibri Light"/>
          <w:color w:val="404040" w:themeColor="text1" w:themeTint="BF"/>
          <w:sz w:val="18"/>
        </w:rPr>
        <w:t>[SOC 2: CC4.2]</w:t>
      </w:r>
    </w:p>
    <w:p w14:paraId="779F78C5" w14:textId="77777777" w:rsidR="005D44B5" w:rsidRDefault="00000000">
      <w:pPr>
        <w:pStyle w:val="Heading1"/>
        <w:keepNext/>
        <w:numPr>
          <w:ilvl w:val="0"/>
          <w:numId w:val="16"/>
        </w:numPr>
        <w:spacing w:before="240" w:after="80"/>
      </w:pPr>
      <w:bookmarkStart w:id="5" w:name="_Toc800005"/>
      <w:r>
        <w:t>Workstream 1 — Processing Inventory</w:t>
      </w:r>
      <w:bookmarkEnd w:id="5"/>
    </w:p>
    <w:p w14:paraId="3BE9221D" w14:textId="77777777" w:rsidR="005D44B5" w:rsidRDefault="00000000">
      <w:pPr>
        <w:pStyle w:val="Emphasis-Normal"/>
        <w:numPr>
          <w:ilvl w:val="0"/>
          <w:numId w:val="9"/>
        </w:numPr>
        <w:spacing w:after="120"/>
        <w:jc w:val="both"/>
      </w:pPr>
      <w:r>
        <w:rPr>
          <w:color w:val="404040" w:themeColor="text1" w:themeTint="BF"/>
        </w:rPr>
        <w:t xml:space="preserve">Record each processing activity with its purpose, categories of data and data subjects, legal basis, systems involved, recipients, retention period and transfer position.  </w:t>
      </w:r>
      <w:r>
        <w:rPr>
          <w:rFonts w:ascii="Calibri Light" w:eastAsia="Calibri Light" w:hAnsi="Calibri Light" w:cs="Calibri Light"/>
          <w:color w:val="404040" w:themeColor="text1" w:themeTint="BF"/>
          <w:sz w:val="18"/>
        </w:rPr>
        <w:t>[GDPR Art. 30 · Owner: Security Officer · Due: Q4 2026]</w:t>
      </w:r>
    </w:p>
    <w:p w14:paraId="79CE98CF" w14:textId="77777777" w:rsidR="005D44B5" w:rsidRDefault="00000000">
      <w:pPr>
        <w:pStyle w:val="Emphasis-Normal"/>
        <w:numPr>
          <w:ilvl w:val="0"/>
          <w:numId w:val="9"/>
        </w:numPr>
        <w:spacing w:after="120"/>
        <w:jc w:val="both"/>
      </w:pPr>
      <w:r>
        <w:rPr>
          <w:color w:val="404040" w:themeColor="text1" w:themeTint="BF"/>
        </w:rPr>
        <w:lastRenderedPageBreak/>
        <w:t xml:space="preserve">Reconcile the inventory against the sub-processor list and the asset inventory, so that a system holding personal data cannot be absent from one of the three.  </w:t>
      </w:r>
      <w:r>
        <w:rPr>
          <w:rFonts w:ascii="Calibri Light" w:eastAsia="Calibri Light" w:hAnsi="Calibri Light" w:cs="Calibri Light"/>
          <w:color w:val="404040" w:themeColor="text1" w:themeTint="BF"/>
          <w:sz w:val="18"/>
        </w:rPr>
        <w:t>[SOC 2: CC2.1 · Owner: Security Officer · Due: Q4 2026]</w:t>
      </w:r>
    </w:p>
    <w:p w14:paraId="05C93B15" w14:textId="77777777" w:rsidR="005D44B5" w:rsidRDefault="00000000">
      <w:pPr>
        <w:pStyle w:val="Emphasis-Normal"/>
        <w:numPr>
          <w:ilvl w:val="0"/>
          <w:numId w:val="9"/>
        </w:numPr>
        <w:spacing w:after="120"/>
        <w:jc w:val="both"/>
      </w:pPr>
      <w:r>
        <w:rPr>
          <w:color w:val="404040" w:themeColor="text1" w:themeTint="BF"/>
        </w:rPr>
        <w:t xml:space="preserve">Confirm for each activity whether the Company acts as controller or processor, and record the reasoning where it is not obvious.  </w:t>
      </w:r>
      <w:r>
        <w:rPr>
          <w:rFonts w:ascii="Calibri Light" w:eastAsia="Calibri Light" w:hAnsi="Calibri Light" w:cs="Calibri Light"/>
          <w:color w:val="404040" w:themeColor="text1" w:themeTint="BF"/>
          <w:sz w:val="18"/>
        </w:rPr>
        <w:t>[GDPR Art. 28 · Owner: Accountable Party · Due: Q4 2026]</w:t>
      </w:r>
    </w:p>
    <w:p w14:paraId="13EC4E1A" w14:textId="77777777" w:rsidR="005D44B5" w:rsidRDefault="00000000">
      <w:pPr>
        <w:pStyle w:val="Emphasis-Normal"/>
        <w:numPr>
          <w:ilvl w:val="0"/>
          <w:numId w:val="9"/>
        </w:numPr>
        <w:spacing w:after="120"/>
        <w:jc w:val="both"/>
      </w:pPr>
      <w:r>
        <w:rPr>
          <w:color w:val="404040" w:themeColor="text1" w:themeTint="BF"/>
        </w:rPr>
        <w:t xml:space="preserve">Set the inventory to be reviewed annually and on any significant change, and name the trigger in the Risk Management Policy that catches a new processing activity.  </w:t>
      </w:r>
      <w:r>
        <w:rPr>
          <w:rFonts w:ascii="Calibri Light" w:eastAsia="Calibri Light" w:hAnsi="Calibri Light" w:cs="Calibri Light"/>
          <w:color w:val="404040" w:themeColor="text1" w:themeTint="BF"/>
          <w:sz w:val="18"/>
        </w:rPr>
        <w:t>[SOC 2: CC3.4 · Owner: Security Officer · Due: Q1 2027]</w:t>
      </w:r>
    </w:p>
    <w:p w14:paraId="6B7CFB22" w14:textId="77777777" w:rsidR="005D44B5" w:rsidRDefault="00000000">
      <w:pPr>
        <w:pStyle w:val="Heading1"/>
        <w:keepNext/>
        <w:numPr>
          <w:ilvl w:val="0"/>
          <w:numId w:val="16"/>
        </w:numPr>
        <w:spacing w:before="240" w:after="80"/>
      </w:pPr>
      <w:bookmarkStart w:id="6" w:name="_Toc800006"/>
      <w:r>
        <w:t>Workstream 2 — Notice, Cookies and Consent</w:t>
      </w:r>
      <w:bookmarkEnd w:id="6"/>
    </w:p>
    <w:p w14:paraId="34BB3054" w14:textId="77777777" w:rsidR="005D44B5" w:rsidRDefault="00000000">
      <w:pPr>
        <w:pStyle w:val="Emphasis-Normal"/>
        <w:numPr>
          <w:ilvl w:val="0"/>
          <w:numId w:val="10"/>
        </w:numPr>
        <w:spacing w:after="120"/>
        <w:jc w:val="both"/>
      </w:pPr>
      <w:r>
        <w:rPr>
          <w:color w:val="404040" w:themeColor="text1" w:themeTint="BF"/>
        </w:rPr>
        <w:t xml:space="preserve">Verify that the deployed cookie banner sets no non-essential cookie before consent, and record the test with a date and a browser trace. A banner that is present but ineffective is the common finding.  </w:t>
      </w:r>
      <w:r>
        <w:rPr>
          <w:rFonts w:ascii="Calibri Light" w:eastAsia="Calibri Light" w:hAnsi="Calibri Light" w:cs="Calibri Light"/>
          <w:color w:val="404040" w:themeColor="text1" w:themeTint="BF"/>
          <w:sz w:val="18"/>
        </w:rPr>
        <w:t>[Owner: Security Officer · Due: Q4 2026]</w:t>
      </w:r>
    </w:p>
    <w:p w14:paraId="0C39CC6D" w14:textId="77777777" w:rsidR="005D44B5" w:rsidRDefault="00000000">
      <w:pPr>
        <w:pStyle w:val="Emphasis-Normal"/>
        <w:numPr>
          <w:ilvl w:val="0"/>
          <w:numId w:val="10"/>
        </w:numPr>
        <w:spacing w:after="120"/>
        <w:jc w:val="both"/>
      </w:pPr>
      <w:r>
        <w:rPr>
          <w:color w:val="404040" w:themeColor="text1" w:themeTint="BF"/>
        </w:rPr>
        <w:t xml:space="preserve">Confirm the consent record retains what was consented to, when, and how it can be withdrawn, and that withdrawal takes effect.  </w:t>
      </w:r>
      <w:r>
        <w:rPr>
          <w:rFonts w:ascii="Calibri Light" w:eastAsia="Calibri Light" w:hAnsi="Calibri Light" w:cs="Calibri Light"/>
          <w:color w:val="404040" w:themeColor="text1" w:themeTint="BF"/>
          <w:sz w:val="18"/>
        </w:rPr>
        <w:t>[GDPR Art. 7(1), 7(3) · Owner: Security Officer · Due: Q4 2026]</w:t>
      </w:r>
    </w:p>
    <w:p w14:paraId="20643722" w14:textId="77777777" w:rsidR="005D44B5" w:rsidRDefault="00000000">
      <w:pPr>
        <w:pStyle w:val="Emphasis-Normal"/>
        <w:numPr>
          <w:ilvl w:val="0"/>
          <w:numId w:val="10"/>
        </w:numPr>
        <w:spacing w:after="120"/>
        <w:jc w:val="both"/>
      </w:pPr>
      <w:r>
        <w:rPr>
          <w:color w:val="404040" w:themeColor="text1" w:themeTint="BF"/>
        </w:rPr>
        <w:t xml:space="preserve">Verify that Global Privacy Control signals are honored, as the Notice states they are.  </w:t>
      </w:r>
      <w:r>
        <w:rPr>
          <w:rFonts w:ascii="Calibri Light" w:eastAsia="Calibri Light" w:hAnsi="Calibri Light" w:cs="Calibri Light"/>
          <w:color w:val="404040" w:themeColor="text1" w:themeTint="BF"/>
          <w:sz w:val="18"/>
        </w:rPr>
        <w:t>[CPRA §1798.135 · Owner: Security Officer · Due: Q4 2026]</w:t>
      </w:r>
    </w:p>
    <w:p w14:paraId="3FA3DC68" w14:textId="77777777" w:rsidR="005D44B5" w:rsidRDefault="00000000">
      <w:pPr>
        <w:pStyle w:val="Emphasis-Normal"/>
        <w:numPr>
          <w:ilvl w:val="0"/>
          <w:numId w:val="10"/>
        </w:numPr>
        <w:spacing w:after="120"/>
        <w:jc w:val="both"/>
      </w:pPr>
      <w:r>
        <w:rPr>
          <w:color w:val="404040" w:themeColor="text1" w:themeTint="BF"/>
        </w:rPr>
        <w:t xml:space="preserve">Put the Notice and the Policy on one review, so that a change to either forces a read of the other.  </w:t>
      </w:r>
      <w:r>
        <w:rPr>
          <w:rFonts w:ascii="Calibri Light" w:eastAsia="Calibri Light" w:hAnsi="Calibri Light" w:cs="Calibri Light"/>
          <w:color w:val="404040" w:themeColor="text1" w:themeTint="BF"/>
          <w:sz w:val="18"/>
        </w:rPr>
        <w:t>[SOC 2: CC2.3 · Owner: Security Officer · Due: Q1 2027]</w:t>
      </w:r>
    </w:p>
    <w:p w14:paraId="0C4B5F72" w14:textId="77777777" w:rsidR="005D44B5" w:rsidRDefault="00000000">
      <w:pPr>
        <w:pStyle w:val="Heading1"/>
        <w:keepNext/>
        <w:numPr>
          <w:ilvl w:val="0"/>
          <w:numId w:val="16"/>
        </w:numPr>
        <w:spacing w:before="240" w:after="80"/>
      </w:pPr>
      <w:bookmarkStart w:id="7" w:name="_Toc800007"/>
      <w:r>
        <w:t>Workstream 3 — Data Subject Requests</w:t>
      </w:r>
      <w:bookmarkEnd w:id="7"/>
    </w:p>
    <w:p w14:paraId="42994DD7" w14:textId="77777777" w:rsidR="005D44B5" w:rsidRDefault="00000000">
      <w:pPr>
        <w:pStyle w:val="Emphasis-Normal"/>
        <w:numPr>
          <w:ilvl w:val="0"/>
          <w:numId w:val="11"/>
        </w:numPr>
        <w:spacing w:after="120"/>
        <w:jc w:val="both"/>
      </w:pPr>
      <w:r>
        <w:rPr>
          <w:color w:val="404040" w:themeColor="text1" w:themeTint="BF"/>
        </w:rPr>
        <w:t xml:space="preserve">Write the request procedure: intake at the published address, identity verification, the controller/processor routing decision, the response clock, and what is retained afterwards.  </w:t>
      </w:r>
      <w:r>
        <w:rPr>
          <w:rFonts w:ascii="Calibri Light" w:eastAsia="Calibri Light" w:hAnsi="Calibri Light" w:cs="Calibri Light"/>
          <w:color w:val="404040" w:themeColor="text1" w:themeTint="BF"/>
          <w:sz w:val="18"/>
        </w:rPr>
        <w:t>[GDPR Art. 12, 15 · Owner: Security Officer · Due: Q4 2026]</w:t>
      </w:r>
    </w:p>
    <w:p w14:paraId="0E4BF824" w14:textId="77777777" w:rsidR="005D44B5" w:rsidRDefault="00000000">
      <w:pPr>
        <w:pStyle w:val="Emphasis-Normal"/>
        <w:numPr>
          <w:ilvl w:val="0"/>
          <w:numId w:val="11"/>
        </w:numPr>
        <w:spacing w:after="120"/>
        <w:jc w:val="both"/>
      </w:pPr>
      <w:r>
        <w:rPr>
          <w:color w:val="404040" w:themeColor="text1" w:themeTint="BF"/>
        </w:rPr>
        <w:t xml:space="preserve">Run one test request end to end and record the elapsed time against the statutory period. An untested procedure is a document, not a control.  </w:t>
      </w:r>
      <w:r>
        <w:rPr>
          <w:rFonts w:ascii="Calibri Light" w:eastAsia="Calibri Light" w:hAnsi="Calibri Light" w:cs="Calibri Light"/>
          <w:color w:val="404040" w:themeColor="text1" w:themeTint="BF"/>
          <w:sz w:val="18"/>
        </w:rPr>
        <w:t>[SOC 2: CC2.3 · Owner: Security Officer · Due: Q1 2027]</w:t>
      </w:r>
    </w:p>
    <w:p w14:paraId="137B380D" w14:textId="77777777" w:rsidR="005D44B5" w:rsidRDefault="00000000">
      <w:pPr>
        <w:pStyle w:val="Emphasis-Normal"/>
        <w:numPr>
          <w:ilvl w:val="0"/>
          <w:numId w:val="11"/>
        </w:numPr>
        <w:spacing w:after="120"/>
        <w:jc w:val="both"/>
      </w:pPr>
      <w:r>
        <w:rPr>
          <w:color w:val="404040" w:themeColor="text1" w:themeTint="BF"/>
        </w:rPr>
        <w:t xml:space="preserve">Open the request register, even if it stays empty. An empty register with a start date is evidence; a missing one is not.  </w:t>
      </w:r>
      <w:r>
        <w:rPr>
          <w:rFonts w:ascii="Calibri Light" w:eastAsia="Calibri Light" w:hAnsi="Calibri Light" w:cs="Calibri Light"/>
          <w:color w:val="404040" w:themeColor="text1" w:themeTint="BF"/>
          <w:sz w:val="18"/>
        </w:rPr>
        <w:t>[SOC 2: CC2.3 · Owner: Security Officer · Due: Q4 2026]</w:t>
      </w:r>
    </w:p>
    <w:p w14:paraId="7921FC52" w14:textId="77777777" w:rsidR="005D44B5" w:rsidRDefault="00000000">
      <w:pPr>
        <w:pStyle w:val="Emphasis-Normal"/>
        <w:numPr>
          <w:ilvl w:val="0"/>
          <w:numId w:val="11"/>
        </w:numPr>
        <w:spacing w:after="120"/>
        <w:jc w:val="both"/>
      </w:pPr>
      <w:r>
        <w:rPr>
          <w:color w:val="404040" w:themeColor="text1" w:themeTint="BF"/>
        </w:rPr>
        <w:t xml:space="preserve">Confirm the client-facing path for requests that reach the Company as processor, and that the engagement agreements say the same thing the Notice does.  </w:t>
      </w:r>
      <w:r>
        <w:rPr>
          <w:rFonts w:ascii="Calibri Light" w:eastAsia="Calibri Light" w:hAnsi="Calibri Light" w:cs="Calibri Light"/>
          <w:color w:val="404040" w:themeColor="text1" w:themeTint="BF"/>
          <w:sz w:val="18"/>
        </w:rPr>
        <w:t>[GDPR Art. 28(3)(e) · Owner: Accountable Party · Due: Q1 2027]</w:t>
      </w:r>
    </w:p>
    <w:p w14:paraId="27D9DF6F" w14:textId="77777777" w:rsidR="005D44B5" w:rsidRDefault="00000000">
      <w:pPr>
        <w:pStyle w:val="Heading1"/>
        <w:keepNext/>
        <w:numPr>
          <w:ilvl w:val="0"/>
          <w:numId w:val="16"/>
        </w:numPr>
        <w:spacing w:before="240" w:after="80"/>
      </w:pPr>
      <w:bookmarkStart w:id="8" w:name="_Toc800008"/>
      <w:r>
        <w:t>Workstream 4 — Sub-processors and Transfers</w:t>
      </w:r>
      <w:bookmarkEnd w:id="8"/>
    </w:p>
    <w:p w14:paraId="6C5D72B9" w14:textId="77777777" w:rsidR="005D44B5" w:rsidRDefault="00000000">
      <w:pPr>
        <w:pStyle w:val="Emphasis-Normal"/>
        <w:numPr>
          <w:ilvl w:val="0"/>
          <w:numId w:val="12"/>
        </w:numPr>
        <w:spacing w:after="120"/>
        <w:jc w:val="both"/>
      </w:pPr>
      <w:r>
        <w:rPr>
          <w:color w:val="404040" w:themeColor="text1" w:themeTint="BF"/>
        </w:rPr>
        <w:t xml:space="preserve">Complete the sub-processor list with what each processes, where it processes it, and the contract that binds it.  </w:t>
      </w:r>
      <w:r>
        <w:rPr>
          <w:rFonts w:ascii="Calibri Light" w:eastAsia="Calibri Light" w:hAnsi="Calibri Light" w:cs="Calibri Light"/>
          <w:color w:val="404040" w:themeColor="text1" w:themeTint="BF"/>
          <w:sz w:val="18"/>
        </w:rPr>
        <w:t>[GDPR Art. 28 · Owner: Security Officer · Due: Q4 2026]</w:t>
      </w:r>
    </w:p>
    <w:p w14:paraId="58071566" w14:textId="77777777" w:rsidR="005D44B5" w:rsidRDefault="00000000">
      <w:pPr>
        <w:pStyle w:val="Emphasis-Normal"/>
        <w:numPr>
          <w:ilvl w:val="0"/>
          <w:numId w:val="12"/>
        </w:numPr>
        <w:spacing w:after="120"/>
        <w:jc w:val="both"/>
      </w:pPr>
      <w:r>
        <w:rPr>
          <w:color w:val="404040" w:themeColor="text1" w:themeTint="BF"/>
        </w:rPr>
        <w:t xml:space="preserve">Confirm a data processing agreement is in place with every sub-processor that touches client personal data, and that each carries the Article 28(3) terms rather than a general confidentiality clause.  </w:t>
      </w:r>
      <w:r>
        <w:rPr>
          <w:rFonts w:ascii="Calibri Light" w:eastAsia="Calibri Light" w:hAnsi="Calibri Light" w:cs="Calibri Light"/>
          <w:color w:val="404040" w:themeColor="text1" w:themeTint="BF"/>
          <w:sz w:val="18"/>
        </w:rPr>
        <w:t>[GDPR Art. 28(3) · Owner: Accountable Party · Due: Q1 2027]</w:t>
      </w:r>
    </w:p>
    <w:p w14:paraId="22CCBD01" w14:textId="77777777" w:rsidR="005D44B5" w:rsidRDefault="00000000">
      <w:pPr>
        <w:pStyle w:val="Emphasis-Normal"/>
        <w:numPr>
          <w:ilvl w:val="0"/>
          <w:numId w:val="12"/>
        </w:numPr>
        <w:spacing w:after="120"/>
        <w:jc w:val="both"/>
      </w:pPr>
      <w:r>
        <w:rPr>
          <w:color w:val="404040" w:themeColor="text1" w:themeTint="BF"/>
        </w:rPr>
        <w:lastRenderedPageBreak/>
        <w:t xml:space="preserve">Record the transfer mechanism for each provider outside the UK or EEA, and complete a transfer assessment where the mechanism is the Standard Contractual Clauses.  </w:t>
      </w:r>
      <w:r>
        <w:rPr>
          <w:rFonts w:ascii="Calibri Light" w:eastAsia="Calibri Light" w:hAnsi="Calibri Light" w:cs="Calibri Light"/>
          <w:color w:val="404040" w:themeColor="text1" w:themeTint="BF"/>
          <w:sz w:val="18"/>
        </w:rPr>
        <w:t>[GDPR Art. 46 · Owner: Accountable Party · Due: Q1 2027]</w:t>
      </w:r>
    </w:p>
    <w:p w14:paraId="237B85C3" w14:textId="77777777" w:rsidR="005D44B5" w:rsidRDefault="00000000">
      <w:pPr>
        <w:pStyle w:val="Emphasis-Normal"/>
        <w:numPr>
          <w:ilvl w:val="0"/>
          <w:numId w:val="12"/>
        </w:numPr>
        <w:spacing w:after="120"/>
        <w:jc w:val="both"/>
      </w:pPr>
      <w:r>
        <w:rPr>
          <w:color w:val="404040" w:themeColor="text1" w:themeTint="BF"/>
        </w:rPr>
        <w:t xml:space="preserve">Establish the client notification path for a new sub-processor, and the notice period the engagement agreements actually commit to.  </w:t>
      </w:r>
      <w:r>
        <w:rPr>
          <w:rFonts w:ascii="Calibri Light" w:eastAsia="Calibri Light" w:hAnsi="Calibri Light" w:cs="Calibri Light"/>
          <w:color w:val="404040" w:themeColor="text1" w:themeTint="BF"/>
          <w:sz w:val="18"/>
        </w:rPr>
        <w:t>[GDPR Art. 28(2) · Owner: Security Officer · Due: Q1 2027]</w:t>
      </w:r>
    </w:p>
    <w:p w14:paraId="54C75EBC" w14:textId="77777777" w:rsidR="005D44B5" w:rsidRDefault="00000000">
      <w:pPr>
        <w:pStyle w:val="Heading1"/>
        <w:keepNext/>
        <w:numPr>
          <w:ilvl w:val="0"/>
          <w:numId w:val="16"/>
        </w:numPr>
        <w:spacing w:before="240" w:after="80"/>
      </w:pPr>
      <w:bookmarkStart w:id="9" w:name="_Toc800009"/>
      <w:r>
        <w:t>Workstream 5 — Breach Notification</w:t>
      </w:r>
      <w:bookmarkEnd w:id="9"/>
    </w:p>
    <w:p w14:paraId="7F8A246A" w14:textId="77777777" w:rsidR="005D44B5" w:rsidRDefault="00000000">
      <w:pPr>
        <w:pStyle w:val="Emphasis-Normal"/>
        <w:numPr>
          <w:ilvl w:val="0"/>
          <w:numId w:val="13"/>
        </w:numPr>
        <w:spacing w:after="120"/>
        <w:jc w:val="both"/>
      </w:pPr>
      <w:r>
        <w:rPr>
          <w:color w:val="404040" w:themeColor="text1" w:themeTint="BF"/>
        </w:rPr>
        <w:t xml:space="preserve">Extend the incident notification matrix to name the personal data case explicitly: who assesses risk to individuals, the 72-hour supervisory authority clock, and the processor duty to tell the controller without undue delay.  </w:t>
      </w:r>
      <w:r>
        <w:rPr>
          <w:rFonts w:ascii="Calibri Light" w:eastAsia="Calibri Light" w:hAnsi="Calibri Light" w:cs="Calibri Light"/>
          <w:color w:val="404040" w:themeColor="text1" w:themeTint="BF"/>
          <w:sz w:val="18"/>
        </w:rPr>
        <w:t>[GDPR Art. 33 · Owner: Security Officer · Due: Q4 2026]</w:t>
      </w:r>
    </w:p>
    <w:p w14:paraId="71A3F9B4" w14:textId="77777777" w:rsidR="005D44B5" w:rsidRDefault="00000000">
      <w:pPr>
        <w:pStyle w:val="Emphasis-Normal"/>
        <w:numPr>
          <w:ilvl w:val="0"/>
          <w:numId w:val="13"/>
        </w:numPr>
        <w:spacing w:after="120"/>
        <w:jc w:val="both"/>
      </w:pPr>
      <w:r>
        <w:rPr>
          <w:color w:val="404040" w:themeColor="text1" w:themeTint="BF"/>
        </w:rPr>
        <w:t xml:space="preserve">Add a personal data scenario to the annual incident exercise and record where the matrix was wrong.  </w:t>
      </w:r>
      <w:r>
        <w:rPr>
          <w:rFonts w:ascii="Calibri Light" w:eastAsia="Calibri Light" w:hAnsi="Calibri Light" w:cs="Calibri Light"/>
          <w:color w:val="404040" w:themeColor="text1" w:themeTint="BF"/>
          <w:sz w:val="18"/>
        </w:rPr>
        <w:t>[SOC 2: CC7.4 · Owner: Security Officer · Due: Q2 2027]</w:t>
      </w:r>
    </w:p>
    <w:p w14:paraId="3AAF70B1" w14:textId="77777777" w:rsidR="005D44B5" w:rsidRDefault="00000000">
      <w:pPr>
        <w:pStyle w:val="Emphasis-Normal"/>
        <w:numPr>
          <w:ilvl w:val="0"/>
          <w:numId w:val="13"/>
        </w:numPr>
        <w:spacing w:after="120"/>
        <w:jc w:val="both"/>
      </w:pPr>
      <w:r>
        <w:rPr>
          <w:color w:val="404040" w:themeColor="text1" w:themeTint="BF"/>
        </w:rPr>
        <w:t xml:space="preserve">Confirm the client contact of record for breach notification is current for every active engagement, and refresh it at the annual review.  </w:t>
      </w:r>
      <w:r>
        <w:rPr>
          <w:rFonts w:ascii="Calibri Light" w:eastAsia="Calibri Light" w:hAnsi="Calibri Light" w:cs="Calibri Light"/>
          <w:color w:val="404040" w:themeColor="text1" w:themeTint="BF"/>
          <w:sz w:val="18"/>
        </w:rPr>
        <w:t>[SOC 2: CC2.3 · Owner: Security Officer · Due: Q1 2027]</w:t>
      </w:r>
    </w:p>
    <w:p w14:paraId="77830B57" w14:textId="77777777" w:rsidR="005D44B5" w:rsidRDefault="00000000">
      <w:pPr>
        <w:pStyle w:val="Heading1"/>
        <w:keepNext/>
        <w:numPr>
          <w:ilvl w:val="0"/>
          <w:numId w:val="16"/>
        </w:numPr>
        <w:spacing w:before="240" w:after="80"/>
      </w:pPr>
      <w:bookmarkStart w:id="10" w:name="_Toc800010"/>
      <w:r>
        <w:t>Workstream 6 — AI Processing Position</w:t>
      </w:r>
      <w:bookmarkEnd w:id="10"/>
    </w:p>
    <w:p w14:paraId="79570F06" w14:textId="77777777" w:rsidR="005D44B5" w:rsidRDefault="00000000">
      <w:pPr>
        <w:pStyle w:val="Emphasis-Normal"/>
        <w:numPr>
          <w:ilvl w:val="0"/>
          <w:numId w:val="14"/>
        </w:numPr>
        <w:spacing w:after="120"/>
        <w:jc w:val="both"/>
      </w:pPr>
      <w:r>
        <w:rPr>
          <w:color w:val="404040" w:themeColor="text1" w:themeTint="BF"/>
        </w:rPr>
        <w:t xml:space="preserve">Record, for each AI service used in delivery or internally, the terms under which submissions are excluded from provider training, and the configuration setting that gives effect to those terms.  </w:t>
      </w:r>
      <w:r>
        <w:rPr>
          <w:rFonts w:ascii="Calibri Light" w:eastAsia="Calibri Light" w:hAnsi="Calibri Light" w:cs="Calibri Light"/>
          <w:color w:val="404040" w:themeColor="text1" w:themeTint="BF"/>
          <w:sz w:val="18"/>
        </w:rPr>
        <w:t>[SOC 2: CC9.2 · Owner: Security Officer · Due: Q4 2026]</w:t>
      </w:r>
    </w:p>
    <w:p w14:paraId="1BE85424" w14:textId="77777777" w:rsidR="005D44B5" w:rsidRDefault="00000000">
      <w:pPr>
        <w:pStyle w:val="Emphasis-Normal"/>
        <w:numPr>
          <w:ilvl w:val="0"/>
          <w:numId w:val="14"/>
        </w:numPr>
        <w:spacing w:after="120"/>
        <w:jc w:val="both"/>
      </w:pPr>
      <w:r>
        <w:rPr>
          <w:color w:val="404040" w:themeColor="text1" w:themeTint="BF"/>
        </w:rPr>
        <w:t xml:space="preserve">Verify that setting rather than assuming it, and record the check. The statement in the Notice depends on this and on nothing else.  </w:t>
      </w:r>
      <w:r>
        <w:rPr>
          <w:rFonts w:ascii="Calibri Light" w:eastAsia="Calibri Light" w:hAnsi="Calibri Light" w:cs="Calibri Light"/>
          <w:color w:val="404040" w:themeColor="text1" w:themeTint="BF"/>
          <w:sz w:val="18"/>
        </w:rPr>
        <w:t>[SOC 2: CC9.2 · Owner: Security Officer · Due: Q4 2026]</w:t>
      </w:r>
    </w:p>
    <w:p w14:paraId="3AF09F67" w14:textId="77777777" w:rsidR="005D44B5" w:rsidRDefault="00000000">
      <w:pPr>
        <w:pStyle w:val="Emphasis-Normal"/>
        <w:numPr>
          <w:ilvl w:val="0"/>
          <w:numId w:val="14"/>
        </w:numPr>
        <w:spacing w:after="120"/>
        <w:jc w:val="both"/>
      </w:pPr>
      <w:r>
        <w:rPr>
          <w:color w:val="404040" w:themeColor="text1" w:themeTint="BF"/>
        </w:rPr>
        <w:t xml:space="preserve">Confirm that no automated decision producing legal or similarly significant effects is made about an individual without a named person accountable for the output.  </w:t>
      </w:r>
      <w:r>
        <w:rPr>
          <w:rFonts w:ascii="Calibri Light" w:eastAsia="Calibri Light" w:hAnsi="Calibri Light" w:cs="Calibri Light"/>
          <w:color w:val="404040" w:themeColor="text1" w:themeTint="BF"/>
          <w:sz w:val="18"/>
        </w:rPr>
        <w:t>[GDPR Art. 22 · Owner: Accountable Party · Due: Q1 2027]</w:t>
      </w:r>
    </w:p>
    <w:p w14:paraId="3C200058" w14:textId="77777777" w:rsidR="005D44B5" w:rsidRDefault="00000000">
      <w:pPr>
        <w:pStyle w:val="Emphasis-Normal"/>
        <w:numPr>
          <w:ilvl w:val="0"/>
          <w:numId w:val="14"/>
        </w:numPr>
        <w:spacing w:after="120"/>
        <w:jc w:val="both"/>
      </w:pPr>
      <w:r>
        <w:rPr>
          <w:color w:val="404040" w:themeColor="text1" w:themeTint="BF"/>
        </w:rPr>
        <w:t xml:space="preserve">Re-verify on any change of provider, plan or model, and add the check to the significant change trigger list.  </w:t>
      </w:r>
      <w:r>
        <w:rPr>
          <w:rFonts w:ascii="Calibri Light" w:eastAsia="Calibri Light" w:hAnsi="Calibri Light" w:cs="Calibri Light"/>
          <w:color w:val="404040" w:themeColor="text1" w:themeTint="BF"/>
          <w:sz w:val="18"/>
        </w:rPr>
        <w:t>[SOC 2: CC3.4 · Owner: Security Officer · Due: Q2 2027]</w:t>
      </w:r>
    </w:p>
    <w:p w14:paraId="32BA0636" w14:textId="77777777" w:rsidR="005D44B5" w:rsidRDefault="00000000">
      <w:pPr>
        <w:pStyle w:val="Heading1"/>
        <w:keepNext/>
        <w:numPr>
          <w:ilvl w:val="0"/>
          <w:numId w:val="16"/>
        </w:numPr>
        <w:spacing w:before="240" w:after="80"/>
      </w:pPr>
      <w:bookmarkStart w:id="11" w:name="_Toc800011"/>
      <w:r>
        <w:t>Sequence and Milestones</w:t>
      </w:r>
      <w:bookmarkEnd w:id="11"/>
    </w:p>
    <w:p w14:paraId="258D2215" w14:textId="77777777" w:rsidR="005D44B5" w:rsidRDefault="00000000">
      <w:pPr>
        <w:pStyle w:val="BodyText9"/>
        <w:spacing w:after="120"/>
        <w:jc w:val="both"/>
      </w:pPr>
      <w:r>
        <w:rPr>
          <w:color w:val="404040" w:themeColor="text1" w:themeTint="BF"/>
        </w:rPr>
        <w:t>The order matters. The inventory comes first because every later workstream refers to it, and the AI verification comes early because a public statement already depends on it.</w:t>
      </w:r>
    </w:p>
    <w:p w14:paraId="326138A7" w14:textId="77777777" w:rsidR="005D44B5" w:rsidRDefault="00000000">
      <w:pPr>
        <w:pStyle w:val="Emphasis-Normal"/>
        <w:numPr>
          <w:ilvl w:val="0"/>
          <w:numId w:val="15"/>
        </w:numPr>
        <w:spacing w:after="120"/>
        <w:jc w:val="both"/>
      </w:pPr>
      <w:r>
        <w:rPr>
          <w:color w:val="404040" w:themeColor="text1" w:themeTint="BF"/>
        </w:rPr>
        <w:t xml:space="preserve">Q4 2026 — Processing inventory drafted; cookie and consent behaviour tested; AI training exclusion verified; request register opened; notification matrix extended.  </w:t>
      </w:r>
      <w:r>
        <w:rPr>
          <w:rFonts w:ascii="Calibri Light" w:eastAsia="Calibri Light" w:hAnsi="Calibri Light" w:cs="Calibri Light"/>
          <w:color w:val="404040" w:themeColor="text1" w:themeTint="BF"/>
          <w:sz w:val="18"/>
        </w:rPr>
        <w:t>[Owner: Security Officer]</w:t>
      </w:r>
    </w:p>
    <w:p w14:paraId="56C71AE9" w14:textId="77777777" w:rsidR="005D44B5" w:rsidRDefault="00000000">
      <w:pPr>
        <w:pStyle w:val="Emphasis-Normal"/>
        <w:numPr>
          <w:ilvl w:val="0"/>
          <w:numId w:val="15"/>
        </w:numPr>
        <w:spacing w:after="120"/>
        <w:jc w:val="both"/>
      </w:pPr>
      <w:r>
        <w:rPr>
          <w:color w:val="404040" w:themeColor="text1" w:themeTint="BF"/>
        </w:rPr>
        <w:t xml:space="preserve">Q1 2027 — Data processing agreements confirmed; transfer mechanisms and assessments recorded; request procedure exercised once; Notice and Policy placed on a joint review.  </w:t>
      </w:r>
      <w:r>
        <w:rPr>
          <w:rFonts w:ascii="Calibri Light" w:eastAsia="Calibri Light" w:hAnsi="Calibri Light" w:cs="Calibri Light"/>
          <w:color w:val="404040" w:themeColor="text1" w:themeTint="BF"/>
          <w:sz w:val="18"/>
        </w:rPr>
        <w:t>[Owner: Accountable Party / Security Officer]</w:t>
      </w:r>
    </w:p>
    <w:p w14:paraId="2F6037FC" w14:textId="77777777" w:rsidR="005D44B5" w:rsidRDefault="00000000">
      <w:pPr>
        <w:pStyle w:val="Emphasis-Normal"/>
        <w:numPr>
          <w:ilvl w:val="0"/>
          <w:numId w:val="15"/>
        </w:numPr>
        <w:spacing w:after="120"/>
        <w:jc w:val="both"/>
      </w:pPr>
      <w:r>
        <w:rPr>
          <w:color w:val="404040" w:themeColor="text1" w:themeTint="BF"/>
        </w:rPr>
        <w:t xml:space="preserve">Q2 2027 — Personal data scenario run in the incident exercise; change triggers updated; Plan reviewed and either closed or reissued with the remaining items.  </w:t>
      </w:r>
      <w:r>
        <w:rPr>
          <w:rFonts w:ascii="Calibri Light" w:eastAsia="Calibri Light" w:hAnsi="Calibri Light" w:cs="Calibri Light"/>
          <w:color w:val="404040" w:themeColor="text1" w:themeTint="BF"/>
          <w:sz w:val="18"/>
        </w:rPr>
        <w:t>[Owner: Security Officer]</w:t>
      </w:r>
    </w:p>
    <w:p w14:paraId="19508223" w14:textId="77777777" w:rsidR="005D44B5" w:rsidRDefault="00000000">
      <w:pPr>
        <w:pStyle w:val="Emphasis-Normal"/>
        <w:numPr>
          <w:ilvl w:val="0"/>
          <w:numId w:val="15"/>
        </w:numPr>
        <w:spacing w:after="120"/>
        <w:jc w:val="both"/>
      </w:pPr>
      <w:r>
        <w:rPr>
          <w:color w:val="404040" w:themeColor="text1" w:themeTint="BF"/>
        </w:rPr>
        <w:lastRenderedPageBreak/>
        <w:t xml:space="preserve">The Plan is reported at each quarterly review while any workstream is open. A missed date is recorded with a reason and a new date rather than moved silently.  </w:t>
      </w:r>
      <w:r>
        <w:rPr>
          <w:rFonts w:ascii="Calibri Light" w:eastAsia="Calibri Light" w:hAnsi="Calibri Light" w:cs="Calibri Light"/>
          <w:color w:val="404040" w:themeColor="text1" w:themeTint="BF"/>
          <w:sz w:val="18"/>
        </w:rPr>
        <w:t>[SOC 2: CC4.2]</w:t>
      </w:r>
    </w:p>
    <w:p w14:paraId="409D260C" w14:textId="77777777" w:rsidR="005D44B5" w:rsidRDefault="00000000">
      <w:pPr>
        <w:pStyle w:val="Heading1"/>
        <w:keepNext/>
        <w:numPr>
          <w:ilvl w:val="0"/>
          <w:numId w:val="16"/>
        </w:numPr>
        <w:spacing w:before="240" w:after="80"/>
      </w:pPr>
      <w:bookmarkStart w:id="12" w:name="_Toc800012"/>
      <w:r>
        <w:t>Evidence Produced</w:t>
      </w:r>
      <w:bookmarkEnd w:id="12"/>
    </w:p>
    <w:p w14:paraId="67C97013" w14:textId="77777777" w:rsidR="005D44B5" w:rsidRDefault="00000000">
      <w:pPr>
        <w:pStyle w:val="Emphasis-Normal"/>
        <w:numPr>
          <w:ilvl w:val="0"/>
          <w:numId w:val="5"/>
        </w:numPr>
        <w:spacing w:after="120"/>
        <w:jc w:val="both"/>
      </w:pPr>
      <w:r>
        <w:rPr>
          <w:color w:val="404040" w:themeColor="text1" w:themeTint="BF"/>
        </w:rPr>
        <w:t xml:space="preserve">The record of processing activities, with its review dates.  </w:t>
      </w:r>
      <w:r>
        <w:rPr>
          <w:rFonts w:ascii="Calibri Light" w:eastAsia="Calibri Light" w:hAnsi="Calibri Light" w:cs="Calibri Light"/>
          <w:color w:val="404040" w:themeColor="text1" w:themeTint="BF"/>
          <w:sz w:val="18"/>
        </w:rPr>
        <w:t>[SOC 2: CC2.1 · GDPR Art. 30]</w:t>
      </w:r>
    </w:p>
    <w:p w14:paraId="35DD8150" w14:textId="77777777" w:rsidR="005D44B5" w:rsidRDefault="00000000">
      <w:pPr>
        <w:pStyle w:val="Emphasis-Normal"/>
        <w:numPr>
          <w:ilvl w:val="0"/>
          <w:numId w:val="5"/>
        </w:numPr>
        <w:spacing w:after="120"/>
        <w:jc w:val="both"/>
      </w:pPr>
      <w:r>
        <w:rPr>
          <w:color w:val="404040" w:themeColor="text1" w:themeTint="BF"/>
        </w:rPr>
        <w:t xml:space="preserve">The cookie and consent test record, with dates and results.  </w:t>
      </w:r>
      <w:r>
        <w:rPr>
          <w:rFonts w:ascii="Calibri Light" w:eastAsia="Calibri Light" w:hAnsi="Calibri Light" w:cs="Calibri Light"/>
          <w:color w:val="404040" w:themeColor="text1" w:themeTint="BF"/>
          <w:sz w:val="18"/>
        </w:rPr>
        <w:t>[SOC 2: CC2.3]</w:t>
      </w:r>
    </w:p>
    <w:p w14:paraId="0DB6AFEF" w14:textId="77777777" w:rsidR="005D44B5" w:rsidRDefault="00000000">
      <w:pPr>
        <w:pStyle w:val="Emphasis-Normal"/>
        <w:numPr>
          <w:ilvl w:val="0"/>
          <w:numId w:val="5"/>
        </w:numPr>
        <w:spacing w:after="120"/>
        <w:jc w:val="both"/>
      </w:pPr>
      <w:r>
        <w:rPr>
          <w:color w:val="404040" w:themeColor="text1" w:themeTint="BF"/>
        </w:rPr>
        <w:t xml:space="preserve">The data subject request procedure and register, and the test request result.  </w:t>
      </w:r>
      <w:r>
        <w:rPr>
          <w:rFonts w:ascii="Calibri Light" w:eastAsia="Calibri Light" w:hAnsi="Calibri Light" w:cs="Calibri Light"/>
          <w:color w:val="404040" w:themeColor="text1" w:themeTint="BF"/>
          <w:sz w:val="18"/>
        </w:rPr>
        <w:t>[SOC 2: CC2.3]</w:t>
      </w:r>
    </w:p>
    <w:p w14:paraId="34881D72" w14:textId="77777777" w:rsidR="005D44B5" w:rsidRDefault="00000000">
      <w:pPr>
        <w:pStyle w:val="Emphasis-Normal"/>
        <w:numPr>
          <w:ilvl w:val="0"/>
          <w:numId w:val="5"/>
        </w:numPr>
        <w:spacing w:after="120"/>
        <w:jc w:val="both"/>
      </w:pPr>
      <w:r>
        <w:rPr>
          <w:color w:val="404040" w:themeColor="text1" w:themeTint="BF"/>
        </w:rPr>
        <w:t xml:space="preserve">The sub-processor list, the executed data processing agreements, and the transfer mechanisms and assessments.  </w:t>
      </w:r>
      <w:r>
        <w:rPr>
          <w:rFonts w:ascii="Calibri Light" w:eastAsia="Calibri Light" w:hAnsi="Calibri Light" w:cs="Calibri Light"/>
          <w:color w:val="404040" w:themeColor="text1" w:themeTint="BF"/>
          <w:sz w:val="18"/>
        </w:rPr>
        <w:t>[SOC 2: CC9.2 · GDPR Art. 28, 46]</w:t>
      </w:r>
    </w:p>
    <w:p w14:paraId="64DE6C0A" w14:textId="77777777" w:rsidR="005D44B5" w:rsidRDefault="00000000">
      <w:pPr>
        <w:pStyle w:val="Emphasis-Normal"/>
        <w:numPr>
          <w:ilvl w:val="0"/>
          <w:numId w:val="5"/>
        </w:numPr>
        <w:spacing w:after="120"/>
        <w:jc w:val="both"/>
      </w:pPr>
      <w:r>
        <w:rPr>
          <w:color w:val="404040" w:themeColor="text1" w:themeTint="BF"/>
        </w:rPr>
        <w:t xml:space="preserve">The extended notification matrix and the exercise record for the personal data scenario.  </w:t>
      </w:r>
      <w:r>
        <w:rPr>
          <w:rFonts w:ascii="Calibri Light" w:eastAsia="Calibri Light" w:hAnsi="Calibri Light" w:cs="Calibri Light"/>
          <w:color w:val="404040" w:themeColor="text1" w:themeTint="BF"/>
          <w:sz w:val="18"/>
        </w:rPr>
        <w:t>[SOC 2: CC7.4]</w:t>
      </w:r>
    </w:p>
    <w:p w14:paraId="43E39C5E" w14:textId="77777777" w:rsidR="005D44B5" w:rsidRDefault="00000000">
      <w:pPr>
        <w:pStyle w:val="Emphasis-Normal"/>
        <w:numPr>
          <w:ilvl w:val="0"/>
          <w:numId w:val="5"/>
        </w:numPr>
        <w:spacing w:after="120"/>
        <w:jc w:val="both"/>
      </w:pPr>
      <w:r>
        <w:rPr>
          <w:color w:val="404040" w:themeColor="text1" w:themeTint="BF"/>
        </w:rPr>
        <w:t xml:space="preserve">The AI training exclusion verification, per service, with its date.  </w:t>
      </w:r>
      <w:r>
        <w:rPr>
          <w:rFonts w:ascii="Calibri Light" w:eastAsia="Calibri Light" w:hAnsi="Calibri Light" w:cs="Calibri Light"/>
          <w:color w:val="404040" w:themeColor="text1" w:themeTint="BF"/>
          <w:sz w:val="18"/>
        </w:rPr>
        <w:t>[SOC 2: CC9.2]</w:t>
      </w:r>
    </w:p>
    <w:p w14:paraId="0DF288BC" w14:textId="77777777" w:rsidR="005D44B5" w:rsidRDefault="00000000">
      <w:pPr>
        <w:pStyle w:val="Emphasis-Normal"/>
        <w:numPr>
          <w:ilvl w:val="0"/>
          <w:numId w:val="5"/>
        </w:numPr>
        <w:spacing w:after="120"/>
        <w:jc w:val="both"/>
      </w:pPr>
      <w:r>
        <w:rPr>
          <w:color w:val="404040" w:themeColor="text1" w:themeTint="BF"/>
        </w:rPr>
        <w:t xml:space="preserve">The quarterly progress reports and the Committee acceptance of each closed workstream.  </w:t>
      </w:r>
      <w:r>
        <w:rPr>
          <w:rFonts w:ascii="Calibri Light" w:eastAsia="Calibri Light" w:hAnsi="Calibri Light" w:cs="Calibri Light"/>
          <w:color w:val="404040" w:themeColor="text1" w:themeTint="BF"/>
          <w:sz w:val="18"/>
        </w:rPr>
        <w:t>[SOC 2: CC1.2, CC4.2]</w:t>
      </w:r>
    </w:p>
    <w:p w14:paraId="2C744BD2" w14:textId="77777777" w:rsidR="005D44B5" w:rsidRDefault="00000000">
      <w:pPr>
        <w:pStyle w:val="Heading1"/>
        <w:keepNext/>
        <w:numPr>
          <w:ilvl w:val="0"/>
          <w:numId w:val="16"/>
        </w:numPr>
        <w:spacing w:before="240" w:after="80"/>
      </w:pPr>
      <w:bookmarkStart w:id="13" w:name="_Toc800013"/>
      <w:r>
        <w:t>Measures</w:t>
      </w:r>
      <w:bookmarkEnd w:id="13"/>
    </w:p>
    <w:p w14:paraId="048D819F" w14:textId="77777777" w:rsidR="005D44B5" w:rsidRDefault="00000000">
      <w:pPr>
        <w:pStyle w:val="Emphasis-Normal"/>
        <w:numPr>
          <w:ilvl w:val="0"/>
          <w:numId w:val="6"/>
        </w:numPr>
        <w:spacing w:after="120"/>
        <w:jc w:val="both"/>
      </w:pPr>
      <w:r>
        <w:rPr>
          <w:color w:val="404040" w:themeColor="text1" w:themeTint="BF"/>
        </w:rPr>
        <w:t xml:space="preserve">Every processing activity in the inventory has a legal basis, a retention period and a named system. A blank is a finding, not a placeholder.  </w:t>
      </w:r>
      <w:r>
        <w:rPr>
          <w:rFonts w:ascii="Calibri Light" w:eastAsia="Calibri Light" w:hAnsi="Calibri Light" w:cs="Calibri Light"/>
          <w:color w:val="404040" w:themeColor="text1" w:themeTint="BF"/>
          <w:sz w:val="18"/>
        </w:rPr>
        <w:t>[SOC 2: CC4.2]</w:t>
      </w:r>
    </w:p>
    <w:p w14:paraId="43B26B6E" w14:textId="77777777" w:rsidR="005D44B5" w:rsidRDefault="00000000">
      <w:pPr>
        <w:pStyle w:val="Emphasis-Normal"/>
        <w:numPr>
          <w:ilvl w:val="0"/>
          <w:numId w:val="6"/>
        </w:numPr>
        <w:spacing w:after="120"/>
        <w:jc w:val="both"/>
      </w:pPr>
      <w:r>
        <w:rPr>
          <w:color w:val="404040" w:themeColor="text1" w:themeTint="BF"/>
        </w:rPr>
        <w:t xml:space="preserve">Every sub-processor holding client personal data has an executed agreement carrying Article 28(3) terms.  </w:t>
      </w:r>
      <w:r>
        <w:rPr>
          <w:rFonts w:ascii="Calibri Light" w:eastAsia="Calibri Light" w:hAnsi="Calibri Light" w:cs="Calibri Light"/>
          <w:color w:val="404040" w:themeColor="text1" w:themeTint="BF"/>
          <w:sz w:val="18"/>
        </w:rPr>
        <w:t>[GDPR Art. 28(3)]</w:t>
      </w:r>
    </w:p>
    <w:p w14:paraId="2ED03D6B" w14:textId="77777777" w:rsidR="005D44B5" w:rsidRDefault="00000000">
      <w:pPr>
        <w:pStyle w:val="Emphasis-Normal"/>
        <w:numPr>
          <w:ilvl w:val="0"/>
          <w:numId w:val="6"/>
        </w:numPr>
        <w:spacing w:after="120"/>
        <w:jc w:val="both"/>
      </w:pPr>
      <w:r>
        <w:rPr>
          <w:color w:val="404040" w:themeColor="text1" w:themeTint="BF"/>
        </w:rPr>
        <w:t xml:space="preserve">A test data subject request completes within the statutory period, measured rather than estimated.  </w:t>
      </w:r>
      <w:r>
        <w:rPr>
          <w:rFonts w:ascii="Calibri Light" w:eastAsia="Calibri Light" w:hAnsi="Calibri Light" w:cs="Calibri Light"/>
          <w:color w:val="404040" w:themeColor="text1" w:themeTint="BF"/>
          <w:sz w:val="18"/>
        </w:rPr>
        <w:t>[GDPR Art. 12(3)]</w:t>
      </w:r>
    </w:p>
    <w:p w14:paraId="05D0FF47" w14:textId="77777777" w:rsidR="005D44B5" w:rsidRDefault="00000000">
      <w:pPr>
        <w:pStyle w:val="Emphasis-Normal"/>
        <w:numPr>
          <w:ilvl w:val="0"/>
          <w:numId w:val="6"/>
        </w:numPr>
        <w:spacing w:after="120"/>
        <w:jc w:val="both"/>
      </w:pPr>
      <w:r>
        <w:rPr>
          <w:color w:val="404040" w:themeColor="text1" w:themeTint="BF"/>
        </w:rPr>
        <w:t xml:space="preserve">The AI training exclusion has been verified in the last twelve months for every service in use.  </w:t>
      </w:r>
      <w:r>
        <w:rPr>
          <w:rFonts w:ascii="Calibri Light" w:eastAsia="Calibri Light" w:hAnsi="Calibri Light" w:cs="Calibri Light"/>
          <w:color w:val="404040" w:themeColor="text1" w:themeTint="BF"/>
          <w:sz w:val="18"/>
        </w:rPr>
        <w:t>[SOC 2: CC9.2]</w:t>
      </w:r>
    </w:p>
    <w:p w14:paraId="3DDDEC42" w14:textId="77777777" w:rsidR="005D44B5" w:rsidRDefault="00000000">
      <w:pPr>
        <w:pStyle w:val="Emphasis-Normal"/>
        <w:numPr>
          <w:ilvl w:val="0"/>
          <w:numId w:val="6"/>
        </w:numPr>
        <w:spacing w:after="120"/>
        <w:jc w:val="both"/>
      </w:pPr>
      <w:r>
        <w:rPr>
          <w:color w:val="404040" w:themeColor="text1" w:themeTint="BF"/>
        </w:rPr>
        <w:t xml:space="preserve">No workstream is reported complete without its artifact in the repository.  </w:t>
      </w:r>
      <w:r>
        <w:rPr>
          <w:rFonts w:ascii="Calibri Light" w:eastAsia="Calibri Light" w:hAnsi="Calibri Light" w:cs="Calibri Light"/>
          <w:color w:val="404040" w:themeColor="text1" w:themeTint="BF"/>
          <w:sz w:val="18"/>
        </w:rPr>
        <w:t>[SOC 2: CC4.2]</w:t>
      </w:r>
    </w:p>
    <w:p w14:paraId="05BD72ED" w14:textId="77777777" w:rsidR="005D44B5" w:rsidRDefault="00000000">
      <w:pPr>
        <w:pStyle w:val="Heading1"/>
        <w:keepNext/>
        <w:numPr>
          <w:ilvl w:val="0"/>
          <w:numId w:val="16"/>
        </w:numPr>
        <w:spacing w:before="240" w:after="80"/>
      </w:pPr>
      <w:bookmarkStart w:id="14" w:name="_Toc800014"/>
      <w:r>
        <w:t>Assumptions and Dependencies</w:t>
      </w:r>
      <w:bookmarkEnd w:id="14"/>
    </w:p>
    <w:p w14:paraId="4FEEA47F" w14:textId="77777777" w:rsidR="005D44B5" w:rsidRDefault="00000000">
      <w:pPr>
        <w:pStyle w:val="Emphasis-Normal"/>
        <w:numPr>
          <w:ilvl w:val="0"/>
          <w:numId w:val="7"/>
        </w:numPr>
        <w:spacing w:after="120"/>
        <w:jc w:val="both"/>
      </w:pPr>
      <w:r>
        <w:rPr>
          <w:color w:val="404040" w:themeColor="text1" w:themeTint="BF"/>
        </w:rPr>
        <w:t xml:space="preserve">The Company continues to act as processor rather than controller for client personal data. If that changes, this Plan is reissued rather than extended.  </w:t>
      </w:r>
      <w:r>
        <w:rPr>
          <w:rFonts w:ascii="Calibri Light" w:eastAsia="Calibri Light" w:hAnsi="Calibri Light" w:cs="Calibri Light"/>
          <w:color w:val="404040" w:themeColor="text1" w:themeTint="BF"/>
          <w:sz w:val="18"/>
        </w:rPr>
        <w:t>[GDPR Art. 28]</w:t>
      </w:r>
    </w:p>
    <w:p w14:paraId="11297109" w14:textId="77777777" w:rsidR="005D44B5" w:rsidRDefault="00000000">
      <w:pPr>
        <w:pStyle w:val="Emphasis-Normal"/>
        <w:numPr>
          <w:ilvl w:val="0"/>
          <w:numId w:val="7"/>
        </w:numPr>
        <w:spacing w:after="120"/>
        <w:jc w:val="both"/>
      </w:pPr>
      <w:r>
        <w:rPr>
          <w:color w:val="404040" w:themeColor="text1" w:themeTint="BF"/>
        </w:rPr>
        <w:t xml:space="preserve">Dates assume the Security Officer engagement continues at its current cadence. A change in that cadence moves the dates, and the movement is recorded.  </w:t>
      </w:r>
      <w:r>
        <w:rPr>
          <w:rFonts w:ascii="Calibri Light" w:eastAsia="Calibri Light" w:hAnsi="Calibri Light" w:cs="Calibri Light"/>
          <w:color w:val="404040" w:themeColor="text1" w:themeTint="BF"/>
          <w:sz w:val="18"/>
        </w:rPr>
        <w:t>[SOC 2: CC1.3]</w:t>
      </w:r>
    </w:p>
    <w:p w14:paraId="7DE21206" w14:textId="77777777" w:rsidR="005D44B5" w:rsidRDefault="00000000">
      <w:pPr>
        <w:pStyle w:val="Emphasis-Normal"/>
        <w:numPr>
          <w:ilvl w:val="0"/>
          <w:numId w:val="7"/>
        </w:numPr>
        <w:spacing w:after="120"/>
        <w:jc w:val="both"/>
      </w:pPr>
      <w:r>
        <w:rPr>
          <w:color w:val="404040" w:themeColor="text1" w:themeTint="BF"/>
        </w:rPr>
        <w:t xml:space="preserve">Transfer assessments and any controller/processor determination that is genuinely contested depend on external counsel being available.  </w:t>
      </w:r>
      <w:r>
        <w:rPr>
          <w:rFonts w:ascii="Calibri Light" w:eastAsia="Calibri Light" w:hAnsi="Calibri Light" w:cs="Calibri Light"/>
          <w:color w:val="404040" w:themeColor="text1" w:themeTint="BF"/>
          <w:sz w:val="18"/>
        </w:rPr>
        <w:t>[GDPR Art. 46]</w:t>
      </w:r>
    </w:p>
    <w:p w14:paraId="64DA7361" w14:textId="77777777" w:rsidR="005D44B5" w:rsidRDefault="00000000">
      <w:pPr>
        <w:pStyle w:val="Emphasis-Normal"/>
        <w:numPr>
          <w:ilvl w:val="0"/>
          <w:numId w:val="7"/>
        </w:numPr>
        <w:spacing w:after="120"/>
        <w:jc w:val="both"/>
      </w:pPr>
      <w:r>
        <w:rPr>
          <w:color w:val="404040" w:themeColor="text1" w:themeTint="BF"/>
        </w:rPr>
        <w:t xml:space="preserve">Sub-processor terms depend on what the providers will agree to. Where a provider will not give Article 28(3) terms, the position is escalated to the Accountable Party rather than absorbed.  </w:t>
      </w:r>
      <w:r>
        <w:rPr>
          <w:rFonts w:ascii="Calibri Light" w:eastAsia="Calibri Light" w:hAnsi="Calibri Light" w:cs="Calibri Light"/>
          <w:color w:val="404040" w:themeColor="text1" w:themeTint="BF"/>
          <w:sz w:val="18"/>
        </w:rPr>
        <w:t>[SOC 2: CC9.2]</w:t>
      </w:r>
    </w:p>
    <w:p w14:paraId="2B892C2D" w14:textId="77777777" w:rsidR="005D44B5" w:rsidRDefault="00000000">
      <w:pPr>
        <w:pStyle w:val="Heading1"/>
        <w:keepNext/>
        <w:numPr>
          <w:ilvl w:val="0"/>
          <w:numId w:val="16"/>
        </w:numPr>
        <w:spacing w:before="240" w:after="80"/>
      </w:pPr>
      <w:bookmarkStart w:id="15" w:name="_Toc800015"/>
      <w:r>
        <w:lastRenderedPageBreak/>
        <w:t>Reference</w:t>
      </w:r>
      <w:bookmarkEnd w:id="15"/>
    </w:p>
    <w:p w14:paraId="48708F51" w14:textId="77777777" w:rsidR="005D44B5" w:rsidRDefault="00000000">
      <w:pPr>
        <w:pStyle w:val="Emphasis-Normal"/>
        <w:numPr>
          <w:ilvl w:val="0"/>
          <w:numId w:val="8"/>
        </w:numPr>
        <w:spacing w:after="120"/>
        <w:jc w:val="both"/>
      </w:pPr>
      <w:r>
        <w:rPr>
          <w:color w:val="404040" w:themeColor="text1" w:themeTint="BF"/>
        </w:rPr>
        <w:t xml:space="preserve">POL-PRIV-001 Privacy Policy  </w:t>
      </w:r>
      <w:r>
        <w:rPr>
          <w:rFonts w:ascii="Calibri Light" w:eastAsia="Calibri Light" w:hAnsi="Calibri Light" w:cs="Calibri Light"/>
          <w:color w:val="404040" w:themeColor="text1" w:themeTint="BF"/>
          <w:sz w:val="18"/>
        </w:rPr>
        <w:t>[SOC 2: CC2.3]</w:t>
      </w:r>
    </w:p>
    <w:p w14:paraId="2136EF85" w14:textId="77777777" w:rsidR="005D44B5" w:rsidRDefault="00000000">
      <w:pPr>
        <w:pStyle w:val="Emphasis-Normal"/>
        <w:numPr>
          <w:ilvl w:val="0"/>
          <w:numId w:val="8"/>
        </w:numPr>
        <w:spacing w:after="120"/>
        <w:jc w:val="both"/>
      </w:pPr>
      <w:r>
        <w:rPr>
          <w:color w:val="404040" w:themeColor="text1" w:themeTint="BF"/>
        </w:rPr>
        <w:t xml:space="preserve">PromptHalo Technologies Privacy Notice  </w:t>
      </w:r>
      <w:r>
        <w:rPr>
          <w:rFonts w:ascii="Calibri Light" w:eastAsia="Calibri Light" w:hAnsi="Calibri Light" w:cs="Calibri Light"/>
          <w:color w:val="404040" w:themeColor="text1" w:themeTint="BF"/>
          <w:sz w:val="18"/>
        </w:rPr>
        <w:t>[GDPR Art. 13, 14]</w:t>
      </w:r>
    </w:p>
    <w:p w14:paraId="538F73AB" w14:textId="77777777" w:rsidR="005D44B5" w:rsidRDefault="00000000">
      <w:pPr>
        <w:pStyle w:val="Emphasis-Normal"/>
        <w:numPr>
          <w:ilvl w:val="0"/>
          <w:numId w:val="8"/>
        </w:numPr>
        <w:spacing w:after="120"/>
        <w:jc w:val="both"/>
      </w:pPr>
      <w:r>
        <w:rPr>
          <w:color w:val="404040" w:themeColor="text1" w:themeTint="BF"/>
        </w:rPr>
        <w:t xml:space="preserve">POL-ISP-001 Information Security Policy  </w:t>
      </w:r>
      <w:r>
        <w:rPr>
          <w:rFonts w:ascii="Calibri Light" w:eastAsia="Calibri Light" w:hAnsi="Calibri Light" w:cs="Calibri Light"/>
          <w:color w:val="404040" w:themeColor="text1" w:themeTint="BF"/>
          <w:sz w:val="18"/>
        </w:rPr>
        <w:t>[SOC 2: CC5.3]</w:t>
      </w:r>
    </w:p>
    <w:p w14:paraId="4155435C" w14:textId="77777777" w:rsidR="005D44B5" w:rsidRDefault="00000000">
      <w:pPr>
        <w:pStyle w:val="Emphasis-Normal"/>
        <w:numPr>
          <w:ilvl w:val="0"/>
          <w:numId w:val="8"/>
        </w:numPr>
        <w:spacing w:after="120"/>
        <w:jc w:val="both"/>
      </w:pPr>
      <w:r>
        <w:rPr>
          <w:color w:val="404040" w:themeColor="text1" w:themeTint="BF"/>
        </w:rPr>
        <w:t xml:space="preserve">POL-VM-001 Vendor Management Policy  </w:t>
      </w:r>
      <w:r>
        <w:rPr>
          <w:rFonts w:ascii="Calibri Light" w:eastAsia="Calibri Light" w:hAnsi="Calibri Light" w:cs="Calibri Light"/>
          <w:color w:val="404040" w:themeColor="text1" w:themeTint="BF"/>
          <w:sz w:val="18"/>
        </w:rPr>
        <w:t>[SOC 2: CC9.2]</w:t>
      </w:r>
    </w:p>
    <w:p w14:paraId="7F05EAE6" w14:textId="77777777" w:rsidR="005D44B5" w:rsidRDefault="00000000">
      <w:pPr>
        <w:pStyle w:val="Emphasis-Normal"/>
        <w:numPr>
          <w:ilvl w:val="0"/>
          <w:numId w:val="8"/>
        </w:numPr>
        <w:spacing w:after="120"/>
        <w:jc w:val="both"/>
      </w:pPr>
      <w:r>
        <w:rPr>
          <w:color w:val="404040" w:themeColor="text1" w:themeTint="BF"/>
        </w:rPr>
        <w:t xml:space="preserve">POL-IRP-001 Incident Response Policy  </w:t>
      </w:r>
      <w:r>
        <w:rPr>
          <w:rFonts w:ascii="Calibri Light" w:eastAsia="Calibri Light" w:hAnsi="Calibri Light" w:cs="Calibri Light"/>
          <w:color w:val="404040" w:themeColor="text1" w:themeTint="BF"/>
          <w:sz w:val="18"/>
        </w:rPr>
        <w:t>[SOC 2: CC7.4]</w:t>
      </w:r>
    </w:p>
    <w:p w14:paraId="21116887" w14:textId="77777777" w:rsidR="005D44B5" w:rsidRDefault="00000000">
      <w:pPr>
        <w:pStyle w:val="Emphasis-Normal"/>
        <w:numPr>
          <w:ilvl w:val="0"/>
          <w:numId w:val="8"/>
        </w:numPr>
        <w:spacing w:after="120"/>
        <w:jc w:val="both"/>
      </w:pPr>
      <w:r>
        <w:rPr>
          <w:color w:val="404040" w:themeColor="text1" w:themeTint="BF"/>
        </w:rPr>
        <w:t xml:space="preserve">POL-DRD-001 Data Retention, Disposal and Disaster Recovery Policy  </w:t>
      </w:r>
      <w:r>
        <w:rPr>
          <w:rFonts w:ascii="Calibri Light" w:eastAsia="Calibri Light" w:hAnsi="Calibri Light" w:cs="Calibri Light"/>
          <w:color w:val="404040" w:themeColor="text1" w:themeTint="BF"/>
          <w:sz w:val="18"/>
        </w:rPr>
        <w:t>[SOC 2: CC6.5, A1.2]</w:t>
      </w:r>
    </w:p>
    <w:p w14:paraId="33E3B6F8" w14:textId="77777777" w:rsidR="005D44B5" w:rsidRDefault="00000000">
      <w:pPr>
        <w:pStyle w:val="Emphasis-Normal"/>
        <w:numPr>
          <w:ilvl w:val="0"/>
          <w:numId w:val="8"/>
        </w:numPr>
        <w:spacing w:after="120"/>
        <w:jc w:val="both"/>
      </w:pPr>
      <w:r>
        <w:rPr>
          <w:color w:val="404040" w:themeColor="text1" w:themeTint="BF"/>
        </w:rPr>
        <w:t xml:space="preserve">POL-DCL-001 Data Classification Policy  </w:t>
      </w:r>
      <w:r>
        <w:rPr>
          <w:rFonts w:ascii="Calibri Light" w:eastAsia="Calibri Light" w:hAnsi="Calibri Light" w:cs="Calibri Light"/>
          <w:color w:val="404040" w:themeColor="text1" w:themeTint="BF"/>
          <w:sz w:val="18"/>
        </w:rPr>
        <w:t>[SOC 2: CC2.1]</w:t>
      </w:r>
    </w:p>
    <w:p w14:paraId="41EF1D36" w14:textId="77777777" w:rsidR="005D44B5" w:rsidRDefault="00000000">
      <w:pPr>
        <w:pStyle w:val="Emphasis-Normal"/>
        <w:numPr>
          <w:ilvl w:val="0"/>
          <w:numId w:val="8"/>
        </w:numPr>
        <w:spacing w:after="120"/>
        <w:jc w:val="both"/>
      </w:pPr>
      <w:r>
        <w:rPr>
          <w:color w:val="404040" w:themeColor="text1" w:themeTint="BF"/>
        </w:rPr>
        <w:t xml:space="preserve">SOC 2 Trust Services Criteria, Security category  </w:t>
      </w:r>
      <w:r>
        <w:rPr>
          <w:rFonts w:ascii="Calibri Light" w:eastAsia="Calibri Light" w:hAnsi="Calibri Light" w:cs="Calibri Light"/>
          <w:color w:val="404040" w:themeColor="text1" w:themeTint="BF"/>
          <w:sz w:val="18"/>
        </w:rPr>
        <w:t>[CC1.2, CC1.3, CC2.1, CC2.3, CC3.2, CC3.4, CC4.2, CC7.4, CC9.2]</w:t>
      </w:r>
    </w:p>
    <w:p w14:paraId="0D4087A6" w14:textId="77777777" w:rsidR="005D44B5" w:rsidRDefault="00000000">
      <w:pPr>
        <w:pStyle w:val="Emphasis-Normal"/>
        <w:numPr>
          <w:ilvl w:val="0"/>
          <w:numId w:val="8"/>
        </w:numPr>
        <w:spacing w:after="120"/>
        <w:jc w:val="both"/>
      </w:pPr>
      <w:r>
        <w:rPr>
          <w:color w:val="404040" w:themeColor="text1" w:themeTint="BF"/>
        </w:rPr>
        <w:t>EU General Data Protection Regulation, Articles 7, 12, 13, 14, 15, 22, 28, 30, 33 and 46</w:t>
      </w:r>
    </w:p>
    <w:p w14:paraId="7FA09569" w14:textId="77777777" w:rsidR="005D44B5" w:rsidRDefault="00000000">
      <w:pPr>
        <w:pStyle w:val="Emphasis-Normal"/>
        <w:numPr>
          <w:ilvl w:val="0"/>
          <w:numId w:val="8"/>
        </w:numPr>
        <w:spacing w:after="120"/>
        <w:jc w:val="both"/>
      </w:pPr>
      <w:r>
        <w:rPr>
          <w:color w:val="404040" w:themeColor="text1" w:themeTint="BF"/>
        </w:rPr>
        <w:t>California Consumer Privacy Act as amended by the CPRA, §§1798.100–1798.199</w:t>
      </w:r>
    </w:p>
    <w:p w14:paraId="4E90E07E" w14:textId="77777777" w:rsidR="00D47934" w:rsidRDefault="00000000" w:rsidP="005A6D40">
      <w:pPr>
        <w:pStyle w:val="Heading1"/>
      </w:pPr>
      <w:bookmarkStart w:id="16" w:name="_Toc236674048"/>
      <w:bookmarkStart w:id="17" w:name="_Toc237819433"/>
      <w:r>
        <w:t>Document Plan History</w:t>
      </w:r>
      <w:bookmarkEnd w:id="16"/>
      <w:bookmarkEnd w:id="17"/>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D47934" w14:paraId="56F77922"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27012BA6" w14:textId="77777777" w:rsidR="00D47934"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72F44C07" w14:textId="77777777" w:rsidR="00D47934"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2115A8BF" w14:textId="77777777" w:rsidR="00D47934" w:rsidRDefault="00000000">
            <w:pPr>
              <w:suppressLineNumbers/>
              <w:spacing w:before="40" w:after="40" w:line="240" w:lineRule="auto"/>
            </w:pPr>
            <w:r>
              <w:rPr>
                <w:b/>
                <w:sz w:val="20"/>
              </w:rPr>
              <w:t>Description</w:t>
            </w:r>
          </w:p>
        </w:tc>
      </w:tr>
      <w:tr w:rsidR="00D47934" w14:paraId="1DCB2912"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6EEEEDB5" w14:textId="77777777" w:rsidR="00D47934"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5F222938" w14:textId="77777777" w:rsidR="00D47934"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3C943BE9" w14:textId="77777777" w:rsidR="00D47934" w:rsidRDefault="00000000">
            <w:pPr>
              <w:suppressLineNumbers/>
              <w:spacing w:before="40" w:after="40" w:line="240" w:lineRule="auto"/>
            </w:pPr>
            <w:r>
              <w:rPr>
                <w:sz w:val="20"/>
              </w:rPr>
              <w:t>Initial release of the Privacy Implementation Plan.</w:t>
            </w:r>
          </w:p>
        </w:tc>
      </w:tr>
    </w:tbl>
    <w:p w14:paraId="15F35FB3" w14:textId="77777777" w:rsidR="00D47934" w:rsidRDefault="00D47934"/>
    <w:sectPr w:rsidR="00D4793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E3C225" w14:textId="77777777" w:rsidR="00B0673C" w:rsidRDefault="00B0673C">
      <w:pPr>
        <w:spacing w:after="0" w:line="240" w:lineRule="auto"/>
      </w:pPr>
      <w:r>
        <w:separator/>
      </w:r>
    </w:p>
  </w:endnote>
  <w:endnote w:type="continuationSeparator" w:id="0">
    <w:p w14:paraId="3C703A3F" w14:textId="77777777" w:rsidR="00B0673C" w:rsidRDefault="00B06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AE47A8" w14:textId="77777777" w:rsidR="00D47934" w:rsidRDefault="00D479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EC60A1" w14:textId="77777777" w:rsidR="00D47934"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PLN-PRIV-001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1FB9CB" w14:textId="77777777" w:rsidR="00D47934" w:rsidRDefault="00D47934">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5B6406" w14:textId="77777777" w:rsidR="00D47934" w:rsidRDefault="00D479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0E38ED" w14:textId="77777777" w:rsidR="00D47934"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PLN-PRIV-001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398D46" w14:textId="77777777" w:rsidR="00D47934" w:rsidRDefault="00D47934">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55DB7F" w14:textId="77777777" w:rsidR="00B0673C" w:rsidRDefault="00B0673C">
      <w:pPr>
        <w:spacing w:after="0" w:line="240" w:lineRule="auto"/>
      </w:pPr>
      <w:r>
        <w:separator/>
      </w:r>
    </w:p>
  </w:footnote>
  <w:footnote w:type="continuationSeparator" w:id="0">
    <w:p w14:paraId="7D95CBE3" w14:textId="77777777" w:rsidR="00B0673C" w:rsidRDefault="00B067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DD12B" w14:textId="77777777" w:rsidR="00D47934" w:rsidRDefault="00D479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856FFD" w14:textId="77777777" w:rsidR="00D47934" w:rsidRDefault="00000000">
    <w:pPr>
      <w:suppressLineNumbers/>
      <w:pBdr>
        <w:bottom w:val="single" w:sz="6" w:space="4" w:color="1B4965"/>
      </w:pBdr>
      <w:spacing w:after="160"/>
      <w:jc w:val="center"/>
    </w:pPr>
    <w:r>
      <w:rPr>
        <w:b/>
        <w:caps/>
        <w:spacing w:val="12"/>
        <w:sz w:val="17"/>
      </w:rPr>
      <w:t>PRIVACY IMPLEMENTATION PLAN   ·   INTERNAL   ·   PLN-PRIV-001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CD7B3A" w14:textId="77777777" w:rsidR="00D47934" w:rsidRDefault="00D47934">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A55AF" w14:textId="77777777" w:rsidR="00D47934" w:rsidRDefault="00D479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A7F6FF" w14:textId="77777777" w:rsidR="00D47934" w:rsidRDefault="00000000">
    <w:pPr>
      <w:suppressLineNumbers/>
      <w:pBdr>
        <w:bottom w:val="single" w:sz="6" w:space="4" w:color="1B4965"/>
      </w:pBdr>
      <w:spacing w:after="160"/>
      <w:jc w:val="center"/>
    </w:pPr>
    <w:r>
      <w:rPr>
        <w:b/>
        <w:caps/>
        <w:spacing w:val="12"/>
        <w:sz w:val="17"/>
      </w:rPr>
      <w:t>PRIVACY IMPLEMENTATION PLAN   ·   INTERNAL   ·   PLN-PRIV-001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FB024" w14:textId="77777777" w:rsidR="00D47934" w:rsidRDefault="00D47934">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E5640"/>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57CF7669"/>
    <w:multiLevelType w:val="multilevel"/>
    <w:tmpl w:val="DFCC19A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CD1396F"/>
    <w:multiLevelType w:val="multilevel"/>
    <w:tmpl w:val="2774D3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13944232">
    <w:abstractNumId w:val="1"/>
  </w:num>
  <w:num w:numId="2" w16cid:durableId="1334256672">
    <w:abstractNumId w:val="0"/>
  </w:num>
  <w:num w:numId="3" w16cid:durableId="2113011850">
    <w:abstractNumId w:val="2"/>
    <w:lvlOverride w:ilvl="0">
      <w:startOverride w:val="1"/>
    </w:lvlOverride>
  </w:num>
  <w:num w:numId="4" w16cid:durableId="1087074390">
    <w:abstractNumId w:val="2"/>
    <w:lvlOverride w:ilvl="0">
      <w:startOverride w:val="1"/>
    </w:lvlOverride>
  </w:num>
  <w:num w:numId="5" w16cid:durableId="1074861657">
    <w:abstractNumId w:val="2"/>
    <w:lvlOverride w:ilvl="0">
      <w:startOverride w:val="1"/>
    </w:lvlOverride>
  </w:num>
  <w:num w:numId="6" w16cid:durableId="1404914923">
    <w:abstractNumId w:val="2"/>
    <w:lvlOverride w:ilvl="0">
      <w:startOverride w:val="1"/>
    </w:lvlOverride>
  </w:num>
  <w:num w:numId="7" w16cid:durableId="1074819636">
    <w:abstractNumId w:val="2"/>
    <w:lvlOverride w:ilvl="0">
      <w:startOverride w:val="1"/>
    </w:lvlOverride>
  </w:num>
  <w:num w:numId="8" w16cid:durableId="168833346">
    <w:abstractNumId w:val="2"/>
    <w:lvlOverride w:ilvl="0">
      <w:startOverride w:val="1"/>
    </w:lvlOverride>
  </w:num>
  <w:num w:numId="9" w16cid:durableId="70000010">
    <w:abstractNumId w:val="2"/>
    <w:lvlOverride w:ilvl="0">
      <w:startOverride w:val="1"/>
    </w:lvlOverride>
  </w:num>
  <w:num w:numId="10" w16cid:durableId="70000011">
    <w:abstractNumId w:val="2"/>
    <w:lvlOverride w:ilvl="0">
      <w:startOverride w:val="1"/>
    </w:lvlOverride>
  </w:num>
  <w:num w:numId="11" w16cid:durableId="70000012">
    <w:abstractNumId w:val="2"/>
    <w:lvlOverride w:ilvl="0">
      <w:startOverride w:val="1"/>
    </w:lvlOverride>
  </w:num>
  <w:num w:numId="12" w16cid:durableId="70000013">
    <w:abstractNumId w:val="2"/>
    <w:lvlOverride w:ilvl="0">
      <w:startOverride w:val="1"/>
    </w:lvlOverride>
  </w:num>
  <w:num w:numId="13" w16cid:durableId="70000014">
    <w:abstractNumId w:val="2"/>
    <w:lvlOverride w:ilvl="0">
      <w:startOverride w:val="1"/>
    </w:lvlOverride>
  </w:num>
  <w:num w:numId="14" w16cid:durableId="70000015">
    <w:abstractNumId w:val="2"/>
    <w:lvlOverride w:ilvl="0">
      <w:startOverride w:val="1"/>
    </w:lvlOverride>
  </w:num>
  <w:num w:numId="15" w16cid:durableId="70000016">
    <w:abstractNumId w:val="2"/>
    <w:lvlOverride w:ilvl="0">
      <w:startOverride w:val="1"/>
    </w:lvlOverride>
  </w:num>
  <w:num w:numId="16" w16cid:durableId="1940209478">
    <w:abstractNumId w:val="1"/>
    <w:lvlOverride w:ilvl="0">
      <w:startOverride w:val="1"/>
    </w:lvlOverride>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934"/>
    <w:rsid w:val="002624B5"/>
    <w:rsid w:val="005A6D40"/>
    <w:rsid w:val="005D44B5"/>
    <w:rsid w:val="00A13AF2"/>
    <w:rsid w:val="00B0673C"/>
    <w:rsid w:val="00D232B4"/>
    <w:rsid w:val="00D47934"/>
    <w:rsid w:val="00DA408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8AB5526"/>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2109</Words>
  <Characters>12024</Characters>
  <Application>Microsoft Office Word</Application>
  <DocSecurity>0</DocSecurity>
  <Lines>100</Lines>
  <Paragraphs>28</Paragraphs>
  <ScaleCrop>false</ScaleCrop>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2026-08-29T00:31:00Z</cp:lastPrinted>
  <dcterms:created xsi:type="dcterms:W3CDTF">2026-08-29T00:31:00Z</dcterms:created>
  <dcterms:modified xsi:type="dcterms:W3CDTF">2026-08-29T00:32:00Z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