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FB765D" w14:textId="77777777" w:rsidR="002214AA" w:rsidRDefault="002214AA">
      <w:pPr>
        <w:pStyle w:val="Title"/>
        <w:suppressLineNumbers/>
        <w:spacing w:after="240"/>
        <w:jc w:val="center"/>
        <w:rPr>
          <w:rStyle w:val="Emphasis"/>
          <w:rFonts w:eastAsia="Times New Roman"/>
          <w:b w:val="0"/>
          <w:i w:val="0"/>
          <w:smallCaps/>
          <w:color w:val="074F6A"/>
          <w:spacing w:val="0"/>
          <w:sz w:val="52"/>
          <w:szCs w:val="52"/>
        </w:rPr>
      </w:pPr>
    </w:p>
    <w:p w14:paraId="27F8D58F" w14:textId="77777777" w:rsidR="002214AA" w:rsidRDefault="002214AA">
      <w:pPr>
        <w:pStyle w:val="Title"/>
        <w:suppressLineNumbers/>
        <w:spacing w:after="240"/>
        <w:jc w:val="center"/>
        <w:rPr>
          <w:rStyle w:val="Emphasis"/>
          <w:rFonts w:eastAsia="Times New Roman"/>
          <w:b w:val="0"/>
          <w:i w:val="0"/>
          <w:smallCaps/>
          <w:color w:val="074F6A"/>
          <w:spacing w:val="0"/>
          <w:sz w:val="52"/>
          <w:szCs w:val="52"/>
        </w:rPr>
      </w:pPr>
    </w:p>
    <w:p w14:paraId="10258786" w14:textId="77777777" w:rsidR="002214AA" w:rsidRDefault="002214AA">
      <w:pPr>
        <w:pStyle w:val="Title"/>
        <w:suppressLineNumbers/>
        <w:spacing w:after="240"/>
        <w:jc w:val="center"/>
        <w:rPr>
          <w:rStyle w:val="Emphasis"/>
          <w:rFonts w:eastAsia="Times New Roman"/>
          <w:b w:val="0"/>
          <w:i w:val="0"/>
          <w:smallCaps/>
          <w:color w:val="074F6A"/>
          <w:spacing w:val="0"/>
          <w:sz w:val="52"/>
          <w:szCs w:val="52"/>
        </w:rPr>
      </w:pPr>
    </w:p>
    <w:p w14:paraId="0ACCD87B" w14:textId="77777777" w:rsidR="002214AA"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LOGGING STANDARD</w:t>
      </w:r>
    </w:p>
    <w:p w14:paraId="6F998E05" w14:textId="77777777" w:rsidR="002214AA" w:rsidRDefault="002214AA">
      <w:pPr>
        <w:pStyle w:val="Title"/>
        <w:suppressLineNumbers/>
        <w:spacing w:after="240"/>
        <w:jc w:val="center"/>
        <w:rPr>
          <w:rStyle w:val="Emphasis"/>
          <w:rFonts w:eastAsia="Times New Roman"/>
          <w:b w:val="0"/>
          <w:i w:val="0"/>
          <w:smallCaps/>
          <w:color w:val="074F6A"/>
          <w:spacing w:val="0"/>
          <w:sz w:val="52"/>
          <w:szCs w:val="52"/>
        </w:rPr>
      </w:pPr>
    </w:p>
    <w:p w14:paraId="70EA3D84" w14:textId="77777777" w:rsidR="002214AA" w:rsidRDefault="002214AA">
      <w:pPr>
        <w:pStyle w:val="Title"/>
        <w:suppressLineNumbers/>
        <w:spacing w:after="240"/>
        <w:jc w:val="center"/>
        <w:rPr>
          <w:rStyle w:val="Emphasis"/>
          <w:rFonts w:eastAsia="Times New Roman"/>
          <w:b w:val="0"/>
          <w:i w:val="0"/>
          <w:smallCaps/>
          <w:color w:val="074F6A"/>
          <w:spacing w:val="0"/>
          <w:sz w:val="52"/>
          <w:szCs w:val="52"/>
        </w:rPr>
      </w:pPr>
    </w:p>
    <w:p w14:paraId="6546D9C7" w14:textId="77777777" w:rsidR="002214AA"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6A1D85A0" w14:textId="77777777" w:rsidR="002214AA"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099C3F44" w14:textId="77777777" w:rsidR="002214AA"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A33DC02" w14:textId="77777777" w:rsidR="002214AA" w:rsidRDefault="002214AA">
      <w:pPr>
        <w:suppressLineNumbers/>
        <w:spacing w:after="40" w:line="240" w:lineRule="auto"/>
        <w:jc w:val="center"/>
      </w:pPr>
    </w:p>
    <w:p w14:paraId="428C1D6E" w14:textId="77777777" w:rsidR="002214AA" w:rsidRDefault="002214AA">
      <w:pPr>
        <w:suppressLineNumbers/>
        <w:spacing w:after="40" w:line="240" w:lineRule="auto"/>
        <w:jc w:val="center"/>
      </w:pPr>
    </w:p>
    <w:p w14:paraId="1451E399" w14:textId="77777777" w:rsidR="002214AA" w:rsidRDefault="002214AA">
      <w:pPr>
        <w:suppressLineNumbers/>
        <w:spacing w:after="40" w:line="240" w:lineRule="auto"/>
        <w:jc w:val="center"/>
      </w:pPr>
    </w:p>
    <w:p w14:paraId="249527DF" w14:textId="77777777" w:rsidR="002214AA" w:rsidRDefault="002214AA">
      <w:pPr>
        <w:suppressLineNumbers/>
        <w:spacing w:after="40" w:line="240" w:lineRule="auto"/>
        <w:jc w:val="center"/>
      </w:pPr>
    </w:p>
    <w:p w14:paraId="09274DD6" w14:textId="77777777" w:rsidR="002214AA" w:rsidRDefault="002214AA">
      <w:pPr>
        <w:suppressLineNumbers/>
        <w:spacing w:after="40" w:line="240" w:lineRule="auto"/>
        <w:jc w:val="center"/>
      </w:pPr>
    </w:p>
    <w:p w14:paraId="43E1CA95" w14:textId="77777777" w:rsidR="002214AA" w:rsidRDefault="00000000">
      <w:pPr>
        <w:suppressLineNumbers/>
        <w:spacing w:after="40" w:line="240" w:lineRule="auto"/>
        <w:jc w:val="center"/>
      </w:pPr>
      <w:bookmarkStart w:id="0" w:name="EffectiveDate"/>
      <w:r>
        <w:rPr>
          <w:noProof/>
        </w:rPr>
        <w:drawing>
          <wp:inline distT="0" distB="0" distL="0" distR="0" wp14:anchorId="347E23D5" wp14:editId="663163B7">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82586AD" w14:textId="77777777" w:rsidR="002214AA"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2214AA" w14:paraId="47D3F24D"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2AC7ECD" w14:textId="77777777" w:rsidR="002214AA"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0E896427" w14:textId="77777777" w:rsidR="002214AA" w:rsidRDefault="00000000">
            <w:pPr>
              <w:pStyle w:val="BodyText9"/>
              <w:suppressLineNumbers/>
              <w:spacing w:before="40" w:after="40" w:line="240" w:lineRule="auto"/>
            </w:pPr>
            <w:r>
              <w:rPr>
                <w:b/>
                <w:color w:val="404040" w:themeColor="text1" w:themeTint="BF"/>
                <w:sz w:val="20"/>
                <w:szCs w:val="20"/>
              </w:rPr>
              <w:t>Governance, Ethics, and Security</w:t>
            </w:r>
          </w:p>
        </w:tc>
      </w:tr>
      <w:tr w:rsidR="002214AA" w14:paraId="0A42845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9034E6A" w14:textId="77777777" w:rsidR="002214AA"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7EE3F532" w14:textId="77777777" w:rsidR="002214AA" w:rsidRDefault="00000000">
            <w:pPr>
              <w:pStyle w:val="BodyText9"/>
              <w:suppressLineNumbers/>
              <w:spacing w:before="40" w:after="40" w:line="240" w:lineRule="auto"/>
            </w:pPr>
            <w:r>
              <w:rPr>
                <w:color w:val="404040" w:themeColor="text1" w:themeTint="BF"/>
                <w:sz w:val="20"/>
              </w:rPr>
              <w:t>Logging Standard</w:t>
            </w:r>
          </w:p>
        </w:tc>
      </w:tr>
      <w:tr w:rsidR="002214AA" w14:paraId="27683FB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DAC25C" w14:textId="77777777" w:rsidR="002214AA"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475F2055" w14:textId="77777777" w:rsidR="002214AA" w:rsidRDefault="00000000">
            <w:pPr>
              <w:pStyle w:val="BodyText9"/>
              <w:suppressLineNumbers/>
              <w:spacing w:before="40" w:after="40" w:line="240" w:lineRule="auto"/>
            </w:pPr>
            <w:r>
              <w:rPr>
                <w:color w:val="404040" w:themeColor="text1" w:themeTint="BF"/>
                <w:sz w:val="20"/>
              </w:rPr>
              <w:t>STD-LOG-001</w:t>
            </w:r>
          </w:p>
        </w:tc>
      </w:tr>
      <w:tr w:rsidR="002214AA" w14:paraId="4B63A58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60F2FF" w14:textId="77777777" w:rsidR="002214AA"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5356FE39" w14:textId="77777777" w:rsidR="002214AA" w:rsidRDefault="00000000">
            <w:pPr>
              <w:pStyle w:val="BodyText9"/>
              <w:suppressLineNumbers/>
              <w:spacing w:before="40" w:after="40" w:line="240" w:lineRule="auto"/>
            </w:pPr>
            <w:r>
              <w:rPr>
                <w:color w:val="404040" w:themeColor="text1" w:themeTint="BF"/>
                <w:sz w:val="20"/>
              </w:rPr>
              <w:t>1.0</w:t>
            </w:r>
          </w:p>
        </w:tc>
      </w:tr>
      <w:tr w:rsidR="002214AA" w14:paraId="70C7F2B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8D1F732" w14:textId="77777777" w:rsidR="002214AA"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3A051A1F" w14:textId="77777777" w:rsidR="002214AA" w:rsidRDefault="00000000">
            <w:pPr>
              <w:pStyle w:val="BodyText9"/>
              <w:suppressLineNumbers/>
              <w:spacing w:before="40" w:after="40" w:line="240" w:lineRule="auto"/>
            </w:pPr>
            <w:r>
              <w:rPr>
                <w:color w:val="404040" w:themeColor="text1" w:themeTint="BF"/>
                <w:sz w:val="20"/>
              </w:rPr>
              <w:t>August 18, 2026</w:t>
            </w:r>
          </w:p>
        </w:tc>
      </w:tr>
      <w:tr w:rsidR="002214AA" w14:paraId="776E259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1B88146" w14:textId="77777777" w:rsidR="002214AA"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5E4425E2" w14:textId="77777777" w:rsidR="002214AA" w:rsidRDefault="00000000">
            <w:pPr>
              <w:pStyle w:val="BodyText9"/>
              <w:suppressLineNumbers/>
              <w:spacing w:before="40" w:after="40" w:line="240" w:lineRule="auto"/>
            </w:pPr>
            <w:r>
              <w:rPr>
                <w:color w:val="404040" w:themeColor="text1" w:themeTint="BF"/>
                <w:sz w:val="20"/>
              </w:rPr>
              <w:t>Information Security Steering Committee</w:t>
            </w:r>
          </w:p>
        </w:tc>
      </w:tr>
      <w:tr w:rsidR="002214AA" w14:paraId="318C170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7A41D0B" w14:textId="77777777" w:rsidR="002214AA"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DFB0217" w14:textId="77777777" w:rsidR="002214AA" w:rsidRDefault="00000000">
            <w:pPr>
              <w:pStyle w:val="BodyText9"/>
              <w:suppressLineNumbers/>
              <w:spacing w:before="40" w:after="40" w:line="240" w:lineRule="auto"/>
            </w:pPr>
            <w:r>
              <w:rPr>
                <w:color w:val="404040" w:themeColor="text1" w:themeTint="BF"/>
                <w:sz w:val="20"/>
              </w:rPr>
              <w:t>August 18, 2026</w:t>
            </w:r>
          </w:p>
        </w:tc>
      </w:tr>
      <w:tr w:rsidR="002214AA" w14:paraId="0C08E83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65D40BC" w14:textId="77777777" w:rsidR="002214AA"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22896588" w14:textId="77777777" w:rsidR="002214AA" w:rsidRDefault="00000000">
            <w:pPr>
              <w:pStyle w:val="BodyText9"/>
              <w:suppressLineNumbers/>
              <w:spacing w:before="40" w:after="40" w:line="240" w:lineRule="auto"/>
            </w:pPr>
            <w:r>
              <w:rPr>
                <w:color w:val="404040" w:themeColor="text1" w:themeTint="BF"/>
                <w:sz w:val="20"/>
              </w:rPr>
              <w:t>August 18, 2027</w:t>
            </w:r>
          </w:p>
        </w:tc>
      </w:tr>
      <w:tr w:rsidR="002214AA" w14:paraId="04BF25E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CC0C58B" w14:textId="77777777" w:rsidR="002214AA"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1A67373F" w14:textId="77777777" w:rsidR="002214AA" w:rsidRPr="00802D70" w:rsidRDefault="00000000">
            <w:pPr>
              <w:pStyle w:val="BodyText9"/>
              <w:suppressLineNumbers/>
              <w:spacing w:before="40" w:after="40" w:line="240" w:lineRule="auto"/>
              <w:rPr>
                <w:color w:val="404040" w:themeColor="text1" w:themeTint="BF"/>
                <w:sz w:val="20"/>
              </w:rPr>
            </w:pPr>
            <w:r>
              <w:rPr>
                <w:color w:val="404040" w:themeColor="text1" w:themeTint="BF"/>
                <w:sz w:val="20"/>
              </w:rPr>
              <w:t>Internal</w:t>
            </w:r>
          </w:p>
        </w:tc>
      </w:tr>
      <w:tr w:rsidR="002214AA" w14:paraId="12FFC20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1D1935" w14:textId="77777777" w:rsidR="002214AA"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5B5CD261" w14:textId="77777777" w:rsidR="002214AA" w:rsidRPr="00802D70" w:rsidRDefault="00000000">
            <w:pPr>
              <w:pStyle w:val="BodyText9"/>
              <w:suppressLineNumbers/>
              <w:spacing w:before="40" w:after="40" w:line="240" w:lineRule="auto"/>
              <w:rPr>
                <w:color w:val="404040" w:themeColor="text1" w:themeTint="BF"/>
                <w:sz w:val="20"/>
              </w:rPr>
            </w:pPr>
            <w:r w:rsidRPr="00802D70">
              <w:rPr>
                <w:color w:val="404040" w:themeColor="text1" w:themeTint="BF"/>
                <w:sz w:val="20"/>
              </w:rPr>
              <w:fldChar w:fldCharType="begin"/>
            </w:r>
            <w:r w:rsidRPr="00802D70">
              <w:rPr>
                <w:color w:val="404040" w:themeColor="text1" w:themeTint="BF"/>
                <w:sz w:val="20"/>
              </w:rPr>
              <w:instrText xml:space="preserve"> DOCPROPERTY "DocOwner"</w:instrText>
            </w:r>
            <w:r w:rsidRPr="00802D70">
              <w:rPr>
                <w:color w:val="404040" w:themeColor="text1" w:themeTint="BF"/>
                <w:sz w:val="20"/>
              </w:rPr>
              <w:fldChar w:fldCharType="separate"/>
            </w:r>
            <w:r w:rsidRPr="00802D70">
              <w:rPr>
                <w:color w:val="404040" w:themeColor="text1" w:themeTint="BF"/>
                <w:sz w:val="20"/>
              </w:rPr>
              <w:t>Chief Executive Officer — Accountable Party</w:t>
            </w:r>
            <w:r w:rsidRPr="00802D70">
              <w:rPr>
                <w:color w:val="404040" w:themeColor="text1" w:themeTint="BF"/>
                <w:sz w:val="20"/>
              </w:rPr>
              <w:fldChar w:fldCharType="end"/>
            </w:r>
          </w:p>
        </w:tc>
      </w:tr>
      <w:tr w:rsidR="002214AA" w14:paraId="2756F5D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C485B9" w14:textId="77777777" w:rsidR="002214AA"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64B06F7" w14:textId="77777777" w:rsidR="002214AA" w:rsidRPr="00802D70" w:rsidRDefault="00000000">
            <w:pPr>
              <w:pStyle w:val="BodyText9"/>
              <w:suppressLineNumbers/>
              <w:spacing w:before="40" w:after="40" w:line="240" w:lineRule="auto"/>
              <w:rPr>
                <w:color w:val="404040" w:themeColor="text1" w:themeTint="BF"/>
                <w:sz w:val="20"/>
              </w:rPr>
            </w:pPr>
            <w:r>
              <w:rPr>
                <w:color w:val="404040" w:themeColor="text1" w:themeTint="BF"/>
                <w:sz w:val="20"/>
              </w:rPr>
              <w:t>Security Officer</w:t>
            </w:r>
          </w:p>
        </w:tc>
      </w:tr>
      <w:tr w:rsidR="002214AA" w14:paraId="40CDAAA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E221737" w14:textId="77777777" w:rsidR="002214AA"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0CE17838" w14:textId="77777777" w:rsidR="002214AA" w:rsidRPr="00802D70" w:rsidRDefault="00000000">
            <w:pPr>
              <w:pStyle w:val="BodyText9"/>
              <w:suppressLineNumbers/>
              <w:spacing w:before="40" w:after="40" w:line="240" w:lineRule="auto"/>
              <w:rPr>
                <w:color w:val="404040" w:themeColor="text1" w:themeTint="BF"/>
                <w:sz w:val="20"/>
              </w:rPr>
            </w:pPr>
            <w:r w:rsidRPr="00802D70">
              <w:rPr>
                <w:color w:val="404040" w:themeColor="text1" w:themeTint="BF"/>
                <w:sz w:val="20"/>
              </w:rPr>
              <w:fldChar w:fldCharType="begin"/>
            </w:r>
            <w:r w:rsidRPr="00802D70">
              <w:rPr>
                <w:color w:val="404040" w:themeColor="text1" w:themeTint="BF"/>
                <w:sz w:val="20"/>
              </w:rPr>
              <w:instrText xml:space="preserve"> DOCPROPERTY "ReviewCycle"</w:instrText>
            </w:r>
            <w:r w:rsidRPr="00802D70">
              <w:rPr>
                <w:color w:val="404040" w:themeColor="text1" w:themeTint="BF"/>
                <w:sz w:val="20"/>
              </w:rPr>
              <w:fldChar w:fldCharType="separate"/>
            </w:r>
            <w:r w:rsidRPr="00802D70">
              <w:rPr>
                <w:color w:val="404040" w:themeColor="text1" w:themeTint="BF"/>
                <w:sz w:val="20"/>
              </w:rPr>
              <w:t>Annual, or upon material change</w:t>
            </w:r>
            <w:r w:rsidRPr="00802D70">
              <w:rPr>
                <w:color w:val="404040" w:themeColor="text1" w:themeTint="BF"/>
                <w:sz w:val="20"/>
              </w:rPr>
              <w:fldChar w:fldCharType="end"/>
            </w:r>
          </w:p>
        </w:tc>
      </w:tr>
      <w:tr w:rsidR="002214AA" w14:paraId="2A121CB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D1885E3" w14:textId="77777777" w:rsidR="002214AA"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20D5184E" w14:textId="77777777" w:rsidR="002214AA" w:rsidRPr="00802D70" w:rsidRDefault="00000000">
            <w:pPr>
              <w:pStyle w:val="BodyText9"/>
              <w:suppressLineNumbers/>
              <w:spacing w:before="40" w:after="40" w:line="240" w:lineRule="auto"/>
              <w:rPr>
                <w:color w:val="404040" w:themeColor="text1" w:themeTint="BF"/>
                <w:sz w:val="20"/>
              </w:rPr>
            </w:pPr>
            <w:r>
              <w:rPr>
                <w:color w:val="404040" w:themeColor="text1" w:themeTint="BF"/>
                <w:sz w:val="20"/>
              </w:rPr>
              <w:t>N/A</w:t>
            </w:r>
          </w:p>
        </w:tc>
      </w:tr>
      <w:tr w:rsidR="002214AA" w14:paraId="2246091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3E44AAF" w14:textId="77777777" w:rsidR="002214AA"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3811E9E0" w14:textId="77777777" w:rsidR="002214AA" w:rsidRPr="00802D70" w:rsidRDefault="00000000">
            <w:pPr>
              <w:pStyle w:val="BodyText9"/>
              <w:suppressLineNumbers/>
              <w:spacing w:before="40" w:after="40" w:line="240" w:lineRule="auto"/>
              <w:rPr>
                <w:color w:val="404040" w:themeColor="text1" w:themeTint="BF"/>
                <w:sz w:val="20"/>
              </w:rPr>
            </w:pPr>
            <w:r w:rsidRPr="00802D70">
              <w:rPr>
                <w:color w:val="404040" w:themeColor="text1" w:themeTint="BF"/>
                <w:sz w:val="20"/>
              </w:rPr>
              <w:fldChar w:fldCharType="begin"/>
            </w:r>
            <w:r w:rsidRPr="00802D70">
              <w:rPr>
                <w:color w:val="404040" w:themeColor="text1" w:themeTint="BF"/>
                <w:sz w:val="20"/>
              </w:rPr>
              <w:instrText xml:space="preserve"> DOCPROPERTY "Audience"</w:instrText>
            </w:r>
            <w:r w:rsidRPr="00802D70">
              <w:rPr>
                <w:color w:val="404040" w:themeColor="text1" w:themeTint="BF"/>
                <w:sz w:val="20"/>
              </w:rPr>
              <w:fldChar w:fldCharType="separate"/>
            </w:r>
            <w:r w:rsidRPr="00802D70">
              <w:rPr>
                <w:color w:val="404040" w:themeColor="text1" w:themeTint="BF"/>
                <w:sz w:val="20"/>
              </w:rPr>
              <w:t>All personnel, including employees and contractors</w:t>
            </w:r>
            <w:r w:rsidRPr="00802D70">
              <w:rPr>
                <w:color w:val="404040" w:themeColor="text1" w:themeTint="BF"/>
                <w:sz w:val="20"/>
              </w:rPr>
              <w:fldChar w:fldCharType="end"/>
            </w:r>
          </w:p>
        </w:tc>
      </w:tr>
    </w:tbl>
    <w:p w14:paraId="73D7CBEF" w14:textId="77777777" w:rsidR="002214AA" w:rsidRDefault="002214AA">
      <w:pPr>
        <w:suppressLineNumbers/>
        <w:rPr>
          <w:rStyle w:val="Strong"/>
        </w:rPr>
      </w:pPr>
    </w:p>
    <w:p w14:paraId="38B79772" w14:textId="77777777" w:rsidR="002214AA"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2214AA" w14:paraId="5B6F1838"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7639C169" w14:textId="77777777" w:rsidR="002214AA"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20BDC08C" w14:textId="77777777" w:rsidR="002214AA"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2A9087D0" w14:textId="77777777" w:rsidR="002214AA"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05B6FEF2" w14:textId="77777777" w:rsidR="002214AA"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585F4F39" w14:textId="77777777" w:rsidR="002214AA" w:rsidRDefault="00000000">
            <w:pPr>
              <w:pStyle w:val="BodyText9"/>
              <w:suppressLineNumbers/>
              <w:spacing w:before="40" w:after="40" w:line="240" w:lineRule="auto"/>
            </w:pPr>
            <w:r>
              <w:rPr>
                <w:b/>
                <w:color w:val="404040" w:themeColor="text1" w:themeTint="BF"/>
                <w:sz w:val="20"/>
                <w:szCs w:val="20"/>
              </w:rPr>
              <w:t>Date</w:t>
            </w:r>
          </w:p>
        </w:tc>
      </w:tr>
      <w:tr w:rsidR="002214AA" w14:paraId="7C44D64E"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5001065E" w14:textId="77777777" w:rsidR="002214AA"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525E1ED0" w14:textId="77777777" w:rsidR="002214AA"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7FD0E328" w14:textId="77777777" w:rsidR="002214AA"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0BA76E52" w14:textId="77777777" w:rsidR="002214AA" w:rsidRDefault="002214AA">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313FEBC6" w14:textId="77777777" w:rsidR="002214AA" w:rsidRDefault="00000000">
            <w:pPr>
              <w:pStyle w:val="BodyText9"/>
              <w:suppressLineNumbers/>
              <w:spacing w:before="40" w:after="40" w:line="240" w:lineRule="auto"/>
            </w:pPr>
            <w:r>
              <w:rPr>
                <w:color w:val="404040" w:themeColor="text1" w:themeTint="BF"/>
                <w:sz w:val="20"/>
              </w:rPr>
              <w:t>August 18, 2026</w:t>
            </w:r>
          </w:p>
        </w:tc>
      </w:tr>
      <w:tr w:rsidR="002214AA" w14:paraId="5E0EB93E"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7DE6432" w14:textId="77777777" w:rsidR="002214AA"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9B6C7BA" w14:textId="77777777" w:rsidR="002214AA"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64190442" w14:textId="77777777" w:rsidR="002214AA"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EC54214" w14:textId="77777777" w:rsidR="002214AA" w:rsidRDefault="002214AA">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6084B488" w14:textId="77777777" w:rsidR="002214AA" w:rsidRDefault="00000000">
            <w:pPr>
              <w:pStyle w:val="BodyText9"/>
              <w:suppressLineNumbers/>
              <w:spacing w:before="40" w:after="40" w:line="240" w:lineRule="auto"/>
            </w:pPr>
            <w:r>
              <w:rPr>
                <w:color w:val="404040" w:themeColor="text1" w:themeTint="BF"/>
                <w:sz w:val="20"/>
              </w:rPr>
              <w:t>August 18, 2026</w:t>
            </w:r>
          </w:p>
        </w:tc>
      </w:tr>
    </w:tbl>
    <w:p w14:paraId="75E578AE" w14:textId="77777777" w:rsidR="002214AA" w:rsidRDefault="002214AA">
      <w:pPr>
        <w:suppressLineNumbers/>
        <w:rPr>
          <w:rStyle w:val="Strong"/>
        </w:rPr>
      </w:pPr>
    </w:p>
    <w:p w14:paraId="7F53A065" w14:textId="77777777" w:rsidR="002214AA" w:rsidRDefault="00000000">
      <w:pPr>
        <w:suppressLineNumbers/>
        <w:spacing w:before="360" w:after="160"/>
      </w:pPr>
      <w:r>
        <w:rPr>
          <w:rStyle w:val="Strong"/>
          <w:caps/>
        </w:rPr>
        <w:t>COMPLIANCE</w:t>
      </w:r>
    </w:p>
    <w:p w14:paraId="463D4631" w14:textId="388451B7" w:rsidR="002214AA" w:rsidRDefault="00000000">
      <w:pPr>
        <w:pStyle w:val="BodyText9"/>
        <w:suppressLineNumbers/>
        <w:spacing w:after="120"/>
        <w:jc w:val="both"/>
      </w:pPr>
      <w:r>
        <w:rPr>
          <w:color w:val="404040" w:themeColor="text1" w:themeTint="BF"/>
        </w:rPr>
        <w:t xml:space="preserve">This Standard is </w:t>
      </w:r>
      <w:r w:rsidR="00802D70">
        <w:rPr>
          <w:color w:val="404040" w:themeColor="text1" w:themeTint="BF"/>
        </w:rPr>
        <w:t>authorized</w:t>
      </w:r>
      <w:r>
        <w:rPr>
          <w:color w:val="404040" w:themeColor="text1" w:themeTint="BF"/>
        </w:rPr>
        <w:t xml:space="preserve"> by the Information Security Policy (POL-ISP-001) and implements the Logging and Monitoring Policy (POL-LOG-001). It supports the SOC 2 Trust Services Criteria CC4.1, CC5.3, CC7.2 and CC7.3, HIPAA Security Rule 45 CFR §164.312(b), and GDPR Articles 5 and 32. It adopts published vendor logging guidance and states only the retention, alerting and review decisions that guidance leaves open.</w:t>
      </w:r>
    </w:p>
    <w:p w14:paraId="37BA9740" w14:textId="77777777" w:rsidR="002214AA" w:rsidRDefault="002214AA">
      <w:pPr>
        <w:pStyle w:val="BodyText9"/>
        <w:suppressLineNumbers/>
      </w:pPr>
    </w:p>
    <w:p w14:paraId="0C4936BD" w14:textId="77777777" w:rsidR="002214AA" w:rsidRDefault="00000000">
      <w:pPr>
        <w:suppressLineNumbers/>
        <w:spacing w:before="360" w:after="160"/>
        <w:rPr>
          <w:rStyle w:val="Strong"/>
        </w:rPr>
      </w:pPr>
      <w:r>
        <w:rPr>
          <w:rStyle w:val="Strong"/>
          <w:caps/>
        </w:rPr>
        <w:lastRenderedPageBreak/>
        <w:t>DOCUMENT VALIDITY</w:t>
      </w:r>
    </w:p>
    <w:p w14:paraId="6FC5A4E2" w14:textId="77777777" w:rsidR="002214AA" w:rsidRDefault="00000000">
      <w:pPr>
        <w:pStyle w:val="BodyText9"/>
        <w:suppressLineNumbers/>
        <w:spacing w:after="120"/>
        <w:jc w:val="both"/>
      </w:pPr>
      <w:r>
        <w:rPr>
          <w:color w:val="404040" w:themeColor="text1" w:themeTint="BF"/>
        </w:rPr>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0C536319" w14:textId="77777777" w:rsidR="002214AA" w:rsidRDefault="00000000">
      <w:pPr>
        <w:suppressLineNumbers/>
      </w:pPr>
      <w:r>
        <w:br w:type="page"/>
      </w:r>
    </w:p>
    <w:p w14:paraId="760D6642" w14:textId="77777777" w:rsidR="002214AA" w:rsidRDefault="00000000">
      <w:pPr>
        <w:suppressLineNumbers/>
        <w:spacing w:after="160"/>
        <w:rPr>
          <w:rStyle w:val="Strong"/>
        </w:rPr>
      </w:pPr>
      <w:r>
        <w:rPr>
          <w:rStyle w:val="Strong"/>
          <w:caps/>
        </w:rPr>
        <w:lastRenderedPageBreak/>
        <w:t>TABLE OF CONTENTS</w:t>
      </w:r>
    </w:p>
    <w:sdt>
      <w:sdtPr>
        <w:id w:val="-1035425280"/>
        <w:docPartObj>
          <w:docPartGallery w:val="Table of Contents"/>
          <w:docPartUnique/>
        </w:docPartObj>
      </w:sdtPr>
      <w:sdtContent>
        <w:p w14:paraId="7B18EA4F" w14:textId="77777777" w:rsidR="002214AA" w:rsidRDefault="00000000">
          <w:pPr>
            <w:sectPr w:rsidR="002214A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05E1CDF7" w14:textId="77777777" w:rsidR="002214AA" w:rsidRDefault="00000000">
      <w:pPr>
        <w:pStyle w:val="Heading1"/>
        <w:keepNext/>
        <w:numPr>
          <w:ilvl w:val="0"/>
          <w:numId w:val="10"/>
        </w:numPr>
        <w:spacing w:before="240" w:after="80"/>
      </w:pPr>
      <w:bookmarkStart w:id="1" w:name="_S501"/>
      <w:r>
        <w:lastRenderedPageBreak/>
        <w:t>Overview and Purpose</w:t>
      </w:r>
      <w:bookmarkEnd w:id="1"/>
    </w:p>
    <w:p w14:paraId="42A73A8C" w14:textId="77777777" w:rsidR="002214AA" w:rsidRDefault="00000000">
      <w:pPr>
        <w:pStyle w:val="BodyText9"/>
        <w:spacing w:after="120"/>
        <w:jc w:val="both"/>
      </w:pPr>
      <w:r>
        <w:rPr>
          <w:color w:val="404040" w:themeColor="text1" w:themeTint="BF"/>
        </w:rPr>
        <w:t>This Standard sets what is logged, how long it is kept, what alerts on it, and what the review produces. PromptHalo Technologies (“the Company”) runs AWS, Google Workspace, GitHub and approved AI services, and every requirement here is met with a native platform feature.</w:t>
      </w:r>
    </w:p>
    <w:p w14:paraId="247DE115" w14:textId="77777777" w:rsidR="002214AA" w:rsidRDefault="00000000">
      <w:pPr>
        <w:pStyle w:val="BodyText9"/>
        <w:spacing w:after="120"/>
        <w:jc w:val="both"/>
      </w:pPr>
      <w:r>
        <w:rPr>
          <w:color w:val="404040" w:themeColor="text1" w:themeTint="BF"/>
        </w:rPr>
        <w:t>The Company does not write its own configuration rules where a published benchmark already exists and is maintained by the platform vendor or by CIS. It adopts those benchmarks by name and version as its baseline, which means the Company inherits the maintenance effort rather than carrying it.</w:t>
      </w:r>
    </w:p>
    <w:p w14:paraId="0C309C67" w14:textId="77777777" w:rsidR="002214AA" w:rsidRDefault="00000000">
      <w:pPr>
        <w:pStyle w:val="BodyText9"/>
        <w:spacing w:after="120"/>
        <w:jc w:val="both"/>
      </w:pPr>
      <w:r>
        <w:rPr>
          <w:color w:val="404040" w:themeColor="text1" w:themeTint="BF"/>
        </w:rPr>
        <w:t>Vendor guidance decides which log types exist and how to enable them. It does not decide how long the Company keeps them, what it alerts on, or who reviews the result — and those are exactly what SOC 2 tests. This Standard is therefore short: adopt the guidance, then fix the four things it leaves open.</w:t>
      </w:r>
    </w:p>
    <w:p w14:paraId="3FECD09E" w14:textId="77777777" w:rsidR="002214AA" w:rsidRDefault="00000000">
      <w:pPr>
        <w:pStyle w:val="BodyText9"/>
        <w:spacing w:after="120"/>
        <w:jc w:val="both"/>
      </w:pPr>
      <w:r>
        <w:rPr>
          <w:color w:val="404040" w:themeColor="text1" w:themeTint="BF"/>
        </w:rPr>
        <w:t>Which platform features emit the records, and how the accounts they run in are configured, belongs to the Cloud Platform Standard and is not restated here.</w:t>
      </w:r>
    </w:p>
    <w:p w14:paraId="7B0C15E3" w14:textId="77777777" w:rsidR="002214AA" w:rsidRDefault="00000000">
      <w:pPr>
        <w:pStyle w:val="Heading1"/>
        <w:keepNext/>
        <w:numPr>
          <w:ilvl w:val="0"/>
          <w:numId w:val="10"/>
        </w:numPr>
        <w:spacing w:before="240" w:after="80"/>
      </w:pPr>
      <w:bookmarkStart w:id="2" w:name="_S502"/>
      <w:r>
        <w:t>Scope</w:t>
      </w:r>
      <w:bookmarkEnd w:id="2"/>
    </w:p>
    <w:p w14:paraId="19B0932A" w14:textId="77777777" w:rsidR="002214AA" w:rsidRDefault="00000000">
      <w:pPr>
        <w:pStyle w:val="BodyText9"/>
        <w:spacing w:after="120"/>
        <w:jc w:val="both"/>
      </w:pPr>
      <w:r>
        <w:rPr>
          <w:color w:val="404040" w:themeColor="text1" w:themeTint="BF"/>
        </w:rPr>
        <w:t>This Standard applies to records emitted by Company-controlled systems. It does not extend to personally owned devices; the Company operates no logging agent on them and collects nothing from them.</w:t>
      </w:r>
    </w:p>
    <w:p w14:paraId="260A62BD" w14:textId="77777777" w:rsidR="002214AA" w:rsidRDefault="00000000">
      <w:pPr>
        <w:pStyle w:val="Heading1"/>
        <w:keepNext/>
        <w:numPr>
          <w:ilvl w:val="0"/>
          <w:numId w:val="10"/>
        </w:numPr>
        <w:spacing w:before="240" w:after="80"/>
      </w:pPr>
      <w:bookmarkStart w:id="3" w:name="_S503"/>
      <w:r>
        <w:t>Roles and Definitions</w:t>
      </w:r>
      <w:bookmarkEnd w:id="3"/>
    </w:p>
    <w:p w14:paraId="777AB424" w14:textId="77777777" w:rsidR="002214AA" w:rsidRDefault="00000000">
      <w:pPr>
        <w:pStyle w:val="Emphasis-Normal"/>
        <w:numPr>
          <w:ilvl w:val="0"/>
          <w:numId w:val="4"/>
        </w:numPr>
        <w:spacing w:after="120"/>
        <w:jc w:val="both"/>
      </w:pPr>
      <w:r>
        <w:rPr>
          <w:color w:val="404040" w:themeColor="text1" w:themeTint="BF"/>
        </w:rPr>
        <w:t>"The Company" refers to PromptHalo Technologies.</w:t>
      </w:r>
    </w:p>
    <w:p w14:paraId="395DADDB" w14:textId="77777777" w:rsidR="002214AA" w:rsidRDefault="00000000">
      <w:pPr>
        <w:pStyle w:val="Emphasis-Normal"/>
        <w:numPr>
          <w:ilvl w:val="0"/>
          <w:numId w:val="4"/>
        </w:numPr>
        <w:spacing w:after="120"/>
        <w:jc w:val="both"/>
      </w:pPr>
      <w:r>
        <w:rPr>
          <w:color w:val="404040" w:themeColor="text1" w:themeTint="BF"/>
        </w:rPr>
        <w:t xml:space="preserve">The CEO or, in their absence, the Security Officer (the “Accountable Party”) owns this Standard,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59E3903C" w14:textId="77777777" w:rsidR="002214AA" w:rsidRDefault="00000000">
      <w:pPr>
        <w:pStyle w:val="Emphasis-Normal"/>
        <w:numPr>
          <w:ilvl w:val="0"/>
          <w:numId w:val="4"/>
        </w:numPr>
        <w:spacing w:after="120"/>
        <w:jc w:val="both"/>
      </w:pPr>
      <w:r>
        <w:rPr>
          <w:color w:val="404040" w:themeColor="text1" w:themeTint="BF"/>
        </w:rPr>
        <w:t xml:space="preserve">The Information Security Steering Committee approves this Standard and reviews it at least annually.  </w:t>
      </w:r>
      <w:r>
        <w:rPr>
          <w:rFonts w:ascii="Calibri Light" w:eastAsia="Calibri Light" w:hAnsi="Calibri Light" w:cs="Calibri Light"/>
          <w:color w:val="404040" w:themeColor="text1" w:themeTint="BF"/>
          <w:sz w:val="18"/>
        </w:rPr>
        <w:t>[SOC 2: CC1.2, CC5.3]</w:t>
      </w:r>
    </w:p>
    <w:p w14:paraId="0A213A4C" w14:textId="77777777" w:rsidR="002214AA" w:rsidRDefault="00000000">
      <w:pPr>
        <w:pStyle w:val="Emphasis-Normal"/>
        <w:numPr>
          <w:ilvl w:val="0"/>
          <w:numId w:val="4"/>
        </w:numPr>
        <w:spacing w:after="120"/>
        <w:jc w:val="both"/>
      </w:pPr>
      <w:r>
        <w:rPr>
          <w:color w:val="404040" w:themeColor="text1" w:themeTint="BF"/>
        </w:rPr>
        <w:t xml:space="preserve">This Standard implements the Logging and Monitoring Policy (POL-LOG-001). Where the two differ, the policy governs and this Standard is corrected at the next review.  </w:t>
      </w:r>
      <w:r>
        <w:rPr>
          <w:rFonts w:ascii="Calibri Light" w:eastAsia="Calibri Light" w:hAnsi="Calibri Light" w:cs="Calibri Light"/>
          <w:color w:val="404040" w:themeColor="text1" w:themeTint="BF"/>
          <w:sz w:val="18"/>
        </w:rPr>
        <w:t>[SOC 2: CC5.3]</w:t>
      </w:r>
    </w:p>
    <w:p w14:paraId="37C629AF" w14:textId="77777777" w:rsidR="002214AA" w:rsidRDefault="00000000">
      <w:pPr>
        <w:pStyle w:val="Heading1"/>
        <w:keepNext/>
        <w:numPr>
          <w:ilvl w:val="0"/>
          <w:numId w:val="10"/>
        </w:numPr>
        <w:spacing w:before="240" w:after="80"/>
      </w:pPr>
      <w:bookmarkStart w:id="4" w:name="_S504"/>
      <w:r>
        <w:t>Terminology</w:t>
      </w:r>
      <w:bookmarkEnd w:id="4"/>
    </w:p>
    <w:p w14:paraId="483A01A1" w14:textId="77777777" w:rsidR="002214AA" w:rsidRDefault="00000000">
      <w:pPr>
        <w:pStyle w:val="BodyText9"/>
        <w:spacing w:after="120"/>
        <w:jc w:val="both"/>
      </w:pPr>
      <w:r>
        <w:rPr>
          <w:color w:val="404040" w:themeColor="text1" w:themeTint="BF"/>
        </w:rPr>
        <w:t>The following terms have the meanings given below wherever they appear in this Standard.</w:t>
      </w:r>
    </w:p>
    <w:p w14:paraId="745D5C45" w14:textId="77777777" w:rsidR="002214AA" w:rsidRDefault="00000000">
      <w:pPr>
        <w:pStyle w:val="Emphasis-Normal"/>
        <w:numPr>
          <w:ilvl w:val="0"/>
          <w:numId w:val="5"/>
        </w:numPr>
        <w:spacing w:after="120"/>
        <w:jc w:val="both"/>
      </w:pPr>
      <w:r>
        <w:rPr>
          <w:b/>
          <w:color w:val="404040" w:themeColor="text1" w:themeTint="BF"/>
        </w:rPr>
        <w:t>Accountable Party</w:t>
      </w:r>
      <w:r>
        <w:rPr>
          <w:color w:val="404040" w:themeColor="text1" w:themeTint="BF"/>
        </w:rPr>
        <w:t xml:space="preserve"> — the CEO or, in their absence, the Security Officer, who owns this Standard.</w:t>
      </w:r>
    </w:p>
    <w:p w14:paraId="3CA9BAA7" w14:textId="77777777" w:rsidR="002214AA" w:rsidRDefault="00000000">
      <w:pPr>
        <w:pStyle w:val="Emphasis-Normal"/>
        <w:numPr>
          <w:ilvl w:val="0"/>
          <w:numId w:val="5"/>
        </w:numPr>
        <w:spacing w:after="120"/>
        <w:jc w:val="both"/>
      </w:pPr>
      <w:r>
        <w:rPr>
          <w:b/>
          <w:color w:val="404040" w:themeColor="text1" w:themeTint="BF"/>
        </w:rPr>
        <w:t>Adopted baseline</w:t>
      </w:r>
      <w:r>
        <w:rPr>
          <w:color w:val="404040" w:themeColor="text1" w:themeTint="BF"/>
        </w:rPr>
        <w:t xml:space="preserve"> — an externally published configuration benchmark the Company has adopted by name and version as its own requirement.</w:t>
      </w:r>
    </w:p>
    <w:p w14:paraId="566A6E9C" w14:textId="77777777" w:rsidR="002214AA" w:rsidRDefault="00000000">
      <w:pPr>
        <w:pStyle w:val="Emphasis-Normal"/>
        <w:numPr>
          <w:ilvl w:val="0"/>
          <w:numId w:val="5"/>
        </w:numPr>
        <w:spacing w:after="120"/>
        <w:jc w:val="both"/>
      </w:pPr>
      <w:r>
        <w:rPr>
          <w:b/>
          <w:color w:val="404040" w:themeColor="text1" w:themeTint="BF"/>
        </w:rPr>
        <w:t>Alert</w:t>
      </w:r>
      <w:r>
        <w:rPr>
          <w:color w:val="404040" w:themeColor="text1" w:themeTint="BF"/>
        </w:rPr>
        <w:t xml:space="preserve"> — an automated notification raised when logged activity matches a detection rule.</w:t>
      </w:r>
    </w:p>
    <w:p w14:paraId="4C223D9F" w14:textId="77777777" w:rsidR="002214AA" w:rsidRDefault="00000000">
      <w:pPr>
        <w:pStyle w:val="Emphasis-Normal"/>
        <w:numPr>
          <w:ilvl w:val="0"/>
          <w:numId w:val="5"/>
        </w:numPr>
        <w:spacing w:after="120"/>
        <w:jc w:val="both"/>
      </w:pPr>
      <w:r>
        <w:rPr>
          <w:b/>
          <w:color w:val="404040" w:themeColor="text1" w:themeTint="BF"/>
        </w:rPr>
        <w:t>Audit log</w:t>
      </w:r>
      <w:r>
        <w:rPr>
          <w:color w:val="404040" w:themeColor="text1" w:themeTint="BF"/>
        </w:rPr>
        <w:t xml:space="preserve"> — a system-generated record of an event, retained so that activity can be reconstructed afterwards.</w:t>
      </w:r>
    </w:p>
    <w:p w14:paraId="58A2ECA1" w14:textId="77777777" w:rsidR="002214AA" w:rsidRDefault="00000000">
      <w:pPr>
        <w:pStyle w:val="Emphasis-Normal"/>
        <w:numPr>
          <w:ilvl w:val="0"/>
          <w:numId w:val="5"/>
        </w:numPr>
        <w:spacing w:after="120"/>
        <w:jc w:val="both"/>
      </w:pPr>
      <w:r>
        <w:rPr>
          <w:b/>
          <w:color w:val="404040" w:themeColor="text1" w:themeTint="BF"/>
        </w:rPr>
        <w:lastRenderedPageBreak/>
        <w:t>Confidential information</w:t>
      </w:r>
      <w:r>
        <w:rPr>
          <w:color w:val="404040" w:themeColor="text1" w:themeTint="BF"/>
        </w:rPr>
        <w:t xml:space="preserve"> — information classified Confidential or Restricted under the Data Classification Policy, including customer data.</w:t>
      </w:r>
    </w:p>
    <w:p w14:paraId="7D5CBD98" w14:textId="77777777" w:rsidR="002214AA" w:rsidRDefault="00000000">
      <w:pPr>
        <w:pStyle w:val="Emphasis-Normal"/>
        <w:numPr>
          <w:ilvl w:val="0"/>
          <w:numId w:val="5"/>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69E259A4" w14:textId="77777777" w:rsidR="002214AA" w:rsidRDefault="00000000">
      <w:pPr>
        <w:pStyle w:val="Emphasis-Normal"/>
        <w:numPr>
          <w:ilvl w:val="0"/>
          <w:numId w:val="5"/>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2B95D84C" w14:textId="77777777" w:rsidR="002214AA" w:rsidRDefault="00000000">
      <w:pPr>
        <w:pStyle w:val="Emphasis-Normal"/>
        <w:numPr>
          <w:ilvl w:val="0"/>
          <w:numId w:val="5"/>
        </w:numPr>
        <w:spacing w:after="120"/>
        <w:jc w:val="both"/>
      </w:pPr>
      <w:r>
        <w:rPr>
          <w:b/>
          <w:color w:val="404040" w:themeColor="text1" w:themeTint="BF"/>
        </w:rPr>
        <w:t>Disposition</w:t>
      </w:r>
      <w:r>
        <w:rPr>
          <w:color w:val="404040" w:themeColor="text1" w:themeTint="BF"/>
        </w:rPr>
        <w:t xml:space="preserve"> — the recorded conclusion of triage, including the conclusion that an alert was not an incident.</w:t>
      </w:r>
    </w:p>
    <w:p w14:paraId="2E97AEC8" w14:textId="77777777" w:rsidR="002214AA" w:rsidRDefault="00000000">
      <w:pPr>
        <w:pStyle w:val="Emphasis-Normal"/>
        <w:numPr>
          <w:ilvl w:val="0"/>
          <w:numId w:val="5"/>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Standard to a decision, approval, review or report of the Committee is satisfied by a dated written record made or confirmed by the CEO; a formal meeting is not required.  [SOC 2: CC1.2, CC1.3]</w:t>
      </w:r>
    </w:p>
    <w:p w14:paraId="0C18F9F6" w14:textId="77777777" w:rsidR="002214AA" w:rsidRDefault="00000000">
      <w:pPr>
        <w:pStyle w:val="Emphasis-Normal"/>
        <w:numPr>
          <w:ilvl w:val="0"/>
          <w:numId w:val="5"/>
        </w:numPr>
        <w:spacing w:after="120"/>
        <w:jc w:val="both"/>
      </w:pPr>
      <w:r>
        <w:rPr>
          <w:b/>
          <w:color w:val="404040" w:themeColor="text1" w:themeTint="BF"/>
        </w:rPr>
        <w:t>Log destination</w:t>
      </w:r>
      <w:r>
        <w:rPr>
          <w:color w:val="404040" w:themeColor="text1" w:themeTint="BF"/>
        </w:rPr>
        <w:t xml:space="preserve"> — the storage location that receives and retains records from every log source.</w:t>
      </w:r>
    </w:p>
    <w:p w14:paraId="353A1AE6" w14:textId="77777777" w:rsidR="002214AA" w:rsidRDefault="00000000">
      <w:pPr>
        <w:pStyle w:val="Emphasis-Normal"/>
        <w:numPr>
          <w:ilvl w:val="0"/>
          <w:numId w:val="5"/>
        </w:numPr>
        <w:spacing w:after="120"/>
        <w:jc w:val="both"/>
      </w:pPr>
      <w:r>
        <w:rPr>
          <w:b/>
          <w:color w:val="404040" w:themeColor="text1" w:themeTint="BF"/>
        </w:rPr>
        <w:t>Personnel</w:t>
      </w:r>
      <w:r>
        <w:rPr>
          <w:color w:val="404040" w:themeColor="text1" w:themeTint="BF"/>
        </w:rPr>
        <w:t xml:space="preserve"> — employees, officers, contractors, consultants, interns and temporary workers of the Company.</w:t>
      </w:r>
    </w:p>
    <w:p w14:paraId="1126BCCE" w14:textId="77777777" w:rsidR="002214AA" w:rsidRDefault="00000000">
      <w:pPr>
        <w:pStyle w:val="Emphasis-Normal"/>
        <w:numPr>
          <w:ilvl w:val="0"/>
          <w:numId w:val="5"/>
        </w:numPr>
        <w:spacing w:after="120"/>
        <w:jc w:val="both"/>
      </w:pPr>
      <w:r>
        <w:rPr>
          <w:b/>
          <w:color w:val="404040" w:themeColor="text1" w:themeTint="BF"/>
        </w:rPr>
        <w:t>Population</w:t>
      </w:r>
      <w:r>
        <w:rPr>
          <w:color w:val="404040" w:themeColor="text1" w:themeTint="BF"/>
        </w:rPr>
        <w:t xml:space="preserve"> — the complete set of instances of an event in a period, from which a sample can be drawn.</w:t>
      </w:r>
    </w:p>
    <w:p w14:paraId="1625D6BF" w14:textId="77777777" w:rsidR="002214AA" w:rsidRDefault="00000000">
      <w:pPr>
        <w:pStyle w:val="Emphasis-Normal"/>
        <w:numPr>
          <w:ilvl w:val="0"/>
          <w:numId w:val="5"/>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44AC21CC" w14:textId="77777777" w:rsidR="002214AA" w:rsidRDefault="00000000">
      <w:pPr>
        <w:pStyle w:val="Emphasis-Normal"/>
        <w:numPr>
          <w:ilvl w:val="0"/>
          <w:numId w:val="5"/>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1A9962BB" w14:textId="77777777" w:rsidR="002214AA" w:rsidRDefault="00000000">
      <w:pPr>
        <w:pStyle w:val="Emphasis-Normal"/>
        <w:numPr>
          <w:ilvl w:val="0"/>
          <w:numId w:val="5"/>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096D6EB0" w14:textId="77777777" w:rsidR="002214AA" w:rsidRDefault="00000000">
      <w:pPr>
        <w:pStyle w:val="Heading1"/>
        <w:keepNext/>
        <w:numPr>
          <w:ilvl w:val="0"/>
          <w:numId w:val="10"/>
        </w:numPr>
        <w:spacing w:before="240" w:after="80"/>
      </w:pPr>
      <w:bookmarkStart w:id="5" w:name="_S505"/>
      <w:r>
        <w:t>Adopted Guidance and Sources</w:t>
      </w:r>
      <w:bookmarkEnd w:id="5"/>
    </w:p>
    <w:p w14:paraId="463C05BE" w14:textId="77777777" w:rsidR="002214AA" w:rsidRDefault="00000000">
      <w:pPr>
        <w:pStyle w:val="BodyText9"/>
        <w:spacing w:after="120"/>
        <w:jc w:val="both"/>
      </w:pPr>
      <w:r>
        <w:rPr>
          <w:color w:val="404040" w:themeColor="text1" w:themeTint="BF"/>
        </w:rPr>
        <w:t>The following are adopted as the Company's logging baseline. Between them they determine which log types are enabled and how.</w:t>
      </w:r>
    </w:p>
    <w:p w14:paraId="07B51F85" w14:textId="77777777" w:rsidR="002214AA" w:rsidRDefault="00000000">
      <w:pPr>
        <w:pStyle w:val="Emphasis-Normal"/>
        <w:numPr>
          <w:ilvl w:val="0"/>
          <w:numId w:val="6"/>
        </w:numPr>
        <w:spacing w:after="120"/>
        <w:jc w:val="both"/>
      </w:pPr>
      <w:r>
        <w:rPr>
          <w:color w:val="404040" w:themeColor="text1" w:themeTint="BF"/>
        </w:rPr>
        <w:t xml:space="preserve">AWS logging and monitoring guidance in the CIS AWS Foundations Benchmark and the Well-Architected Security Pillar, covering CloudTrail across accounts and regions and data events for storage holding client information.  </w:t>
      </w:r>
      <w:r>
        <w:rPr>
          <w:rFonts w:ascii="Calibri Light" w:eastAsia="Calibri Light" w:hAnsi="Calibri Light" w:cs="Calibri Light"/>
          <w:color w:val="404040" w:themeColor="text1" w:themeTint="BF"/>
          <w:sz w:val="18"/>
        </w:rPr>
        <w:t>[SOC 2: CC7.2 · HIPAA §164.312(b)]</w:t>
      </w:r>
    </w:p>
    <w:p w14:paraId="4A86EE75" w14:textId="77777777" w:rsidR="002214AA" w:rsidRDefault="00000000">
      <w:pPr>
        <w:pStyle w:val="Emphasis-Normal"/>
        <w:numPr>
          <w:ilvl w:val="0"/>
          <w:numId w:val="6"/>
        </w:numPr>
        <w:spacing w:after="120"/>
        <w:jc w:val="both"/>
      </w:pPr>
      <w:r>
        <w:rPr>
          <w:color w:val="404040" w:themeColor="text1" w:themeTint="BF"/>
        </w:rPr>
        <w:t xml:space="preserve">Google Workspace audit and investigation guidance, covering admin, login and OAuth grant logs.  </w:t>
      </w:r>
      <w:r>
        <w:rPr>
          <w:rFonts w:ascii="Calibri Light" w:eastAsia="Calibri Light" w:hAnsi="Calibri Light" w:cs="Calibri Light"/>
          <w:color w:val="404040" w:themeColor="text1" w:themeTint="BF"/>
          <w:sz w:val="18"/>
        </w:rPr>
        <w:t>[SOC 2: CC7.2, CC6.1]</w:t>
      </w:r>
    </w:p>
    <w:p w14:paraId="3576E0BC" w14:textId="44261081" w:rsidR="002214AA" w:rsidRDefault="00000000">
      <w:pPr>
        <w:pStyle w:val="Emphasis-Normal"/>
        <w:numPr>
          <w:ilvl w:val="0"/>
          <w:numId w:val="6"/>
        </w:numPr>
        <w:spacing w:after="120"/>
        <w:jc w:val="both"/>
      </w:pPr>
      <w:r>
        <w:rPr>
          <w:color w:val="404040" w:themeColor="text1" w:themeTint="BF"/>
        </w:rPr>
        <w:t xml:space="preserve">GitHub audit log and secret-scanning guidance for the </w:t>
      </w:r>
      <w:r w:rsidR="00802D70">
        <w:rPr>
          <w:color w:val="404040" w:themeColor="text1" w:themeTint="BF"/>
        </w:rPr>
        <w:t>organization</w:t>
      </w:r>
      <w:r>
        <w:rPr>
          <w:color w:val="404040" w:themeColor="text1" w:themeTint="BF"/>
        </w:rPr>
        <w:t xml:space="preserve"> and its repositories.  </w:t>
      </w:r>
      <w:r>
        <w:rPr>
          <w:rFonts w:ascii="Calibri Light" w:eastAsia="Calibri Light" w:hAnsi="Calibri Light" w:cs="Calibri Light"/>
          <w:color w:val="404040" w:themeColor="text1" w:themeTint="BF"/>
          <w:sz w:val="18"/>
        </w:rPr>
        <w:t>[SOC 2: CC7.2, CC8.1]</w:t>
      </w:r>
    </w:p>
    <w:p w14:paraId="2C986B28" w14:textId="1F8A1A1D" w:rsidR="002214AA" w:rsidRDefault="00000000">
      <w:pPr>
        <w:pStyle w:val="Emphasis-Normal"/>
        <w:numPr>
          <w:ilvl w:val="0"/>
          <w:numId w:val="6"/>
        </w:numPr>
        <w:spacing w:after="120"/>
        <w:jc w:val="both"/>
      </w:pPr>
      <w:r>
        <w:rPr>
          <w:color w:val="404040" w:themeColor="text1" w:themeTint="BF"/>
        </w:rPr>
        <w:t xml:space="preserve">For the Company's own application and agent records, no external guidance applies, so this Standard sets the requirement directly: enough context to reconstruct </w:t>
      </w:r>
      <w:r w:rsidR="00802D70">
        <w:rPr>
          <w:color w:val="404040" w:themeColor="text1" w:themeTint="BF"/>
        </w:rPr>
        <w:t>behavior</w:t>
      </w:r>
      <w:r>
        <w:rPr>
          <w:color w:val="404040" w:themeColor="text1" w:themeTint="BF"/>
        </w:rPr>
        <w:t xml:space="preserve">, being the </w:t>
      </w:r>
      <w:r>
        <w:rPr>
          <w:color w:val="404040" w:themeColor="text1" w:themeTint="BF"/>
        </w:rPr>
        <w:lastRenderedPageBreak/>
        <w:t xml:space="preserve">triggering input, the tools invoked, the parameters used, the actions taken and the outcome.  </w:t>
      </w:r>
      <w:r>
        <w:rPr>
          <w:rFonts w:ascii="Calibri Light" w:eastAsia="Calibri Light" w:hAnsi="Calibri Light" w:cs="Calibri Light"/>
          <w:color w:val="404040" w:themeColor="text1" w:themeTint="BF"/>
          <w:sz w:val="18"/>
        </w:rPr>
        <w:t>[SOC 2: CC7.2, CC2.1]</w:t>
      </w:r>
    </w:p>
    <w:p w14:paraId="6E53B5B8" w14:textId="77777777" w:rsidR="002214AA" w:rsidRDefault="00000000">
      <w:pPr>
        <w:pStyle w:val="Emphasis-Normal"/>
        <w:numPr>
          <w:ilvl w:val="0"/>
          <w:numId w:val="6"/>
        </w:numPr>
        <w:spacing w:after="120"/>
        <w:jc w:val="both"/>
      </w:pPr>
      <w:r>
        <w:rPr>
          <w:color w:val="404040" w:themeColor="text1" w:themeTint="BF"/>
        </w:rPr>
        <w:t xml:space="preserve">Whatever the source, a record must establish what happened, when, from where, and the identity involved. A record that cannot answer those four questions is not sufficient, and that is the test rather than a prescribed field list.  </w:t>
      </w:r>
      <w:r>
        <w:rPr>
          <w:rFonts w:ascii="Calibri Light" w:eastAsia="Calibri Light" w:hAnsi="Calibri Light" w:cs="Calibri Light"/>
          <w:color w:val="404040" w:themeColor="text1" w:themeTint="BF"/>
          <w:sz w:val="18"/>
        </w:rPr>
        <w:t>[SOC 2: CC7.2, CC2.1]</w:t>
      </w:r>
    </w:p>
    <w:p w14:paraId="1C6F4C08" w14:textId="77777777" w:rsidR="002214AA" w:rsidRDefault="00000000">
      <w:pPr>
        <w:pStyle w:val="Heading1"/>
        <w:keepNext/>
        <w:numPr>
          <w:ilvl w:val="0"/>
          <w:numId w:val="10"/>
        </w:numPr>
        <w:spacing w:before="240" w:after="80"/>
      </w:pPr>
      <w:bookmarkStart w:id="6" w:name="_S506"/>
      <w:r>
        <w:t>What the Guidance Leaves Open</w:t>
      </w:r>
      <w:bookmarkEnd w:id="6"/>
    </w:p>
    <w:p w14:paraId="74C48FDE" w14:textId="47B847D8" w:rsidR="002214AA" w:rsidRDefault="00000000">
      <w:pPr>
        <w:pStyle w:val="BodyText9"/>
        <w:spacing w:after="120"/>
        <w:jc w:val="both"/>
      </w:pPr>
      <w:r>
        <w:rPr>
          <w:color w:val="404040" w:themeColor="text1" w:themeTint="BF"/>
        </w:rPr>
        <w:t xml:space="preserve">Four decisions no vendor makes for the Company. These are the clauses SOC 2 </w:t>
      </w:r>
      <w:r w:rsidR="00802D70">
        <w:rPr>
          <w:color w:val="404040" w:themeColor="text1" w:themeTint="BF"/>
        </w:rPr>
        <w:t>samples</w:t>
      </w:r>
      <w:r>
        <w:rPr>
          <w:color w:val="404040" w:themeColor="text1" w:themeTint="BF"/>
        </w:rPr>
        <w:t>.</w:t>
      </w:r>
    </w:p>
    <w:p w14:paraId="33D023FF" w14:textId="77777777" w:rsidR="002214AA" w:rsidRDefault="00000000">
      <w:pPr>
        <w:pStyle w:val="Emphasis-Normal"/>
        <w:numPr>
          <w:ilvl w:val="0"/>
          <w:numId w:val="7"/>
        </w:numPr>
        <w:spacing w:after="120"/>
        <w:jc w:val="both"/>
      </w:pPr>
      <w:r>
        <w:rPr>
          <w:color w:val="404040" w:themeColor="text1" w:themeTint="BF"/>
        </w:rPr>
        <w:t xml:space="preserve">Retention. All sources deliver to one destination — an S3 bucket in the dedicated logging account — with object lock or an equivalent write-once setting, retained for at least thirteen months and the most recent ninety days available for immediate query. Thirteen rather than twelve so a full observation period is covered with margin at both ends.  </w:t>
      </w:r>
      <w:r>
        <w:rPr>
          <w:rFonts w:ascii="Calibri Light" w:eastAsia="Calibri Light" w:hAnsi="Calibri Light" w:cs="Calibri Light"/>
          <w:color w:val="404040" w:themeColor="text1" w:themeTint="BF"/>
          <w:sz w:val="18"/>
        </w:rPr>
        <w:t>[SOC 2: CC7.2, CC4.1]</w:t>
      </w:r>
    </w:p>
    <w:p w14:paraId="5301BA23" w14:textId="047829BF" w:rsidR="002214AA" w:rsidRDefault="00000000">
      <w:pPr>
        <w:pStyle w:val="Emphasis-Normal"/>
        <w:numPr>
          <w:ilvl w:val="0"/>
          <w:numId w:val="7"/>
        </w:numPr>
        <w:spacing w:after="120"/>
        <w:jc w:val="both"/>
      </w:pPr>
      <w:r>
        <w:rPr>
          <w:color w:val="404040" w:themeColor="text1" w:themeTint="BF"/>
        </w:rPr>
        <w:t xml:space="preserve">Alerting. Five rules, chosen because each is high signal and low volume: root or </w:t>
      </w:r>
      <w:r w:rsidR="00802D70">
        <w:rPr>
          <w:color w:val="404040" w:themeColor="text1" w:themeTint="BF"/>
        </w:rPr>
        <w:t>organization</w:t>
      </w:r>
      <w:r>
        <w:rPr>
          <w:color w:val="404040" w:themeColor="text1" w:themeTint="BF"/>
        </w:rPr>
        <w:t xml:space="preserve">-level account use, changes to logging configuration, new administrative grants, OAuth grants outside the allow-list, and secret-scanning findings. They deliver to security@prompthalo.com rather than a personal inbox, so the record survives a departure.  </w:t>
      </w:r>
      <w:r>
        <w:rPr>
          <w:rFonts w:ascii="Calibri Light" w:eastAsia="Calibri Light" w:hAnsi="Calibri Light" w:cs="Calibri Light"/>
          <w:color w:val="404040" w:themeColor="text1" w:themeTint="BF"/>
          <w:sz w:val="18"/>
        </w:rPr>
        <w:t>[SOC 2: CC7.2, CC7.3]</w:t>
      </w:r>
    </w:p>
    <w:p w14:paraId="044EBC04" w14:textId="77777777" w:rsidR="002214AA" w:rsidRDefault="00000000">
      <w:pPr>
        <w:pStyle w:val="Emphasis-Normal"/>
        <w:numPr>
          <w:ilvl w:val="0"/>
          <w:numId w:val="7"/>
        </w:numPr>
        <w:spacing w:after="120"/>
        <w:jc w:val="both"/>
      </w:pPr>
      <w:r>
        <w:rPr>
          <w:color w:val="404040" w:themeColor="text1" w:themeTint="BF"/>
        </w:rPr>
        <w:t xml:space="preserve">Disposition. Every alert receives a recorded conclusion, including the conclusion that it was not an incident, and the complete population for a period is retained. A list of only the interesting ones is not a population.  </w:t>
      </w:r>
      <w:r>
        <w:rPr>
          <w:rFonts w:ascii="Calibri Light" w:eastAsia="Calibri Light" w:hAnsi="Calibri Light" w:cs="Calibri Light"/>
          <w:color w:val="404040" w:themeColor="text1" w:themeTint="BF"/>
          <w:sz w:val="18"/>
        </w:rPr>
        <w:t>[SOC 2: CC7.3, CC2.1]</w:t>
      </w:r>
    </w:p>
    <w:p w14:paraId="5B8F9D20" w14:textId="5A4C01A5" w:rsidR="002214AA" w:rsidRDefault="00000000">
      <w:pPr>
        <w:pStyle w:val="Emphasis-Normal"/>
        <w:numPr>
          <w:ilvl w:val="0"/>
          <w:numId w:val="7"/>
        </w:numPr>
        <w:spacing w:after="120"/>
        <w:jc w:val="both"/>
      </w:pPr>
      <w:r>
        <w:rPr>
          <w:color w:val="404040" w:themeColor="text1" w:themeTint="BF"/>
        </w:rPr>
        <w:t xml:space="preserve">Review. Dispositions are reviewed monthly for production, recording the date, the reviewer, the period covered and the conclusion, with nil months recorded as such. Twelve reviews a year is what a Type II sample </w:t>
      </w:r>
      <w:r w:rsidR="00802D70">
        <w:rPr>
          <w:color w:val="404040" w:themeColor="text1" w:themeTint="BF"/>
        </w:rPr>
        <w:t>requires,</w:t>
      </w:r>
      <w:r>
        <w:rPr>
          <w:color w:val="404040" w:themeColor="text1" w:themeTint="BF"/>
        </w:rPr>
        <w:t xml:space="preserve"> and a missed month cannot be recreated; this is the requirement here most likely to fail on timing rather than design.  </w:t>
      </w:r>
      <w:r>
        <w:rPr>
          <w:rFonts w:ascii="Calibri Light" w:eastAsia="Calibri Light" w:hAnsi="Calibri Light" w:cs="Calibri Light"/>
          <w:color w:val="404040" w:themeColor="text1" w:themeTint="BF"/>
          <w:sz w:val="18"/>
        </w:rPr>
        <w:t>[SOC 2: CC4.1, CC7.2]</w:t>
      </w:r>
    </w:p>
    <w:p w14:paraId="2F8BACE4" w14:textId="77777777" w:rsidR="002214AA" w:rsidRDefault="00000000">
      <w:pPr>
        <w:pStyle w:val="Emphasis-Normal"/>
        <w:numPr>
          <w:ilvl w:val="0"/>
          <w:numId w:val="7"/>
        </w:numPr>
        <w:spacing w:after="120"/>
        <w:jc w:val="both"/>
      </w:pPr>
      <w:r>
        <w:rPr>
          <w:color w:val="404040" w:themeColor="text1" w:themeTint="BF"/>
        </w:rPr>
        <w:t xml:space="preserve">Secrets, credentials, authentication tokens and client information are not written into records. Where they might appear, the field is redacted at source.  </w:t>
      </w:r>
      <w:r>
        <w:rPr>
          <w:rFonts w:ascii="Calibri Light" w:eastAsia="Calibri Light" w:hAnsi="Calibri Light" w:cs="Calibri Light"/>
          <w:color w:val="404040" w:themeColor="text1" w:themeTint="BF"/>
          <w:sz w:val="18"/>
        </w:rPr>
        <w:t>[SOC 2: CC6.7 · C1.1]</w:t>
      </w:r>
    </w:p>
    <w:p w14:paraId="1C747F9F" w14:textId="77777777" w:rsidR="002214AA" w:rsidRDefault="00000000">
      <w:pPr>
        <w:pStyle w:val="Emphasis-Normal"/>
        <w:numPr>
          <w:ilvl w:val="0"/>
          <w:numId w:val="7"/>
        </w:numPr>
        <w:spacing w:after="120"/>
        <w:jc w:val="both"/>
      </w:pPr>
      <w:r>
        <w:rPr>
          <w:color w:val="404040" w:themeColor="text1" w:themeTint="BF"/>
        </w:rPr>
        <w:t xml:space="preserve">Alerting coverage is reviewed annually against the five rules and adjusted where the estate has changed. A rule that fires constantly is a coverage problem to be tuned, not ignored.  </w:t>
      </w:r>
      <w:r>
        <w:rPr>
          <w:rFonts w:ascii="Calibri Light" w:eastAsia="Calibri Light" w:hAnsi="Calibri Light" w:cs="Calibri Light"/>
          <w:color w:val="404040" w:themeColor="text1" w:themeTint="BF"/>
          <w:sz w:val="18"/>
        </w:rPr>
        <w:t>[SOC 2: CC7.2, CC4.1]</w:t>
      </w:r>
    </w:p>
    <w:p w14:paraId="3C50B39B" w14:textId="77777777" w:rsidR="002214AA" w:rsidRDefault="00000000">
      <w:pPr>
        <w:pStyle w:val="Heading1"/>
        <w:keepNext/>
        <w:numPr>
          <w:ilvl w:val="0"/>
          <w:numId w:val="10"/>
        </w:numPr>
        <w:spacing w:before="240" w:after="80"/>
      </w:pPr>
      <w:bookmarkStart w:id="7" w:name="_S507"/>
      <w:r>
        <w:t>Records</w:t>
      </w:r>
      <w:bookmarkEnd w:id="7"/>
    </w:p>
    <w:p w14:paraId="7F0707AA" w14:textId="77777777" w:rsidR="002214AA" w:rsidRDefault="00000000">
      <w:pPr>
        <w:pStyle w:val="Emphasis-Normal"/>
        <w:numPr>
          <w:ilvl w:val="0"/>
          <w:numId w:val="8"/>
        </w:numPr>
        <w:spacing w:after="120"/>
        <w:jc w:val="both"/>
      </w:pPr>
      <w:r>
        <w:rPr>
          <w:color w:val="404040" w:themeColor="text1" w:themeTint="BF"/>
        </w:rPr>
        <w:t xml:space="preserve">The adopted guidance versions and the list of log sources with their delivery configuration.  </w:t>
      </w:r>
      <w:r>
        <w:rPr>
          <w:rFonts w:ascii="Calibri Light" w:eastAsia="Calibri Light" w:hAnsi="Calibri Light" w:cs="Calibri Light"/>
          <w:color w:val="404040" w:themeColor="text1" w:themeTint="BF"/>
          <w:sz w:val="18"/>
        </w:rPr>
        <w:t>[SOC 2: CC2.1, CC5.3]</w:t>
      </w:r>
    </w:p>
    <w:p w14:paraId="4BBDF41A" w14:textId="77777777" w:rsidR="002214AA" w:rsidRDefault="00000000">
      <w:pPr>
        <w:pStyle w:val="Emphasis-Normal"/>
        <w:numPr>
          <w:ilvl w:val="0"/>
          <w:numId w:val="8"/>
        </w:numPr>
        <w:spacing w:after="120"/>
        <w:jc w:val="both"/>
      </w:pPr>
      <w:r>
        <w:rPr>
          <w:color w:val="404040" w:themeColor="text1" w:themeTint="BF"/>
        </w:rPr>
        <w:t xml:space="preserve">Retention and object-lock settings on the destination.  </w:t>
      </w:r>
      <w:r>
        <w:rPr>
          <w:rFonts w:ascii="Calibri Light" w:eastAsia="Calibri Light" w:hAnsi="Calibri Light" w:cs="Calibri Light"/>
          <w:color w:val="404040" w:themeColor="text1" w:themeTint="BF"/>
          <w:sz w:val="18"/>
        </w:rPr>
        <w:t>[SOC 2: CC7.2]</w:t>
      </w:r>
    </w:p>
    <w:p w14:paraId="514A6023" w14:textId="77777777" w:rsidR="002214AA" w:rsidRDefault="00000000">
      <w:pPr>
        <w:pStyle w:val="Emphasis-Normal"/>
        <w:numPr>
          <w:ilvl w:val="0"/>
          <w:numId w:val="8"/>
        </w:numPr>
        <w:spacing w:after="120"/>
        <w:jc w:val="both"/>
      </w:pPr>
      <w:r>
        <w:rPr>
          <w:color w:val="404040" w:themeColor="text1" w:themeTint="BF"/>
        </w:rPr>
        <w:t xml:space="preserve">The complete alert population for the period with each disposition.  </w:t>
      </w:r>
      <w:r>
        <w:rPr>
          <w:rFonts w:ascii="Calibri Light" w:eastAsia="Calibri Light" w:hAnsi="Calibri Light" w:cs="Calibri Light"/>
          <w:color w:val="404040" w:themeColor="text1" w:themeTint="BF"/>
          <w:sz w:val="18"/>
        </w:rPr>
        <w:t>[SOC 2: CC7.3]</w:t>
      </w:r>
    </w:p>
    <w:p w14:paraId="2D56FEA0" w14:textId="77777777" w:rsidR="002214AA" w:rsidRDefault="00000000">
      <w:pPr>
        <w:pStyle w:val="Emphasis-Normal"/>
        <w:numPr>
          <w:ilvl w:val="0"/>
          <w:numId w:val="8"/>
        </w:numPr>
        <w:spacing w:after="120"/>
        <w:jc w:val="both"/>
      </w:pPr>
      <w:r>
        <w:rPr>
          <w:color w:val="404040" w:themeColor="text1" w:themeTint="BF"/>
        </w:rPr>
        <w:t xml:space="preserve">Twelve monthly review records a year, including nil months.  </w:t>
      </w:r>
      <w:r>
        <w:rPr>
          <w:rFonts w:ascii="Calibri Light" w:eastAsia="Calibri Light" w:hAnsi="Calibri Light" w:cs="Calibri Light"/>
          <w:color w:val="404040" w:themeColor="text1" w:themeTint="BF"/>
          <w:sz w:val="18"/>
        </w:rPr>
        <w:t>[SOC 2: CC4.1]</w:t>
      </w:r>
    </w:p>
    <w:p w14:paraId="7D7306C7" w14:textId="77777777" w:rsidR="002214AA" w:rsidRDefault="00000000">
      <w:pPr>
        <w:pStyle w:val="Emphasis-Normal"/>
        <w:numPr>
          <w:ilvl w:val="0"/>
          <w:numId w:val="8"/>
        </w:numPr>
        <w:spacing w:after="120"/>
        <w:jc w:val="both"/>
      </w:pPr>
      <w:r>
        <w:rPr>
          <w:color w:val="404040" w:themeColor="text1" w:themeTint="BF"/>
        </w:rPr>
        <w:t xml:space="preserve">The annual alerting coverage review.  </w:t>
      </w:r>
      <w:r>
        <w:rPr>
          <w:rFonts w:ascii="Calibri Light" w:eastAsia="Calibri Light" w:hAnsi="Calibri Light" w:cs="Calibri Light"/>
          <w:color w:val="404040" w:themeColor="text1" w:themeTint="BF"/>
          <w:sz w:val="18"/>
        </w:rPr>
        <w:t>[SOC 2: CC7.2]</w:t>
      </w:r>
    </w:p>
    <w:p w14:paraId="40D80B83" w14:textId="77777777" w:rsidR="002214AA" w:rsidRDefault="00000000">
      <w:pPr>
        <w:pStyle w:val="Heading1"/>
        <w:keepNext/>
        <w:numPr>
          <w:ilvl w:val="0"/>
          <w:numId w:val="10"/>
        </w:numPr>
        <w:spacing w:before="240" w:after="80"/>
      </w:pPr>
      <w:bookmarkStart w:id="8" w:name="_S508"/>
      <w:r>
        <w:lastRenderedPageBreak/>
        <w:t>Exceptions</w:t>
      </w:r>
      <w:bookmarkEnd w:id="8"/>
    </w:p>
    <w:p w14:paraId="3B3E66CC" w14:textId="77777777" w:rsidR="002214AA" w:rsidRDefault="00000000">
      <w:pPr>
        <w:pStyle w:val="BodyText9"/>
        <w:spacing w:after="120"/>
        <w:jc w:val="both"/>
      </w:pPr>
      <w:r>
        <w:rPr>
          <w:color w:val="404040" w:themeColor="text1" w:themeTint="BF"/>
        </w:rPr>
        <w:t>Where a source cannot deliver a required record, or a plan does not support the retention this Standard requires, the position is recorded by the Accountable Party with the compensating measure and a review date. Where no exceptions are in force, that is recorded affirmatively at the annual review.</w:t>
      </w:r>
    </w:p>
    <w:p w14:paraId="63FA8184" w14:textId="77777777" w:rsidR="002214AA" w:rsidRDefault="00000000">
      <w:pPr>
        <w:pStyle w:val="Heading1"/>
        <w:keepNext/>
        <w:numPr>
          <w:ilvl w:val="0"/>
          <w:numId w:val="10"/>
        </w:numPr>
        <w:spacing w:before="240" w:after="80"/>
      </w:pPr>
      <w:bookmarkStart w:id="9" w:name="_S509"/>
      <w:r>
        <w:t>Reference</w:t>
      </w:r>
      <w:bookmarkEnd w:id="9"/>
    </w:p>
    <w:p w14:paraId="1C4783E4" w14:textId="0024B8D6" w:rsidR="002214AA" w:rsidRDefault="00000000">
      <w:pPr>
        <w:pStyle w:val="Emphasis-Normal"/>
        <w:numPr>
          <w:ilvl w:val="0"/>
          <w:numId w:val="9"/>
        </w:numPr>
        <w:spacing w:after="120"/>
        <w:jc w:val="both"/>
      </w:pPr>
      <w:r>
        <w:rPr>
          <w:color w:val="404040" w:themeColor="text1" w:themeTint="BF"/>
        </w:rPr>
        <w:t xml:space="preserve">SOC 2 Trust Services Criteria, Security </w:t>
      </w:r>
      <w:r w:rsidR="00802D70">
        <w:rPr>
          <w:color w:val="404040" w:themeColor="text1" w:themeTint="BF"/>
        </w:rPr>
        <w:t>category [</w:t>
      </w:r>
      <w:r>
        <w:rPr>
          <w:rFonts w:ascii="Calibri Light" w:eastAsia="Calibri Light" w:hAnsi="Calibri Light" w:cs="Calibri Light"/>
          <w:color w:val="404040" w:themeColor="text1" w:themeTint="BF"/>
          <w:sz w:val="18"/>
        </w:rPr>
        <w:t>CC4.1, CC5.3, CC7.2, CC7.3]</w:t>
      </w:r>
    </w:p>
    <w:p w14:paraId="7E9B7A9F" w14:textId="77777777" w:rsidR="002214AA" w:rsidRDefault="00000000">
      <w:pPr>
        <w:pStyle w:val="Emphasis-Normal"/>
        <w:numPr>
          <w:ilvl w:val="0"/>
          <w:numId w:val="9"/>
        </w:numPr>
        <w:spacing w:after="120"/>
        <w:jc w:val="both"/>
      </w:pPr>
      <w:r>
        <w:rPr>
          <w:color w:val="404040" w:themeColor="text1" w:themeTint="BF"/>
        </w:rPr>
        <w:t>CIS Amazon Web Services Foundations Benchmark and AWS Well-Architected Security Pillar</w:t>
      </w:r>
    </w:p>
    <w:p w14:paraId="2DBC19D4" w14:textId="77777777" w:rsidR="002214AA" w:rsidRDefault="00000000">
      <w:pPr>
        <w:pStyle w:val="Emphasis-Normal"/>
        <w:numPr>
          <w:ilvl w:val="0"/>
          <w:numId w:val="9"/>
        </w:numPr>
        <w:spacing w:after="120"/>
        <w:jc w:val="both"/>
      </w:pPr>
      <w:r>
        <w:rPr>
          <w:color w:val="404040" w:themeColor="text1" w:themeTint="BF"/>
        </w:rPr>
        <w:t>Google Workspace audit and investigation guidance</w:t>
      </w:r>
    </w:p>
    <w:p w14:paraId="24379B6E" w14:textId="77777777" w:rsidR="002214AA" w:rsidRDefault="00000000">
      <w:pPr>
        <w:pStyle w:val="Emphasis-Normal"/>
        <w:numPr>
          <w:ilvl w:val="0"/>
          <w:numId w:val="9"/>
        </w:numPr>
        <w:spacing w:after="120"/>
        <w:jc w:val="both"/>
      </w:pPr>
      <w:r>
        <w:rPr>
          <w:color w:val="404040" w:themeColor="text1" w:themeTint="BF"/>
        </w:rPr>
        <w:t>GitHub audit log and secret-scanning guidance</w:t>
      </w:r>
    </w:p>
    <w:p w14:paraId="04529465" w14:textId="1BB04A1B" w:rsidR="002214AA" w:rsidRDefault="00000000">
      <w:pPr>
        <w:pStyle w:val="Emphasis-Normal"/>
        <w:numPr>
          <w:ilvl w:val="0"/>
          <w:numId w:val="9"/>
        </w:numPr>
        <w:spacing w:after="120"/>
        <w:jc w:val="both"/>
      </w:pPr>
      <w:r>
        <w:rPr>
          <w:color w:val="404040" w:themeColor="text1" w:themeTint="BF"/>
        </w:rPr>
        <w:t xml:space="preserve">POL-LOG-001 Logging and Monitoring </w:t>
      </w:r>
      <w:r w:rsidR="00802D70">
        <w:rPr>
          <w:color w:val="404040" w:themeColor="text1" w:themeTint="BF"/>
        </w:rPr>
        <w:t>Policy [</w:t>
      </w:r>
      <w:r>
        <w:rPr>
          <w:rFonts w:ascii="Calibri Light" w:eastAsia="Calibri Light" w:hAnsi="Calibri Light" w:cs="Calibri Light"/>
          <w:color w:val="404040" w:themeColor="text1" w:themeTint="BF"/>
          <w:sz w:val="18"/>
        </w:rPr>
        <w:t>SOC 2: CC7.2]</w:t>
      </w:r>
    </w:p>
    <w:p w14:paraId="6F139A77" w14:textId="31A27638" w:rsidR="002214AA" w:rsidRDefault="00000000">
      <w:pPr>
        <w:pStyle w:val="Emphasis-Normal"/>
        <w:numPr>
          <w:ilvl w:val="0"/>
          <w:numId w:val="9"/>
        </w:numPr>
        <w:spacing w:after="120"/>
        <w:jc w:val="both"/>
      </w:pPr>
      <w:r>
        <w:rPr>
          <w:color w:val="404040" w:themeColor="text1" w:themeTint="BF"/>
        </w:rPr>
        <w:t xml:space="preserve">POL-ISP-001 Information Security </w:t>
      </w:r>
      <w:r w:rsidR="00802D70">
        <w:rPr>
          <w:color w:val="404040" w:themeColor="text1" w:themeTint="BF"/>
        </w:rPr>
        <w:t>Policy [</w:t>
      </w:r>
      <w:r>
        <w:rPr>
          <w:rFonts w:ascii="Calibri Light" w:eastAsia="Calibri Light" w:hAnsi="Calibri Light" w:cs="Calibri Light"/>
          <w:color w:val="404040" w:themeColor="text1" w:themeTint="BF"/>
          <w:sz w:val="18"/>
        </w:rPr>
        <w:t>SOC 2: CC5.3]</w:t>
      </w:r>
    </w:p>
    <w:p w14:paraId="5E19B4C6" w14:textId="4EB1F958" w:rsidR="002214AA" w:rsidRDefault="00000000">
      <w:pPr>
        <w:pStyle w:val="Emphasis-Normal"/>
        <w:numPr>
          <w:ilvl w:val="0"/>
          <w:numId w:val="9"/>
        </w:numPr>
        <w:spacing w:after="120"/>
        <w:jc w:val="both"/>
      </w:pPr>
      <w:r>
        <w:rPr>
          <w:color w:val="404040" w:themeColor="text1" w:themeTint="BF"/>
        </w:rPr>
        <w:t xml:space="preserve">STD-CLD-001 Cloud Platform </w:t>
      </w:r>
      <w:r w:rsidR="00802D70">
        <w:rPr>
          <w:color w:val="404040" w:themeColor="text1" w:themeTint="BF"/>
        </w:rPr>
        <w:t>Standard [</w:t>
      </w:r>
      <w:r>
        <w:rPr>
          <w:rFonts w:ascii="Calibri Light" w:eastAsia="Calibri Light" w:hAnsi="Calibri Light" w:cs="Calibri Light"/>
          <w:color w:val="404040" w:themeColor="text1" w:themeTint="BF"/>
          <w:sz w:val="18"/>
        </w:rPr>
        <w:t>SOC 2: CC7.1]</w:t>
      </w:r>
    </w:p>
    <w:p w14:paraId="1B38FF33" w14:textId="1FC2B835" w:rsidR="002214AA" w:rsidRDefault="00000000">
      <w:pPr>
        <w:pStyle w:val="Emphasis-Normal"/>
        <w:numPr>
          <w:ilvl w:val="0"/>
          <w:numId w:val="9"/>
        </w:numPr>
        <w:spacing w:after="120"/>
        <w:jc w:val="both"/>
      </w:pPr>
      <w:r>
        <w:rPr>
          <w:color w:val="404040" w:themeColor="text1" w:themeTint="BF"/>
        </w:rPr>
        <w:t xml:space="preserve">POL-IRP-001 Incident Response </w:t>
      </w:r>
      <w:r w:rsidR="00802D70">
        <w:rPr>
          <w:color w:val="404040" w:themeColor="text1" w:themeTint="BF"/>
        </w:rPr>
        <w:t>Policy [</w:t>
      </w:r>
      <w:r>
        <w:rPr>
          <w:rFonts w:ascii="Calibri Light" w:eastAsia="Calibri Light" w:hAnsi="Calibri Light" w:cs="Calibri Light"/>
          <w:color w:val="404040" w:themeColor="text1" w:themeTint="BF"/>
          <w:sz w:val="18"/>
        </w:rPr>
        <w:t>SOC 2: CC7.3]</w:t>
      </w:r>
    </w:p>
    <w:p w14:paraId="74A31740" w14:textId="77777777" w:rsidR="002214AA" w:rsidRDefault="00000000">
      <w:pPr>
        <w:pStyle w:val="Emphasis-Normal"/>
        <w:numPr>
          <w:ilvl w:val="0"/>
          <w:numId w:val="9"/>
        </w:numPr>
        <w:spacing w:after="120"/>
        <w:jc w:val="both"/>
      </w:pPr>
      <w:r>
        <w:rPr>
          <w:color w:val="404040" w:themeColor="text1" w:themeTint="BF"/>
        </w:rPr>
        <w:t>HIPAA Security Rule, 45 CFR §164.312(b)</w:t>
      </w:r>
    </w:p>
    <w:p w14:paraId="2FBFD648" w14:textId="77777777" w:rsidR="002214AA" w:rsidRDefault="00000000">
      <w:pPr>
        <w:pStyle w:val="Emphasis-Normal"/>
        <w:numPr>
          <w:ilvl w:val="0"/>
          <w:numId w:val="9"/>
        </w:numPr>
        <w:spacing w:after="120"/>
        <w:jc w:val="both"/>
      </w:pPr>
      <w:r>
        <w:rPr>
          <w:color w:val="404040" w:themeColor="text1" w:themeTint="BF"/>
        </w:rPr>
        <w:t>EU General Data Protection Regulation, Articles 5 and 32</w:t>
      </w:r>
    </w:p>
    <w:p w14:paraId="6D8C4E83" w14:textId="77777777" w:rsidR="002214AA" w:rsidRDefault="00000000">
      <w:pPr>
        <w:pStyle w:val="Heading1"/>
        <w:numPr>
          <w:ilvl w:val="0"/>
          <w:numId w:val="3"/>
        </w:numPr>
        <w:suppressLineNumbers/>
        <w:spacing w:after="160"/>
      </w:pPr>
      <w:bookmarkStart w:id="10" w:name="_Toc236674048"/>
      <w:r>
        <w:rPr>
          <w:caps/>
          <w:sz w:val="32"/>
        </w:rPr>
        <w:t>Document Policy History</w:t>
      </w:r>
      <w:bookmarkEnd w:id="10"/>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2214AA" w14:paraId="77632CF1"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3AACE6EF" w14:textId="77777777" w:rsidR="002214AA"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16243585" w14:textId="77777777" w:rsidR="002214AA"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0625E8DD" w14:textId="77777777" w:rsidR="002214AA" w:rsidRDefault="00000000">
            <w:pPr>
              <w:suppressLineNumbers/>
              <w:spacing w:before="40" w:after="40" w:line="240" w:lineRule="auto"/>
            </w:pPr>
            <w:r>
              <w:rPr>
                <w:b/>
                <w:sz w:val="20"/>
              </w:rPr>
              <w:t>Description</w:t>
            </w:r>
          </w:p>
        </w:tc>
      </w:tr>
      <w:tr w:rsidR="002214AA" w14:paraId="7A512A5B" w14:textId="77777777">
        <w:tc>
          <w:tcPr>
            <w:tcW w:w="1434" w:type="dxa"/>
            <w:tcBorders>
              <w:top w:val="single" w:sz="2" w:space="0" w:color="595959"/>
              <w:left w:val="single" w:sz="4" w:space="0" w:color="BFCDD4"/>
              <w:bottom w:val="single" w:sz="4" w:space="0" w:color="BFCDD4"/>
              <w:right w:val="single" w:sz="4" w:space="0" w:color="BFCDD4"/>
            </w:tcBorders>
            <w:vAlign w:val="center"/>
          </w:tcPr>
          <w:p w14:paraId="32BFFE68" w14:textId="77777777" w:rsidR="002214AA" w:rsidRDefault="00000000">
            <w:pPr>
              <w:suppressLineNumbers/>
              <w:spacing w:before="40" w:after="40" w:line="240" w:lineRule="auto"/>
            </w:pPr>
            <w:r>
              <w:rPr>
                <w:sz w:val="20"/>
              </w:rPr>
              <w:t>1.0</w:t>
            </w:r>
          </w:p>
        </w:tc>
        <w:tc>
          <w:tcPr>
            <w:tcW w:w="2310" w:type="dxa"/>
            <w:tcBorders>
              <w:top w:val="single" w:sz="2" w:space="0" w:color="595959"/>
              <w:left w:val="single" w:sz="4" w:space="0" w:color="BFCDD4"/>
              <w:bottom w:val="single" w:sz="4" w:space="0" w:color="BFCDD4"/>
              <w:right w:val="single" w:sz="4" w:space="0" w:color="BFCDD4"/>
            </w:tcBorders>
            <w:vAlign w:val="center"/>
          </w:tcPr>
          <w:p w14:paraId="0A8FA1FE" w14:textId="77777777" w:rsidR="002214AA" w:rsidRDefault="00000000">
            <w:pPr>
              <w:suppressLineNumbers/>
              <w:spacing w:before="40" w:after="40" w:line="240" w:lineRule="auto"/>
            </w:pPr>
            <w:r>
              <w:rPr>
                <w:sz w:val="20"/>
              </w:rPr>
              <w:t>August 18,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43464851" w14:textId="77777777" w:rsidR="002214AA" w:rsidRDefault="00000000">
            <w:pPr>
              <w:suppressLineNumbers/>
              <w:spacing w:before="40" w:after="40" w:line="240" w:lineRule="auto"/>
            </w:pPr>
            <w:r>
              <w:rPr>
                <w:sz w:val="20"/>
              </w:rPr>
              <w:t>Initial policy release</w:t>
            </w:r>
          </w:p>
        </w:tc>
      </w:tr>
    </w:tbl>
    <w:p w14:paraId="16D2EA95" w14:textId="77777777" w:rsidR="002214AA" w:rsidRDefault="002214AA"/>
    <w:sectPr w:rsidR="002214AA">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A604C0" w14:textId="77777777" w:rsidR="00EA50DD" w:rsidRDefault="00EA50DD">
      <w:pPr>
        <w:spacing w:after="0" w:line="240" w:lineRule="auto"/>
      </w:pPr>
      <w:r>
        <w:separator/>
      </w:r>
    </w:p>
  </w:endnote>
  <w:endnote w:type="continuationSeparator" w:id="0">
    <w:p w14:paraId="742A0791" w14:textId="77777777" w:rsidR="00EA50DD" w:rsidRDefault="00EA5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6AF44" w14:textId="77777777" w:rsidR="002214AA" w:rsidRDefault="00221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896167" w14:textId="77777777" w:rsidR="002214AA" w:rsidRDefault="00000000">
    <w:pPr>
      <w:suppressLineNumbers/>
      <w:pBdr>
        <w:top w:val="single" w:sz="6" w:space="4" w:color="1B4965"/>
      </w:pBdr>
      <w:spacing w:before="160" w:after="0"/>
      <w:jc w:val="center"/>
    </w:pPr>
    <w:r>
      <w:rPr>
        <w:sz w:val="17"/>
      </w:rPr>
      <w:t xml:space="preserve">PromptHalo Technologies   ·   Internal   ·   STD-LOG-001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1D08E2" w14:textId="77777777" w:rsidR="002214AA" w:rsidRDefault="002214AA">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3729D" w14:textId="77777777" w:rsidR="002214AA" w:rsidRDefault="002214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1ED8B4" w14:textId="77777777" w:rsidR="002214AA" w:rsidRDefault="00000000">
    <w:pPr>
      <w:suppressLineNumbers/>
      <w:pBdr>
        <w:top w:val="single" w:sz="6" w:space="4" w:color="1B4965"/>
      </w:pBdr>
      <w:spacing w:before="160" w:after="0"/>
      <w:jc w:val="center"/>
    </w:pPr>
    <w:r>
      <w:rPr>
        <w:sz w:val="17"/>
      </w:rPr>
      <w:t xml:space="preserve">PromptHalo Technologies   ·   Internal   ·   STD-LOG-001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C8C9A" w14:textId="77777777" w:rsidR="002214AA" w:rsidRDefault="002214AA">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2ACC68" w14:textId="77777777" w:rsidR="00EA50DD" w:rsidRDefault="00EA50DD">
      <w:pPr>
        <w:spacing w:after="0" w:line="240" w:lineRule="auto"/>
      </w:pPr>
      <w:r>
        <w:separator/>
      </w:r>
    </w:p>
  </w:footnote>
  <w:footnote w:type="continuationSeparator" w:id="0">
    <w:p w14:paraId="201A170B" w14:textId="77777777" w:rsidR="00EA50DD" w:rsidRDefault="00EA5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1B4CB" w14:textId="77777777" w:rsidR="002214AA" w:rsidRDefault="002214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02DBC" w14:textId="77777777" w:rsidR="002214AA" w:rsidRDefault="00000000">
    <w:pPr>
      <w:suppressLineNumbers/>
      <w:pBdr>
        <w:bottom w:val="single" w:sz="6" w:space="4" w:color="1B4965"/>
      </w:pBdr>
      <w:spacing w:after="160"/>
      <w:jc w:val="center"/>
    </w:pPr>
    <w:r>
      <w:rPr>
        <w:b/>
        <w:caps/>
        <w:spacing w:val="12"/>
        <w:sz w:val="17"/>
      </w:rPr>
      <w:t>LOGGING STANDARD   ·   INTERNAL   ·   STD-LOG-001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3BAB9" w14:textId="77777777" w:rsidR="002214AA" w:rsidRDefault="002214AA">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1A085" w14:textId="77777777" w:rsidR="002214AA" w:rsidRDefault="002214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17AB8" w14:textId="77777777" w:rsidR="002214AA" w:rsidRDefault="00000000">
    <w:pPr>
      <w:suppressLineNumbers/>
      <w:pBdr>
        <w:bottom w:val="single" w:sz="6" w:space="4" w:color="1B4965"/>
      </w:pBdr>
      <w:spacing w:after="160"/>
      <w:jc w:val="center"/>
    </w:pPr>
    <w:r>
      <w:rPr>
        <w:b/>
        <w:caps/>
        <w:spacing w:val="12"/>
        <w:sz w:val="17"/>
      </w:rPr>
      <w:t>LOGGING STANDARD   ·   INTERNAL   ·   STD-LOG-001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609328" w14:textId="77777777" w:rsidR="002214AA" w:rsidRDefault="002214AA">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9E5D02"/>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42CA1122"/>
    <w:multiLevelType w:val="multilevel"/>
    <w:tmpl w:val="EBEAF52A"/>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44B63DAC"/>
    <w:multiLevelType w:val="multilevel"/>
    <w:tmpl w:val="4BD47F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0AC4927"/>
    <w:multiLevelType w:val="multilevel"/>
    <w:tmpl w:val="61DCAB7C"/>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402139598">
    <w:abstractNumId w:val="1"/>
  </w:num>
  <w:num w:numId="2" w16cid:durableId="761728741">
    <w:abstractNumId w:val="0"/>
  </w:num>
  <w:num w:numId="3" w16cid:durableId="31656197">
    <w:abstractNumId w:val="3"/>
  </w:num>
  <w:num w:numId="4" w16cid:durableId="672758545">
    <w:abstractNumId w:val="2"/>
    <w:lvlOverride w:ilvl="0">
      <w:startOverride w:val="1"/>
    </w:lvlOverride>
  </w:num>
  <w:num w:numId="5" w16cid:durableId="1567569279">
    <w:abstractNumId w:val="2"/>
    <w:lvlOverride w:ilvl="0">
      <w:startOverride w:val="1"/>
    </w:lvlOverride>
  </w:num>
  <w:num w:numId="6" w16cid:durableId="732578504">
    <w:abstractNumId w:val="2"/>
    <w:lvlOverride w:ilvl="0">
      <w:startOverride w:val="1"/>
    </w:lvlOverride>
  </w:num>
  <w:num w:numId="7" w16cid:durableId="2142454002">
    <w:abstractNumId w:val="2"/>
    <w:lvlOverride w:ilvl="0">
      <w:startOverride w:val="1"/>
    </w:lvlOverride>
  </w:num>
  <w:num w:numId="8" w16cid:durableId="1230767877">
    <w:abstractNumId w:val="2"/>
    <w:lvlOverride w:ilvl="0">
      <w:startOverride w:val="1"/>
    </w:lvlOverride>
  </w:num>
  <w:num w:numId="9" w16cid:durableId="1373530869">
    <w:abstractNumId w:val="2"/>
    <w:lvlOverride w:ilvl="0">
      <w:startOverride w:val="1"/>
    </w:lvlOverride>
  </w:num>
  <w:num w:numId="10" w16cid:durableId="585698456">
    <w:abstractNumId w:val="1"/>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4AA"/>
    <w:rsid w:val="002214AA"/>
    <w:rsid w:val="003C2E15"/>
    <w:rsid w:val="00802D70"/>
    <w:rsid w:val="00D232B4"/>
    <w:rsid w:val="00E45467"/>
    <w:rsid w:val="00EA50D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974FBCB"/>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2026-08-17T03:26:00Z</cp:lastPrinted>
  <dcterms:created xsi:type="dcterms:W3CDTF">2026-08-17T03:26:00Z</dcterms:created>
  <dcterms:modified xsi:type="dcterms:W3CDTF">2026-08-17T03:26:00Z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