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178D33" w14:textId="77777777" w:rsidR="0019039B" w:rsidRDefault="0019039B" w:rsidP="006A3C41">
      <w:pPr>
        <w:pStyle w:val="Strong1"/>
        <w:suppressLineNumbers/>
      </w:pPr>
    </w:p>
    <w:p w14:paraId="2990BA4A" w14:textId="0870CED3" w:rsidR="0019039B" w:rsidRDefault="0019039B" w:rsidP="007A2335">
      <w:pPr>
        <w:suppressLineNumbers/>
      </w:pPr>
    </w:p>
    <w:p w14:paraId="30477DC7" w14:textId="77777777" w:rsidR="0019039B" w:rsidRPr="00811F88" w:rsidRDefault="00000000" w:rsidP="009B6824">
      <w:pPr>
        <w:suppressLineNumbers/>
        <w:jc w:val="center"/>
        <w:rPr>
          <w:rStyle w:val="Emphasis"/>
          <w:rFonts w:eastAsia="Times New Roman"/>
          <w:b w:val="0"/>
          <w:i w:val="0"/>
          <w:smallCaps/>
          <w:color w:val="074F6A"/>
          <w:spacing w:val="0"/>
          <w:sz w:val="52"/>
          <w:szCs w:val="52"/>
        </w:rPr>
      </w:pPr>
      <w:r>
        <w:rPr>
          <w:rStyle w:val="Emphasis"/>
          <w:rFonts w:eastAsia="Times New Roman"/>
          <w:b w:val="0"/>
          <w:i w:val="0"/>
          <w:smallCaps/>
          <w:color w:val="074F6A"/>
          <w:spacing w:val="0"/>
          <w:sz w:val="52"/>
          <w:szCs w:val="52"/>
        </w:rPr>
        <w:t>CRYPTOGRAPHY STANDARD</w:t>
      </w:r>
    </w:p>
    <w:p w14:paraId="41B10D6A" w14:textId="77777777" w:rsidR="0019039B" w:rsidRDefault="0019039B" w:rsidP="007A2335">
      <w:pPr>
        <w:suppressLineNumbers/>
      </w:pPr>
    </w:p>
    <w:p w14:paraId="38B7BC8A" w14:textId="77777777" w:rsidR="009B6824" w:rsidRDefault="009B6824" w:rsidP="007A2335">
      <w:pPr>
        <w:suppressLineNumbers/>
      </w:pPr>
    </w:p>
    <w:p w14:paraId="5F70AC0C" w14:textId="3D17A830" w:rsidR="009B6824" w:rsidRPr="009B6824" w:rsidRDefault="009B6824" w:rsidP="007A2335">
      <w:pPr>
        <w:suppressLineNumbers/>
        <w:rPr>
          <w:rFonts w:ascii="Arial Narrow" w:hAnsi="Arial Narrow"/>
        </w:rPr>
      </w:pPr>
    </w:p>
    <w:p w14:paraId="405C7858" w14:textId="77777777" w:rsidR="0019039B" w:rsidRPr="00811F88" w:rsidRDefault="00000000" w:rsidP="009B6824">
      <w:pPr>
        <w:suppressLineNumbers/>
        <w:spacing w:after="0" w:line="240" w:lineRule="auto"/>
        <w:jc w:val="center"/>
        <w:rPr>
          <w:rFonts w:ascii="Calibri Light" w:hAnsi="Calibri Light" w:cs="Calibri Light"/>
          <w:sz w:val="20"/>
          <w:szCs w:val="20"/>
        </w:rPr>
      </w:pPr>
      <w:r>
        <w:rPr>
          <w:rFonts w:ascii="Calibri Light" w:eastAsia="Times New Roman" w:hAnsi="Calibri Light" w:cs="Calibri Light"/>
          <w:color w:val="404040"/>
          <w:sz w:val="20"/>
          <w:szCs w:val="20"/>
        </w:rPr>
        <w:t>Version</w:t>
      </w:r>
      <w:r>
        <w:rPr>
          <w:rFonts w:ascii="Calibri Light" w:hAnsi="Calibri Light" w:cs="Calibri Light"/>
          <w:color w:val="1B4965"/>
          <w:sz w:val="20"/>
          <w:szCs w:val="20"/>
          <w14:textFill>
            <w14:solidFill>
              <w14:srgbClr w14:val="1B4965">
                <w14:lumMod w14:val="75000"/>
                <w14:lumOff w14:val="25000"/>
              </w14:srgbClr>
            </w14:solidFill>
          </w14:textFill>
        </w:rPr>
        <w:t xml:space="preserve"> </w:t>
      </w:r>
      <w:r>
        <w:rPr>
          <w:rFonts w:ascii="Calibri Light" w:hAnsi="Calibri Light" w:cs="Calibri Light"/>
          <w:sz w:val="20"/>
          <w:szCs w:val="20"/>
        </w:rPr>
        <w:fldChar w:fldCharType="begin"/>
        <w:instrText xml:space="preserve"> DOCPROPERTY "PolicyVersion" \* MERGEFORMAT </w:instrText>
        <w:fldChar w:fldCharType="separate"/>
      </w:r>
      <w:r>
        <w:rPr>
          <w:rFonts w:ascii="Calibri Light" w:hAnsi="Calibri Light" w:cs="Calibri Light"/>
          <w:color w:val="1B4965"/>
          <w:sz w:val="20"/>
          <w:szCs w:val="20"/>
          <w14:textFill>
            <w14:solidFill>
              <w14:srgbClr w14:val="1B4965">
                <w14:lumMod w14:val="75000"/>
                <w14:lumOff w14:val="25000"/>
              </w14:srgbClr>
            </w14:solidFill>
          </w14:textFill>
        </w:rPr>
        <w:t>1.0</w:t>
        <w:fldChar w:fldCharType="end"/>
      </w:r>
    </w:p>
    <w:p w14:paraId="3681A3D5" w14:textId="77777777" w:rsidR="0019039B" w:rsidRPr="00811F88" w:rsidRDefault="00000000" w:rsidP="009B6824">
      <w:pPr>
        <w:suppressLineNumbers/>
        <w:spacing w:line="240" w:lineRule="auto"/>
        <w:jc w:val="center"/>
        <w:rPr>
          <w:rFonts w:ascii="Calibri Light" w:hAnsi="Calibri Light" w:cs="Calibri Light"/>
          <w:sz w:val="20"/>
          <w:szCs w:val="20"/>
        </w:rPr>
      </w:pPr>
      <w:r>
        <w:rPr>
          <w:rFonts w:ascii="Calibri Light" w:hAnsi="Calibri Light" w:cs="Calibri Light"/>
          <w:color w:val="1B4965"/>
          <w:sz w:val="20"/>
          <w:szCs w:val="20"/>
          <w14:textFill>
            <w14:solidFill>
              <w14:srgbClr w14:val="1B4965">
                <w14:lumMod w14:val="75000"/>
                <w14:lumOff w14:val="25000"/>
              </w14:srgbClr>
            </w14:solidFill>
          </w14:textFill>
        </w:rPr>
        <w:t xml:space="preserve">Revision Date: </w:t>
      </w:r>
      <w:r>
        <w:rPr>
          <w:rFonts w:ascii="Calibri Light" w:hAnsi="Calibri Light" w:cs="Calibri Light"/>
          <w:sz w:val="20"/>
          <w:szCs w:val="20"/>
        </w:rPr>
        <w:fldChar w:fldCharType="begin"/>
        <w:instrText xml:space="preserve"> DOCPROPERTY "PolicyDate" \* MERGEFORMAT </w:instrText>
        <w:fldChar w:fldCharType="separate"/>
      </w:r>
      <w:r>
        <w:rPr>
          <w:rFonts w:ascii="Calibri Light" w:hAnsi="Calibri Light" w:cs="Calibri Light"/>
          <w:color w:val="1B4965"/>
          <w:sz w:val="20"/>
          <w:szCs w:val="20"/>
          <w14:textFill>
            <w14:solidFill>
              <w14:srgbClr w14:val="1B4965">
                <w14:lumMod w14:val="75000"/>
                <w14:lumOff w14:val="25000"/>
              </w14:srgbClr>
            </w14:solidFill>
          </w14:textFill>
        </w:rPr>
        <w:t>July 19, 2026</w:t>
        <w:fldChar w:fldCharType="end"/>
      </w:r>
    </w:p>
    <w:p w14:paraId="2676F062" w14:textId="2330588F" w:rsidR="0019039B" w:rsidRPr="00811F88" w:rsidRDefault="00000000" w:rsidP="009B6824">
      <w:pPr>
        <w:suppressLineNumbers/>
        <w:spacing w:line="240" w:lineRule="auto"/>
        <w:jc w:val="center"/>
        <w:rPr>
          <w:rFonts w:ascii="Calibri Light" w:hAnsi="Calibri Light" w:cs="Calibri Light"/>
          <w:sz w:val="20"/>
          <w:szCs w:val="20"/>
        </w:rPr>
      </w:pPr>
      <w:r>
        <w:rPr>
          <w:rFonts w:ascii="Calibri Light" w:hAnsi="Calibri Light" w:cs="Calibri Light"/>
          <w:sz w:val="20"/>
          <w:szCs w:val="20"/>
        </w:rPr>
        <w:t xml:space="preserve">Contact: </w:t>
      </w:r>
      <w:hyperlink r:id="rId7" w:history="1">
        <w:r>
          <w:rPr>
            <w:rStyle w:val="Hyperlink"/>
            <w:rFonts w:ascii="Calibri Light" w:hAnsi="Calibri Light" w:cs="Calibri Light"/>
            <w:sz w:val="20"/>
            <w:szCs w:val="20"/>
          </w:rPr>
          <w:t>security@prompthalo.com</w:t>
        </w:r>
      </w:hyperlink>
    </w:p>
    <w:p w14:paraId="361EAB4C" w14:textId="77777777" w:rsidR="009B6824" w:rsidRPr="00811F88" w:rsidRDefault="009B6824" w:rsidP="009B6824">
      <w:pPr>
        <w:suppressLineNumbers/>
        <w:spacing w:line="240" w:lineRule="auto"/>
        <w:jc w:val="center"/>
        <w:rPr>
          <w:rFonts w:ascii="Calibri Light" w:hAnsi="Calibri Light" w:cs="Calibri Light"/>
          <w:sz w:val="20"/>
          <w:szCs w:val="20"/>
        </w:rPr>
      </w:pPr>
    </w:p>
    <w:p w14:paraId="432DDADF" w14:textId="77777777" w:rsidR="009B6824" w:rsidRPr="00811F88" w:rsidRDefault="009B6824" w:rsidP="009B6824">
      <w:pPr>
        <w:suppressLineNumbers/>
        <w:spacing w:line="240" w:lineRule="auto"/>
        <w:jc w:val="center"/>
        <w:rPr>
          <w:rFonts w:ascii="Calibri Light" w:hAnsi="Calibri Light" w:cs="Calibri Light"/>
          <w:sz w:val="20"/>
          <w:szCs w:val="20"/>
        </w:rPr>
      </w:pPr>
    </w:p>
    <w:p w14:paraId="19006F9E" w14:textId="77777777" w:rsidR="009B6824" w:rsidRDefault="009B6824" w:rsidP="009B6824">
      <w:pPr>
        <w:suppressLineNumbers/>
        <w:spacing w:line="240" w:lineRule="auto"/>
        <w:jc w:val="center"/>
      </w:pPr>
    </w:p>
    <w:p w14:paraId="25A11F80" w14:textId="77777777" w:rsidR="009B6824" w:rsidRDefault="009B6824" w:rsidP="009B6824">
      <w:pPr>
        <w:suppressLineNumbers/>
        <w:spacing w:line="240" w:lineRule="auto"/>
        <w:jc w:val="center"/>
      </w:pPr>
    </w:p>
    <w:p w14:paraId="217901CC" w14:textId="77777777" w:rsidR="009B6824" w:rsidRDefault="009B6824" w:rsidP="009B6824">
      <w:pPr>
        <w:suppressLineNumbers/>
        <w:spacing w:line="240" w:lineRule="auto"/>
        <w:jc w:val="center"/>
      </w:pPr>
    </w:p>
    <w:p w14:paraId="2275FB02" w14:textId="232B3B31" w:rsidR="009B6824" w:rsidRDefault="009B6824" w:rsidP="009B6824">
      <w:pPr>
        <w:suppressLineNumbers/>
        <w:spacing w:line="240" w:lineRule="auto"/>
        <w:jc w:val="center"/>
      </w:pPr>
      <w:bookmarkStart w:id="0" w:name="EffectiveDate"/>
      <w:r>
        <w:rPr>
          <w:noProof/>
        </w:rPr>
        <w:drawing>
          <wp:inline distT="0" distB="0" distL="0" distR="0" wp14:anchorId="4C8A9ADF" wp14:editId="7C642F34">
            <wp:extent cx="2665095" cy="7270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5095" cy="727075"/>
                    </a:xfrm>
                    <a:prstGeom prst="rect">
                      <a:avLst/>
                    </a:prstGeom>
                    <a:noFill/>
                    <a:ln>
                      <a:noFill/>
                    </a:ln>
                  </pic:spPr>
                </pic:pic>
              </a:graphicData>
            </a:graphic>
          </wp:inline>
        </w:drawing>
      </w:r>
      <w:bookmarkEnd w:id="0"/>
    </w:p>
    <w:p w14:paraId="3BF09673" w14:textId="15C4D04D" w:rsidR="0019039B" w:rsidRDefault="00000000" w:rsidP="007A2335">
      <w:pPr>
        <w:suppressLineNumbers/>
      </w:pPr>
      <w:r>
        <w:br w:type="page"/>
      </w:r>
    </w:p>
    <w:p w14:paraId="33C99336" w14:textId="452AFEF6" w:rsidR="00DE44EE" w:rsidRPr="00DE44EE" w:rsidRDefault="00000000" w:rsidP="007A2335">
      <w:pPr>
        <w:suppressLineNumbers/>
        <w:rPr>
          <w:rStyle w:val="Strong"/>
        </w:rPr>
      </w:pPr>
      <w:r>
        <w:rPr>
          <w:rStyle w:val="Strong"/>
        </w:rPr>
        <w:lastRenderedPageBreak/>
        <w:t>DOCUMENT INFORMATION</w:t>
      </w: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6777"/>
      </w:tblGrid>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 Family</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Security Operations</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Cryptography Standard</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 ID</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STD-CRY-001</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Current Version</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1.0</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Approved Date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July 19, 2026</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Approved By</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Security Officer</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Effective Date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July 19, 2026</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Document Owner</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Chief Executive Officer — Accountable Party</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Prepared By</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Security Officer</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Review Cycle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Annual, or upon significant change to systems, threats, or obligations</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Supersedes</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N/A</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Audience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Personnel who design, build or administer systems that store or transmit Company or client information</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Next Review Date</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July 19, 2027</w:t>
            </w:r>
          </w:p>
        </w:tc>
      </w:tr>
      <w:tr w:rsidR="0019039B" w:rsidRPr="00811F88" w14:paraId="51AF49A1" w14:textId="77777777" w:rsidTr="00DE44EE">
        <w:trPr>
          <w:trHeight w:val="20"/>
        </w:trPr>
        <w:tc>
          <w:tcPr>
            <w:tcW w:w="2892"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049A68A9"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Classification</w:t>
            </w:r>
          </w:p>
        </w:tc>
        <w:tc>
          <w:tcPr>
            <w:tcW w:w="6777"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2ADD41E" w14:textId="77777777" w:rsidR="0019039B" w:rsidRPr="00811F88" w:rsidRDefault="00000000" w:rsidP="0026559D">
            <w:pPr>
              <w:pStyle w:val="BodyText9"/>
              <w:suppressLineNumbers/>
              <w:spacing w:before="0" w:after="0" w:line="240" w:lineRule="auto"/>
              <w:rPr>
                <w:color w:val="262626" w:themeColor="text1" w:themeTint="D9"/>
              </w:rPr>
            </w:pPr>
            <w:r>
              <w:rPr>
                <w:rFonts w:ascii="Calibri Light" w:hAnsi="Calibri Light" w:cs="Calibri Light"/>
                <w:sz w:val="20"/>
                <w:szCs w:val="20"/>
                <w:color w:val="262626" w:themeColor="text1" w:themeTint="D9"/>
              </w:rPr>
              <w:t xml:space="preserve">Internal</w:t>
            </w:r>
          </w:p>
        </w:tc>
      </w:tr>
    </w:tbl>
    <w:p w14:paraId="38655322" w14:textId="77777777" w:rsidR="00DE44EE" w:rsidRDefault="00DE44EE" w:rsidP="007A2335">
      <w:pPr>
        <w:suppressLineNumbers/>
        <w:rPr>
          <w:rStyle w:val="Strong"/>
        </w:rPr>
      </w:pPr>
    </w:p>
    <w:p w14:paraId="36F745C2" w14:textId="017D20F0" w:rsidR="0019039B" w:rsidRPr="00DE44EE" w:rsidRDefault="00000000" w:rsidP="007A2335">
      <w:pPr>
        <w:suppressLineNumbers/>
        <w:rPr>
          <w:rStyle w:val="Strong"/>
        </w:rPr>
      </w:pPr>
      <w:r>
        <w:rPr>
          <w:rStyle w:val="Strong"/>
        </w:rPr>
        <w:t>APPROVALS</w:t>
      </w:r>
    </w:p>
    <w:tbl>
      <w:tblPr>
        <w:tblW w:w="936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left w:w="10" w:type="dxa"/>
          <w:right w:w="10" w:type="dxa"/>
        </w:tblCellMar>
        <w:tblLook w:val="0000" w:firstRow="0" w:lastRow="0" w:firstColumn="0" w:lastColumn="0" w:noHBand="0" w:noVBand="0"/>
      </w:tblPr>
      <w:tblGrid>
        <w:gridCol w:w="2340"/>
        <w:gridCol w:w="3120"/>
        <w:gridCol w:w="1950"/>
        <w:gridCol w:w="1950"/>
      </w:tblGrid>
      <w:tr w:rsidR="0019039B" w14:paraId="776EB512" w14:textId="77777777" w:rsidTr="00DE44EE">
        <w:trPr>
          <w:tblHeader/>
        </w:trPr>
        <w:tc>
          <w:tcPr>
            <w:tcW w:w="2340" w:type="dxa"/>
            <w:tcMar>
              <w:top w:w="26" w:type="dxa"/>
              <w:left w:w="92" w:type="dxa"/>
              <w:bottom w:w="26" w:type="dxa"/>
              <w:right w:w="92" w:type="dxa"/>
            </w:tcMar>
            <w:vAlign w:val="center"/>
          </w:tcPr>
          <w:p w14:paraId="473C0209"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Name</w:t>
            </w:r>
          </w:p>
        </w:tc>
        <w:tc>
          <w:tcPr>
            <w:tcW w:w="3120" w:type="dxa"/>
            <w:tcMar>
              <w:top w:w="26" w:type="dxa"/>
              <w:left w:w="92" w:type="dxa"/>
              <w:bottom w:w="26" w:type="dxa"/>
              <w:right w:w="92" w:type="dxa"/>
            </w:tcMar>
            <w:vAlign w:val="center"/>
          </w:tcPr>
          <w:p w14:paraId="6426F5F3"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Information Security Role</w:t>
            </w:r>
          </w:p>
        </w:tc>
        <w:tc>
          <w:tcPr>
            <w:tcW w:w="1950" w:type="dxa"/>
            <w:tcMar>
              <w:top w:w="26" w:type="dxa"/>
              <w:left w:w="92" w:type="dxa"/>
              <w:bottom w:w="26" w:type="dxa"/>
              <w:right w:w="92" w:type="dxa"/>
            </w:tcMar>
            <w:vAlign w:val="center"/>
          </w:tcPr>
          <w:p w14:paraId="45B64D95"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Signature</w:t>
            </w:r>
          </w:p>
        </w:tc>
        <w:tc>
          <w:tcPr>
            <w:tcW w:w="1950" w:type="dxa"/>
            <w:tcMar>
              <w:top w:w="26" w:type="dxa"/>
              <w:left w:w="92" w:type="dxa"/>
              <w:bottom w:w="26" w:type="dxa"/>
              <w:right w:w="92" w:type="dxa"/>
            </w:tcMar>
            <w:vAlign w:val="center"/>
          </w:tcPr>
          <w:p w14:paraId="7DCB32F4" w14:textId="77777777" w:rsidR="0019039B" w:rsidRPr="00DE44EE"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Date</w:t>
            </w:r>
          </w:p>
        </w:tc>
      </w:tr>
      <w:tr w:rsidR="0019039B" w14:paraId="41B62945" w14:textId="77777777" w:rsidTr="00DE44EE">
        <w:tc>
          <w:tcPr>
            <w:tcW w:w="2340" w:type="dxa"/>
            <w:tcMar>
              <w:top w:w="26" w:type="dxa"/>
              <w:left w:w="92" w:type="dxa"/>
              <w:bottom w:w="26" w:type="dxa"/>
              <w:right w:w="92" w:type="dxa"/>
            </w:tcMar>
            <w:vAlign w:val="center"/>
          </w:tcPr>
          <w:p w14:paraId="6D256C19" w14:textId="77777777" w:rsidR="0019039B"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 xml:space="preserve">Madhuri Chandoor</w:t>
            </w:r>
          </w:p>
        </w:tc>
        <w:tc>
          <w:tcPr>
            <w:tcW w:w="3120" w:type="dxa"/>
            <w:tcMar>
              <w:top w:w="26" w:type="dxa"/>
              <w:left w:w="92" w:type="dxa"/>
              <w:bottom w:w="26" w:type="dxa"/>
              <w:right w:w="92" w:type="dxa"/>
            </w:tcMar>
            <w:vAlign w:val="center"/>
          </w:tcPr>
          <w:p w14:paraId="4FB0DEF6" w14:textId="77777777" w:rsidR="0019039B"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CEO and Founder</w:t>
            </w:r>
          </w:p>
        </w:tc>
        <w:tc>
          <w:tcPr>
            <w:tcW w:w="1950" w:type="dxa"/>
            <w:tcMar>
              <w:top w:w="26" w:type="dxa"/>
              <w:left w:w="92" w:type="dxa"/>
              <w:bottom w:w="26" w:type="dxa"/>
              <w:right w:w="92" w:type="dxa"/>
            </w:tcMar>
            <w:vAlign w:val="center"/>
          </w:tcPr>
          <w:p w14:paraId="4F666227" w14:textId="77777777" w:rsidR="0019039B" w:rsidRDefault="0019039B" w:rsidP="0026559D">
            <w:pPr>
              <w:pStyle w:val="BodyText9"/>
              <w:suppressLineNumbers/>
              <w:spacing w:before="0" w:after="0" w:line="240" w:lineRule="auto"/>
              <w:rPr>
                <w:color w:val="262626" w:themeColor="text1" w:themeTint="D9"/>
              </w:rPr>
            </w:pPr>
          </w:p>
        </w:tc>
        <w:tc>
          <w:tcPr>
            <w:tcW w:w="1950" w:type="dxa"/>
            <w:tcMar>
              <w:top w:w="26" w:type="dxa"/>
              <w:left w:w="92" w:type="dxa"/>
              <w:bottom w:w="26" w:type="dxa"/>
              <w:right w:w="92" w:type="dxa"/>
            </w:tcMar>
            <w:vAlign w:val="center"/>
          </w:tcPr>
          <w:p w14:paraId="25D04364" w14:textId="77777777" w:rsidR="0019039B" w:rsidRDefault="009B6824" w:rsidP="0026559D">
            <w:pPr>
              <w:pStyle w:val="BodyText9"/>
              <w:suppressLineNumbers/>
              <w:spacing w:before="0" w:after="0" w:line="240" w:lineRule="auto"/>
              <w:rPr>
                <w:color w:val="262626" w:themeColor="text1" w:themeTint="D9"/>
              </w:rPr>
            </w:pPr>
            <w:fldSimple w:instr=" DOCPROPERTY &quot;PolicyDate&quot; \* MERGEFORMAT ">
              <w:r>
                <w:rPr>
                  <w:color w:val="262626" w:themeColor="text1" w:themeTint="D9"/>
                  <w:sz w:val="20"/>
                  <w:szCs w:val="20"/>
                </w:rPr>
                <w:t>July 19, 2026</w:t>
              </w:r>
            </w:fldSimple>
          </w:p>
        </w:tc>
      </w:tr>
      <w:tr w:rsidR="0019039B" w14:paraId="65A3C2AD" w14:textId="77777777" w:rsidTr="00DE44EE">
        <w:tc>
          <w:tcPr>
            <w:tcW w:w="2340" w:type="dxa"/>
            <w:tcMar>
              <w:top w:w="26" w:type="dxa"/>
              <w:left w:w="92" w:type="dxa"/>
              <w:bottom w:w="26" w:type="dxa"/>
              <w:right w:w="92" w:type="dxa"/>
            </w:tcMar>
            <w:vAlign w:val="center"/>
          </w:tcPr>
          <w:p w14:paraId="045A2306" w14:textId="77777777" w:rsidR="0019039B" w:rsidRDefault="0019039B" w:rsidP="0026559D">
            <w:pPr>
              <w:pStyle w:val="BodyText9"/>
              <w:suppressLineNumbers/>
              <w:spacing w:before="0" w:after="0" w:line="240" w:lineRule="auto"/>
              <w:rPr>
                <w:color w:val="262626" w:themeColor="text1" w:themeTint="D9"/>
              </w:rPr>
            </w:pPr>
            <w:r>
              <w:rPr>
                <w:sz w:val="20"/>
                <w:szCs w:val="20"/>
              </w:rPr>
              <w:t xml:space="preserve">Praveen Sharma</w:t>
            </w:r>
          </w:p>
        </w:tc>
        <w:tc>
          <w:tcPr>
            <w:tcW w:w="3120" w:type="dxa"/>
            <w:tcMar>
              <w:top w:w="26" w:type="dxa"/>
              <w:left w:w="92" w:type="dxa"/>
              <w:bottom w:w="26" w:type="dxa"/>
              <w:right w:w="92" w:type="dxa"/>
            </w:tcMar>
            <w:vAlign w:val="center"/>
          </w:tcPr>
          <w:p w14:paraId="10FE4053" w14:textId="77777777" w:rsidR="0019039B" w:rsidRDefault="00000000" w:rsidP="0026559D">
            <w:pPr>
              <w:pStyle w:val="BodyText9"/>
              <w:suppressLineNumbers/>
              <w:spacing w:before="0" w:after="0" w:line="240" w:lineRule="auto"/>
              <w:rPr>
                <w:color w:val="262626" w:themeColor="text1" w:themeTint="D9"/>
              </w:rPr>
            </w:pPr>
            <w:r>
              <w:rPr>
                <w:color w:val="262626" w:themeColor="text1" w:themeTint="D9"/>
                <w:sz w:val="20"/>
                <w:szCs w:val="20"/>
              </w:rPr>
              <w:t>Security Officer</w:t>
            </w:r>
          </w:p>
        </w:tc>
        <w:tc>
          <w:tcPr>
            <w:tcW w:w="1950" w:type="dxa"/>
            <w:tcMar>
              <w:top w:w="26" w:type="dxa"/>
              <w:left w:w="92" w:type="dxa"/>
              <w:bottom w:w="26" w:type="dxa"/>
              <w:right w:w="92" w:type="dxa"/>
            </w:tcMar>
            <w:vAlign w:val="center"/>
          </w:tcPr>
          <w:p w14:paraId="04F66AE6" w14:textId="77777777" w:rsidR="0019039B" w:rsidRDefault="0019039B" w:rsidP="0026559D">
            <w:pPr>
              <w:pStyle w:val="BodyText9"/>
              <w:suppressLineNumbers/>
              <w:spacing w:before="0" w:after="0" w:line="240" w:lineRule="auto"/>
              <w:rPr>
                <w:color w:val="262626" w:themeColor="text1" w:themeTint="D9"/>
              </w:rPr>
            </w:pPr>
          </w:p>
        </w:tc>
        <w:tc>
          <w:tcPr>
            <w:tcW w:w="1950" w:type="dxa"/>
            <w:tcMar>
              <w:top w:w="26" w:type="dxa"/>
              <w:left w:w="92" w:type="dxa"/>
              <w:bottom w:w="26" w:type="dxa"/>
              <w:right w:w="92" w:type="dxa"/>
            </w:tcMar>
            <w:vAlign w:val="center"/>
          </w:tcPr>
          <w:p w14:paraId="7C6FBC9D" w14:textId="77777777" w:rsidR="0019039B" w:rsidRDefault="009B6824" w:rsidP="0026559D">
            <w:pPr>
              <w:pStyle w:val="BodyText9"/>
              <w:suppressLineNumbers/>
              <w:spacing w:before="0" w:after="0" w:line="240" w:lineRule="auto"/>
              <w:rPr>
                <w:color w:val="262626" w:themeColor="text1" w:themeTint="D9"/>
              </w:rPr>
            </w:pPr>
            <w:fldSimple w:instr=" DOCPROPERTY &quot;PolicyDate&quot; \* MERGEFORMAT ">
              <w:r>
                <w:rPr>
                  <w:color w:val="262626" w:themeColor="text1" w:themeTint="D9"/>
                  <w:sz w:val="20"/>
                  <w:szCs w:val="20"/>
                </w:rPr>
                <w:t>July 19, 2026</w:t>
              </w:r>
            </w:fldSimple>
          </w:p>
        </w:tc>
      </w:tr>
    </w:tbl>
    <w:p w14:paraId="3FB1474A" w14:textId="77777777" w:rsidR="00BF0F18" w:rsidRDefault="00BF0F18" w:rsidP="00DE44EE">
      <w:pPr>
        <w:suppressLineNumbers/>
        <w:rPr>
          <w:rStyle w:val="Strong"/>
        </w:rPr>
      </w:pPr>
    </w:p>
    <w:p w14:paraId="56705969" w14:textId="2512075D" w:rsidR="0019039B" w:rsidRDefault="00000000" w:rsidP="007A2335">
      <w:pPr>
        <w:suppressLineNumbers/>
      </w:pPr>
      <w:r>
        <w:rPr>
          <w:rStyle w:val="Strong"/>
        </w:rPr>
        <w:t>COMPLIANCE</w:t>
      </w:r>
    </w:p>
    <w:p w14:paraId="2F2306EF" w14:textId="27FDF236" w:rsidR="0019039B" w:rsidRDefault="00000000" w:rsidP="0026559D">
      <w:pPr>
        <w:pStyle w:val="BodyText9"/>
        <w:suppressLineNumbers/>
        <w:rPr>
          <w:color w:val="262626" w:themeColor="text1" w:themeTint="D9"/>
        </w:rPr>
      </w:pPr>
      <w:r>
        <w:rPr>
          <w:color w:val="262626" w:themeColor="text1" w:themeTint="D9"/>
        </w:rPr>
        <w:t>This Standard implements the Encryption Policy and supports the SOC 2 Trust Services Criteria CC6.1, CC6.3, CC6.7, CC7.1 and CC7.2. Where the Company processes protected health information or personal data on behalf of clients, it also supports HIPAA Security Rule 45 CFR §164.312(a)(2)(iv) and §164.312(e), and GDPR Articles 32 and 34.</w:t>
      </w:r>
    </w:p>
    <w:p w14:paraId="6ABCB386" w14:textId="77777777" w:rsidR="00DE44EE" w:rsidRDefault="00DE44EE" w:rsidP="0026559D">
      <w:pPr>
        <w:pStyle w:val="BodyText9"/>
        <w:suppressLineNumbers/>
        <w:rPr>
          <w:color w:val="262626" w:themeColor="text1" w:themeTint="D9"/>
        </w:rPr>
      </w:pPr>
    </w:p>
    <w:p w14:paraId="6DCDC6FA" w14:textId="77777777" w:rsidR="0019039B" w:rsidRPr="00BF0F18" w:rsidRDefault="00000000" w:rsidP="007A2335">
      <w:pPr>
        <w:suppressLineNumbers/>
        <w:rPr>
          <w:rStyle w:val="Strong"/>
        </w:rPr>
      </w:pPr>
      <w:r>
        <w:rPr>
          <w:rStyle w:val="Strong"/>
        </w:rPr>
        <w:t>DOCUMENT VALIDITY</w:t>
      </w:r>
    </w:p>
    <w:p w14:paraId="0A5761F4" w14:textId="77777777" w:rsidR="0019039B" w:rsidRDefault="009B6824" w:rsidP="0026559D">
      <w:pPr>
        <w:pStyle w:val="BodyText9"/>
        <w:suppressLineNumbers/>
        <w:rPr>
          <w:color w:val="262626" w:themeColor="text1" w:themeTint="D9"/>
        </w:rPr>
      </w:pPr>
      <w:fldSimple w:instr=" DOCPROPERTY &quot;PolicyDate&quot; \* MERGEFORMAT ">
        <w:r>
          <w:rPr>
            <w:color w:val="262626" w:themeColor="text1" w:themeTint="D9"/>
          </w:rPr>
          <w:t>July 19, 2026</w:t>
        </w:r>
      </w:fldSimple>
      <w:r>
        <w:rPr>
          <w:color w:val="262626" w:themeColor="text1" w:themeTint="D9"/>
        </w:rPr>
        <w:t xml:space="preserve"> – </w:t>
      </w:r>
      <w:fldSimple w:instr=" DOCPROPERTY &quot;PolicyExpiry&quot; \* MERGEFORMAT ">
        <w:r>
          <w:rPr>
            <w:color w:val="262626" w:themeColor="text1" w:themeTint="D9"/>
          </w:rPr>
          <w:t>July 19, 2027</w:t>
        </w:r>
      </w:fldSimple>
    </w:p>
    <w:p w14:paraId="55558E27" w14:textId="77777777" w:rsidR="0019039B" w:rsidRDefault="00000000" w:rsidP="007A2335">
      <w:pPr>
        <w:suppressLineNumbers/>
      </w:pPr>
      <w:r>
        <w:br w:type="page"/>
      </w:r>
    </w:p>
    <w:p w14:paraId="4E3B5711" w14:textId="77777777" w:rsidR="0019039B" w:rsidRDefault="00000000" w:rsidP="007A2335">
      <w:pPr>
        <w:suppressLineNumbers/>
      </w:pPr>
      <w:r>
        <w:lastRenderedPageBreak/>
        <w:t>TABLE OF CONTENTS</w:t>
      </w:r>
    </w:p>
    <w:sdt>
      <w:sdtPr>
        <w:rPr>
          <w:rFonts w:ascii="Calibri" w:hAnsi="Calibri"/>
          <w:b w:val="0"/>
          <w:bCs w:val="0"/>
          <w:caps w:val="0"/>
          <w:sz w:val="24"/>
          <w:szCs w:val="24"/>
        </w:rPr>
        <w:alias w:val="Table of Contents"/>
        <w:id w:val="-1368054761"/>
      </w:sdtPr>
      <w:sdtContent>
        <w:p w14:paraId="55880C67" w14:textId="77777777" w:rsidR="009B6824" w:rsidRDefault="00000000">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r>
            <w:fldChar w:fldCharType="begin"/>
            <w:instrText>TOC \h \o "1-2"</w:instrText>
            <w:fldChar w:fldCharType="separate"/>
          </w:r>
          <w:hyperlink w:anchor="_Toc235458827" w:history="1">
            <w:r>
              <w:rPr>
                <w:rStyle w:val="Hyperlink"/>
                <w:noProof/>
              </w:rPr>
              <w:t>1 Overview and Purpose</w:t>
            </w:r>
            <w:r>
              <w:rPr>
                <w:noProof/>
              </w:rPr>
              <w:tab/>
              <w:fldChar w:fldCharType="begin"/>
              <w:instrText xml:space="preserve"> PAGEREF _Toc235458827 \h </w:instrText>
              <w:fldChar w:fldCharType="separate"/>
              <w:t>4</w:t>
              <w:fldChar w:fldCharType="end"/>
            </w:r>
          </w:hyperlink>
        </w:p>
        <w:p w14:paraId="5F50B477"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28" w:history="1">
            <w:r>
              <w:rPr>
                <w:rStyle w:val="Hyperlink"/>
                <w:noProof/>
              </w:rPr>
              <w:t>2 Scope</w:t>
            </w:r>
            <w:r>
              <w:rPr>
                <w:noProof/>
              </w:rPr>
              <w:tab/>
              <w:fldChar w:fldCharType="begin"/>
              <w:instrText xml:space="preserve"> PAGEREF _Toc235458828 \h </w:instrText>
              <w:fldChar w:fldCharType="separate"/>
              <w:t>4</w:t>
              <w:fldChar w:fldCharType="end"/>
            </w:r>
          </w:hyperlink>
        </w:p>
        <w:p w14:paraId="36282C65"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29" w:history="1">
            <w:r>
              <w:rPr>
                <w:rStyle w:val="Hyperlink"/>
                <w:noProof/>
              </w:rPr>
              <w:t>3 Roles and Definitions</w:t>
            </w:r>
            <w:r>
              <w:rPr>
                <w:noProof/>
              </w:rPr>
              <w:tab/>
              <w:fldChar w:fldCharType="begin"/>
              <w:instrText xml:space="preserve"> PAGEREF _Toc235458829 \h </w:instrText>
              <w:fldChar w:fldCharType="separate"/>
              <w:t>4</w:t>
              <w:fldChar w:fldCharType="end"/>
            </w:r>
          </w:hyperlink>
        </w:p>
        <w:p w14:paraId="3E3BFF80"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0" w:history="1">
            <w:r>
              <w:rPr>
                <w:rStyle w:val="Hyperlink"/>
                <w:noProof/>
              </w:rPr>
              <w:t>4 Security Program</w:t>
            </w:r>
            <w:r>
              <w:rPr>
                <w:noProof/>
              </w:rPr>
              <w:tab/>
              <w:fldChar w:fldCharType="begin"/>
              <w:instrText xml:space="preserve"> PAGEREF _Toc235458830 \h </w:instrText>
              <w:fldChar w:fldCharType="separate"/>
              <w:t>4</w:t>
              <w:fldChar w:fldCharType="end"/>
            </w:r>
          </w:hyperlink>
        </w:p>
        <w:p w14:paraId="1EC59F0E"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1" w:history="1">
            <w:r>
              <w:rPr>
                <w:rStyle w:val="Hyperlink"/>
                <w:noProof/>
              </w:rPr>
              <w:t>5 Policy Framework</w:t>
            </w:r>
            <w:r>
              <w:rPr>
                <w:noProof/>
              </w:rPr>
              <w:tab/>
              <w:fldChar w:fldCharType="begin"/>
              <w:instrText xml:space="preserve"> PAGEREF _Toc235458831 \h </w:instrText>
              <w:fldChar w:fldCharType="separate"/>
              <w:t>5</w:t>
              <w:fldChar w:fldCharType="end"/>
            </w:r>
          </w:hyperlink>
        </w:p>
        <w:p w14:paraId="1E738F7D"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2" w:history="1">
            <w:r>
              <w:rPr>
                <w:rStyle w:val="Hyperlink"/>
                <w:noProof/>
              </w:rPr>
              <w:t>6 Control Environment and Accountability</w:t>
            </w:r>
            <w:r>
              <w:rPr>
                <w:noProof/>
              </w:rPr>
              <w:tab/>
              <w:fldChar w:fldCharType="begin"/>
              <w:instrText xml:space="preserve"> PAGEREF _Toc235458832 \h </w:instrText>
              <w:fldChar w:fldCharType="separate"/>
              <w:t>5</w:t>
              <w:fldChar w:fldCharType="end"/>
            </w:r>
          </w:hyperlink>
        </w:p>
        <w:p w14:paraId="5254791D"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3" w:history="1">
            <w:r>
              <w:rPr>
                <w:rStyle w:val="Hyperlink"/>
                <w:noProof/>
              </w:rPr>
              <w:t>7 Program Assessment</w:t>
            </w:r>
            <w:r>
              <w:rPr>
                <w:noProof/>
              </w:rPr>
              <w:tab/>
              <w:fldChar w:fldCharType="begin"/>
              <w:instrText xml:space="preserve"> PAGEREF _Toc235458833 \h </w:instrText>
              <w:fldChar w:fldCharType="separate"/>
              <w:t>5</w:t>
              <w:fldChar w:fldCharType="end"/>
            </w:r>
          </w:hyperlink>
        </w:p>
        <w:p w14:paraId="0DB72B0D"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4" w:history="1">
            <w:r>
              <w:rPr>
                <w:rStyle w:val="Hyperlink"/>
                <w:noProof/>
              </w:rPr>
              <w:t>8 Enforcement</w:t>
            </w:r>
            <w:r>
              <w:rPr>
                <w:noProof/>
              </w:rPr>
              <w:tab/>
              <w:fldChar w:fldCharType="begin"/>
              <w:instrText xml:space="preserve"> PAGEREF _Toc235458834 \h </w:instrText>
              <w:fldChar w:fldCharType="separate"/>
              <w:t>6</w:t>
              <w:fldChar w:fldCharType="end"/>
            </w:r>
          </w:hyperlink>
        </w:p>
        <w:p w14:paraId="46FB3936"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5" w:history="1">
            <w:r>
              <w:rPr>
                <w:rStyle w:val="Hyperlink"/>
                <w:noProof/>
              </w:rPr>
              <w:t>9 Exceptions</w:t>
            </w:r>
            <w:r>
              <w:rPr>
                <w:noProof/>
              </w:rPr>
              <w:tab/>
              <w:fldChar w:fldCharType="begin"/>
              <w:instrText xml:space="preserve"> PAGEREF _Toc235458835 \h </w:instrText>
              <w:fldChar w:fldCharType="separate"/>
              <w:t>6</w:t>
              <w:fldChar w:fldCharType="end"/>
            </w:r>
          </w:hyperlink>
        </w:p>
        <w:p w14:paraId="2ECE9BE5"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6" w:history="1">
            <w:r>
              <w:rPr>
                <w:rStyle w:val="Hyperlink"/>
                <w:noProof/>
              </w:rPr>
              <w:t>10 Reference</w:t>
            </w:r>
            <w:r>
              <w:rPr>
                <w:noProof/>
              </w:rPr>
              <w:tab/>
              <w:fldChar w:fldCharType="begin"/>
              <w:instrText xml:space="preserve"> PAGEREF _Toc235458836 \h </w:instrText>
              <w:fldChar w:fldCharType="separate"/>
              <w:t>6</w:t>
              <w:fldChar w:fldCharType="end"/>
            </w:r>
          </w:hyperlink>
        </w:p>
        <w:p w14:paraId="473F5A69" w14:textId="77777777" w:rsidR="009B6824" w:rsidRDefault="009B6824">
          <w:pPr>
            <w:pStyle w:val="TOC1"/>
            <w:suppressLineNumbers/>
            <w:tabs>
              <w:tab w:val="right" w:leader="dot" w:pos="9350"/>
            </w:tabs>
            <w:rPr>
              <w:rFonts w:eastAsiaTheme="minorEastAsia" w:cstheme="minorBidi"/>
              <w:b w:val="0"/>
              <w:bCs w:val="0"/>
              <w:caps w:val="0"/>
              <w:noProof/>
              <w:color w:val="auto"/>
              <w:kern w:val="2"/>
              <w:sz w:val="24"/>
              <w:szCs w:val="24"/>
              <w14:ligatures w14:val="standardContextual"/>
            </w:rPr>
          </w:pPr>
          <w:hyperlink w:anchor="_Toc235458837" w:history="1">
            <w:r>
              <w:rPr>
                <w:rStyle w:val="Hyperlink"/>
                <w:noProof/>
              </w:rPr>
              <w:t>11 Document Policy History</w:t>
            </w:r>
            <w:r>
              <w:rPr>
                <w:noProof/>
              </w:rPr>
              <w:tab/>
              <w:fldChar w:fldCharType="begin"/>
              <w:instrText xml:space="preserve"> PAGEREF _Toc235458837 \h </w:instrText>
              <w:fldChar w:fldCharType="separate"/>
              <w:t>6</w:t>
              <w:fldChar w:fldCharType="end"/>
            </w:r>
          </w:hyperlink>
        </w:p>
        <w:p w14:paraId="647C4D27" w14:textId="77777777" w:rsidR="0019039B" w:rsidRDefault="00000000" w:rsidP="007A2335">
          <w:pPr>
            <w:suppressLineNumbers/>
          </w:pPr>
          <w:r>
            <w:fldChar w:fldCharType="end"/>
          </w:r>
        </w:p>
      </w:sdtContent>
    </w:sdt>
    <w:p w14:paraId="0FA8B74C" w14:textId="77777777" w:rsidR="0019039B" w:rsidRDefault="00000000" w:rsidP="007A2335">
      <w:pPr>
        <w:suppressLineNumbers/>
      </w:pPr>
      <w:r>
        <w:br w:type="page"/>
      </w:r>
    </w:p>
    <w:p>
      <w:pPr>
        <w:pStyle w:val="Heading1"/>
      </w:pPr>
      <w:r>
        <w:t>Overview and Purpose</w:t>
      </w:r>
    </w:p>
    <w:p>
      <w:pPr>
        <w:rPr>
          <w:color w:val="262626" w:themeColor="text1" w:themeTint="D9"/>
        </w:rPr>
      </w:pPr>
      <w:r>
        <w:rPr>
          <w:rFonts w:ascii="Calibri Light" w:hAnsi="Calibri Light" w:cs="Calibri Light"/>
          <w:sz w:val="22"/>
          <w:szCs w:val="22"/>
          <w:color w:val="262626" w:themeColor="text1" w:themeTint="D9"/>
        </w:rPr>
        <w:t xml:space="preserve">This Standard specifies the algorithms, parameters and platform settings by which PromptHalo delivers the outcomes required by its Encryption Policy. It is the authoritative list of what is approved: an algorithm not named here is not approved. It also sets out the Company’s current position on post-quantum cryptography, stated as configuration in force rather than as intent.</w:t>
      </w:r>
    </w:p>
    <w:p>
      <w:pPr>
        <w:pStyle w:val="Heading1"/>
      </w:pPr>
      <w:r>
        <w:t>Scope</w:t>
      </w:r>
    </w:p>
    <w:p>
      <w:pPr>
        <w:rPr>
          <w:color w:val="262626" w:themeColor="text1" w:themeTint="D9"/>
        </w:rPr>
      </w:pPr>
      <w:r>
        <w:rPr>
          <w:rFonts w:ascii="Calibri Light" w:hAnsi="Calibri Light" w:cs="Calibri Light"/>
          <w:sz w:val="22"/>
          <w:szCs w:val="22"/>
          <w:color w:val="262626" w:themeColor="text1" w:themeTint="D9"/>
        </w:rPr>
        <w:t xml:space="preserve">This Standard applies to all Company and client information in transit and at rest, to keys and secrets, to certificates, to endpoint disk encryption, and to information transmitted to third-party artificial intelligence and model services.</w:t>
      </w:r>
    </w:p>
    <w:p>
      <w:pPr>
        <w:pStyle w:val="Heading1"/>
      </w:pPr>
      <w:r>
        <w:t>Roles and Definitions</w:t>
      </w:r>
    </w:p>
    <w:p>
      <w:pPr>
        <w:pStyle w:val="Emphasis-Normal"/>
        <w:numPr>
          <w:ilvl w:val="0"/>
          <w:numId w:val="500"/>
        </w:numPr>
        <w:rPr>
          <w:color w:val="262626" w:themeColor="text1" w:themeTint="D9"/>
        </w:rPr>
      </w:pPr>
      <w:r>
        <w:rPr>
          <w:rFonts w:ascii="Calibri Light" w:hAnsi="Calibri Light" w:cs="Calibri Light"/>
          <w:sz w:val="22"/>
          <w:szCs w:val="22"/>
          <w:color w:val="262626" w:themeColor="text1" w:themeTint="D9"/>
        </w:rPr>
        <w:t xml:space="preserve">“The Company” refers to PromptHalo.</w:t>
      </w:r>
    </w:p>
    <w:p>
      <w:pPr>
        <w:pStyle w:val="Emphasis-Normal"/>
        <w:numPr>
          <w:ilvl w:val="0"/>
          <w:numId w:val="500"/>
        </w:numPr>
        <w:rPr>
          <w:color w:val="262626" w:themeColor="text1" w:themeTint="D9"/>
        </w:rPr>
      </w:pPr>
      <w:r>
        <w:rPr>
          <w:rFonts w:ascii="Calibri Light" w:hAnsi="Calibri Light" w:cs="Calibri Light"/>
          <w:sz w:val="22"/>
          <w:szCs w:val="22"/>
          <w:color w:val="262626" w:themeColor="text1" w:themeTint="D9"/>
        </w:rPr>
        <w:t xml:space="preserve">The CEO or, in their absence, the Security Officer (the “Accountable Party”) owns this policy, oversees its implementation and enforcement, and may delegate specific duties to a designee.</w:t>
      </w:r>
      <w:r>
        <w:rPr>
          <w:rFonts w:ascii="Calibri Light" w:hAnsi="Calibri Light" w:cs="Calibri Light"/>
          <w:color w:val="5F8798"/>
          <w:sz w:val="18"/>
          <w:szCs w:val="18"/>
        </w:rPr>
        <w:t xml:space="preserve">  [SOC 2: CC1.3]</w:t>
      </w:r>
    </w:p>
    <w:p>
      <w:pPr>
        <w:pStyle w:val="Emphasis-Normal"/>
        <w:numPr>
          <w:ilvl w:val="0"/>
          <w:numId w:val="500"/>
        </w:numPr>
        <w:rPr>
          <w:color w:val="262626" w:themeColor="text1" w:themeTint="D9"/>
        </w:rPr>
      </w:pPr>
      <w:r>
        <w:rPr>
          <w:rFonts w:ascii="Calibri Light" w:hAnsi="Calibri Light" w:cs="Calibri Light"/>
          <w:sz w:val="22"/>
          <w:szCs w:val="22"/>
          <w:color w:val="262626" w:themeColor="text1" w:themeTint="D9"/>
        </w:rPr>
        <w:t xml:space="preserve">The Information Security Steering Committee approves this policy and reviews it at least annually.</w:t>
      </w:r>
      <w:r>
        <w:rPr>
          <w:rFonts w:ascii="Calibri Light" w:hAnsi="Calibri Light" w:cs="Calibri Light"/>
          <w:color w:val="5F8798"/>
          <w:sz w:val="18"/>
          <w:szCs w:val="18"/>
        </w:rPr>
        <w:t xml:space="preserve">  [SOC 2: CC1.2, CC5.3]</w:t>
      </w:r>
    </w:p>
    <w:p>
      <w:pPr>
        <w:pStyle w:val="Heading1"/>
      </w:pPr>
      <w:r>
        <w:t>Terminology</w:t>
      </w:r>
    </w:p>
    <w:p>
      <w:pPr>
        <w:rPr>
          <w:color w:val="262626" w:themeColor="text1" w:themeTint="D9"/>
        </w:rPr>
      </w:pPr>
      <w:r>
        <w:rPr>
          <w:rFonts w:ascii="Calibri Light" w:hAnsi="Calibri Light" w:cs="Calibri Light"/>
          <w:sz w:val="22"/>
          <w:szCs w:val="22"/>
          <w:color w:val="262626" w:themeColor="text1" w:themeTint="D9"/>
        </w:rPr>
        <w:t xml:space="preserve">The following terms have the meanings given below wherever they appear in this policy.</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Cipher suite</w:t>
      </w:r>
      <w:r>
        <w:rPr>
          <w:rFonts w:ascii="Calibri Light" w:hAnsi="Calibri Light" w:cs="Calibri Light"/>
          <w:sz w:val="22"/>
          <w:szCs w:val="22"/>
          <w:color w:val="262626" w:themeColor="text1" w:themeTint="D9"/>
        </w:rPr>
        <w:t xml:space="preserve"> — the combination of key exchange, authentication, bulk encryption and message authentication negotiated for a TLS connection.</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Forward secrecy</w:t>
      </w:r>
      <w:r>
        <w:rPr>
          <w:rFonts w:ascii="Calibri Light" w:hAnsi="Calibri Light" w:cs="Calibri Light"/>
          <w:sz w:val="22"/>
          <w:szCs w:val="22"/>
          <w:color w:val="262626" w:themeColor="text1" w:themeTint="D9"/>
        </w:rPr>
        <w:t xml:space="preserve"> — the property that compromise of a long-term key does not permit decryption of previously recorded sessions.</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AEAD</w:t>
      </w:r>
      <w:r>
        <w:rPr>
          <w:rFonts w:ascii="Calibri Light" w:hAnsi="Calibri Light" w:cs="Calibri Light"/>
          <w:sz w:val="22"/>
          <w:szCs w:val="22"/>
          <w:color w:val="262626" w:themeColor="text1" w:themeTint="D9"/>
        </w:rPr>
        <w:t xml:space="preserve"> — authenticated encryption with associated data, providing confidentiality and integrity in a single construction.</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Hybrid key exchange</w:t>
      </w:r>
      <w:r>
        <w:rPr>
          <w:rFonts w:ascii="Calibri Light" w:hAnsi="Calibri Light" w:cs="Calibri Light"/>
          <w:sz w:val="22"/>
          <w:szCs w:val="22"/>
          <w:color w:val="262626" w:themeColor="text1" w:themeTint="D9"/>
        </w:rPr>
        <w:t xml:space="preserve"> — key establishment combining a classical and a post-quantum algorithm so that security holds if either survives.</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ML-KEM</w:t>
      </w:r>
      <w:r>
        <w:rPr>
          <w:rFonts w:ascii="Calibri Light" w:hAnsi="Calibri Light" w:cs="Calibri Light"/>
          <w:sz w:val="22"/>
          <w:szCs w:val="22"/>
          <w:color w:val="262626" w:themeColor="text1" w:themeTint="D9"/>
        </w:rPr>
        <w:t xml:space="preserve"> — the module-lattice key-encapsulation mechanism standardised as FIPS 203.</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Key spec</w:t>
      </w:r>
      <w:r>
        <w:rPr>
          <w:rFonts w:ascii="Calibri Light" w:hAnsi="Calibri Light" w:cs="Calibri Light"/>
          <w:sz w:val="22"/>
          <w:szCs w:val="22"/>
          <w:color w:val="262626" w:themeColor="text1" w:themeTint="D9"/>
        </w:rPr>
        <w:t xml:space="preserve"> — the algorithm and size parameters of a key as configured in the key management service.</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Envelope encryption</w:t>
      </w:r>
      <w:r>
        <w:rPr>
          <w:rFonts w:ascii="Calibri Light" w:hAnsi="Calibri Light" w:cs="Calibri Light"/>
          <w:sz w:val="22"/>
          <w:szCs w:val="22"/>
          <w:color w:val="262626" w:themeColor="text1" w:themeTint="D9"/>
        </w:rPr>
        <w:t xml:space="preserve"> — encrypting data with a data key which is itself encrypted by a key held in the key management service.</w:t>
      </w:r>
    </w:p>
    <w:p>
      <w:pPr>
        <w:pStyle w:val="Emphasis-Normal"/>
        <w:numPr>
          <w:ilvl w:val="0"/>
          <w:numId w:val="501"/>
        </w:numPr>
        <w:rPr>
          <w:color w:val="262626" w:themeColor="text1" w:themeTint="D9"/>
        </w:rPr>
      </w:pPr>
      <w:r>
        <w:rPr>
          <w:rFonts w:ascii="Calibri Light" w:hAnsi="Calibri Light" w:cs="Calibri Light"/>
          <w:sz w:val="22"/>
          <w:szCs w:val="22"/>
          <w:b/>
          <w:color w:val="262626" w:themeColor="text1" w:themeTint="D9"/>
        </w:rPr>
        <w:t xml:space="preserve">Cryptographic inventory</w:t>
      </w:r>
      <w:r>
        <w:rPr>
          <w:rFonts w:ascii="Calibri Light" w:hAnsi="Calibri Light" w:cs="Calibri Light"/>
          <w:sz w:val="22"/>
          <w:szCs w:val="22"/>
          <w:color w:val="262626" w:themeColor="text1" w:themeTint="D9"/>
        </w:rPr>
        <w:t xml:space="preserve"> — the record of where cryptography is used, which algorithms and parameters are in use, and what depends on each.</w:t>
      </w:r>
    </w:p>
    <w:p>
      <w:pPr>
        <w:pStyle w:val="Heading1"/>
      </w:pPr>
      <w:r>
        <w:t>Relationship to the Encryption Policy</w:t>
      </w:r>
    </w:p>
    <w:p>
      <w:pPr>
        <w:rPr>
          <w:color w:val="262626" w:themeColor="text1" w:themeTint="D9"/>
        </w:rPr>
      </w:pPr>
      <w:r>
        <w:rPr>
          <w:rFonts w:ascii="Calibri Light" w:hAnsi="Calibri Light" w:cs="Calibri Light"/>
          <w:sz w:val="22"/>
          <w:szCs w:val="22"/>
          <w:color w:val="262626" w:themeColor="text1" w:themeTint="D9"/>
        </w:rPr>
        <w:t xml:space="preserve">This Standard implements the outcomes required by the parent policy named below. It specifies services, settings and parameters, which the policy deliberately does not, so that platform change does not require policy revision.</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The Encryption Policy defines the required outcomes. This Standard defines the configuration that produces them. Where the two conflict, the policy governs and this Standard shall be corrected.</w:t>
      </w:r>
      <w:r>
        <w:rPr>
          <w:rFonts w:ascii="Calibri Light" w:hAnsi="Calibri Light" w:cs="Calibri Light"/>
          <w:color w:val="5F8798"/>
          <w:sz w:val="18"/>
          <w:szCs w:val="18"/>
        </w:rPr>
        <w:t xml:space="preserve">  [SOC 2: CC5.3]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Each requirement below cites the policy section it implements. A requirement citing no policy section shall be removed, or the policy amended to require it.</w:t>
      </w:r>
      <w:r>
        <w:rPr>
          <w:rFonts w:ascii="Calibri Light" w:hAnsi="Calibri Light" w:cs="Calibri Light"/>
          <w:color w:val="5F8798"/>
          <w:sz w:val="18"/>
          <w:szCs w:val="18"/>
        </w:rPr>
        <w:t xml:space="preserve">  [SOC 2: CC5.3]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This Standard is issued and maintained by the Security Officer and may be revised without approval of the Information Security Steering Committee, provided every outcome required by the policy continues to be met.</w:t>
      </w:r>
      <w:r>
        <w:rPr>
          <w:rFonts w:ascii="Calibri Light" w:hAnsi="Calibri Light" w:cs="Calibri Light"/>
          <w:color w:val="5F8798"/>
          <w:sz w:val="18"/>
          <w:szCs w:val="18"/>
        </w:rPr>
        <w:t xml:space="preserve">  [SOC 2: CC5.3, CC1.3]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The Security Officer shall confirm at least annually that this Standard still delivers every outcome the policy requires, and shall record that confirmation.</w:t>
      </w:r>
      <w:r>
        <w:rPr>
          <w:rFonts w:ascii="Calibri Light" w:hAnsi="Calibri Light" w:cs="Calibri Light"/>
          <w:color w:val="5F8798"/>
          <w:sz w:val="18"/>
          <w:szCs w:val="18"/>
        </w:rPr>
        <w:t xml:space="preserve">  [SOC 2: CC4.1, CC5.3]</w:t>
      </w:r>
    </w:p>
    <w:p>
      <w:pPr>
        <w:pStyle w:val="Emphasis-Normal"/>
        <w:numPr>
          <w:ilvl w:val="0"/>
          <w:numId w:val="502"/>
        </w:numPr>
        <w:rPr>
          <w:color w:val="262626" w:themeColor="text1" w:themeTint="D9"/>
        </w:rPr>
      </w:pPr>
      <w:r>
        <w:rPr>
          <w:rFonts w:ascii="Calibri Light" w:hAnsi="Calibri Light" w:cs="Calibri Light"/>
          <w:sz w:val="22"/>
          <w:szCs w:val="22"/>
          <w:color w:val="262626" w:themeColor="text1" w:themeTint="D9"/>
        </w:rPr>
        <w:t xml:space="preserve">A deviation from this Standard shall be recorded as an exception with a compensating control and an expiry date, and reviewed at each quarterly Committee meeting.</w:t>
      </w:r>
      <w:r>
        <w:rPr>
          <w:rFonts w:ascii="Calibri Light" w:hAnsi="Calibri Light" w:cs="Calibri Light"/>
          <w:color w:val="5F8798"/>
          <w:sz w:val="18"/>
          <w:szCs w:val="18"/>
        </w:rPr>
        <w:t xml:space="preserve">  [SOC 2: CC5.3, CC3.2]</w:t>
      </w:r>
    </w:p>
    <w:p>
      <w:pPr>
        <w:pStyle w:val="Heading1"/>
      </w:pPr>
      <w:r>
        <w:t>Applying This Standard at Company Scale</w:t>
      </w:r>
    </w:p>
    <w:p>
      <w:pPr>
        <w:rPr>
          <w:color w:val="262626" w:themeColor="text1" w:themeTint="D9"/>
        </w:rPr>
      </w:pPr>
      <w:r>
        <w:rPr>
          <w:rFonts w:ascii="Calibri Light" w:hAnsi="Calibri Light" w:cs="Calibri Light"/>
          <w:sz w:val="22"/>
          <w:szCs w:val="22"/>
          <w:color w:val="262626" w:themeColor="text1" w:themeTint="D9"/>
        </w:rPr>
        <w:t xml:space="preserve">The Company is a small team without a dedicated platform or security engineering function. This Standard is written to be implemented by a few people alongside client work, so the following apply throughout.</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Requirements marked as baseline are mandatory and shall be in place before the observation window opens. Requirements marked as maturing are expected but may be phased, provided a target date is recorded.</w:t>
      </w:r>
      <w:r>
        <w:rPr>
          <w:rFonts w:ascii="Calibri Light" w:hAnsi="Calibri Light" w:cs="Calibri Light"/>
          <w:color w:val="5F8798"/>
          <w:sz w:val="18"/>
          <w:szCs w:val="18"/>
        </w:rPr>
        <w:t xml:space="preserve">  [SOC 2: CC5.3, CC3.2]</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Managed platform services shall be preferred to self-operated equivalents wherever one exists, because a managed service is maintained by its provider and produces exportable evidence without additional work.</w:t>
      </w:r>
      <w:r>
        <w:rPr>
          <w:rFonts w:ascii="Calibri Light" w:hAnsi="Calibri Light" w:cs="Calibri Light"/>
          <w:color w:val="5F8798"/>
          <w:sz w:val="18"/>
          <w:szCs w:val="18"/>
        </w:rPr>
        <w:t xml:space="preserve">  [SOC 2: CC7.1, CC2.1]</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Where a requirement can be enforced by a platform setting, a guardrail or a pipeline check, that enforcement is the control and its output is the evidence. No separate register shall be maintained alongside it.</w:t>
      </w:r>
      <w:r>
        <w:rPr>
          <w:rFonts w:ascii="Calibri Light" w:hAnsi="Calibri Light" w:cs="Calibri Light"/>
          <w:color w:val="5F8798"/>
          <w:sz w:val="18"/>
          <w:szCs w:val="18"/>
        </w:rPr>
        <w:t xml:space="preserve">  [SOC 2: CC5.2, CC8.1]</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Where the Company’s size prevents separation of duties, the limitation shall be recorded with a compensating control rather than the requirement being waived silently.</w:t>
      </w:r>
      <w:r>
        <w:rPr>
          <w:rFonts w:ascii="Calibri Light" w:hAnsi="Calibri Light" w:cs="Calibri Light"/>
          <w:color w:val="5F8798"/>
          <w:sz w:val="18"/>
          <w:szCs w:val="18"/>
        </w:rPr>
        <w:t xml:space="preserve">  [SOC 2: CC5.2, CC5.3]</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A requirement that cannot be met shall become a recorded exception with a compensating control and an expiry date, reviewed at each quarterly Committee meeting. Silent omission is not an option.</w:t>
      </w:r>
      <w:r>
        <w:rPr>
          <w:rFonts w:ascii="Calibri Light" w:hAnsi="Calibri Light" w:cs="Calibri Light"/>
          <w:color w:val="5F8798"/>
          <w:sz w:val="18"/>
          <w:szCs w:val="18"/>
        </w:rPr>
        <w:t xml:space="preserve">  [SOC 2: CC5.3]</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One person may perform several of the roles named here. No person shall approve their own exception.</w:t>
      </w:r>
      <w:r>
        <w:rPr>
          <w:rFonts w:ascii="Calibri Light" w:hAnsi="Calibri Light" w:cs="Calibri Light"/>
          <w:color w:val="5F8798"/>
          <w:sz w:val="18"/>
          <w:szCs w:val="18"/>
        </w:rPr>
        <w:t xml:space="preserve">  [SOC 2: CC1.3, CC5.2]</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Account-level encryption defaults and the managed TLS policy are the first work. They apply to everything created afterwards and remove the most common configuration error.</w:t>
      </w:r>
      <w:r>
        <w:rPr>
          <w:rFonts w:ascii="Calibri Light" w:hAnsi="Calibri Light" w:cs="Calibri Light"/>
          <w:color w:val="5F8798"/>
          <w:sz w:val="18"/>
          <w:szCs w:val="18"/>
        </w:rPr>
        <w:t xml:space="preserve">  [SOC 2: CC6.7]</w:t>
      </w:r>
    </w:p>
    <w:p>
      <w:pPr>
        <w:pStyle w:val="Emphasis-Normal"/>
        <w:numPr>
          <w:ilvl w:val="0"/>
          <w:numId w:val="503"/>
        </w:numPr>
        <w:rPr>
          <w:color w:val="262626" w:themeColor="text1" w:themeTint="D9"/>
        </w:rPr>
      </w:pPr>
      <w:r>
        <w:rPr>
          <w:rFonts w:ascii="Calibri Light" w:hAnsi="Calibri Light" w:cs="Calibri Light"/>
          <w:sz w:val="22"/>
          <w:szCs w:val="22"/>
          <w:color w:val="262626" w:themeColor="text1" w:themeTint="D9"/>
        </w:rPr>
        <w:t xml:space="preserve">The cryptographic inventory may begin as a single spreadsheet listing endpoints, data stores, keys and certificates. It is the prerequisite for the post-quantum work and is achievable in a day.</w:t>
      </w:r>
      <w:r>
        <w:rPr>
          <w:rFonts w:ascii="Calibri Light" w:hAnsi="Calibri Light" w:cs="Calibri Light"/>
          <w:color w:val="5F8798"/>
          <w:sz w:val="18"/>
          <w:szCs w:val="18"/>
        </w:rPr>
        <w:t xml:space="preserve">  [SOC 2: CC2.1, CC6.7]</w:t>
      </w:r>
    </w:p>
    <w:p>
      <w:pPr>
        <w:pStyle w:val="Heading1"/>
      </w:pPr>
      <w:r>
        <w:t>Approved Algorithms and Parameters</w:t>
      </w:r>
    </w:p>
    <w:p>
      <w:pPr>
        <w:rPr>
          <w:color w:val="262626" w:themeColor="text1" w:themeTint="D9"/>
        </w:rPr>
      </w:pPr>
      <w:r>
        <w:rPr>
          <w:rFonts w:ascii="Calibri Light" w:hAnsi="Calibri Light" w:cs="Calibri Light"/>
          <w:sz w:val="22"/>
          <w:szCs w:val="22"/>
          <w:color w:val="262626" w:themeColor="text1" w:themeTint="D9"/>
        </w:rPr>
        <w:t xml:space="preserve">This section is the authoritative list. An algorithm not named here is not approved, and a request to use one is an exception.</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Symmetric encryption shall use AES in an AEAD mode, specifically AES-256-GCM. AES-128 shall be used only where a platform offers nothing stronger, and shall be recorded as an exception where the data has a confidentiality life beyond five years.</w:t>
      </w:r>
      <w:r>
        <w:rPr>
          <w:rFonts w:ascii="Calibri Light" w:hAnsi="Calibri Light" w:cs="Calibri Light"/>
          <w:color w:val="5F8798"/>
          <w:sz w:val="18"/>
          <w:szCs w:val="18"/>
        </w:rPr>
        <w:t xml:space="preserve">  [POL-ENC-001 §5, §10 · SOC 2: CC6.7]</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Hashing shall use SHA-256 as a minimum, and SHA-384 or SHA-512 where a hash underpins integrity of long-lived material. MD5 and SHA-1 shall not be used for any security purpose.</w:t>
      </w:r>
      <w:r>
        <w:rPr>
          <w:rFonts w:ascii="Calibri Light" w:hAnsi="Calibri Light" w:cs="Calibri Light"/>
          <w:color w:val="5F8798"/>
          <w:sz w:val="18"/>
          <w:szCs w:val="18"/>
        </w:rPr>
        <w:t xml:space="preserve">  [POL-ENC-001 §5 · SOC 2: CC6.7]</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Password hashing shall use a memory-hard function, specifically Argon2id, or bcrypt with a work factor reviewed annually. Fast general-purpose hashes shall not be used to store passwords.</w:t>
      </w:r>
      <w:r>
        <w:rPr>
          <w:rFonts w:ascii="Calibri Light" w:hAnsi="Calibri Light" w:cs="Calibri Light"/>
          <w:color w:val="5F8798"/>
          <w:sz w:val="18"/>
          <w:szCs w:val="18"/>
        </w:rPr>
        <w:t xml:space="preserve">  [POL-PWD-001 §8 · SOC 2: CC6.1, CC6.7]</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Asymmetric cryptography shall use ECDSA or EdDSA over approved curves (P-256, P-384 or Ed25519), or RSA with a modulus of at least 3072 bits where a counterparty requires RSA. RSA-1024 and DSA shall not be used.</w:t>
      </w:r>
      <w:r>
        <w:rPr>
          <w:rFonts w:ascii="Calibri Light" w:hAnsi="Calibri Light" w:cs="Calibri Light"/>
          <w:color w:val="5F8798"/>
          <w:sz w:val="18"/>
          <w:szCs w:val="18"/>
        </w:rPr>
        <w:t xml:space="preserve">  [POL-ENC-001 §5 · SOC 2: CC6.7]</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Random values used for security purposes shall be produced by the platform cryptographic random source, never by a general-purpose pseudo-random function.</w:t>
      </w:r>
      <w:r>
        <w:rPr>
          <w:rFonts w:ascii="Calibri Light" w:hAnsi="Calibri Light" w:cs="Calibri Light"/>
          <w:color w:val="5F8798"/>
          <w:sz w:val="18"/>
          <w:szCs w:val="18"/>
        </w:rPr>
        <w:t xml:space="preserve">  [POL-SDLC-001 §6 · SOC 2: CC6.7, CC8.1]</w:t>
      </w:r>
    </w:p>
    <w:p>
      <w:pPr>
        <w:pStyle w:val="Emphasis-Normal"/>
        <w:numPr>
          <w:ilvl w:val="0"/>
          <w:numId w:val="504"/>
        </w:numPr>
        <w:rPr>
          <w:color w:val="262626" w:themeColor="text1" w:themeTint="D9"/>
        </w:rPr>
      </w:pPr>
      <w:r>
        <w:rPr>
          <w:rFonts w:ascii="Calibri Light" w:hAnsi="Calibri Light" w:cs="Calibri Light"/>
          <w:sz w:val="22"/>
          <w:szCs w:val="22"/>
          <w:color w:val="262626" w:themeColor="text1" w:themeTint="D9"/>
        </w:rPr>
        <w:t xml:space="preserve">Any algorithm withdrawn or deprecated by NIST shall be scheduled for replacement on withdrawal, not on failure.</w:t>
      </w:r>
      <w:r>
        <w:rPr>
          <w:rFonts w:ascii="Calibri Light" w:hAnsi="Calibri Light" w:cs="Calibri Light"/>
          <w:color w:val="5F8798"/>
          <w:sz w:val="18"/>
          <w:szCs w:val="18"/>
        </w:rPr>
        <w:t xml:space="preserve">  [POL-ENC-001 §5 · SOC 2: CC3.4, CC6.7]</w:t>
      </w:r>
    </w:p>
    <w:p>
      <w:pPr>
        <w:pStyle w:val="Heading1"/>
      </w:pPr>
      <w:r>
        <w:t>Transport Layer Security Configuration</w:t>
      </w:r>
    </w:p>
    <w:p>
      <w:pPr>
        <w:rPr>
          <w:color w:val="262626" w:themeColor="text1" w:themeTint="D9"/>
        </w:rPr>
      </w:pPr>
      <w:r>
        <w:rPr>
          <w:rFonts w:ascii="Calibri Light" w:hAnsi="Calibri Light" w:cs="Calibri Light"/>
          <w:sz w:val="22"/>
          <w:szCs w:val="22"/>
          <w:color w:val="262626" w:themeColor="text1" w:themeTint="D9"/>
        </w:rPr>
        <w:t xml:space="preserve">TLS is configured at the load balancer and at every service that terminates a connection. Configuration is asserted nowhere and evaluated continuously.</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TLS 1.3 shall be enabled and preferred. TLS 1.2 shall be the minimum accepted version. TLS 1.1, TLS 1.0 and all SSL versions shall be disabled.</w:t>
      </w:r>
      <w:r>
        <w:rPr>
          <w:rFonts w:ascii="Calibri Light" w:hAnsi="Calibri Light" w:cs="Calibri Light"/>
          <w:color w:val="5F8798"/>
          <w:sz w:val="18"/>
          <w:szCs w:val="18"/>
        </w:rPr>
        <w:t xml:space="preserve">  [POL-ENC-001 §6 · SOC 2: CC6.7 · HIPAA §164.312(e)(1)]</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Permitted TLS 1.2 cipher suites shall be restricted to ECDHE key exchange with AES-GCM or ChaCha20-Poly1305, providing forward secrecy and authenticated encryption. Suites using static RSA key exchange, CBC mode, RC4, 3DES or NULL encryption shall be disabled.</w:t>
      </w:r>
      <w:r>
        <w:rPr>
          <w:rFonts w:ascii="Calibri Light" w:hAnsi="Calibri Light" w:cs="Calibri Light"/>
          <w:color w:val="5F8798"/>
          <w:sz w:val="18"/>
          <w:szCs w:val="18"/>
        </w:rPr>
        <w:t xml:space="preserve">  [POL-ENC-001 §6 · SOC 2: CC6.7]</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Public endpoints shall use a managed TLS security policy from the cloud provider that satisfies the above, so that suite selection tracks provider updates rather than a hand-maintained list.</w:t>
      </w:r>
      <w:r>
        <w:rPr>
          <w:rFonts w:ascii="Calibri Light" w:hAnsi="Calibri Light" w:cs="Calibri Light"/>
          <w:color w:val="5F8798"/>
          <w:sz w:val="18"/>
          <w:szCs w:val="18"/>
        </w:rPr>
        <w:t xml:space="preserve">  [POL-ENC-001 §6 · SOC 2: CC6.7, CC3.4]</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HTTP Strict Transport Security shall be enabled with a max-age of at least one year, and unencrypted requests shall be redirected rather than served.</w:t>
      </w:r>
      <w:r>
        <w:rPr>
          <w:rFonts w:ascii="Calibri Light" w:hAnsi="Calibri Light" w:cs="Calibri Light"/>
          <w:color w:val="5F8798"/>
          <w:sz w:val="18"/>
          <w:szCs w:val="18"/>
        </w:rPr>
        <w:t xml:space="preserve">  [POL-ENC-001 §6 · SOC 2: CC6.7]</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Traffic between internal services shall use TLS, including within a private subnet, and mutual TLS shall be used where a service authenticates another service rather than a user.</w:t>
      </w:r>
      <w:r>
        <w:rPr>
          <w:rFonts w:ascii="Calibri Light" w:hAnsi="Calibri Light" w:cs="Calibri Light"/>
          <w:color w:val="5F8798"/>
          <w:sz w:val="18"/>
          <w:szCs w:val="18"/>
        </w:rPr>
        <w:t xml:space="preserve">  [POL-NET-001 §5 · SOC 2: CC6.6, CC6.7]</w:t>
      </w:r>
    </w:p>
    <w:p>
      <w:pPr>
        <w:pStyle w:val="Emphasis-Normal"/>
        <w:numPr>
          <w:ilvl w:val="0"/>
          <w:numId w:val="505"/>
        </w:numPr>
        <w:rPr>
          <w:color w:val="262626" w:themeColor="text1" w:themeTint="D9"/>
        </w:rPr>
      </w:pPr>
      <w:r>
        <w:rPr>
          <w:rFonts w:ascii="Calibri Light" w:hAnsi="Calibri Light" w:cs="Calibri Light"/>
          <w:sz w:val="22"/>
          <w:szCs w:val="22"/>
          <w:color w:val="262626" w:themeColor="text1" w:themeTint="D9"/>
        </w:rPr>
        <w:t xml:space="preserve">TLS configuration of every public endpoint shall be evaluated continuously by configuration rule, and a deviation shall raise a finding.</w:t>
      </w:r>
      <w:r>
        <w:rPr>
          <w:rFonts w:ascii="Calibri Light" w:hAnsi="Calibri Light" w:cs="Calibri Light"/>
          <w:color w:val="5F8798"/>
          <w:sz w:val="18"/>
          <w:szCs w:val="18"/>
        </w:rPr>
        <w:t xml:space="preserve">  [POL-ENC-001 §6 · SOC 2: CC7.1, CC6.7]</w:t>
      </w:r>
    </w:p>
    <w:p>
      <w:pPr>
        <w:pStyle w:val="Heading1"/>
      </w:pPr>
      <w:r>
        <w:t>Encryption at Rest Configuration</w:t>
      </w:r>
    </w:p>
    <w:p>
      <w:pPr>
        <w:rPr>
          <w:color w:val="262626" w:themeColor="text1" w:themeTint="D9"/>
        </w:rPr>
      </w:pPr>
      <w:r>
        <w:rPr>
          <w:rFonts w:ascii="Calibri Light" w:hAnsi="Calibri Light" w:cs="Calibri Light"/>
          <w:sz w:val="22"/>
          <w:szCs w:val="22"/>
          <w:color w:val="262626" w:themeColor="text1" w:themeTint="D9"/>
        </w:rPr>
        <w:t xml:space="preserve">Encryption at rest is enabled by account default so that an unencrypted resource cannot be created by omission.</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Default encryption shall be enabled at account level for object storage, block storage and managed databases in every region in use, and the guardrail preventing its disablement shall be active.</w:t>
      </w:r>
      <w:r>
        <w:rPr>
          <w:rFonts w:ascii="Calibri Light" w:hAnsi="Calibri Light" w:cs="Calibri Light"/>
          <w:color w:val="5F8798"/>
          <w:sz w:val="18"/>
          <w:szCs w:val="18"/>
        </w:rPr>
        <w:t xml:space="preserve">  [POL-ENC-001 §7 · SOC 2: CC6.7 · GDPR Art. 32]</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Stores holding Confidential or Restricted information shall use customer-managed keys rather than provider-managed defaults, so that key access is controlled and logged by the Company.</w:t>
      </w:r>
      <w:r>
        <w:rPr>
          <w:rFonts w:ascii="Calibri Light" w:hAnsi="Calibri Light" w:cs="Calibri Light"/>
          <w:color w:val="5F8798"/>
          <w:sz w:val="18"/>
          <w:szCs w:val="18"/>
        </w:rPr>
        <w:t xml:space="preserve">  [POL-ENC-001 §7 · SOC 2: CC6.3, CC6.7 · HIPAA §164.312(a)(2)(iv)]</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Envelope encryption shall be used for large objects, with data keys generated per object or per session and never reused across tenants.</w:t>
      </w:r>
      <w:r>
        <w:rPr>
          <w:rFonts w:ascii="Calibri Light" w:hAnsi="Calibri Light" w:cs="Calibri Light"/>
          <w:color w:val="5F8798"/>
          <w:sz w:val="18"/>
          <w:szCs w:val="18"/>
        </w:rPr>
        <w:t xml:space="preserve">  [POL-ENC-001 §7 · SOC 2: CC6.7, C1.1]</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Backups, snapshots and exported datasets shall be encrypted with at least the strength of the source, and shall not pass through an unencrypted intermediate location.</w:t>
      </w:r>
      <w:r>
        <w:rPr>
          <w:rFonts w:ascii="Calibri Light" w:hAnsi="Calibri Light" w:cs="Calibri Light"/>
          <w:color w:val="5F8798"/>
          <w:sz w:val="18"/>
          <w:szCs w:val="18"/>
        </w:rPr>
        <w:t xml:space="preserve">  [POL-ENC-001 §7 · SOC 2: CC6.7, A1.2]</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Vector stores, embedding indexes and any retained prompt or completion data shall be encrypted with customer-managed keys and treated at the classification of their source information.</w:t>
      </w:r>
      <w:r>
        <w:rPr>
          <w:rFonts w:ascii="Calibri Light" w:hAnsi="Calibri Light" w:cs="Calibri Light"/>
          <w:color w:val="5F8798"/>
          <w:sz w:val="18"/>
          <w:szCs w:val="18"/>
        </w:rPr>
        <w:t xml:space="preserve">  [POL-ENC-001 §7 · SOC 2: CC6.7, C1.1 · GDPR Art. 32]</w:t>
      </w:r>
    </w:p>
    <w:p>
      <w:pPr>
        <w:pStyle w:val="Emphasis-Normal"/>
        <w:numPr>
          <w:ilvl w:val="0"/>
          <w:numId w:val="506"/>
        </w:numPr>
        <w:rPr>
          <w:color w:val="262626" w:themeColor="text1" w:themeTint="D9"/>
        </w:rPr>
      </w:pPr>
      <w:r>
        <w:rPr>
          <w:rFonts w:ascii="Calibri Light" w:hAnsi="Calibri Light" w:cs="Calibri Light"/>
          <w:sz w:val="22"/>
          <w:szCs w:val="22"/>
          <w:color w:val="262626" w:themeColor="text1" w:themeTint="D9"/>
        </w:rPr>
        <w:t xml:space="preserve">Endpoint disk encryption shall be enforced by device management with recovery keys escrowed, in accordance with the Endpoint and BYOD Standard.</w:t>
      </w:r>
      <w:r>
        <w:rPr>
          <w:rFonts w:ascii="Calibri Light" w:hAnsi="Calibri Light" w:cs="Calibri Light"/>
          <w:color w:val="5F8798"/>
          <w:sz w:val="18"/>
          <w:szCs w:val="18"/>
        </w:rPr>
        <w:t xml:space="preserve">  [POL-ENC-001 §7 · SOC 2: CC6.4, CC6.7]</w:t>
      </w:r>
    </w:p>
    <w:p>
      <w:pPr>
        <w:pStyle w:val="Heading1"/>
      </w:pPr>
      <w:r>
        <w:t>Key Management Configuration</w:t>
      </w:r>
    </w:p>
    <w:p>
      <w:pPr>
        <w:rPr>
          <w:color w:val="262626" w:themeColor="text1" w:themeTint="D9"/>
        </w:rPr>
      </w:pPr>
      <w:r>
        <w:rPr>
          <w:rFonts w:ascii="Calibri Light" w:hAnsi="Calibri Light" w:cs="Calibri Light"/>
          <w:sz w:val="22"/>
          <w:szCs w:val="22"/>
          <w:color w:val="262626" w:themeColor="text1" w:themeTint="D9"/>
        </w:rPr>
        <w:t xml:space="preserve">Keys are generated in the key management service and never leave it. The parameters below are the operative settings.</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Keys shall be generated within AWS Key Management Service, using a symmetric key spec of SYMMETRIC_DEFAULT for data encryption and an approved asymmetric spec where signing or key agreement is required.</w:t>
      </w:r>
      <w:r>
        <w:rPr>
          <w:rFonts w:ascii="Calibri Light" w:hAnsi="Calibri Light" w:cs="Calibri Light"/>
          <w:color w:val="5F8798"/>
          <w:sz w:val="18"/>
          <w:szCs w:val="18"/>
        </w:rPr>
        <w:t xml:space="preserve">  [POL-ENC-001 §8 · SOC 2: CC6.7]</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Automatic annual rotation shall be enabled for every symmetric customer-managed key. Keys that cannot rotate automatically shall carry a documented rotation schedule and a named custodian.</w:t>
      </w:r>
      <w:r>
        <w:rPr>
          <w:rFonts w:ascii="Calibri Light" w:hAnsi="Calibri Light" w:cs="Calibri Light"/>
          <w:color w:val="5F8798"/>
          <w:sz w:val="18"/>
          <w:szCs w:val="18"/>
        </w:rPr>
        <w:t xml:space="preserve">  [POL-ENC-001 §8 · SOC 2: CC6.7]</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Key policies shall grant kms:Encrypt, kms:Decrypt and kms:GenerateDataKey separately from kms:PutKeyPolicy, kms:ScheduleKeyDeletion and kms:DisableKey, and no single identity shall hold both key administration and access to the data the key protects.</w:t>
      </w:r>
      <w:r>
        <w:rPr>
          <w:rFonts w:ascii="Calibri Light" w:hAnsi="Calibri Light" w:cs="Calibri Light"/>
          <w:color w:val="5F8798"/>
          <w:sz w:val="18"/>
          <w:szCs w:val="18"/>
        </w:rPr>
        <w:t xml:space="preserve">  [POL-ENC-001 §8 · SOC 2: CC6.3, CC5.2]</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Key deletion shall be configured with the maximum waiting period the service permits, and any scheduled deletion or key disablement shall raise an immediate alert.</w:t>
      </w:r>
      <w:r>
        <w:rPr>
          <w:rFonts w:ascii="Calibri Light" w:hAnsi="Calibri Light" w:cs="Calibri Light"/>
          <w:color w:val="5F8798"/>
          <w:sz w:val="18"/>
          <w:szCs w:val="18"/>
        </w:rPr>
        <w:t xml:space="preserve">  [POL-ENC-001 §8 · SOC 2: CC7.2, C1.2]</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Key use shall be logged through the platform audit trail, and access to keys protecting Confidential or Restricted information shall be reviewed quarterly alongside the access review.</w:t>
      </w:r>
      <w:r>
        <w:rPr>
          <w:rFonts w:ascii="Calibri Light" w:hAnsi="Calibri Light" w:cs="Calibri Light"/>
          <w:color w:val="5F8798"/>
          <w:sz w:val="18"/>
          <w:szCs w:val="18"/>
        </w:rPr>
        <w:t xml:space="preserve">  [POL-ENC-001 §8 · SOC 2: CC6.3, CC7.2 · HIPAA §164.312(b)]</w:t>
      </w:r>
    </w:p>
    <w:p>
      <w:pPr>
        <w:pStyle w:val="Emphasis-Normal"/>
        <w:numPr>
          <w:ilvl w:val="0"/>
          <w:numId w:val="507"/>
        </w:numPr>
        <w:rPr>
          <w:color w:val="262626" w:themeColor="text1" w:themeTint="D9"/>
        </w:rPr>
      </w:pPr>
      <w:r>
        <w:rPr>
          <w:rFonts w:ascii="Calibri Light" w:hAnsi="Calibri Light" w:cs="Calibri Light"/>
          <w:sz w:val="22"/>
          <w:szCs w:val="22"/>
          <w:color w:val="262626" w:themeColor="text1" w:themeTint="D9"/>
        </w:rPr>
        <w:t xml:space="preserve">Where a client requires control of the key, the arrangement shall be documented in the agreement including the consequence that the client can render the data unrecoverable.</w:t>
      </w:r>
      <w:r>
        <w:rPr>
          <w:rFonts w:ascii="Calibri Light" w:hAnsi="Calibri Light" w:cs="Calibri Light"/>
          <w:color w:val="5F8798"/>
          <w:sz w:val="18"/>
          <w:szCs w:val="18"/>
        </w:rPr>
        <w:t xml:space="preserve">  [POL-ENC-001 §8 · SOC 2: CC9.2 · GDPR Art. 28]</w:t>
      </w:r>
    </w:p>
    <w:p>
      <w:pPr>
        <w:pStyle w:val="Heading1"/>
      </w:pPr>
      <w:r>
        <w:t>Certificate Configuration</w:t>
      </w:r>
    </w:p>
    <w:p>
      <w:pPr>
        <w:rPr>
          <w:color w:val="262626" w:themeColor="text1" w:themeTint="D9"/>
        </w:rPr>
      </w:pPr>
      <w:r>
        <w:rPr>
          <w:rFonts w:ascii="Calibri Light" w:hAnsi="Calibri Light" w:cs="Calibri Light"/>
          <w:sz w:val="22"/>
          <w:szCs w:val="22"/>
          <w:color w:val="262626" w:themeColor="text1" w:themeTint="D9"/>
        </w:rPr>
        <w:t xml:space="preserve">Certificate expiry is the most common self-inflicted outage, and it is entirely preventable by configuration.</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Public certificates shall be issued through AWS Certificate Manager with DNS validation and automatic renewal.</w:t>
      </w:r>
      <w:r>
        <w:rPr>
          <w:rFonts w:ascii="Calibri Light" w:hAnsi="Calibri Light" w:cs="Calibri Light"/>
          <w:color w:val="5F8798"/>
          <w:sz w:val="18"/>
          <w:szCs w:val="18"/>
        </w:rPr>
        <w:t xml:space="preserve">  [POL-ENC-001 §11 · SOC 2: CC6.7, A1.1]</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Certificate key algorithm shall be ECDSA P-256 where the client population supports it, with RSA-2048 or larger only where compatibility requires.</w:t>
      </w:r>
      <w:r>
        <w:rPr>
          <w:rFonts w:ascii="Calibri Light" w:hAnsi="Calibri Light" w:cs="Calibri Light"/>
          <w:color w:val="5F8798"/>
          <w:sz w:val="18"/>
          <w:szCs w:val="18"/>
        </w:rPr>
        <w:t xml:space="preserve">  [POL-ENC-001 §11 · SOC 2: CC6.7]</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Expiry shall be monitored for every certificate, including those not under automatic renewal, with alerting at least thirty days before expiry.</w:t>
      </w:r>
      <w:r>
        <w:rPr>
          <w:rFonts w:ascii="Calibri Light" w:hAnsi="Calibri Light" w:cs="Calibri Light"/>
          <w:color w:val="5F8798"/>
          <w:sz w:val="18"/>
          <w:szCs w:val="18"/>
        </w:rPr>
        <w:t xml:space="preserve">  [POL-ENC-001 §11 · SOC 2: CC7.2, A1.1]</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Private keys shall be generated and retained within the managed service and shall not be exported.</w:t>
      </w:r>
      <w:r>
        <w:rPr>
          <w:rFonts w:ascii="Calibri Light" w:hAnsi="Calibri Light" w:cs="Calibri Light"/>
          <w:color w:val="5F8798"/>
          <w:sz w:val="18"/>
          <w:szCs w:val="18"/>
        </w:rPr>
        <w:t xml:space="preserve">  [POL-ENC-001 §11 · SOC 2: CC6.7, CC6.3]</w:t>
      </w:r>
    </w:p>
    <w:p>
      <w:pPr>
        <w:pStyle w:val="Emphasis-Normal"/>
        <w:numPr>
          <w:ilvl w:val="0"/>
          <w:numId w:val="508"/>
        </w:numPr>
        <w:rPr>
          <w:color w:val="262626" w:themeColor="text1" w:themeTint="D9"/>
        </w:rPr>
      </w:pPr>
      <w:r>
        <w:rPr>
          <w:rFonts w:ascii="Calibri Light" w:hAnsi="Calibri Light" w:cs="Calibri Light"/>
          <w:sz w:val="22"/>
          <w:szCs w:val="22"/>
          <w:color w:val="262626" w:themeColor="text1" w:themeTint="D9"/>
        </w:rPr>
        <w:t xml:space="preserve">Every certificate shall appear in the cryptographic inventory with issuer, expiry, key algorithm and dependent service.</w:t>
      </w:r>
      <w:r>
        <w:rPr>
          <w:rFonts w:ascii="Calibri Light" w:hAnsi="Calibri Light" w:cs="Calibri Light"/>
          <w:color w:val="5F8798"/>
          <w:sz w:val="18"/>
          <w:szCs w:val="18"/>
        </w:rPr>
        <w:t xml:space="preserve">  [POL-ENC-001 §12 · SOC 2: CC2.1]</w:t>
      </w:r>
    </w:p>
    <w:p>
      <w:pPr>
        <w:pStyle w:val="Heading1"/>
      </w:pPr>
      <w:r>
        <w:t>Post-Quantum Configuration and Migration</w:t>
      </w:r>
    </w:p>
    <w:p>
      <w:pPr>
        <w:rPr>
          <w:color w:val="262626" w:themeColor="text1" w:themeTint="D9"/>
        </w:rPr>
      </w:pPr>
      <w:r>
        <w:rPr>
          <w:rFonts w:ascii="Calibri Light" w:hAnsi="Calibri Light" w:cs="Calibri Light"/>
          <w:sz w:val="22"/>
          <w:szCs w:val="22"/>
          <w:color w:val="262626" w:themeColor="text1" w:themeTint="D9"/>
        </w:rPr>
        <w:t xml:space="preserve">This section states what the Company does now rather than what it intends. The sequence matters: inventory precedes migration, and hybrid precedes replacement.</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The cryptographic inventory shall record, for every use of public-key cryptography, the algorithm, parameters, the dependent system, the confidentiality life of the data it protects, and whether a post-quantum or hybrid alternative is available on that platform. This inventory shall exist before any migration is attempted.</w:t>
      </w:r>
      <w:r>
        <w:rPr>
          <w:rFonts w:ascii="Calibri Light" w:hAnsi="Calibri Light" w:cs="Calibri Light"/>
          <w:color w:val="5F8798"/>
          <w:sz w:val="18"/>
          <w:szCs w:val="18"/>
        </w:rPr>
        <w:t xml:space="preserve">  [POL-ENC-001 §10 · SOC 2: CC2.1, CC6.7]</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Data whose confidentiality must survive beyond ten years shall be marked post-quantum priority in the inventory. For this Company that includes client assessment findings, architecture documentation, credentials held in escrow and personal data under long retention.</w:t>
      </w:r>
      <w:r>
        <w:rPr>
          <w:rFonts w:ascii="Calibri Light" w:hAnsi="Calibri Light" w:cs="Calibri Light"/>
          <w:color w:val="5F8798"/>
          <w:sz w:val="18"/>
          <w:szCs w:val="18"/>
        </w:rPr>
        <w:t xml:space="preserve">  [POL-ENC-001 §10 · SOC 2: CC3.2 · GDPR Art. 32]</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Where the platform offers hybrid key establishment combining X25519 with ML-KEM, it shall be enabled for externally facing TLS termination once interoperability with the client population has been verified in a non-production environment.</w:t>
      </w:r>
      <w:r>
        <w:rPr>
          <w:rFonts w:ascii="Calibri Light" w:hAnsi="Calibri Light" w:cs="Calibri Light"/>
          <w:color w:val="5F8798"/>
          <w:sz w:val="18"/>
          <w:szCs w:val="18"/>
        </w:rPr>
        <w:t xml:space="preserve">  [POL-ENC-001 §10 · SOC 2: CC6.7, CC3.4]</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Hybrid shall be preferred to post-quantum alone for the present period, so that classical security is retained if the post-quantum component is later weakened.</w:t>
      </w:r>
      <w:r>
        <w:rPr>
          <w:rFonts w:ascii="Calibri Light" w:hAnsi="Calibri Light" w:cs="Calibri Light"/>
          <w:color w:val="5F8798"/>
          <w:sz w:val="18"/>
          <w:szCs w:val="18"/>
        </w:rPr>
        <w:t xml:space="preserve">  [POL-ENC-001 §10 · SOC 2: CC6.7]</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Signature algorithms shall remain classical until the platform and the client population support ML-DSA or SLH-DSA in the relevant path, at which point migration shall follow the same inventory-first sequence.</w:t>
      </w:r>
      <w:r>
        <w:rPr>
          <w:rFonts w:ascii="Calibri Light" w:hAnsi="Calibri Light" w:cs="Calibri Light"/>
          <w:color w:val="5F8798"/>
          <w:sz w:val="18"/>
          <w:szCs w:val="18"/>
        </w:rPr>
        <w:t xml:space="preserve">  [POL-ENC-001 §10 · SOC 2: CC6.7, CC3.4]</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Symmetric parameters shall already be quantum-resistant: AES-256 rather than AES-128, and SHA-384 or stronger for long-lived integrity. No further action is required for symmetric cryptography.</w:t>
      </w:r>
      <w:r>
        <w:rPr>
          <w:rFonts w:ascii="Calibri Light" w:hAnsi="Calibri Light" w:cs="Calibri Light"/>
          <w:color w:val="5F8798"/>
          <w:sz w:val="18"/>
          <w:szCs w:val="18"/>
        </w:rPr>
        <w:t xml:space="preserve">  [POL-ENC-001 §10 · SOC 2: CC6.7]</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Non-standardised or experimental post-quantum algorithms shall not be used in production. Only algorithms standardised in FIPS 203, 204 or 205 shall be adopted.</w:t>
      </w:r>
      <w:r>
        <w:rPr>
          <w:rFonts w:ascii="Calibri Light" w:hAnsi="Calibri Light" w:cs="Calibri Light"/>
          <w:color w:val="5F8798"/>
          <w:sz w:val="18"/>
          <w:szCs w:val="18"/>
        </w:rPr>
        <w:t xml:space="preserve">  [POL-ENC-001 §10 · SOC 2: CC6.7]</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Critical vendors and model providers shall be asked annually for their post-quantum migration position, and the answer recorded in the vendor file.</w:t>
      </w:r>
      <w:r>
        <w:rPr>
          <w:rFonts w:ascii="Calibri Light" w:hAnsi="Calibri Light" w:cs="Calibri Light"/>
          <w:color w:val="5F8798"/>
          <w:sz w:val="18"/>
          <w:szCs w:val="18"/>
        </w:rPr>
        <w:t xml:space="preserve">  [POL-VM-001 §10 · SOC 2: CC9.2]</w:t>
      </w:r>
    </w:p>
    <w:p>
      <w:pPr>
        <w:pStyle w:val="Emphasis-Normal"/>
        <w:numPr>
          <w:ilvl w:val="0"/>
          <w:numId w:val="509"/>
        </w:numPr>
        <w:rPr>
          <w:color w:val="262626" w:themeColor="text1" w:themeTint="D9"/>
        </w:rPr>
      </w:pPr>
      <w:r>
        <w:rPr>
          <w:rFonts w:ascii="Calibri Light" w:hAnsi="Calibri Light" w:cs="Calibri Light"/>
          <w:sz w:val="22"/>
          <w:szCs w:val="22"/>
          <w:color w:val="262626" w:themeColor="text1" w:themeTint="D9"/>
        </w:rPr>
        <w:t xml:space="preserve">The Security Officer shall review this section annually against published standards and platform support, and record the review whether or not a change results.</w:t>
      </w:r>
      <w:r>
        <w:rPr>
          <w:rFonts w:ascii="Calibri Light" w:hAnsi="Calibri Light" w:cs="Calibri Light"/>
          <w:color w:val="5F8798"/>
          <w:sz w:val="18"/>
          <w:szCs w:val="18"/>
        </w:rPr>
        <w:t xml:space="preserve">  [POL-ENC-001 §10 · SOC 2: CC4.1, CC3.4]</w:t>
      </w:r>
    </w:p>
    <w:p>
      <w:pPr>
        <w:pStyle w:val="Heading1"/>
      </w:pPr>
      <w:r>
        <w:t>Secrets Configuration</w:t>
      </w:r>
    </w:p>
    <w:p>
      <w:pPr>
        <w:rPr>
          <w:color w:val="262626" w:themeColor="text1" w:themeTint="D9"/>
        </w:rPr>
      </w:pPr>
      <w:r>
        <w:rPr>
          <w:rFonts w:ascii="Calibri Light" w:hAnsi="Calibri Light" w:cs="Calibri Light"/>
          <w:sz w:val="22"/>
          <w:szCs w:val="22"/>
          <w:color w:val="262626" w:themeColor="text1" w:themeTint="D9"/>
        </w:rPr>
        <w:t xml:space="preserve">A secret in source control remains the most common cause of a serious incident at companies of this size.</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Secrets shall be held in AWS Secrets Manager or Parameter Store SecureString, encrypted with a customer-managed key, and retrieved at runtime by workload identity rather than embedded.</w:t>
      </w:r>
      <w:r>
        <w:rPr>
          <w:rFonts w:ascii="Calibri Light" w:hAnsi="Calibri Light" w:cs="Calibri Light"/>
          <w:color w:val="5F8798"/>
          <w:sz w:val="18"/>
          <w:szCs w:val="18"/>
        </w:rPr>
        <w:t xml:space="preserve">  [POL-ENC-001 §9 · SOC 2: CC6.1, CC6.7]</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Automatic rotation shall be configured for every secret type the service supports, and the rotation schedule recorded for those it does not.</w:t>
      </w:r>
      <w:r>
        <w:rPr>
          <w:rFonts w:ascii="Calibri Light" w:hAnsi="Calibri Light" w:cs="Calibri Light"/>
          <w:color w:val="5F8798"/>
          <w:sz w:val="18"/>
          <w:szCs w:val="18"/>
        </w:rPr>
        <w:t xml:space="preserve">  [POL-ENC-001 §9 · SOC 2: CC6.7]</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Secret scanning shall run on every repository with push protection enabled, and in the pipeline as a blocking gate.</w:t>
      </w:r>
      <w:r>
        <w:rPr>
          <w:rFonts w:ascii="Calibri Light" w:hAnsi="Calibri Light" w:cs="Calibri Light"/>
          <w:color w:val="5F8798"/>
          <w:sz w:val="18"/>
          <w:szCs w:val="18"/>
        </w:rPr>
        <w:t xml:space="preserve">  [POL-SDLC-001 §6 · SOC 2: CC7.1, CC8.1]</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An exposed secret shall be revoked and rotated immediately, its use investigated through the audit trail, and the event handled as an incident. Removal from version control history is not remediation.</w:t>
      </w:r>
      <w:r>
        <w:rPr>
          <w:rFonts w:ascii="Calibri Light" w:hAnsi="Calibri Light" w:cs="Calibri Light"/>
          <w:color w:val="5F8798"/>
          <w:sz w:val="18"/>
          <w:szCs w:val="18"/>
        </w:rPr>
        <w:t xml:space="preserve">  [POL-IRP-001 §8 · SOC 2: CC7.3, CC7.4]</w:t>
      </w:r>
    </w:p>
    <w:p>
      <w:pPr>
        <w:pStyle w:val="Emphasis-Normal"/>
        <w:numPr>
          <w:ilvl w:val="0"/>
          <w:numId w:val="510"/>
        </w:numPr>
        <w:rPr>
          <w:color w:val="262626" w:themeColor="text1" w:themeTint="D9"/>
        </w:rPr>
      </w:pPr>
      <w:r>
        <w:rPr>
          <w:rFonts w:ascii="Calibri Light" w:hAnsi="Calibri Light" w:cs="Calibri Light"/>
          <w:sz w:val="22"/>
          <w:szCs w:val="22"/>
          <w:color w:val="262626" w:themeColor="text1" w:themeTint="D9"/>
        </w:rPr>
        <w:t xml:space="preserve">Secrets shall not appear in prompts, system instructions, agent configuration or model context.</w:t>
      </w:r>
      <w:r>
        <w:rPr>
          <w:rFonts w:ascii="Calibri Light" w:hAnsi="Calibri Light" w:cs="Calibri Light"/>
          <w:color w:val="5F8798"/>
          <w:sz w:val="18"/>
          <w:szCs w:val="18"/>
        </w:rPr>
        <w:t xml:space="preserve">  [POL-AUP-001 §10 · SOC 2: CC6.7, C1.1]</w:t>
      </w:r>
    </w:p>
    <w:p>
      <w:pPr>
        <w:pStyle w:val="Heading1"/>
      </w:pPr>
      <w:r>
        <w:t>Exceptions and Deprecation</w:t>
      </w:r>
    </w:p>
    <w:p>
      <w:pPr>
        <w:rPr>
          <w:color w:val="262626" w:themeColor="text1" w:themeTint="D9"/>
        </w:rPr>
      </w:pPr>
      <w:r>
        <w:rPr>
          <w:rFonts w:ascii="Calibri Light" w:hAnsi="Calibri Light" w:cs="Calibri Light"/>
          <w:sz w:val="22"/>
          <w:szCs w:val="22"/>
          <w:color w:val="262626" w:themeColor="text1" w:themeTint="D9"/>
        </w:rPr>
        <w:t xml:space="preserve">Third parties and clients will sometimes require something this Standard prohibits. That is recorded rather than quietly permitted.</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A deviation shall be recorded with the system, the requirement not met, the reason, a compensating control, a named owner and an expiry date not exceeding twelve months.</w:t>
      </w:r>
      <w:r>
        <w:rPr>
          <w:rFonts w:ascii="Calibri Light" w:hAnsi="Calibri Light" w:cs="Calibri Light"/>
          <w:color w:val="5F8798"/>
          <w:sz w:val="18"/>
          <w:szCs w:val="18"/>
        </w:rPr>
        <w:t xml:space="preserve">  [POL-ENC-001 §12 · SOC 2: CC5.3]</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Enabling a deprecated protocol version or cipher suite to accommodate a counterparty shall require an exception and an agreed removal date communicated to that counterparty.</w:t>
      </w:r>
      <w:r>
        <w:rPr>
          <w:rFonts w:ascii="Calibri Light" w:hAnsi="Calibri Light" w:cs="Calibri Light"/>
          <w:color w:val="5F8798"/>
          <w:sz w:val="18"/>
          <w:szCs w:val="18"/>
        </w:rPr>
        <w:t xml:space="preserve">  [POL-ENC-001 §12 · SOC 2: CC5.3, CC9.2]</w:t>
      </w:r>
    </w:p>
    <w:p>
      <w:pPr>
        <w:pStyle w:val="Emphasis-Normal"/>
        <w:numPr>
          <w:ilvl w:val="0"/>
          <w:numId w:val="511"/>
        </w:numPr>
        <w:rPr>
          <w:color w:val="262626" w:themeColor="text1" w:themeTint="D9"/>
        </w:rPr>
      </w:pPr>
      <w:r>
        <w:rPr>
          <w:rFonts w:ascii="Calibri Light" w:hAnsi="Calibri Light" w:cs="Calibri Light"/>
          <w:sz w:val="22"/>
          <w:szCs w:val="22"/>
          <w:color w:val="262626" w:themeColor="text1" w:themeTint="D9"/>
        </w:rPr>
        <w:t xml:space="preserve">A second renewal of the same exception shall trigger a decision to replace the system or to accept the risk formally at Accountable Party level.</w:t>
      </w:r>
      <w:r>
        <w:rPr>
          <w:rFonts w:ascii="Calibri Light" w:hAnsi="Calibri Light" w:cs="Calibri Light"/>
          <w:color w:val="5F8798"/>
          <w:sz w:val="18"/>
          <w:szCs w:val="18"/>
        </w:rPr>
        <w:t xml:space="preserve">  [POL-ENC-001 §12 · SOC 2: CC3.2, CC5.3]</w:t>
      </w:r>
    </w:p>
    <w:p>
      <w:pPr>
        <w:pStyle w:val="Heading1"/>
      </w:pPr>
      <w:r>
        <w:t>Evidence Produced by This Standard</w:t>
      </w:r>
    </w:p>
    <w:p>
      <w:pPr>
        <w:rPr>
          <w:color w:val="262626" w:themeColor="text1" w:themeTint="D9"/>
        </w:rPr>
      </w:pPr>
      <w:r>
        <w:rPr>
          <w:rFonts w:ascii="Calibri Light" w:hAnsi="Calibri Light" w:cs="Calibri Light"/>
          <w:sz w:val="22"/>
          <w:szCs w:val="22"/>
          <w:color w:val="262626" w:themeColor="text1" w:themeTint="D9"/>
        </w:rPr>
        <w:t xml:space="preserve">Each item below is generated by the configuration specified above and can be exported on request.</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The cryptographic inventory, including post-quantum priority marking and certificate holdings.</w:t>
      </w:r>
      <w:r>
        <w:rPr>
          <w:rFonts w:ascii="Calibri Light" w:hAnsi="Calibri Light" w:cs="Calibri Light"/>
          <w:color w:val="5F8798"/>
          <w:sz w:val="18"/>
          <w:szCs w:val="18"/>
        </w:rPr>
        <w:t xml:space="preserve">  [SOC 2: CC2.1, CC6.7]</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TLS policy configuration for every public endpoint, showing minimum version and permitted suites.</w:t>
      </w:r>
      <w:r>
        <w:rPr>
          <w:rFonts w:ascii="Calibri Light" w:hAnsi="Calibri Light" w:cs="Calibri Light"/>
          <w:color w:val="5F8798"/>
          <w:sz w:val="18"/>
          <w:szCs w:val="18"/>
        </w:rPr>
        <w:t xml:space="preserve">  [SOC 2: CC6.7]</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Configuration rule results showing encryption at rest enabled across storage, databases and backups.</w:t>
      </w:r>
      <w:r>
        <w:rPr>
          <w:rFonts w:ascii="Calibri Light" w:hAnsi="Calibri Light" w:cs="Calibri Light"/>
          <w:color w:val="5F8798"/>
          <w:sz w:val="18"/>
          <w:szCs w:val="18"/>
        </w:rPr>
        <w:t xml:space="preserve">  [SOC 2: CC6.7, CC7.1]</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KMS key list with key spec, rotation status and key policy export.</w:t>
      </w:r>
      <w:r>
        <w:rPr>
          <w:rFonts w:ascii="Calibri Light" w:hAnsi="Calibri Light" w:cs="Calibri Light"/>
          <w:color w:val="5F8798"/>
          <w:sz w:val="18"/>
          <w:szCs w:val="18"/>
        </w:rPr>
        <w:t xml:space="preserve">  [SOC 2: CC6.7, CC6.3]</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Key use logs and the quarterly review of access to keys protecting Confidential information.</w:t>
      </w:r>
      <w:r>
        <w:rPr>
          <w:rFonts w:ascii="Calibri Light" w:hAnsi="Calibri Light" w:cs="Calibri Light"/>
          <w:color w:val="5F8798"/>
          <w:sz w:val="18"/>
          <w:szCs w:val="18"/>
        </w:rPr>
        <w:t xml:space="preserve">  [SOC 2: CC6.3, CC7.2]</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Certificate inventory with expiry dates and evidence of expiry alerting.</w:t>
      </w:r>
      <w:r>
        <w:rPr>
          <w:rFonts w:ascii="Calibri Light" w:hAnsi="Calibri Light" w:cs="Calibri Light"/>
          <w:color w:val="5F8798"/>
          <w:sz w:val="18"/>
          <w:szCs w:val="18"/>
        </w:rPr>
        <w:t xml:space="preserve">  [SOC 2: A1.1, CC7.2]</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Secret scanning results and records of any exposure, revocation and rotation.</w:t>
      </w:r>
      <w:r>
        <w:rPr>
          <w:rFonts w:ascii="Calibri Light" w:hAnsi="Calibri Light" w:cs="Calibri Light"/>
          <w:color w:val="5F8798"/>
          <w:sz w:val="18"/>
          <w:szCs w:val="18"/>
        </w:rPr>
        <w:t xml:space="preserve">  [SOC 2: CC7.1, CC7.3]</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The annual post-quantum review record.</w:t>
      </w:r>
      <w:r>
        <w:rPr>
          <w:rFonts w:ascii="Calibri Light" w:hAnsi="Calibri Light" w:cs="Calibri Light"/>
          <w:color w:val="5F8798"/>
          <w:sz w:val="18"/>
          <w:szCs w:val="18"/>
        </w:rPr>
        <w:t xml:space="preserve">  [SOC 2: CC3.4, CC4.1]</w:t>
      </w:r>
    </w:p>
    <w:p>
      <w:pPr>
        <w:pStyle w:val="Emphasis-Normal"/>
        <w:numPr>
          <w:ilvl w:val="0"/>
          <w:numId w:val="512"/>
        </w:numPr>
        <w:rPr>
          <w:color w:val="262626" w:themeColor="text1" w:themeTint="D9"/>
        </w:rPr>
      </w:pPr>
      <w:r>
        <w:rPr>
          <w:rFonts w:ascii="Calibri Light" w:hAnsi="Calibri Light" w:cs="Calibri Light"/>
          <w:sz w:val="22"/>
          <w:szCs w:val="22"/>
          <w:color w:val="262626" w:themeColor="text1" w:themeTint="D9"/>
        </w:rPr>
        <w:t xml:space="preserve">Open cryptographic exceptions with compensating control and expiry.</w:t>
      </w:r>
      <w:r>
        <w:rPr>
          <w:rFonts w:ascii="Calibri Light" w:hAnsi="Calibri Light" w:cs="Calibri Light"/>
          <w:color w:val="5F8798"/>
          <w:sz w:val="18"/>
          <w:szCs w:val="18"/>
        </w:rPr>
        <w:t xml:space="preserve">  [SOC 2: CC5.3]</w:t>
      </w:r>
    </w:p>
    <w:p>
      <w:pPr>
        <w:pStyle w:val="Heading1"/>
      </w:pPr>
      <w:r>
        <w:t>Authoritative Sources</w:t>
      </w:r>
    </w:p>
    <w:p>
      <w:pPr>
        <w:rPr>
          <w:color w:val="262626" w:themeColor="text1" w:themeTint="D9"/>
        </w:rPr>
      </w:pPr>
      <w:r>
        <w:rPr>
          <w:rFonts w:ascii="Calibri Light" w:hAnsi="Calibri Light" w:cs="Calibri Light"/>
          <w:sz w:val="22"/>
          <w:szCs w:val="22"/>
          <w:color w:val="262626" w:themeColor="text1" w:themeTint="D9"/>
        </w:rPr>
        <w:t xml:space="preserve">The requirements in this Standard are drawn from the following sources. The Security Officer shall confirm the current revision of each at the annual review, since the post-quantum sources in particular are actively developing.</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FIPS 197, Advanced Encryption Standard — the basis for AES and for preferring AES-256 where confidentiality must survive a long period.</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FIPS 180-4, Secure Hash Standard, and FIPS 202, SHA-3 — the basis for the approved hash functions.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FIPS 186-5, Digital Signature Standard — the basis for the approved signature algorithms and curves.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FIPS 140-3 — the basis for requiring validated modules and platform key services rather than self-implemented primitives.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FIPS 203, Module-Lattice-Based Key-Encapsulation Mechanism (ML-KEM) — the standardised post-quantum key establishment algorithm referenced in the hybrid requirement.</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FIPS 204 (ML-DSA) and FIPS 205 (SLH-DSA) — the standardised post-quantum signature algorithms referenced in the migration sequence.</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SP 800-52 Revision 2, Guidelines for TLS Implementations — the basis for the minimum protocol version and the cipher suite restrictions.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SP 800-57 Part 1 Revision 5, Recommendation for Key Management — the basis for key lifecycle, rotation and separation of key administration from data access.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SP 800-131A Revision 2, Transitioning the Use of Cryptographic Algorithms and Key Lengths — the basis for scheduling replacement on withdrawal rather than on failure.</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SP 800-63B, Digital Identity Guidelines — the basis for the memory-hard password hashing requirement.</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NIST National Cybersecurity Center of Excellence, Migration to Post-Quantum Cryptography — the basis for requiring a cryptographic inventory before migration.</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45 CFR §164.312(a)(2)(iv) and §164.312(e)(2)(ii), and HHS guidance on rendering protected health information unusable — the basis for treating encryption as the control limiting breach notification obligations.</w:t>
      </w:r>
    </w:p>
    <w:p>
      <w:pPr>
        <w:pStyle w:val="Emphasis-Normal"/>
        <w:numPr>
          <w:ilvl w:val="0"/>
          <w:numId w:val="513"/>
        </w:numPr>
        <w:rPr>
          <w:color w:val="262626" w:themeColor="text1" w:themeTint="D9"/>
        </w:rPr>
      </w:pPr>
      <w:r>
        <w:rPr>
          <w:rFonts w:ascii="Calibri Light" w:hAnsi="Calibri Light" w:cs="Calibri Light"/>
          <w:sz w:val="22"/>
          <w:szCs w:val="22"/>
          <w:color w:val="262626" w:themeColor="text1" w:themeTint="D9"/>
        </w:rPr>
        <w:t xml:space="preserve">Regulation (EU) 2016/679, Articles 32 and 34(3)(a) — the basis for encryption as an appropriate measure and its effect on the obligation to notify data subjects.</w:t>
      </w:r>
    </w:p>
    <w:p>
      <w:pPr>
        <w:pStyle w:val="Heading1"/>
      </w:pPr>
      <w:r>
        <w:t>Enforcement</w:t>
      </w:r>
    </w:p>
    <w:p>
      <w:pPr>
        <w:pStyle w:val="Emphasis-Normal"/>
        <w:numPr>
          <w:ilvl w:val="0"/>
          <w:numId w:val="514"/>
        </w:numPr>
        <w:rPr>
          <w:color w:val="262626" w:themeColor="text1" w:themeTint="D9"/>
        </w:rPr>
      </w:pPr>
      <w:r>
        <w:rPr>
          <w:rFonts w:ascii="Calibri Light" w:hAnsi="Calibri Light" w:cs="Calibri Light"/>
          <w:sz w:val="22"/>
          <w:szCs w:val="22"/>
          <w:color w:val="262626" w:themeColor="text1" w:themeTint="D9"/>
        </w:rPr>
        <w:t xml:space="preserve">Violations of this document may result in disciplinary action up to and including termination of employment or engagement, and, where applicable, civil or criminal referral.</w:t>
      </w:r>
      <w:r>
        <w:rPr>
          <w:rFonts w:ascii="Calibri Light" w:hAnsi="Calibri Light" w:cs="Calibri Light"/>
          <w:color w:val="5F8798"/>
          <w:sz w:val="18"/>
          <w:szCs w:val="18"/>
        </w:rPr>
        <w:t xml:space="preserve">  [SOC 2: CC1.5]</w:t>
      </w:r>
    </w:p>
    <w:p>
      <w:pPr>
        <w:pStyle w:val="Emphasis-Normal"/>
        <w:numPr>
          <w:ilvl w:val="0"/>
          <w:numId w:val="514"/>
        </w:numPr>
        <w:rPr>
          <w:color w:val="262626" w:themeColor="text1" w:themeTint="D9"/>
        </w:rPr>
      </w:pPr>
      <w:r>
        <w:rPr>
          <w:rFonts w:ascii="Calibri Light" w:hAnsi="Calibri Light" w:cs="Calibri Light"/>
          <w:sz w:val="22"/>
          <w:szCs w:val="22"/>
          <w:color w:val="262626" w:themeColor="text1" w:themeTint="D9"/>
        </w:rPr>
        <w:t xml:space="preserve">Disciplinary decisions shall be documented by the Security Officer and applied consistently, in accordance with the Company’s personnel sanctions process.</w:t>
      </w:r>
      <w:r>
        <w:rPr>
          <w:rFonts w:ascii="Calibri Light" w:hAnsi="Calibri Light" w:cs="Calibri Light"/>
          <w:color w:val="5F8798"/>
          <w:sz w:val="18"/>
          <w:szCs w:val="18"/>
        </w:rPr>
        <w:t xml:space="preserve">  [SOC 2: CC1.5]</w:t>
      </w:r>
    </w:p>
    <w:p>
      <w:pPr>
        <w:pStyle w:val="Heading1"/>
      </w:pPr>
      <w:r>
        <w:t>Exceptions</w:t>
      </w:r>
    </w:p>
    <w:p>
      <w:pPr>
        <w:rPr>
          <w:color w:val="262626" w:themeColor="text1" w:themeTint="D9"/>
        </w:rPr>
      </w:pPr>
      <w:r>
        <w:rPr>
          <w:rFonts w:ascii="Calibri Light" w:hAnsi="Calibri Light" w:cs="Calibri Light"/>
          <w:sz w:val="22"/>
          <w:szCs w:val="22"/>
          <w:color w:val="262626" w:themeColor="text1" w:themeTint="D9"/>
        </w:rPr>
        <w:t xml:space="preserve">Exceptions to this policy must be requested in writing to the Security Officer and approved by the Information Security Steering Committee before taking effect. Approved exceptions shall be documented, risk-assessed, time-bound with an expiry date, and reviewed at least annually.</w:t>
      </w:r>
    </w:p>
    <w:p>
      <w:pPr>
        <w:pStyle w:val="Heading1"/>
      </w:pPr>
      <w:r>
        <w:t>Reference</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Encryption Policy (POL-ENC-001)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Cloud Platform Security Standard (STD-CLD-001)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Endpoint and BYOD Standard (STD-EPT-001)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Network Security Policy (POL-NET-001)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Password and Authentication Policy (POL-PWD-001)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Access Control Policy (POL-AC-001)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Secure Software Development Life Cycle Policy (POL-SDLC-001)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Vendor Management Policy (POL-VM-001)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Incident Response Plan (POL-IRP-001)</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HIPAA Security Rule, 45 CFR §164.312(a)(2)(iv) and §164.312(e)</w:t>
      </w:r>
    </w:p>
    <w:p>
      <w:pPr>
        <w:pStyle w:val="Emphasis-Normal"/>
        <w:numPr>
          <w:ilvl w:val="0"/>
          <w:numId w:val="515"/>
        </w:numPr>
        <w:rPr>
          <w:color w:val="262626" w:themeColor="text1" w:themeTint="D9"/>
        </w:rPr>
      </w:pPr>
      <w:r>
        <w:rPr>
          <w:rFonts w:ascii="Calibri Light" w:hAnsi="Calibri Light" w:cs="Calibri Light"/>
          <w:sz w:val="22"/>
          <w:szCs w:val="22"/>
          <w:color w:val="262626" w:themeColor="text1" w:themeTint="D9"/>
        </w:rPr>
        <w:t xml:space="preserve">EU General Data Protection Regulation, Articles 32 and 34</w:t>
      </w:r>
    </w:p>
    <w:p w14:paraId="00FFBC58" w14:textId="77777777" w:rsidR="0019039B" w:rsidRDefault="00000000" w:rsidP="00BF0F18">
      <w:pPr>
        <w:pStyle w:val="Heading1"/>
        <w:suppressLineNumbers/>
      </w:pPr>
      <w:bookmarkStart w:id="11" w:name="_Toc235458837"/>
      <w:r>
        <w:t>Document Policy History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5460"/>
      </w:tblGrid>
      <w:tr w:rsidR="0019039B" w14:paraId="73DA6238" w14:textId="77777777" w:rsidTr="00DE44EE">
        <w:trPr>
          <w:tblHeader/>
        </w:trPr>
        <w:tc>
          <w:tcPr>
            <w:tcW w:w="156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6DE93450" w14:textId="77777777" w:rsidR="0019039B" w:rsidRDefault="00000000" w:rsidP="00DE44EE">
            <w:pPr>
              <w:suppressLineNumbers/>
              <w:spacing w:before="0" w:after="0" w:line="240" w:lineRule="auto"/>
            </w:pPr>
            <w:r>
              <w:rPr>
                <w:rFonts w:ascii="Calibri Light" w:hAnsi="Calibri Light" w:cs="Calibri Light"/>
                <w:sz w:val="22"/>
                <w:szCs w:val="22"/>
                <w:sz w:val="20"/>
                <w:szCs w:val="20"/>
              </w:rPr>
              <w:t>Version</w:t>
            </w:r>
          </w:p>
        </w:tc>
        <w:tc>
          <w:tcPr>
            <w:tcW w:w="234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2688D1AF" w14:textId="77777777" w:rsidR="0019039B" w:rsidRDefault="00000000" w:rsidP="00DE44EE">
            <w:pPr>
              <w:suppressLineNumbers/>
              <w:spacing w:before="0" w:after="0" w:line="240" w:lineRule="auto"/>
            </w:pPr>
            <w:r>
              <w:rPr>
                <w:rFonts w:ascii="Calibri Light" w:hAnsi="Calibri Light" w:cs="Calibri Light"/>
                <w:sz w:val="22"/>
                <w:szCs w:val="22"/>
                <w:sz w:val="20"/>
                <w:szCs w:val="20"/>
              </w:rPr>
              <w:t>Date</w:t>
            </w:r>
          </w:p>
        </w:tc>
        <w:tc>
          <w:tcPr>
            <w:tcW w:w="546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69E0E5BD" w14:textId="77777777" w:rsidR="0019039B" w:rsidRDefault="00000000" w:rsidP="00DE44EE">
            <w:pPr>
              <w:suppressLineNumbers/>
              <w:spacing w:before="0" w:after="0" w:line="240" w:lineRule="auto"/>
            </w:pPr>
            <w:r>
              <w:rPr>
                <w:rFonts w:ascii="Calibri Light" w:hAnsi="Calibri Light" w:cs="Calibri Light"/>
                <w:sz w:val="22"/>
                <w:szCs w:val="22"/>
                <w:sz w:val="20"/>
                <w:szCs w:val="20"/>
              </w:rPr>
              <w:t>Description</w:t>
            </w:r>
          </w:p>
        </w:tc>
      </w:tr>
      <w:tr w:rsidR="0019039B" w14:paraId="11148E57" w14:textId="77777777" w:rsidTr="00DE44EE">
        <w:tc>
          <w:tcPr>
            <w:tcW w:w="156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1BF6E107" w14:textId="77777777" w:rsidR="0019039B" w:rsidRDefault="009B6824" w:rsidP="00DE44EE">
            <w:pPr>
              <w:suppressLineNumbers/>
              <w:spacing w:before="0" w:after="0" w:line="240" w:lineRule="auto"/>
            </w:pPr>
            <w:r>
              <w:rPr>
                <w:rFonts w:ascii="Calibri Light" w:hAnsi="Calibri Light" w:cs="Calibri Light"/>
                <w:sz w:val="20"/>
                <w:szCs w:val="20"/>
                <w:color w:val="262626" w:themeColor="text1" w:themeTint="D9"/>
              </w:rPr>
              <w:t xml:space="preserve">1.0</w:t>
            </w:r>
          </w:p>
        </w:tc>
        <w:tc>
          <w:tcPr>
            <w:tcW w:w="234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6923858F" w14:textId="77777777" w:rsidR="0019039B" w:rsidRDefault="009B6824" w:rsidP="00DE44EE">
            <w:pPr>
              <w:suppressLineNumbers/>
              <w:spacing w:before="0" w:after="0" w:line="240" w:lineRule="auto"/>
            </w:pPr>
            <w:r>
              <w:rPr>
                <w:rFonts w:ascii="Calibri Light" w:hAnsi="Calibri Light" w:cs="Calibri Light"/>
                <w:sz w:val="20"/>
                <w:szCs w:val="20"/>
                <w:color w:val="262626" w:themeColor="text1" w:themeTint="D9"/>
              </w:rPr>
              <w:t xml:space="preserve">July 19, 2026</w:t>
            </w:r>
          </w:p>
        </w:tc>
        <w:tc>
          <w:tcPr>
            <w:tcW w:w="546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12C7ABC0" w14:textId="77777777" w:rsidR="0019039B" w:rsidRDefault="00000000" w:rsidP="00DE44EE">
            <w:pPr>
              <w:suppressLineNumbers/>
              <w:spacing w:before="0" w:after="0" w:line="240" w:lineRule="auto"/>
            </w:pPr>
            <w:r>
              <w:rPr>
                <w:rFonts w:ascii="Calibri Light" w:hAnsi="Calibri Light" w:cs="Calibri Light"/>
                <w:sz w:val="20"/>
                <w:szCs w:val="20"/>
                <w:color w:val="262626" w:themeColor="text1" w:themeTint="D9"/>
              </w:rPr>
              <w:t xml:space="preserve">Initial release.</w:t>
            </w:r>
          </w:p>
        </w:tc>
      </w:tr>
      <w:tr w:rsidR="0019039B" w14:paraId="04B4DF59" w14:textId="77777777">
        <w:tc>
          <w:tcPr>
            <w:tcW w:w="15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5CA54BD0" w14:textId="77777777" w:rsidR="0019039B" w:rsidRDefault="0019039B" w:rsidP="00DE44EE">
            <w:pPr>
              <w:suppressLineNumbers/>
              <w:spacing w:before="0" w:after="0" w:line="240" w:lineRule="auto"/>
            </w:pPr>
          </w:p>
        </w:tc>
        <w:tc>
          <w:tcPr>
            <w:tcW w:w="234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C5A4AD8" w14:textId="77777777" w:rsidR="0019039B" w:rsidRDefault="0019039B" w:rsidP="00DE44EE">
            <w:pPr>
              <w:suppressLineNumbers/>
              <w:spacing w:before="0" w:after="0" w:line="240" w:lineRule="auto"/>
            </w:pPr>
          </w:p>
        </w:tc>
        <w:tc>
          <w:tcPr>
            <w:tcW w:w="54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EF629F8" w14:textId="77777777" w:rsidR="0019039B" w:rsidRDefault="0019039B" w:rsidP="00DE44EE">
            <w:pPr>
              <w:suppressLineNumbers/>
              <w:spacing w:before="0" w:after="0" w:line="240" w:lineRule="auto"/>
            </w:pPr>
          </w:p>
        </w:tc>
      </w:tr>
      <w:tr w:rsidR="0019039B" w14:paraId="6EB2F396" w14:textId="77777777">
        <w:tc>
          <w:tcPr>
            <w:tcW w:w="15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29E8FB0D" w14:textId="77777777" w:rsidR="0019039B" w:rsidRDefault="0019039B" w:rsidP="00DE44EE">
            <w:pPr>
              <w:suppressLineNumbers/>
              <w:spacing w:before="0" w:after="0" w:line="240" w:lineRule="auto"/>
            </w:pPr>
          </w:p>
        </w:tc>
        <w:tc>
          <w:tcPr>
            <w:tcW w:w="234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69F3F185" w14:textId="77777777" w:rsidR="0019039B" w:rsidRDefault="0019039B" w:rsidP="00DE44EE">
            <w:pPr>
              <w:suppressLineNumbers/>
              <w:spacing w:before="0" w:after="0" w:line="240" w:lineRule="auto"/>
            </w:pPr>
          </w:p>
        </w:tc>
        <w:tc>
          <w:tcPr>
            <w:tcW w:w="54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E856650" w14:textId="77777777" w:rsidR="0019039B" w:rsidRDefault="0019039B" w:rsidP="00DE44EE">
            <w:pPr>
              <w:suppressLineNumbers/>
              <w:spacing w:before="0" w:after="0" w:line="240" w:lineRule="auto"/>
            </w:pPr>
          </w:p>
        </w:tc>
      </w:tr>
      <w:tr w:rsidR="0019039B" w14:paraId="45FF049C" w14:textId="77777777">
        <w:tc>
          <w:tcPr>
            <w:tcW w:w="15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6237AA3D" w14:textId="77777777" w:rsidR="0019039B" w:rsidRDefault="0019039B" w:rsidP="00DE44EE">
            <w:pPr>
              <w:suppressLineNumbers/>
              <w:spacing w:before="0" w:after="0" w:line="240" w:lineRule="auto"/>
            </w:pPr>
          </w:p>
        </w:tc>
        <w:tc>
          <w:tcPr>
            <w:tcW w:w="234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0C8AE3D2" w14:textId="77777777" w:rsidR="0019039B" w:rsidRDefault="0019039B" w:rsidP="00DE44EE">
            <w:pPr>
              <w:suppressLineNumbers/>
              <w:spacing w:before="0" w:after="0" w:line="240" w:lineRule="auto"/>
            </w:pPr>
          </w:p>
        </w:tc>
        <w:tc>
          <w:tcPr>
            <w:tcW w:w="5460"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75293DB" w14:textId="77777777" w:rsidR="0019039B" w:rsidRDefault="0019039B" w:rsidP="00DE44EE">
            <w:pPr>
              <w:suppressLineNumbers/>
              <w:spacing w:before="0" w:after="0" w:line="240" w:lineRule="auto"/>
            </w:pPr>
          </w:p>
        </w:tc>
      </w:tr>
    </w:tbl>
    <w:sectPr w:rsidR="00DE44EE">
      <w:headerReference w:type="default" r:id="rId9"/>
      <w:footerReference w:type="default" r:id="rId10"/>
      <w:headerReference w:type="first" r:id="rId11"/>
      <w:footerReference w:type="first" r:id="rId12"/>
      <w:pgSz w:w="12240" w:h="15840"/>
      <w:pgMar w:top="1040" w:right="1440" w:bottom="900" w:left="1440" w:header="340" w:footer="340" w:gutter="0"/>
      <w:lnNumType w:countBy="1" w:start="1" w:restart="continuous" w:distance="36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49DDE3" w14:textId="77777777" w:rsidR="009018D5" w:rsidRDefault="009018D5" w:rsidP="007A2335">
      <w:r>
        <w:separator/>
      </w:r>
    </w:p>
  </w:endnote>
  <w:endnote w:type="continuationSeparator" w:id="0">
    <w:p w14:paraId="30CBC29F" w14:textId="77777777" w:rsidR="009018D5" w:rsidRDefault="009018D5" w:rsidP="007A2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tabs>
        <w:tab w:val="right" w:pos="9360"/>
      </w:tabs>
      <w:spacing w:before="0" w:after="0" w:line="240" w:lineRule="auto"/>
    </w:pPr>
    <w:r>
      <w:rPr>
        <w:rFonts w:ascii="Calibri Light" w:hAnsi="Calibri Light"/>
        <w:sz w:val="17"/>
        <w:color w:val="7A848E"/>
      </w:rPr>
      <w:t xml:space="preserve">Page </w:t>
    </w:r>
    <w:r>
      <w:fldChar w:fldCharType="begin"/>
    </w:r>
    <w:r>
      <w:instrText>PAGE</w:instrText>
    </w:r>
    <w:r>
      <w:fldChar w:fldCharType="separate"/>
    </w:r>
    <w:r>
      <w:rPr>
        <w:rFonts w:ascii="Calibri Light" w:hAnsi="Calibri Light"/>
        <w:sz w:val="17"/>
        <w:color w:val="7A848E"/>
        <w:noProof/>
      </w:rPr>
      <w:t>1</w:t>
    </w:r>
    <w:r>
      <w:fldChar w:fldCharType="end"/>
    </w:r>
    <w:r>
      <w:rPr>
        <w:rFonts w:ascii="Calibri Light" w:hAnsi="Calibri Light"/>
        <w:sz w:val="17"/>
        <w:color w:val="7A848E"/>
      </w:rPr>
      <w:t xml:space="preserve"> of </w:t>
    </w:r>
    <w:r>
      <w:fldChar w:fldCharType="begin"/>
    </w:r>
    <w:r>
      <w:instrText>NUMPAGES</w:instrText>
    </w:r>
    <w:r>
      <w:fldChar w:fldCharType="separate"/>
    </w:r>
    <w:r>
      <w:rPr>
        <w:rFonts w:ascii="Calibri Light" w:hAnsi="Calibri Light"/>
        <w:sz w:val="17"/>
        <w:color w:val="7A848E"/>
        <w:noProof/>
      </w:rPr>
      <w:t>1</w:t>
    </w:r>
    <w:r>
      <w:fldChar w:fldCharType="end"/>
    </w:r>
    <w:r>
      <w:tab/>
    </w:r>
    <w:r w:rsidRPr="001E2F5A">
      <w:rPr>
        <w:noProof/>
      </w:rPr>
      <w:drawing>
        <wp:inline distT="0" distB="0" distL="0" distR="0" wp14:anchorId="7512B672" wp14:editId="69EE1F29">
          <wp:extent cx="998968" cy="307023"/>
          <wp:effectExtent l="0" t="0" r="4445" b="0"/>
          <wp:docPr id="456977664" name="Picture 4569776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062" cy="31012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6D010B" w14:textId="77777777" w:rsidR="009018D5" w:rsidRDefault="009018D5" w:rsidP="007A2335">
      <w:r>
        <w:separator/>
      </w:r>
    </w:p>
  </w:footnote>
  <w:footnote w:type="continuationSeparator" w:id="0">
    <w:p w14:paraId="2D46E541" w14:textId="77777777" w:rsidR="009018D5" w:rsidRDefault="009018D5" w:rsidP="007A2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before="0" w:after="0" w:line="240" w:lineRule="auto"/>
      <w:jc w:val="center"/>
    </w:pPr>
    <w:r>
      <w:rPr>
        <w:rFonts w:ascii="Calibri Light" w:hAnsi="Calibri Light"/>
        <w:sz w:val="17"/>
        <w:color w:val="7A848E"/>
        <w:spacing w:val="12"/>
      </w:rPr>
      <w:t xml:space="preserve">CRYPTOGRAPHIC STANDARD · INTERNAL · STD-CRY-001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43660E"/>
    <w:multiLevelType w:val="hybridMultilevel"/>
    <w:tmpl w:val="F4A861CC"/>
    <w:lvl w:ilvl="0" w:tplc="658ABD2A">
      <w:start w:val="1"/>
      <w:numFmt w:val="decimal"/>
      <w:lvlText w:val="%1."/>
      <w:lvlJc w:val="left"/>
      <w:pPr>
        <w:ind w:left="620" w:hanging="360"/>
      </w:pPr>
    </w:lvl>
    <w:lvl w:ilvl="1" w:tplc="72A6BDBE">
      <w:numFmt w:val="decimal"/>
      <w:lvlText w:val=""/>
      <w:lvlJc w:val="left"/>
    </w:lvl>
    <w:lvl w:ilvl="2" w:tplc="AC62B27E">
      <w:numFmt w:val="decimal"/>
      <w:lvlText w:val=""/>
      <w:lvlJc w:val="left"/>
    </w:lvl>
    <w:lvl w:ilvl="3" w:tplc="1CDA5428">
      <w:numFmt w:val="decimal"/>
      <w:lvlText w:val=""/>
      <w:lvlJc w:val="left"/>
    </w:lvl>
    <w:lvl w:ilvl="4" w:tplc="F642CA78">
      <w:numFmt w:val="decimal"/>
      <w:lvlText w:val=""/>
      <w:lvlJc w:val="left"/>
    </w:lvl>
    <w:lvl w:ilvl="5" w:tplc="D58A9E38">
      <w:numFmt w:val="decimal"/>
      <w:lvlText w:val=""/>
      <w:lvlJc w:val="left"/>
    </w:lvl>
    <w:lvl w:ilvl="6" w:tplc="6D920BEC">
      <w:numFmt w:val="decimal"/>
      <w:lvlText w:val=""/>
      <w:lvlJc w:val="left"/>
    </w:lvl>
    <w:lvl w:ilvl="7" w:tplc="9A2AD962">
      <w:numFmt w:val="decimal"/>
      <w:lvlText w:val=""/>
      <w:lvlJc w:val="left"/>
    </w:lvl>
    <w:lvl w:ilvl="8" w:tplc="210E58A8">
      <w:numFmt w:val="decimal"/>
      <w:lvlText w:val=""/>
      <w:lvlJc w:val="left"/>
    </w:lvl>
  </w:abstractNum>
  <w:abstractNum w:abstractNumId="1" w15:restartNumberingAfterBreak="0">
    <w:nsid w:val="0D4F44E9"/>
    <w:multiLevelType w:val="hybridMultilevel"/>
    <w:tmpl w:val="D3D07824"/>
    <w:lvl w:ilvl="0" w:tplc="593851A2">
      <w:start w:val="1"/>
      <w:numFmt w:val="decimal"/>
      <w:lvlText w:val="%1."/>
      <w:lvlJc w:val="left"/>
      <w:pPr>
        <w:ind w:left="620" w:hanging="360"/>
      </w:pPr>
    </w:lvl>
    <w:lvl w:ilvl="1" w:tplc="2F9A6F38">
      <w:numFmt w:val="decimal"/>
      <w:lvlText w:val=""/>
      <w:lvlJc w:val="left"/>
    </w:lvl>
    <w:lvl w:ilvl="2" w:tplc="405C5908">
      <w:numFmt w:val="decimal"/>
      <w:lvlText w:val=""/>
      <w:lvlJc w:val="left"/>
    </w:lvl>
    <w:lvl w:ilvl="3" w:tplc="05061E6C">
      <w:numFmt w:val="decimal"/>
      <w:lvlText w:val=""/>
      <w:lvlJc w:val="left"/>
    </w:lvl>
    <w:lvl w:ilvl="4" w:tplc="8B62D0FC">
      <w:numFmt w:val="decimal"/>
      <w:lvlText w:val=""/>
      <w:lvlJc w:val="left"/>
    </w:lvl>
    <w:lvl w:ilvl="5" w:tplc="D12AAE54">
      <w:numFmt w:val="decimal"/>
      <w:lvlText w:val=""/>
      <w:lvlJc w:val="left"/>
    </w:lvl>
    <w:lvl w:ilvl="6" w:tplc="822A1508">
      <w:numFmt w:val="decimal"/>
      <w:lvlText w:val=""/>
      <w:lvlJc w:val="left"/>
    </w:lvl>
    <w:lvl w:ilvl="7" w:tplc="566CCD1C">
      <w:numFmt w:val="decimal"/>
      <w:lvlText w:val=""/>
      <w:lvlJc w:val="left"/>
    </w:lvl>
    <w:lvl w:ilvl="8" w:tplc="5180FD0A">
      <w:numFmt w:val="decimal"/>
      <w:lvlText w:val=""/>
      <w:lvlJc w:val="left"/>
    </w:lvl>
  </w:abstractNum>
  <w:abstractNum w:abstractNumId="2" w15:restartNumberingAfterBreak="0">
    <w:nsid w:val="12381682"/>
    <w:multiLevelType w:val="hybridMultilevel"/>
    <w:tmpl w:val="5AC4A2BE"/>
    <w:lvl w:ilvl="0" w:tplc="02A4A696">
      <w:start w:val="1"/>
      <w:numFmt w:val="decimal"/>
      <w:lvlText w:val="%1."/>
      <w:lvlJc w:val="left"/>
      <w:pPr>
        <w:ind w:left="620" w:hanging="360"/>
      </w:pPr>
    </w:lvl>
    <w:lvl w:ilvl="1" w:tplc="6D8E4FD0">
      <w:numFmt w:val="decimal"/>
      <w:lvlText w:val=""/>
      <w:lvlJc w:val="left"/>
    </w:lvl>
    <w:lvl w:ilvl="2" w:tplc="3FB46C02">
      <w:numFmt w:val="decimal"/>
      <w:lvlText w:val=""/>
      <w:lvlJc w:val="left"/>
    </w:lvl>
    <w:lvl w:ilvl="3" w:tplc="F5BE307A">
      <w:numFmt w:val="decimal"/>
      <w:lvlText w:val=""/>
      <w:lvlJc w:val="left"/>
    </w:lvl>
    <w:lvl w:ilvl="4" w:tplc="413AC72A">
      <w:numFmt w:val="decimal"/>
      <w:lvlText w:val=""/>
      <w:lvlJc w:val="left"/>
    </w:lvl>
    <w:lvl w:ilvl="5" w:tplc="2EAA9528">
      <w:numFmt w:val="decimal"/>
      <w:lvlText w:val=""/>
      <w:lvlJc w:val="left"/>
    </w:lvl>
    <w:lvl w:ilvl="6" w:tplc="AA003E3E">
      <w:numFmt w:val="decimal"/>
      <w:lvlText w:val=""/>
      <w:lvlJc w:val="left"/>
    </w:lvl>
    <w:lvl w:ilvl="7" w:tplc="2DDE166C">
      <w:numFmt w:val="decimal"/>
      <w:lvlText w:val=""/>
      <w:lvlJc w:val="left"/>
    </w:lvl>
    <w:lvl w:ilvl="8" w:tplc="98289EEC">
      <w:numFmt w:val="decimal"/>
      <w:lvlText w:val=""/>
      <w:lvlJc w:val="left"/>
    </w:lvl>
  </w:abstractNum>
  <w:abstractNum w:abstractNumId="3" w15:restartNumberingAfterBreak="0">
    <w:nsid w:val="12A90452"/>
    <w:multiLevelType w:val="hybridMultilevel"/>
    <w:tmpl w:val="E95AD15C"/>
    <w:lvl w:ilvl="0" w:tplc="51104B38">
      <w:start w:val="1"/>
      <w:numFmt w:val="bullet"/>
      <w:lvlText w:val="●"/>
      <w:lvlJc w:val="left"/>
      <w:pPr>
        <w:ind w:left="720" w:hanging="360"/>
      </w:pPr>
    </w:lvl>
    <w:lvl w:ilvl="1" w:tplc="15DC10BC">
      <w:start w:val="1"/>
      <w:numFmt w:val="bullet"/>
      <w:lvlText w:val="○"/>
      <w:lvlJc w:val="left"/>
      <w:pPr>
        <w:ind w:left="1440" w:hanging="360"/>
      </w:pPr>
    </w:lvl>
    <w:lvl w:ilvl="2" w:tplc="46906D2A">
      <w:start w:val="1"/>
      <w:numFmt w:val="bullet"/>
      <w:lvlText w:val="■"/>
      <w:lvlJc w:val="left"/>
      <w:pPr>
        <w:ind w:left="2160" w:hanging="360"/>
      </w:pPr>
    </w:lvl>
    <w:lvl w:ilvl="3" w:tplc="4ADC6E1A">
      <w:start w:val="1"/>
      <w:numFmt w:val="bullet"/>
      <w:lvlText w:val="●"/>
      <w:lvlJc w:val="left"/>
      <w:pPr>
        <w:ind w:left="2880" w:hanging="360"/>
      </w:pPr>
    </w:lvl>
    <w:lvl w:ilvl="4" w:tplc="72C80178">
      <w:start w:val="1"/>
      <w:numFmt w:val="bullet"/>
      <w:lvlText w:val="○"/>
      <w:lvlJc w:val="left"/>
      <w:pPr>
        <w:ind w:left="3600" w:hanging="360"/>
      </w:pPr>
    </w:lvl>
    <w:lvl w:ilvl="5" w:tplc="90325F78">
      <w:start w:val="1"/>
      <w:numFmt w:val="bullet"/>
      <w:lvlText w:val="■"/>
      <w:lvlJc w:val="left"/>
      <w:pPr>
        <w:ind w:left="4320" w:hanging="360"/>
      </w:pPr>
    </w:lvl>
    <w:lvl w:ilvl="6" w:tplc="D4EAC122">
      <w:start w:val="1"/>
      <w:numFmt w:val="bullet"/>
      <w:lvlText w:val="●"/>
      <w:lvlJc w:val="left"/>
      <w:pPr>
        <w:ind w:left="5040" w:hanging="360"/>
      </w:pPr>
    </w:lvl>
    <w:lvl w:ilvl="7" w:tplc="AAFAE78E">
      <w:start w:val="1"/>
      <w:numFmt w:val="bullet"/>
      <w:lvlText w:val="●"/>
      <w:lvlJc w:val="left"/>
      <w:pPr>
        <w:ind w:left="5760" w:hanging="360"/>
      </w:pPr>
    </w:lvl>
    <w:lvl w:ilvl="8" w:tplc="D864312A">
      <w:start w:val="1"/>
      <w:numFmt w:val="bullet"/>
      <w:lvlText w:val="●"/>
      <w:lvlJc w:val="left"/>
      <w:pPr>
        <w:ind w:left="6480" w:hanging="360"/>
      </w:pPr>
    </w:lvl>
  </w:abstractNum>
  <w:abstractNum w:abstractNumId="4" w15:restartNumberingAfterBreak="0">
    <w:nsid w:val="1F181B1C"/>
    <w:multiLevelType w:val="hybridMultilevel"/>
    <w:tmpl w:val="8176FE40"/>
    <w:lvl w:ilvl="0" w:tplc="84DA111E">
      <w:start w:val="1"/>
      <w:numFmt w:val="decimal"/>
      <w:lvlText w:val="%1."/>
      <w:lvlJc w:val="left"/>
      <w:pPr>
        <w:ind w:left="620" w:hanging="360"/>
      </w:pPr>
    </w:lvl>
    <w:lvl w:ilvl="1" w:tplc="EC228C00">
      <w:numFmt w:val="decimal"/>
      <w:lvlText w:val=""/>
      <w:lvlJc w:val="left"/>
    </w:lvl>
    <w:lvl w:ilvl="2" w:tplc="5B924CF6">
      <w:numFmt w:val="decimal"/>
      <w:lvlText w:val=""/>
      <w:lvlJc w:val="left"/>
    </w:lvl>
    <w:lvl w:ilvl="3" w:tplc="FA9CE1BA">
      <w:numFmt w:val="decimal"/>
      <w:lvlText w:val=""/>
      <w:lvlJc w:val="left"/>
    </w:lvl>
    <w:lvl w:ilvl="4" w:tplc="4732CC84">
      <w:numFmt w:val="decimal"/>
      <w:lvlText w:val=""/>
      <w:lvlJc w:val="left"/>
    </w:lvl>
    <w:lvl w:ilvl="5" w:tplc="99082D2A">
      <w:numFmt w:val="decimal"/>
      <w:lvlText w:val=""/>
      <w:lvlJc w:val="left"/>
    </w:lvl>
    <w:lvl w:ilvl="6" w:tplc="2CD688DE">
      <w:numFmt w:val="decimal"/>
      <w:lvlText w:val=""/>
      <w:lvlJc w:val="left"/>
    </w:lvl>
    <w:lvl w:ilvl="7" w:tplc="10FA9BF0">
      <w:numFmt w:val="decimal"/>
      <w:lvlText w:val=""/>
      <w:lvlJc w:val="left"/>
    </w:lvl>
    <w:lvl w:ilvl="8" w:tplc="BBA4F128">
      <w:numFmt w:val="decimal"/>
      <w:lvlText w:val=""/>
      <w:lvlJc w:val="left"/>
    </w:lvl>
  </w:abstractNum>
  <w:abstractNum w:abstractNumId="5" w15:restartNumberingAfterBreak="0">
    <w:nsid w:val="3781113F"/>
    <w:multiLevelType w:val="hybridMultilevel"/>
    <w:tmpl w:val="9454D2A2"/>
    <w:lvl w:ilvl="0" w:tplc="2F8C71F4">
      <w:start w:val="1"/>
      <w:numFmt w:val="decimal"/>
      <w:lvlText w:val="%1."/>
      <w:lvlJc w:val="left"/>
      <w:pPr>
        <w:ind w:left="620" w:hanging="360"/>
      </w:pPr>
    </w:lvl>
    <w:lvl w:ilvl="1" w:tplc="0014566E">
      <w:numFmt w:val="decimal"/>
      <w:lvlText w:val=""/>
      <w:lvlJc w:val="left"/>
    </w:lvl>
    <w:lvl w:ilvl="2" w:tplc="4DB45612">
      <w:numFmt w:val="decimal"/>
      <w:lvlText w:val=""/>
      <w:lvlJc w:val="left"/>
    </w:lvl>
    <w:lvl w:ilvl="3" w:tplc="724666C6">
      <w:numFmt w:val="decimal"/>
      <w:lvlText w:val=""/>
      <w:lvlJc w:val="left"/>
    </w:lvl>
    <w:lvl w:ilvl="4" w:tplc="2800DC9A">
      <w:numFmt w:val="decimal"/>
      <w:lvlText w:val=""/>
      <w:lvlJc w:val="left"/>
    </w:lvl>
    <w:lvl w:ilvl="5" w:tplc="BDEC9E4C">
      <w:numFmt w:val="decimal"/>
      <w:lvlText w:val=""/>
      <w:lvlJc w:val="left"/>
    </w:lvl>
    <w:lvl w:ilvl="6" w:tplc="75746004">
      <w:numFmt w:val="decimal"/>
      <w:lvlText w:val=""/>
      <w:lvlJc w:val="left"/>
    </w:lvl>
    <w:lvl w:ilvl="7" w:tplc="F626CADC">
      <w:numFmt w:val="decimal"/>
      <w:lvlText w:val=""/>
      <w:lvlJc w:val="left"/>
    </w:lvl>
    <w:lvl w:ilvl="8" w:tplc="0EDA45AE">
      <w:numFmt w:val="decimal"/>
      <w:lvlText w:val=""/>
      <w:lvlJc w:val="left"/>
    </w:lvl>
  </w:abstractNum>
  <w:abstractNum w:abstractNumId="6" w15:restartNumberingAfterBreak="0">
    <w:nsid w:val="37CB2894"/>
    <w:multiLevelType w:val="hybridMultilevel"/>
    <w:tmpl w:val="D80CCD7A"/>
    <w:lvl w:ilvl="0" w:tplc="78E8FDAE">
      <w:start w:val="1"/>
      <w:numFmt w:val="decimal"/>
      <w:lvlText w:val="%1."/>
      <w:lvlJc w:val="left"/>
      <w:pPr>
        <w:ind w:left="620" w:hanging="360"/>
      </w:pPr>
    </w:lvl>
    <w:lvl w:ilvl="1" w:tplc="BC9A0D84">
      <w:numFmt w:val="decimal"/>
      <w:lvlText w:val=""/>
      <w:lvlJc w:val="left"/>
    </w:lvl>
    <w:lvl w:ilvl="2" w:tplc="BD62DF40">
      <w:numFmt w:val="decimal"/>
      <w:lvlText w:val=""/>
      <w:lvlJc w:val="left"/>
    </w:lvl>
    <w:lvl w:ilvl="3" w:tplc="5FC8E1AA">
      <w:numFmt w:val="decimal"/>
      <w:lvlText w:val=""/>
      <w:lvlJc w:val="left"/>
    </w:lvl>
    <w:lvl w:ilvl="4" w:tplc="FBB4D8F0">
      <w:numFmt w:val="decimal"/>
      <w:lvlText w:val=""/>
      <w:lvlJc w:val="left"/>
    </w:lvl>
    <w:lvl w:ilvl="5" w:tplc="0F8A79A2">
      <w:numFmt w:val="decimal"/>
      <w:lvlText w:val=""/>
      <w:lvlJc w:val="left"/>
    </w:lvl>
    <w:lvl w:ilvl="6" w:tplc="9C608644">
      <w:numFmt w:val="decimal"/>
      <w:lvlText w:val=""/>
      <w:lvlJc w:val="left"/>
    </w:lvl>
    <w:lvl w:ilvl="7" w:tplc="7D7C6356">
      <w:numFmt w:val="decimal"/>
      <w:lvlText w:val=""/>
      <w:lvlJc w:val="left"/>
    </w:lvl>
    <w:lvl w:ilvl="8" w:tplc="620CEA2E">
      <w:numFmt w:val="decimal"/>
      <w:lvlText w:val=""/>
      <w:lvlJc w:val="left"/>
    </w:lvl>
  </w:abstractNum>
  <w:abstractNum w:abstractNumId="7" w15:restartNumberingAfterBreak="0">
    <w:nsid w:val="3B3E71FB"/>
    <w:multiLevelType w:val="hybridMultilevel"/>
    <w:tmpl w:val="164A61FA"/>
    <w:lvl w:ilvl="0" w:tplc="4692B8E0">
      <w:start w:val="1"/>
      <w:numFmt w:val="bullet"/>
      <w:lvlText w:val="•"/>
      <w:lvlJc w:val="left"/>
      <w:pPr>
        <w:ind w:left="620" w:hanging="360"/>
      </w:pPr>
    </w:lvl>
    <w:lvl w:ilvl="1" w:tplc="FF062C68">
      <w:numFmt w:val="decimal"/>
      <w:lvlText w:val=""/>
      <w:lvlJc w:val="left"/>
    </w:lvl>
    <w:lvl w:ilvl="2" w:tplc="E384EB1A">
      <w:numFmt w:val="decimal"/>
      <w:lvlText w:val=""/>
      <w:lvlJc w:val="left"/>
    </w:lvl>
    <w:lvl w:ilvl="3" w:tplc="09602996">
      <w:numFmt w:val="decimal"/>
      <w:lvlText w:val=""/>
      <w:lvlJc w:val="left"/>
    </w:lvl>
    <w:lvl w:ilvl="4" w:tplc="D0584B1C">
      <w:numFmt w:val="decimal"/>
      <w:lvlText w:val=""/>
      <w:lvlJc w:val="left"/>
    </w:lvl>
    <w:lvl w:ilvl="5" w:tplc="E7B6D6C6">
      <w:numFmt w:val="decimal"/>
      <w:lvlText w:val=""/>
      <w:lvlJc w:val="left"/>
    </w:lvl>
    <w:lvl w:ilvl="6" w:tplc="10BAECA4">
      <w:numFmt w:val="decimal"/>
      <w:lvlText w:val=""/>
      <w:lvlJc w:val="left"/>
    </w:lvl>
    <w:lvl w:ilvl="7" w:tplc="D0640334">
      <w:numFmt w:val="decimal"/>
      <w:lvlText w:val=""/>
      <w:lvlJc w:val="left"/>
    </w:lvl>
    <w:lvl w:ilvl="8" w:tplc="4510DC9C">
      <w:numFmt w:val="decimal"/>
      <w:lvlText w:val=""/>
      <w:lvlJc w:val="left"/>
    </w:lvl>
  </w:abstractNum>
  <w:abstractNum w:abstractNumId="8" w15:restartNumberingAfterBreak="0">
    <w:nsid w:val="3F3E6C6E"/>
    <w:multiLevelType w:val="hybridMultilevel"/>
    <w:tmpl w:val="23665D02"/>
    <w:lvl w:ilvl="0" w:tplc="82C67C14">
      <w:start w:val="1"/>
      <w:numFmt w:val="decimal"/>
      <w:lvlText w:val="%1."/>
      <w:lvlJc w:val="left"/>
      <w:pPr>
        <w:ind w:left="620" w:hanging="360"/>
      </w:pPr>
    </w:lvl>
    <w:lvl w:ilvl="1" w:tplc="ACEE9A72">
      <w:numFmt w:val="decimal"/>
      <w:lvlText w:val=""/>
      <w:lvlJc w:val="left"/>
    </w:lvl>
    <w:lvl w:ilvl="2" w:tplc="A47A80B8">
      <w:numFmt w:val="decimal"/>
      <w:lvlText w:val=""/>
      <w:lvlJc w:val="left"/>
    </w:lvl>
    <w:lvl w:ilvl="3" w:tplc="7812EFF0">
      <w:numFmt w:val="decimal"/>
      <w:lvlText w:val=""/>
      <w:lvlJc w:val="left"/>
    </w:lvl>
    <w:lvl w:ilvl="4" w:tplc="4F56F6F0">
      <w:numFmt w:val="decimal"/>
      <w:lvlText w:val=""/>
      <w:lvlJc w:val="left"/>
    </w:lvl>
    <w:lvl w:ilvl="5" w:tplc="1DBE46D8">
      <w:numFmt w:val="decimal"/>
      <w:lvlText w:val=""/>
      <w:lvlJc w:val="left"/>
    </w:lvl>
    <w:lvl w:ilvl="6" w:tplc="2124DD36">
      <w:numFmt w:val="decimal"/>
      <w:lvlText w:val=""/>
      <w:lvlJc w:val="left"/>
    </w:lvl>
    <w:lvl w:ilvl="7" w:tplc="12A227FE">
      <w:numFmt w:val="decimal"/>
      <w:lvlText w:val=""/>
      <w:lvlJc w:val="left"/>
    </w:lvl>
    <w:lvl w:ilvl="8" w:tplc="BCC67590">
      <w:numFmt w:val="decimal"/>
      <w:lvlText w:val=""/>
      <w:lvlJc w:val="left"/>
    </w:lvl>
  </w:abstractNum>
  <w:abstractNum w:abstractNumId="9" w15:restartNumberingAfterBreak="0">
    <w:nsid w:val="4B775FC3"/>
    <w:multiLevelType w:val="hybridMultilevel"/>
    <w:tmpl w:val="EB12C6B0"/>
    <w:lvl w:ilvl="0" w:tplc="0632E60C">
      <w:start w:val="1"/>
      <w:numFmt w:val="decimal"/>
      <w:lvlText w:val="%1."/>
      <w:lvlJc w:val="left"/>
      <w:pPr>
        <w:ind w:left="620" w:hanging="360"/>
      </w:pPr>
    </w:lvl>
    <w:lvl w:ilvl="1" w:tplc="FF5E57AC">
      <w:numFmt w:val="decimal"/>
      <w:lvlText w:val=""/>
      <w:lvlJc w:val="left"/>
    </w:lvl>
    <w:lvl w:ilvl="2" w:tplc="DAA46B02">
      <w:numFmt w:val="decimal"/>
      <w:lvlText w:val=""/>
      <w:lvlJc w:val="left"/>
    </w:lvl>
    <w:lvl w:ilvl="3" w:tplc="CC8212BC">
      <w:numFmt w:val="decimal"/>
      <w:lvlText w:val=""/>
      <w:lvlJc w:val="left"/>
    </w:lvl>
    <w:lvl w:ilvl="4" w:tplc="2C7E2B2A">
      <w:numFmt w:val="decimal"/>
      <w:lvlText w:val=""/>
      <w:lvlJc w:val="left"/>
    </w:lvl>
    <w:lvl w:ilvl="5" w:tplc="6EDC8634">
      <w:numFmt w:val="decimal"/>
      <w:lvlText w:val=""/>
      <w:lvlJc w:val="left"/>
    </w:lvl>
    <w:lvl w:ilvl="6" w:tplc="16CE64F8">
      <w:numFmt w:val="decimal"/>
      <w:lvlText w:val=""/>
      <w:lvlJc w:val="left"/>
    </w:lvl>
    <w:lvl w:ilvl="7" w:tplc="1374B0A8">
      <w:numFmt w:val="decimal"/>
      <w:lvlText w:val=""/>
      <w:lvlJc w:val="left"/>
    </w:lvl>
    <w:lvl w:ilvl="8" w:tplc="881653AC">
      <w:numFmt w:val="decimal"/>
      <w:lvlText w:val=""/>
      <w:lvlJc w:val="left"/>
    </w:lvl>
  </w:abstractNum>
  <w:abstractNum w:abstractNumId="10" w15:restartNumberingAfterBreak="0">
    <w:nsid w:val="4E4B6442"/>
    <w:multiLevelType w:val="hybridMultilevel"/>
    <w:tmpl w:val="07EE893C"/>
    <w:lvl w:ilvl="0" w:tplc="2CC27D6C">
      <w:start w:val="1"/>
      <w:numFmt w:val="decimal"/>
      <w:lvlText w:val="%1."/>
      <w:lvlJc w:val="left"/>
      <w:pPr>
        <w:ind w:left="620" w:hanging="360"/>
      </w:pPr>
    </w:lvl>
    <w:lvl w:ilvl="1" w:tplc="1576D634">
      <w:numFmt w:val="decimal"/>
      <w:lvlText w:val=""/>
      <w:lvlJc w:val="left"/>
    </w:lvl>
    <w:lvl w:ilvl="2" w:tplc="FFEEE7AE">
      <w:numFmt w:val="decimal"/>
      <w:lvlText w:val=""/>
      <w:lvlJc w:val="left"/>
    </w:lvl>
    <w:lvl w:ilvl="3" w:tplc="8B9A0414">
      <w:numFmt w:val="decimal"/>
      <w:lvlText w:val=""/>
      <w:lvlJc w:val="left"/>
    </w:lvl>
    <w:lvl w:ilvl="4" w:tplc="F54603E8">
      <w:numFmt w:val="decimal"/>
      <w:lvlText w:val=""/>
      <w:lvlJc w:val="left"/>
    </w:lvl>
    <w:lvl w:ilvl="5" w:tplc="3282F5CC">
      <w:numFmt w:val="decimal"/>
      <w:lvlText w:val=""/>
      <w:lvlJc w:val="left"/>
    </w:lvl>
    <w:lvl w:ilvl="6" w:tplc="3FE815CE">
      <w:numFmt w:val="decimal"/>
      <w:lvlText w:val=""/>
      <w:lvlJc w:val="left"/>
    </w:lvl>
    <w:lvl w:ilvl="7" w:tplc="D64A5776">
      <w:numFmt w:val="decimal"/>
      <w:lvlText w:val=""/>
      <w:lvlJc w:val="left"/>
    </w:lvl>
    <w:lvl w:ilvl="8" w:tplc="A040432E">
      <w:numFmt w:val="decimal"/>
      <w:lvlText w:val=""/>
      <w:lvlJc w:val="left"/>
    </w:lvl>
  </w:abstractNum>
  <w:abstractNum w:abstractNumId="11" w15:restartNumberingAfterBreak="0">
    <w:nsid w:val="4E5671AB"/>
    <w:multiLevelType w:val="hybridMultilevel"/>
    <w:tmpl w:val="F88E14F0"/>
    <w:lvl w:ilvl="0" w:tplc="A6EAD9C4">
      <w:start w:val="1"/>
      <w:numFmt w:val="decimal"/>
      <w:lvlText w:val="%1."/>
      <w:lvlJc w:val="left"/>
      <w:pPr>
        <w:ind w:left="620" w:hanging="360"/>
      </w:pPr>
    </w:lvl>
    <w:lvl w:ilvl="1" w:tplc="F73070EC">
      <w:numFmt w:val="decimal"/>
      <w:lvlText w:val=""/>
      <w:lvlJc w:val="left"/>
    </w:lvl>
    <w:lvl w:ilvl="2" w:tplc="7B8E6248">
      <w:numFmt w:val="decimal"/>
      <w:lvlText w:val=""/>
      <w:lvlJc w:val="left"/>
    </w:lvl>
    <w:lvl w:ilvl="3" w:tplc="027C9D56">
      <w:numFmt w:val="decimal"/>
      <w:lvlText w:val=""/>
      <w:lvlJc w:val="left"/>
    </w:lvl>
    <w:lvl w:ilvl="4" w:tplc="740ED0A2">
      <w:numFmt w:val="decimal"/>
      <w:lvlText w:val=""/>
      <w:lvlJc w:val="left"/>
    </w:lvl>
    <w:lvl w:ilvl="5" w:tplc="894473A2">
      <w:numFmt w:val="decimal"/>
      <w:lvlText w:val=""/>
      <w:lvlJc w:val="left"/>
    </w:lvl>
    <w:lvl w:ilvl="6" w:tplc="AA54DC02">
      <w:numFmt w:val="decimal"/>
      <w:lvlText w:val=""/>
      <w:lvlJc w:val="left"/>
    </w:lvl>
    <w:lvl w:ilvl="7" w:tplc="E60E4E0C">
      <w:numFmt w:val="decimal"/>
      <w:lvlText w:val=""/>
      <w:lvlJc w:val="left"/>
    </w:lvl>
    <w:lvl w:ilvl="8" w:tplc="81760BCE">
      <w:numFmt w:val="decimal"/>
      <w:lvlText w:val=""/>
      <w:lvlJc w:val="left"/>
    </w:lvl>
  </w:abstractNum>
  <w:abstractNum w:abstractNumId="12" w15:restartNumberingAfterBreak="0">
    <w:nsid w:val="60DE7120"/>
    <w:multiLevelType w:val="hybridMultilevel"/>
    <w:tmpl w:val="59207FBE"/>
    <w:lvl w:ilvl="0" w:tplc="29FE4AE4">
      <w:start w:val="1"/>
      <w:numFmt w:val="decimal"/>
      <w:lvlText w:val="%1."/>
      <w:lvlJc w:val="left"/>
      <w:pPr>
        <w:ind w:left="620" w:hanging="360"/>
      </w:pPr>
    </w:lvl>
    <w:lvl w:ilvl="1" w:tplc="6A04A384">
      <w:numFmt w:val="decimal"/>
      <w:lvlText w:val=""/>
      <w:lvlJc w:val="left"/>
    </w:lvl>
    <w:lvl w:ilvl="2" w:tplc="94249D14">
      <w:numFmt w:val="decimal"/>
      <w:lvlText w:val=""/>
      <w:lvlJc w:val="left"/>
    </w:lvl>
    <w:lvl w:ilvl="3" w:tplc="B1EC5042">
      <w:numFmt w:val="decimal"/>
      <w:lvlText w:val=""/>
      <w:lvlJc w:val="left"/>
    </w:lvl>
    <w:lvl w:ilvl="4" w:tplc="79728806">
      <w:numFmt w:val="decimal"/>
      <w:lvlText w:val=""/>
      <w:lvlJc w:val="left"/>
    </w:lvl>
    <w:lvl w:ilvl="5" w:tplc="F6CC730C">
      <w:numFmt w:val="decimal"/>
      <w:lvlText w:val=""/>
      <w:lvlJc w:val="left"/>
    </w:lvl>
    <w:lvl w:ilvl="6" w:tplc="0C349284">
      <w:numFmt w:val="decimal"/>
      <w:lvlText w:val=""/>
      <w:lvlJc w:val="left"/>
    </w:lvl>
    <w:lvl w:ilvl="7" w:tplc="79A662C0">
      <w:numFmt w:val="decimal"/>
      <w:lvlText w:val=""/>
      <w:lvlJc w:val="left"/>
    </w:lvl>
    <w:lvl w:ilvl="8" w:tplc="C9B6EFF4">
      <w:numFmt w:val="decimal"/>
      <w:lvlText w:val=""/>
      <w:lvlJc w:val="left"/>
    </w:lvl>
  </w:abstractNum>
  <w:abstractNum w:abstractNumId="13" w15:restartNumberingAfterBreak="0">
    <w:nsid w:val="6AE64E4F"/>
    <w:multiLevelType w:val="hybridMultilevel"/>
    <w:tmpl w:val="2C8E9C2C"/>
    <w:lvl w:ilvl="0" w:tplc="BA025874">
      <w:start w:val="1"/>
      <w:numFmt w:val="decimal"/>
      <w:pStyle w:val="Emphasis-Normal"/>
      <w:lvlText w:val="%1."/>
      <w:lvlJc w:val="left"/>
      <w:pPr>
        <w:ind w:left="620" w:hanging="360"/>
      </w:pPr>
    </w:lvl>
    <w:lvl w:ilvl="1" w:tplc="4D3C4E8E">
      <w:numFmt w:val="decimal"/>
      <w:lvlText w:val=""/>
      <w:lvlJc w:val="left"/>
    </w:lvl>
    <w:lvl w:ilvl="2" w:tplc="36D62C64">
      <w:numFmt w:val="decimal"/>
      <w:lvlText w:val=""/>
      <w:lvlJc w:val="left"/>
    </w:lvl>
    <w:lvl w:ilvl="3" w:tplc="61C64CB0">
      <w:numFmt w:val="decimal"/>
      <w:lvlText w:val=""/>
      <w:lvlJc w:val="left"/>
    </w:lvl>
    <w:lvl w:ilvl="4" w:tplc="4C7814C8">
      <w:numFmt w:val="decimal"/>
      <w:lvlText w:val=""/>
      <w:lvlJc w:val="left"/>
    </w:lvl>
    <w:lvl w:ilvl="5" w:tplc="AA1C702E">
      <w:numFmt w:val="decimal"/>
      <w:lvlText w:val=""/>
      <w:lvlJc w:val="left"/>
    </w:lvl>
    <w:lvl w:ilvl="6" w:tplc="0D0C0B62">
      <w:numFmt w:val="decimal"/>
      <w:lvlText w:val=""/>
      <w:lvlJc w:val="left"/>
    </w:lvl>
    <w:lvl w:ilvl="7" w:tplc="EA94D312">
      <w:numFmt w:val="decimal"/>
      <w:lvlText w:val=""/>
      <w:lvlJc w:val="left"/>
    </w:lvl>
    <w:lvl w:ilvl="8" w:tplc="EC4A645C">
      <w:numFmt w:val="decimal"/>
      <w:lvlText w:val=""/>
      <w:lvlJc w:val="left"/>
    </w:lvl>
  </w:abstractNum>
  <w:abstractNum w:abstractNumId="14" w15:restartNumberingAfterBreak="0">
    <w:nsid w:val="6BF7350F"/>
    <w:multiLevelType w:val="multilevel"/>
    <w:tmpl w:val="AF968384"/>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4856543">
    <w:abstractNumId w:val="3"/>
    <w:lvlOverride w:ilvl="0">
      <w:startOverride w:val="1"/>
    </w:lvlOverride>
  </w:num>
  <w:num w:numId="2" w16cid:durableId="1606503434">
    <w:abstractNumId w:val="14"/>
    <w:lvlOverride w:ilvl="0">
      <w:startOverride w:val="1"/>
    </w:lvlOverride>
  </w:num>
  <w:num w:numId="3" w16cid:durableId="163329379">
    <w:abstractNumId w:val="6"/>
    <w:lvlOverride w:ilvl="0">
      <w:startOverride w:val="1"/>
    </w:lvlOverride>
  </w:num>
  <w:num w:numId="4" w16cid:durableId="504515954">
    <w:abstractNumId w:val="13"/>
    <w:lvlOverride w:ilvl="0">
      <w:startOverride w:val="1"/>
    </w:lvlOverride>
  </w:num>
  <w:num w:numId="5" w16cid:durableId="1720517177">
    <w:abstractNumId w:val="10"/>
    <w:lvlOverride w:ilvl="0">
      <w:startOverride w:val="1"/>
    </w:lvlOverride>
  </w:num>
  <w:num w:numId="6" w16cid:durableId="799492028">
    <w:abstractNumId w:val="0"/>
    <w:lvlOverride w:ilvl="0">
      <w:startOverride w:val="1"/>
    </w:lvlOverride>
  </w:num>
  <w:num w:numId="7" w16cid:durableId="769735509">
    <w:abstractNumId w:val="4"/>
    <w:lvlOverride w:ilvl="0">
      <w:startOverride w:val="1"/>
    </w:lvlOverride>
  </w:num>
  <w:num w:numId="8" w16cid:durableId="1416824578">
    <w:abstractNumId w:val="1"/>
    <w:lvlOverride w:ilvl="0">
      <w:startOverride w:val="1"/>
    </w:lvlOverride>
  </w:num>
  <w:num w:numId="9" w16cid:durableId="370570583">
    <w:abstractNumId w:val="2"/>
    <w:lvlOverride w:ilvl="0">
      <w:startOverride w:val="1"/>
    </w:lvlOverride>
  </w:num>
  <w:num w:numId="10" w16cid:durableId="1854344309">
    <w:abstractNumId w:val="5"/>
    <w:lvlOverride w:ilvl="0">
      <w:startOverride w:val="1"/>
    </w:lvlOverride>
  </w:num>
  <w:num w:numId="11" w16cid:durableId="1655448655">
    <w:abstractNumId w:val="11"/>
    <w:lvlOverride w:ilvl="0">
      <w:startOverride w:val="1"/>
    </w:lvlOverride>
  </w:num>
  <w:num w:numId="12" w16cid:durableId="1496411477">
    <w:abstractNumId w:val="8"/>
    <w:lvlOverride w:ilvl="0">
      <w:startOverride w:val="1"/>
    </w:lvlOverride>
  </w:num>
  <w:num w:numId="13" w16cid:durableId="968052852">
    <w:abstractNumId w:val="12"/>
    <w:lvlOverride w:ilvl="0">
      <w:startOverride w:val="1"/>
    </w:lvlOverride>
  </w:num>
  <w:num w:numId="14" w16cid:durableId="710956824">
    <w:abstractNumId w:val="9"/>
    <w:lvlOverride w:ilvl="0">
      <w:startOverride w:val="1"/>
    </w:lvlOverride>
  </w:num>
  <w:num w:numId="15" w16cid:durableId="541553592">
    <w:abstractNumId w:val="13"/>
    <w:lvlOverride w:ilvl="0">
      <w:startOverride w:val="1"/>
    </w:lvlOverride>
  </w:num>
  <w:num w:numId="16" w16cid:durableId="651952488">
    <w:abstractNumId w:val="13"/>
    <w:lvlOverride w:ilvl="0">
      <w:startOverride w:val="1"/>
    </w:lvlOverride>
  </w:num>
  <w:num w:numId="17" w16cid:durableId="347214537">
    <w:abstractNumId w:val="13"/>
    <w:lvlOverride w:ilvl="0">
      <w:startOverride w:val="1"/>
    </w:lvlOverride>
  </w:num>
  <w:num w:numId="18" w16cid:durableId="503401407">
    <w:abstractNumId w:val="13"/>
    <w:lvlOverride w:ilvl="0">
      <w:startOverride w:val="1"/>
    </w:lvlOverride>
  </w:num>
  <w:num w:numId="19" w16cid:durableId="707223924">
    <w:abstractNumId w:val="13"/>
    <w:lvlOverride w:ilvl="0">
      <w:startOverride w:val="1"/>
    </w:lvlOverride>
  </w:num>
  <w:num w:numId="20" w16cid:durableId="1252816642">
    <w:abstractNumId w:val="13"/>
    <w:lvlOverride w:ilvl="0">
      <w:startOverride w:val="1"/>
    </w:lvlOverride>
  </w:num>
  <w:num w:numId="21" w16cid:durableId="930353963">
    <w:abstractNumId w:val="13"/>
    <w:lvlOverride w:ilvl="0">
      <w:startOverride w:val="1"/>
    </w:lvlOverride>
  </w:num>
  <w:num w:numId="30">
    <w:abstractNumId w:val="13"/>
    <w:lvlOverride w:ilvl="0">
      <w:startOverride w:val="1"/>
    </w:lvlOverride>
  </w:num>
  <w:num w:numId="80">
    <w:abstractNumId w:val="13"/>
    <w:lvlOverride w:ilvl="0">
      <w:startOverride w:val="1"/>
    </w:lvlOverride>
  </w:num>
  <w:num w:numId="81">
    <w:abstractNumId w:val="13"/>
    <w:lvlOverride w:ilvl="0">
      <w:startOverride w:val="1"/>
    </w:lvlOverride>
  </w:num>
  <w:num w:numId="500">
    <w:abstractNumId w:val="13"/>
    <w:lvlOverride w:ilvl="0">
      <w:startOverride w:val="1"/>
    </w:lvlOverride>
  </w:num>
  <w:num w:numId="501">
    <w:abstractNumId w:val="13"/>
    <w:lvlOverride w:ilvl="0">
      <w:startOverride w:val="1"/>
    </w:lvlOverride>
  </w:num>
  <w:num w:numId="502">
    <w:abstractNumId w:val="13"/>
    <w:lvlOverride w:ilvl="0">
      <w:startOverride w:val="1"/>
    </w:lvlOverride>
  </w:num>
  <w:num w:numId="503">
    <w:abstractNumId w:val="13"/>
    <w:lvlOverride w:ilvl="0">
      <w:startOverride w:val="1"/>
    </w:lvlOverride>
  </w:num>
  <w:num w:numId="504">
    <w:abstractNumId w:val="13"/>
    <w:lvlOverride w:ilvl="0">
      <w:startOverride w:val="1"/>
    </w:lvlOverride>
  </w:num>
  <w:num w:numId="505">
    <w:abstractNumId w:val="13"/>
    <w:lvlOverride w:ilvl="0">
      <w:startOverride w:val="1"/>
    </w:lvlOverride>
  </w:num>
  <w:num w:numId="506">
    <w:abstractNumId w:val="13"/>
    <w:lvlOverride w:ilvl="0">
      <w:startOverride w:val="1"/>
    </w:lvlOverride>
  </w:num>
  <w:num w:numId="507">
    <w:abstractNumId w:val="13"/>
    <w:lvlOverride w:ilvl="0">
      <w:startOverride w:val="1"/>
    </w:lvlOverride>
  </w:num>
  <w:num w:numId="508">
    <w:abstractNumId w:val="13"/>
    <w:lvlOverride w:ilvl="0">
      <w:startOverride w:val="1"/>
    </w:lvlOverride>
  </w:num>
  <w:num w:numId="509">
    <w:abstractNumId w:val="13"/>
    <w:lvlOverride w:ilvl="0">
      <w:startOverride w:val="1"/>
    </w:lvlOverride>
  </w:num>
  <w:num w:numId="510">
    <w:abstractNumId w:val="13"/>
    <w:lvlOverride w:ilvl="0">
      <w:startOverride w:val="1"/>
    </w:lvlOverride>
  </w:num>
  <w:num w:numId="511">
    <w:abstractNumId w:val="13"/>
    <w:lvlOverride w:ilvl="0">
      <w:startOverride w:val="1"/>
    </w:lvlOverride>
  </w:num>
  <w:num w:numId="512">
    <w:abstractNumId w:val="13"/>
    <w:lvlOverride w:ilvl="0">
      <w:startOverride w:val="1"/>
    </w:lvlOverride>
  </w:num>
  <w:num w:numId="513">
    <w:abstractNumId w:val="13"/>
    <w:lvlOverride w:ilvl="0">
      <w:startOverride w:val="1"/>
    </w:lvlOverride>
  </w:num>
  <w:num w:numId="514">
    <w:abstractNumId w:val="13"/>
    <w:lvlOverride w:ilvl="0">
      <w:startOverride w:val="1"/>
    </w:lvlOverride>
  </w:num>
  <w:num w:numId="515">
    <w:abstractNumId w:val="1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9B"/>
    <w:rsid w:val="0019039B"/>
    <w:rsid w:val="001E6297"/>
    <w:rsid w:val="0026559D"/>
    <w:rsid w:val="002A676A"/>
    <w:rsid w:val="005A1C95"/>
    <w:rsid w:val="00676D65"/>
    <w:rsid w:val="006A3C41"/>
    <w:rsid w:val="007A2335"/>
    <w:rsid w:val="00811F88"/>
    <w:rsid w:val="009018D5"/>
    <w:rsid w:val="009774EC"/>
    <w:rsid w:val="009B6824"/>
    <w:rsid w:val="00BE3B75"/>
    <w:rsid w:val="00BF0F18"/>
    <w:rsid w:val="00CB5DD7"/>
    <w:rsid w:val="00DE44EE"/>
    <w:rsid w:val="00F12058"/>
    <w:rsid w:val="00F63FA8"/>
    <w:rsid w:val="00FD1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7F0F7"/>
  <w15:docId w15:val="{12292B02-3FE6-1B41-A08E-4407A5E6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 w:val="24"/>
      <w:szCs w:val="24"/>
    </w:rPr>
  </w:style>
  <w:style w:type="paragraph" w:styleId="Heading1">
    <w:name w:val="heading 1"/>
    <w:next w:val="BodyText9"/>
    <w:uiPriority w:val="9"/>
    <w:qFormat/>
    <w:rsid w:val="00BF0F18"/>
    <w:pPr>
      <w:numPr>
        <w:numId w:val="2"/>
      </w:numPr>
      <w:pBdr>
        <w:bottom w:val="single" w:sz="8" w:space="0" w:color="2A9D8F"/>
      </w:pBdr>
      <w:spacing w:before="360" w:after="180"/>
      <w:outlineLvl w:val="0"/>
    </w:pPr>
    <w:rPr>
      <w:rFonts w:ascii="Cambria" w:eastAsia="Calibri Light" w:hAnsi="Cambria" w:cs="Calibri Light"/>
      <w:b/>
      <w:bCs/>
      <w:color w:val="1B4965"/>
      <w:sz w:val="32"/>
      <w:szCs w:val="32"/>
    </w:rPr>
  </w:style>
  <w:style w:type="paragraph" w:styleId="Heading2">
    <w:name w:val="heading 2"/>
    <w:next w:val="BodyText9"/>
    <w:uiPriority w:val="9"/>
    <w:unhideWhenUsed/>
    <w:qFormat/>
    <w:rsid w:val="006A3C41"/>
    <w:pPr>
      <w:numPr>
        <w:ilvl w:val="1"/>
        <w:numId w:val="2"/>
      </w:numPr>
      <w:spacing w:before="280" w:after="140"/>
      <w:outlineLvl w:val="1"/>
    </w:pPr>
    <w:rPr>
      <w:rFonts w:ascii="Aptos" w:eastAsia="Calibri Light" w:hAnsi="Aptos" w:cs="Calibri Light"/>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9">
    <w:name w:val="Body Text 9"/>
    <w:basedOn w:val="Normal"/>
    <w:qFormat/>
    <w:rsid w:val="0026559D"/>
    <w:rPr>
      <w:rFonts w:ascii="Calibri Light" w:hAnsi="Calibri Light" w:cs="Calibri Light"/>
      <w:color w:val="262626" w:themeColor="text1" w:themeTint="D9"/>
      <w:sz w:val="22"/>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4A4835"/>
    <w:rPr>
      <w:color w:val="605E5C"/>
      <w:shd w:val="clear" w:color="auto" w:fill="E1DFDD"/>
    </w:rPr>
  </w:style>
  <w:style w:type="paragraph" w:styleId="Header">
    <w:name w:val="header"/>
    <w:basedOn w:val="Normal"/>
    <w:link w:val="HeaderChar"/>
    <w:uiPriority w:val="99"/>
    <w:unhideWhenUsed/>
    <w:rsid w:val="004A4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835"/>
    <w:rPr>
      <w:color w:val="404040" w:themeColor="text1" w:themeTint="BF"/>
    </w:rPr>
  </w:style>
  <w:style w:type="paragraph" w:styleId="Footer">
    <w:name w:val="footer"/>
    <w:basedOn w:val="Normal"/>
    <w:link w:val="FooterChar"/>
    <w:uiPriority w:val="99"/>
    <w:unhideWhenUsed/>
    <w:rsid w:val="004A4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character" w:styleId="Emphasis">
    <w:name w:val="Emphasis"/>
    <w:uiPriority w:val="20"/>
    <w:qFormat/>
    <w:rsid w:val="009B6824"/>
    <w:rPr>
      <w:b/>
      <w:i/>
      <w:spacing w:val="10"/>
    </w:r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Normal">
    <w:name w:val="Emphasis-Normal"/>
    <w:basedOn w:val="BodyText9"/>
    <w:qFormat/>
    <w:rsid w:val="0026559D"/>
    <w:pPr>
      <w:numPr>
        <w:numId w:val="15"/>
      </w:numPr>
    </w:pPr>
    <w:rPr>
      <w:color w:val="262626" w:themeColor="text1" w:themeTint="D9"/>
    </w:rPr>
  </w:style>
  <w:style w:type="character" w:styleId="LineNumber">
    <w:name w:val="line number"/>
    <w:basedOn w:val="DefaultParagraphFont"/>
    <w:uiPriority w:val="99"/>
    <w:semiHidden/>
    <w:unhideWhenUsed/>
    <w:rPr>
      <w:rFonts w:ascii="Calibri Light" w:hAnsi="Calibri Light"/>
      <w:color w:val="C9CFD4"/>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ecurity@prompthalo.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Sharma</cp:lastModifiedBy>
  <cp:revision>9</cp:revision>
  <dcterms:created xsi:type="dcterms:W3CDTF">2026-07-20T03:15:00Z</dcterms:created>
  <dcterms:modified xsi:type="dcterms:W3CDTF">2026-07-22T04:21:00Z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Name">
    <vt:lpwstr>PromptHalo</vt:lpwstr>
  </property>
  <property fmtid="{D5CDD505-2E9C-101B-9397-08002B2CF9AE}" pid="3" name="DocTitle">
    <vt:lpwstr>Cryptography Standard</vt:lpwstr>
  </property>
  <property fmtid="{D5CDD505-2E9C-101B-9397-08002B2CF9AE}" pid="4" name="DocId">
    <vt:lpwstr>STD-CRY-001</vt:lpwstr>
  </property>
  <property fmtid="{D5CDD505-2E9C-101B-9397-08002B2CF9AE}" pid="5" name="PolicyVersion">
    <vt:lpwstr>1.0</vt:lpwstr>
  </property>
  <property fmtid="{D5CDD505-2E9C-101B-9397-08002B2CF9AE}" pid="6" name="PolicyDate">
    <vt:lpwstr>July 19, 2026</vt:lpwstr>
  </property>
  <property fmtid="{D5CDD505-2E9C-101B-9397-08002B2CF9AE}" pid="7" name="PolicyExpiry">
    <vt:lpwstr>July 19, 2027</vt:lpwstr>
  </property>
  <property fmtid="{D5CDD505-2E9C-101B-9397-08002B2CF9AE}" pid="8" name="SecurityOfficer">
    <vt:lpwstr>Praveen Sharma</vt:lpwstr>
  </property>
  <property fmtid="{D5CDD505-2E9C-101B-9397-08002B2CF9AE}" pid="9" name="Contact">
    <vt:lpwstr>security@prompthalo.com</vt:lpwstr>
  </property>
  <property fmtid="{D5CDD505-2E9C-101B-9397-08002B2CF9AE}" pid="10" name="DocOwner">
    <vt:lpwstr>Chief Executive Officer — Accountable Party</vt:lpwstr>
  </property>
  <property fmtid="{D5CDD505-2E9C-101B-9397-08002B2CF9AE}" pid="11" name="DocAuthor">
    <vt:lpwstr>Security Officer</vt:lpwstr>
  </property>
  <property fmtid="{D5CDD505-2E9C-101B-9397-08002B2CF9AE}" pid="12" name="ReviewCycle">
    <vt:lpwstr>Annual, or upon significant change to systems, threats, or obligations</vt:lpwstr>
  </property>
  <property fmtid="{D5CDD505-2E9C-101B-9397-08002B2CF9AE}" pid="13" name="Supersedes">
    <vt:lpwstr>N/A</vt:lpwstr>
  </property>
  <property fmtid="{D5CDD505-2E9C-101B-9397-08002B2CF9AE}" pid="14" name="Audience">
    <vt:lpwstr>Personnel who design, build or administer systems that store or transmit Company or client information</vt:lpwstr>
  </property>
</Properties>
</file>