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178D33" w14:textId="77777777" w:rsidR="0019039B" w:rsidRDefault="0019039B" w:rsidP="006A3C41">
      <w:pPr>
        <w:pStyle w:val="Strong1"/>
        <w:suppressLineNumbers/>
      </w:pPr>
    </w:p>
    <w:p w14:paraId="2990BA4A" w14:textId="0870CED3" w:rsidR="0019039B" w:rsidRDefault="0019039B" w:rsidP="007A2335">
      <w:pPr>
        <w:suppressLineNumbers/>
      </w:pPr>
    </w:p>
    <w:p w14:paraId="30477DC7" w14:textId="77777777" w:rsidR="0019039B" w:rsidRPr="00811F88" w:rsidRDefault="00000000" w:rsidP="009B6824">
      <w:pPr>
        <w:suppressLineNumbers/>
        <w:jc w:val="center"/>
        <w:rPr>
          <w:rStyle w:val="Emphasis"/>
          <w:rFonts w:eastAsia="Times New Roman"/>
          <w:b w:val="0"/>
          <w:i w:val="0"/>
          <w:smallCaps/>
          <w:color w:val="074F6A"/>
          <w:spacing w:val="0"/>
          <w:sz w:val="52"/>
          <w:szCs w:val="52"/>
        </w:rPr>
      </w:pPr>
      <w:r>
        <w:rPr>
          <w:rStyle w:val="Emphasis"/>
          <w:rFonts w:eastAsia="Times New Roman"/>
          <w:b w:val="0"/>
          <w:i w:val="0"/>
          <w:smallCaps/>
          <w:color w:val="074F6A"/>
          <w:spacing w:val="0"/>
          <w:sz w:val="52"/>
          <w:szCs w:val="52"/>
        </w:rPr>
        <w:t>ENDPOINT STANDARD</w:t>
      </w:r>
    </w:p>
    <w:p w14:paraId="41B10D6A" w14:textId="77777777" w:rsidR="0019039B" w:rsidRDefault="0019039B" w:rsidP="007A2335">
      <w:pPr>
        <w:suppressLineNumbers/>
      </w:pPr>
    </w:p>
    <w:p w14:paraId="38B7BC8A" w14:textId="77777777" w:rsidR="009B6824" w:rsidRDefault="009B6824" w:rsidP="007A2335">
      <w:pPr>
        <w:suppressLineNumbers/>
      </w:pPr>
    </w:p>
    <w:p w14:paraId="5F70AC0C" w14:textId="3D17A830" w:rsidR="009B6824" w:rsidRPr="009B6824" w:rsidRDefault="009B6824" w:rsidP="007A2335">
      <w:pPr>
        <w:suppressLineNumbers/>
        <w:rPr>
          <w:rFonts w:ascii="Arial Narrow" w:hAnsi="Arial Narrow"/>
        </w:rPr>
      </w:pPr>
    </w:p>
    <w:p w14:paraId="405C7858" w14:textId="77777777" w:rsidR="0019039B" w:rsidRPr="00811F88" w:rsidRDefault="00000000" w:rsidP="009B6824">
      <w:pPr>
        <w:suppressLineNumbers/>
        <w:spacing w:after="0" w:line="240" w:lineRule="auto"/>
        <w:jc w:val="center"/>
        <w:rPr>
          <w:rFonts w:ascii="Calibri Light" w:hAnsi="Calibri Light" w:cs="Calibri Light"/>
          <w:sz w:val="20"/>
          <w:szCs w:val="20"/>
        </w:rPr>
      </w:pPr>
      <w:r>
        <w:rPr>
          <w:rFonts w:ascii="Calibri Light" w:eastAsia="Times New Roman" w:hAnsi="Calibri Light" w:cs="Calibri Light"/>
          <w:color w:val="404040"/>
          <w:sz w:val="20"/>
          <w:szCs w:val="20"/>
        </w:rPr>
        <w:t>Version</w:t>
      </w:r>
      <w:r>
        <w:rPr>
          <w:rFonts w:ascii="Calibri Light" w:hAnsi="Calibri Light" w:cs="Calibri Light"/>
          <w:color w:val="1B4965"/>
          <w:sz w:val="20"/>
          <w:szCs w:val="20"/>
          <w14:textFill>
            <w14:solidFill>
              <w14:srgbClr w14:val="1B4965">
                <w14:lumMod w14:val="75000"/>
                <w14:lumOff w14:val="25000"/>
              </w14:srgbClr>
            </w14:solidFill>
          </w14:textFill>
        </w:rPr>
        <w:t xml:space="preserve"> </w:t>
      </w:r>
      <w:r>
        <w:rPr>
          <w:rFonts w:ascii="Calibri Light" w:hAnsi="Calibri Light" w:cs="Calibri Light"/>
          <w:sz w:val="20"/>
          <w:szCs w:val="20"/>
        </w:rPr>
        <w:fldChar w:fldCharType="begin"/>
        <w:instrText xml:space="preserve"> DOCPROPERTY "PolicyVersion" \* MERGEFORMAT </w:instrText>
        <w:fldChar w:fldCharType="separate"/>
      </w:r>
      <w:r>
        <w:rPr>
          <w:rFonts w:ascii="Calibri Light" w:hAnsi="Calibri Light" w:cs="Calibri Light"/>
          <w:color w:val="1B4965"/>
          <w:sz w:val="20"/>
          <w:szCs w:val="20"/>
          <w14:textFill>
            <w14:solidFill>
              <w14:srgbClr w14:val="1B4965">
                <w14:lumMod w14:val="75000"/>
                <w14:lumOff w14:val="25000"/>
              </w14:srgbClr>
            </w14:solidFill>
          </w14:textFill>
        </w:rPr>
        <w:t>1.0</w:t>
        <w:fldChar w:fldCharType="end"/>
      </w:r>
    </w:p>
    <w:p w14:paraId="3681A3D5" w14:textId="77777777" w:rsidR="0019039B" w:rsidRPr="00811F88" w:rsidRDefault="00000000" w:rsidP="009B6824">
      <w:pPr>
        <w:suppressLineNumbers/>
        <w:spacing w:line="240" w:lineRule="auto"/>
        <w:jc w:val="center"/>
        <w:rPr>
          <w:rFonts w:ascii="Calibri Light" w:hAnsi="Calibri Light" w:cs="Calibri Light"/>
          <w:sz w:val="20"/>
          <w:szCs w:val="20"/>
        </w:rPr>
      </w:pPr>
      <w:r>
        <w:rPr>
          <w:rFonts w:ascii="Calibri Light" w:hAnsi="Calibri Light" w:cs="Calibri Light"/>
          <w:color w:val="1B4965"/>
          <w:sz w:val="20"/>
          <w:szCs w:val="20"/>
          <w14:textFill>
            <w14:solidFill>
              <w14:srgbClr w14:val="1B4965">
                <w14:lumMod w14:val="75000"/>
                <w14:lumOff w14:val="25000"/>
              </w14:srgbClr>
            </w14:solidFill>
          </w14:textFill>
        </w:rPr>
        <w:t xml:space="preserve">Revision Date: </w:t>
      </w:r>
      <w:r>
        <w:rPr>
          <w:rFonts w:ascii="Calibri Light" w:hAnsi="Calibri Light" w:cs="Calibri Light"/>
          <w:sz w:val="20"/>
          <w:szCs w:val="20"/>
        </w:rPr>
        <w:fldChar w:fldCharType="begin"/>
        <w:instrText xml:space="preserve"> DOCPROPERTY "PolicyDate" \* MERGEFORMAT </w:instrText>
        <w:fldChar w:fldCharType="separate"/>
      </w:r>
      <w:r>
        <w:rPr>
          <w:rFonts w:ascii="Calibri Light" w:hAnsi="Calibri Light" w:cs="Calibri Light"/>
          <w:color w:val="1B4965"/>
          <w:sz w:val="20"/>
          <w:szCs w:val="20"/>
          <w14:textFill>
            <w14:solidFill>
              <w14:srgbClr w14:val="1B4965">
                <w14:lumMod w14:val="75000"/>
                <w14:lumOff w14:val="25000"/>
              </w14:srgbClr>
            </w14:solidFill>
          </w14:textFill>
        </w:rPr>
        <w:t>July 19, 2026</w:t>
        <w:fldChar w:fldCharType="end"/>
      </w:r>
    </w:p>
    <w:p w14:paraId="2676F062" w14:textId="2330588F" w:rsidR="0019039B" w:rsidRPr="00811F88" w:rsidRDefault="00000000" w:rsidP="009B6824">
      <w:pPr>
        <w:suppressLineNumbers/>
        <w:spacing w:line="240" w:lineRule="auto"/>
        <w:jc w:val="center"/>
        <w:rPr>
          <w:rFonts w:ascii="Calibri Light" w:hAnsi="Calibri Light" w:cs="Calibri Light"/>
          <w:sz w:val="20"/>
          <w:szCs w:val="20"/>
        </w:rPr>
      </w:pPr>
      <w:r>
        <w:rPr>
          <w:rFonts w:ascii="Calibri Light" w:hAnsi="Calibri Light" w:cs="Calibri Light"/>
          <w:sz w:val="20"/>
          <w:szCs w:val="20"/>
        </w:rPr>
        <w:t xml:space="preserve">Contact: </w:t>
      </w:r>
      <w:hyperlink r:id="rId7" w:history="1">
        <w:r>
          <w:rPr>
            <w:rStyle w:val="Hyperlink"/>
            <w:rFonts w:ascii="Calibri Light" w:hAnsi="Calibri Light" w:cs="Calibri Light"/>
            <w:sz w:val="20"/>
            <w:szCs w:val="20"/>
          </w:rPr>
          <w:t>security@prompthalo.com</w:t>
        </w:r>
      </w:hyperlink>
    </w:p>
    <w:p w14:paraId="361EAB4C" w14:textId="77777777" w:rsidR="009B6824" w:rsidRPr="00811F88" w:rsidRDefault="009B6824" w:rsidP="009B6824">
      <w:pPr>
        <w:suppressLineNumbers/>
        <w:spacing w:line="240" w:lineRule="auto"/>
        <w:jc w:val="center"/>
        <w:rPr>
          <w:rFonts w:ascii="Calibri Light" w:hAnsi="Calibri Light" w:cs="Calibri Light"/>
          <w:sz w:val="20"/>
          <w:szCs w:val="20"/>
        </w:rPr>
      </w:pPr>
    </w:p>
    <w:p w14:paraId="432DDADF" w14:textId="77777777" w:rsidR="009B6824" w:rsidRPr="00811F88" w:rsidRDefault="009B6824" w:rsidP="009B6824">
      <w:pPr>
        <w:suppressLineNumbers/>
        <w:spacing w:line="240" w:lineRule="auto"/>
        <w:jc w:val="center"/>
        <w:rPr>
          <w:rFonts w:ascii="Calibri Light" w:hAnsi="Calibri Light" w:cs="Calibri Light"/>
          <w:sz w:val="20"/>
          <w:szCs w:val="20"/>
        </w:rPr>
      </w:pPr>
    </w:p>
    <w:p w14:paraId="19006F9E" w14:textId="77777777" w:rsidR="009B6824" w:rsidRDefault="009B6824" w:rsidP="009B6824">
      <w:pPr>
        <w:suppressLineNumbers/>
        <w:spacing w:line="240" w:lineRule="auto"/>
        <w:jc w:val="center"/>
      </w:pPr>
    </w:p>
    <w:p w14:paraId="25A11F80" w14:textId="77777777" w:rsidR="009B6824" w:rsidRDefault="009B6824" w:rsidP="009B6824">
      <w:pPr>
        <w:suppressLineNumbers/>
        <w:spacing w:line="240" w:lineRule="auto"/>
        <w:jc w:val="center"/>
      </w:pPr>
    </w:p>
    <w:p w14:paraId="217901CC" w14:textId="77777777" w:rsidR="009B6824" w:rsidRDefault="009B6824" w:rsidP="009B6824">
      <w:pPr>
        <w:suppressLineNumbers/>
        <w:spacing w:line="240" w:lineRule="auto"/>
        <w:jc w:val="center"/>
      </w:pPr>
    </w:p>
    <w:p w14:paraId="2275FB02" w14:textId="232B3B31" w:rsidR="009B6824" w:rsidRDefault="009B6824" w:rsidP="009B6824">
      <w:pPr>
        <w:suppressLineNumbers/>
        <w:spacing w:line="240" w:lineRule="auto"/>
        <w:jc w:val="center"/>
      </w:pPr>
      <w:bookmarkStart w:id="0" w:name="EffectiveDate"/>
      <w:r>
        <w:rPr>
          <w:noProof/>
        </w:rPr>
        <w:drawing>
          <wp:inline distT="0" distB="0" distL="0" distR="0" wp14:anchorId="4C8A9ADF" wp14:editId="7C642F34">
            <wp:extent cx="2665095" cy="72707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5095" cy="727075"/>
                    </a:xfrm>
                    <a:prstGeom prst="rect">
                      <a:avLst/>
                    </a:prstGeom>
                    <a:noFill/>
                    <a:ln>
                      <a:noFill/>
                    </a:ln>
                  </pic:spPr>
                </pic:pic>
              </a:graphicData>
            </a:graphic>
          </wp:inline>
        </w:drawing>
      </w:r>
      <w:bookmarkEnd w:id="0"/>
    </w:p>
    <w:p w14:paraId="3BF09673" w14:textId="15C4D04D" w:rsidR="0019039B" w:rsidRDefault="00000000" w:rsidP="007A2335">
      <w:pPr>
        <w:suppressLineNumbers/>
      </w:pPr>
      <w:r>
        <w:br w:type="page"/>
      </w:r>
    </w:p>
    <w:p w14:paraId="33C99336" w14:textId="452AFEF6" w:rsidR="00DE44EE" w:rsidRPr="00DE44EE" w:rsidRDefault="00000000" w:rsidP="007A2335">
      <w:pPr>
        <w:suppressLineNumbers/>
        <w:rPr>
          <w:rStyle w:val="Strong"/>
        </w:rPr>
      </w:pPr>
      <w:r>
        <w:rPr>
          <w:rStyle w:val="Strong"/>
        </w:rPr>
        <w:lastRenderedPageBreak/>
        <w:t>DOCUMENT INFORMATION</w:t>
      </w:r>
    </w:p>
    <w:tbl>
      <w:tblPr>
        <w:tblW w:w="9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2"/>
        <w:gridCol w:w="6777"/>
      </w:tblGrid>
      <w:tr w:rsidR="0019039B" w:rsidRPr="00811F88" w14:paraId="51AF49A1" w14:textId="77777777" w:rsidTr="00DE44EE">
        <w:trPr>
          <w:trHeight w:val="20"/>
        </w:trPr>
        <w:tc>
          <w:tcPr>
            <w:tcW w:w="2892"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049A68A9"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Document Family</w:t>
            </w:r>
          </w:p>
        </w:tc>
        <w:tc>
          <w:tcPr>
            <w:tcW w:w="6777"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32ADD41E"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Security Operations</w:t>
            </w:r>
          </w:p>
        </w:tc>
      </w:tr>
      <w:tr w:rsidR="0019039B" w:rsidRPr="00811F88" w14:paraId="51AF49A1" w14:textId="77777777" w:rsidTr="00DE44EE">
        <w:trPr>
          <w:trHeight w:val="20"/>
        </w:trPr>
        <w:tc>
          <w:tcPr>
            <w:tcW w:w="2892"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049A68A9"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Document</w:t>
            </w:r>
          </w:p>
        </w:tc>
        <w:tc>
          <w:tcPr>
            <w:tcW w:w="6777"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32ADD41E"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Endpoint Standard</w:t>
            </w:r>
          </w:p>
        </w:tc>
      </w:tr>
      <w:tr w:rsidR="0019039B" w:rsidRPr="00811F88" w14:paraId="51AF49A1" w14:textId="77777777" w:rsidTr="00DE44EE">
        <w:trPr>
          <w:trHeight w:val="20"/>
        </w:trPr>
        <w:tc>
          <w:tcPr>
            <w:tcW w:w="2892"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049A68A9"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Document ID</w:t>
            </w:r>
          </w:p>
        </w:tc>
        <w:tc>
          <w:tcPr>
            <w:tcW w:w="6777"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32ADD41E"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STD-EPT-001</w:t>
            </w:r>
          </w:p>
        </w:tc>
      </w:tr>
      <w:tr w:rsidR="0019039B" w:rsidRPr="00811F88" w14:paraId="51AF49A1" w14:textId="77777777" w:rsidTr="00DE44EE">
        <w:trPr>
          <w:trHeight w:val="20"/>
        </w:trPr>
        <w:tc>
          <w:tcPr>
            <w:tcW w:w="2892"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049A68A9"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Current Version</w:t>
            </w:r>
          </w:p>
        </w:tc>
        <w:tc>
          <w:tcPr>
            <w:tcW w:w="6777"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32ADD41E"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1.0</w:t>
            </w:r>
          </w:p>
        </w:tc>
      </w:tr>
      <w:tr w:rsidR="0019039B" w:rsidRPr="00811F88" w14:paraId="51AF49A1" w14:textId="77777777" w:rsidTr="00DE44EE">
        <w:trPr>
          <w:trHeight w:val="20"/>
        </w:trPr>
        <w:tc>
          <w:tcPr>
            <w:tcW w:w="2892"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049A68A9"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Approved Date</w:t>
            </w:r>
          </w:p>
        </w:tc>
        <w:tc>
          <w:tcPr>
            <w:tcW w:w="6777"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32ADD41E"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July 19, 2026</w:t>
            </w:r>
          </w:p>
        </w:tc>
      </w:tr>
      <w:tr w:rsidR="0019039B" w:rsidRPr="00811F88" w14:paraId="51AF49A1" w14:textId="77777777" w:rsidTr="00DE44EE">
        <w:trPr>
          <w:trHeight w:val="20"/>
        </w:trPr>
        <w:tc>
          <w:tcPr>
            <w:tcW w:w="2892"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049A68A9"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Approved By</w:t>
            </w:r>
          </w:p>
        </w:tc>
        <w:tc>
          <w:tcPr>
            <w:tcW w:w="6777"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32ADD41E"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Security Officer</w:t>
            </w:r>
          </w:p>
        </w:tc>
      </w:tr>
      <w:tr w:rsidR="0019039B" w:rsidRPr="00811F88" w14:paraId="51AF49A1" w14:textId="77777777" w:rsidTr="00DE44EE">
        <w:trPr>
          <w:trHeight w:val="20"/>
        </w:trPr>
        <w:tc>
          <w:tcPr>
            <w:tcW w:w="2892"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049A68A9"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Effective Date</w:t>
            </w:r>
          </w:p>
        </w:tc>
        <w:tc>
          <w:tcPr>
            <w:tcW w:w="6777"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32ADD41E"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July 19, 2026</w:t>
            </w:r>
          </w:p>
        </w:tc>
      </w:tr>
      <w:tr w:rsidR="0019039B" w:rsidRPr="00811F88" w14:paraId="51AF49A1" w14:textId="77777777" w:rsidTr="00DE44EE">
        <w:trPr>
          <w:trHeight w:val="20"/>
        </w:trPr>
        <w:tc>
          <w:tcPr>
            <w:tcW w:w="2892"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049A68A9"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Document Owner</w:t>
            </w:r>
          </w:p>
        </w:tc>
        <w:tc>
          <w:tcPr>
            <w:tcW w:w="6777"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32ADD41E"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Chief Executive Officer — Accountable Party</w:t>
            </w:r>
          </w:p>
        </w:tc>
      </w:tr>
      <w:tr w:rsidR="0019039B" w:rsidRPr="00811F88" w14:paraId="51AF49A1" w14:textId="77777777" w:rsidTr="00DE44EE">
        <w:trPr>
          <w:trHeight w:val="20"/>
        </w:trPr>
        <w:tc>
          <w:tcPr>
            <w:tcW w:w="2892"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049A68A9"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Prepared By</w:t>
            </w:r>
          </w:p>
        </w:tc>
        <w:tc>
          <w:tcPr>
            <w:tcW w:w="6777"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32ADD41E"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Security Officer</w:t>
            </w:r>
          </w:p>
        </w:tc>
      </w:tr>
      <w:tr w:rsidR="0019039B" w:rsidRPr="00811F88" w14:paraId="51AF49A1" w14:textId="77777777" w:rsidTr="00DE44EE">
        <w:trPr>
          <w:trHeight w:val="20"/>
        </w:trPr>
        <w:tc>
          <w:tcPr>
            <w:tcW w:w="2892"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049A68A9"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Review Cycle</w:t>
            </w:r>
          </w:p>
        </w:tc>
        <w:tc>
          <w:tcPr>
            <w:tcW w:w="6777"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32ADD41E"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Annual, or upon significant change to systems, threats, or obligations</w:t>
            </w:r>
          </w:p>
        </w:tc>
      </w:tr>
      <w:tr w:rsidR="0019039B" w:rsidRPr="00811F88" w14:paraId="51AF49A1" w14:textId="77777777" w:rsidTr="00DE44EE">
        <w:trPr>
          <w:trHeight w:val="20"/>
        </w:trPr>
        <w:tc>
          <w:tcPr>
            <w:tcW w:w="2892"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049A68A9"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Supersedes</w:t>
            </w:r>
          </w:p>
        </w:tc>
        <w:tc>
          <w:tcPr>
            <w:tcW w:w="6777"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32ADD41E"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N/A</w:t>
            </w:r>
          </w:p>
        </w:tc>
      </w:tr>
      <w:tr w:rsidR="0019039B" w:rsidRPr="00811F88" w14:paraId="51AF49A1" w14:textId="77777777" w:rsidTr="00DE44EE">
        <w:trPr>
          <w:trHeight w:val="20"/>
        </w:trPr>
        <w:tc>
          <w:tcPr>
            <w:tcW w:w="2892"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049A68A9"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Audience</w:t>
            </w:r>
          </w:p>
        </w:tc>
        <w:tc>
          <w:tcPr>
            <w:tcW w:w="6777"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32ADD41E"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All personnel and contractors using any device for Company or client work, and those administering device management</w:t>
            </w:r>
          </w:p>
        </w:tc>
      </w:tr>
      <w:tr w:rsidR="0019039B" w:rsidRPr="00811F88" w14:paraId="51AF49A1" w14:textId="77777777" w:rsidTr="00DE44EE">
        <w:trPr>
          <w:trHeight w:val="20"/>
        </w:trPr>
        <w:tc>
          <w:tcPr>
            <w:tcW w:w="2892"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049A68A9"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Next Review Date</w:t>
            </w:r>
          </w:p>
        </w:tc>
        <w:tc>
          <w:tcPr>
            <w:tcW w:w="6777"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32ADD41E"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July 19, 2027</w:t>
            </w:r>
          </w:p>
        </w:tc>
      </w:tr>
      <w:tr w:rsidR="0019039B" w:rsidRPr="00811F88" w14:paraId="51AF49A1" w14:textId="77777777" w:rsidTr="00DE44EE">
        <w:trPr>
          <w:trHeight w:val="20"/>
        </w:trPr>
        <w:tc>
          <w:tcPr>
            <w:tcW w:w="2892"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049A68A9"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Classification</w:t>
            </w:r>
          </w:p>
        </w:tc>
        <w:tc>
          <w:tcPr>
            <w:tcW w:w="6777"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32ADD41E"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Internal</w:t>
            </w:r>
          </w:p>
        </w:tc>
      </w:tr>
    </w:tbl>
    <w:p w14:paraId="38655322" w14:textId="77777777" w:rsidR="00DE44EE" w:rsidRDefault="00DE44EE" w:rsidP="007A2335">
      <w:pPr>
        <w:suppressLineNumbers/>
        <w:rPr>
          <w:rStyle w:val="Strong"/>
        </w:rPr>
      </w:pPr>
    </w:p>
    <w:p w14:paraId="36F745C2" w14:textId="017D20F0" w:rsidR="0019039B" w:rsidRPr="00DE44EE" w:rsidRDefault="00000000" w:rsidP="007A2335">
      <w:pPr>
        <w:suppressLineNumbers/>
        <w:rPr>
          <w:rStyle w:val="Strong"/>
        </w:rPr>
      </w:pPr>
      <w:r>
        <w:rPr>
          <w:rStyle w:val="Strong"/>
        </w:rPr>
        <w:t>APPROVALS</w:t>
      </w:r>
    </w:p>
    <w:tbl>
      <w:tblPr>
        <w:tblW w:w="9360"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CellMar>
          <w:left w:w="10" w:type="dxa"/>
          <w:right w:w="10" w:type="dxa"/>
        </w:tblCellMar>
        <w:tblLook w:val="0000" w:firstRow="0" w:lastRow="0" w:firstColumn="0" w:lastColumn="0" w:noHBand="0" w:noVBand="0"/>
      </w:tblPr>
      <w:tblGrid>
        <w:gridCol w:w="2340"/>
        <w:gridCol w:w="3120"/>
        <w:gridCol w:w="1950"/>
        <w:gridCol w:w="1950"/>
      </w:tblGrid>
      <w:tr w:rsidR="0019039B" w14:paraId="776EB512" w14:textId="77777777" w:rsidTr="00DE44EE">
        <w:trPr>
          <w:tblHeader/>
        </w:trPr>
        <w:tc>
          <w:tcPr>
            <w:tcW w:w="2340" w:type="dxa"/>
            <w:tcMar>
              <w:top w:w="26" w:type="dxa"/>
              <w:left w:w="92" w:type="dxa"/>
              <w:bottom w:w="26" w:type="dxa"/>
              <w:right w:w="92" w:type="dxa"/>
            </w:tcMar>
            <w:vAlign w:val="center"/>
          </w:tcPr>
          <w:p w14:paraId="473C0209" w14:textId="77777777" w:rsidR="0019039B" w:rsidRPr="00DE44EE" w:rsidRDefault="00000000" w:rsidP="0026559D">
            <w:pPr>
              <w:pStyle w:val="BodyText9"/>
              <w:suppressLineNumbers/>
              <w:spacing w:before="0" w:after="0" w:line="240" w:lineRule="auto"/>
              <w:rPr>
                <w:color w:val="262626" w:themeColor="text1" w:themeTint="D9"/>
              </w:rPr>
            </w:pPr>
            <w:r>
              <w:rPr>
                <w:color w:val="262626" w:themeColor="text1" w:themeTint="D9"/>
                <w:sz w:val="20"/>
                <w:szCs w:val="20"/>
              </w:rPr>
              <w:t>Name</w:t>
            </w:r>
          </w:p>
        </w:tc>
        <w:tc>
          <w:tcPr>
            <w:tcW w:w="3120" w:type="dxa"/>
            <w:tcMar>
              <w:top w:w="26" w:type="dxa"/>
              <w:left w:w="92" w:type="dxa"/>
              <w:bottom w:w="26" w:type="dxa"/>
              <w:right w:w="92" w:type="dxa"/>
            </w:tcMar>
            <w:vAlign w:val="center"/>
          </w:tcPr>
          <w:p w14:paraId="6426F5F3" w14:textId="77777777" w:rsidR="0019039B" w:rsidRPr="00DE44EE" w:rsidRDefault="00000000" w:rsidP="0026559D">
            <w:pPr>
              <w:pStyle w:val="BodyText9"/>
              <w:suppressLineNumbers/>
              <w:spacing w:before="0" w:after="0" w:line="240" w:lineRule="auto"/>
              <w:rPr>
                <w:color w:val="262626" w:themeColor="text1" w:themeTint="D9"/>
              </w:rPr>
            </w:pPr>
            <w:r>
              <w:rPr>
                <w:color w:val="262626" w:themeColor="text1" w:themeTint="D9"/>
                <w:sz w:val="20"/>
                <w:szCs w:val="20"/>
              </w:rPr>
              <w:t>Information Security Role</w:t>
            </w:r>
          </w:p>
        </w:tc>
        <w:tc>
          <w:tcPr>
            <w:tcW w:w="1950" w:type="dxa"/>
            <w:tcMar>
              <w:top w:w="26" w:type="dxa"/>
              <w:left w:w="92" w:type="dxa"/>
              <w:bottom w:w="26" w:type="dxa"/>
              <w:right w:w="92" w:type="dxa"/>
            </w:tcMar>
            <w:vAlign w:val="center"/>
          </w:tcPr>
          <w:p w14:paraId="45B64D95" w14:textId="77777777" w:rsidR="0019039B" w:rsidRPr="00DE44EE" w:rsidRDefault="00000000" w:rsidP="0026559D">
            <w:pPr>
              <w:pStyle w:val="BodyText9"/>
              <w:suppressLineNumbers/>
              <w:spacing w:before="0" w:after="0" w:line="240" w:lineRule="auto"/>
              <w:rPr>
                <w:color w:val="262626" w:themeColor="text1" w:themeTint="D9"/>
              </w:rPr>
            </w:pPr>
            <w:r>
              <w:rPr>
                <w:color w:val="262626" w:themeColor="text1" w:themeTint="D9"/>
                <w:sz w:val="20"/>
                <w:szCs w:val="20"/>
              </w:rPr>
              <w:t>Signature</w:t>
            </w:r>
          </w:p>
        </w:tc>
        <w:tc>
          <w:tcPr>
            <w:tcW w:w="1950" w:type="dxa"/>
            <w:tcMar>
              <w:top w:w="26" w:type="dxa"/>
              <w:left w:w="92" w:type="dxa"/>
              <w:bottom w:w="26" w:type="dxa"/>
              <w:right w:w="92" w:type="dxa"/>
            </w:tcMar>
            <w:vAlign w:val="center"/>
          </w:tcPr>
          <w:p w14:paraId="7DCB32F4" w14:textId="77777777" w:rsidR="0019039B" w:rsidRPr="00DE44EE" w:rsidRDefault="00000000" w:rsidP="0026559D">
            <w:pPr>
              <w:pStyle w:val="BodyText9"/>
              <w:suppressLineNumbers/>
              <w:spacing w:before="0" w:after="0" w:line="240" w:lineRule="auto"/>
              <w:rPr>
                <w:color w:val="262626" w:themeColor="text1" w:themeTint="D9"/>
              </w:rPr>
            </w:pPr>
            <w:r>
              <w:rPr>
                <w:color w:val="262626" w:themeColor="text1" w:themeTint="D9"/>
                <w:sz w:val="20"/>
                <w:szCs w:val="20"/>
              </w:rPr>
              <w:t>Date</w:t>
            </w:r>
          </w:p>
        </w:tc>
      </w:tr>
      <w:tr w:rsidR="0019039B" w14:paraId="41B62945" w14:textId="77777777" w:rsidTr="00DE44EE">
        <w:tc>
          <w:tcPr>
            <w:tcW w:w="2340" w:type="dxa"/>
            <w:tcMar>
              <w:top w:w="26" w:type="dxa"/>
              <w:left w:w="92" w:type="dxa"/>
              <w:bottom w:w="26" w:type="dxa"/>
              <w:right w:w="92" w:type="dxa"/>
            </w:tcMar>
            <w:vAlign w:val="center"/>
          </w:tcPr>
          <w:p w14:paraId="6D256C19" w14:textId="77777777" w:rsidR="0019039B" w:rsidRDefault="00000000" w:rsidP="0026559D">
            <w:pPr>
              <w:pStyle w:val="BodyText9"/>
              <w:suppressLineNumbers/>
              <w:spacing w:before="0" w:after="0" w:line="240" w:lineRule="auto"/>
              <w:rPr>
                <w:color w:val="262626" w:themeColor="text1" w:themeTint="D9"/>
              </w:rPr>
            </w:pPr>
            <w:r>
              <w:rPr>
                <w:color w:val="262626" w:themeColor="text1" w:themeTint="D9"/>
                <w:sz w:val="20"/>
                <w:szCs w:val="20"/>
              </w:rPr>
              <w:t xml:space="preserve">Madhuri Chandoor</w:t>
            </w:r>
          </w:p>
        </w:tc>
        <w:tc>
          <w:tcPr>
            <w:tcW w:w="3120" w:type="dxa"/>
            <w:tcMar>
              <w:top w:w="26" w:type="dxa"/>
              <w:left w:w="92" w:type="dxa"/>
              <w:bottom w:w="26" w:type="dxa"/>
              <w:right w:w="92" w:type="dxa"/>
            </w:tcMar>
            <w:vAlign w:val="center"/>
          </w:tcPr>
          <w:p w14:paraId="4FB0DEF6" w14:textId="77777777" w:rsidR="0019039B" w:rsidRDefault="00000000" w:rsidP="0026559D">
            <w:pPr>
              <w:pStyle w:val="BodyText9"/>
              <w:suppressLineNumbers/>
              <w:spacing w:before="0" w:after="0" w:line="240" w:lineRule="auto"/>
              <w:rPr>
                <w:color w:val="262626" w:themeColor="text1" w:themeTint="D9"/>
              </w:rPr>
            </w:pPr>
            <w:r>
              <w:rPr>
                <w:color w:val="262626" w:themeColor="text1" w:themeTint="D9"/>
                <w:sz w:val="20"/>
                <w:szCs w:val="20"/>
              </w:rPr>
              <w:t>CEO and Founder</w:t>
            </w:r>
          </w:p>
        </w:tc>
        <w:tc>
          <w:tcPr>
            <w:tcW w:w="1950" w:type="dxa"/>
            <w:tcMar>
              <w:top w:w="26" w:type="dxa"/>
              <w:left w:w="92" w:type="dxa"/>
              <w:bottom w:w="26" w:type="dxa"/>
              <w:right w:w="92" w:type="dxa"/>
            </w:tcMar>
            <w:vAlign w:val="center"/>
          </w:tcPr>
          <w:p w14:paraId="4F666227" w14:textId="77777777" w:rsidR="0019039B" w:rsidRDefault="0019039B" w:rsidP="0026559D">
            <w:pPr>
              <w:pStyle w:val="BodyText9"/>
              <w:suppressLineNumbers/>
              <w:spacing w:before="0" w:after="0" w:line="240" w:lineRule="auto"/>
              <w:rPr>
                <w:color w:val="262626" w:themeColor="text1" w:themeTint="D9"/>
              </w:rPr>
            </w:pPr>
          </w:p>
        </w:tc>
        <w:tc>
          <w:tcPr>
            <w:tcW w:w="1950" w:type="dxa"/>
            <w:tcMar>
              <w:top w:w="26" w:type="dxa"/>
              <w:left w:w="92" w:type="dxa"/>
              <w:bottom w:w="26" w:type="dxa"/>
              <w:right w:w="92" w:type="dxa"/>
            </w:tcMar>
            <w:vAlign w:val="center"/>
          </w:tcPr>
          <w:p w14:paraId="25D04364" w14:textId="77777777" w:rsidR="0019039B" w:rsidRDefault="009B6824" w:rsidP="0026559D">
            <w:pPr>
              <w:pStyle w:val="BodyText9"/>
              <w:suppressLineNumbers/>
              <w:spacing w:before="0" w:after="0" w:line="240" w:lineRule="auto"/>
              <w:rPr>
                <w:color w:val="262626" w:themeColor="text1" w:themeTint="D9"/>
              </w:rPr>
            </w:pPr>
            <w:fldSimple w:instr=" DOCPROPERTY &quot;PolicyDate&quot; \* MERGEFORMAT ">
              <w:r>
                <w:rPr>
                  <w:color w:val="262626" w:themeColor="text1" w:themeTint="D9"/>
                  <w:sz w:val="20"/>
                  <w:szCs w:val="20"/>
                </w:rPr>
                <w:t>July 19, 2026</w:t>
              </w:r>
            </w:fldSimple>
          </w:p>
        </w:tc>
      </w:tr>
      <w:tr w:rsidR="0019039B" w14:paraId="65A3C2AD" w14:textId="77777777" w:rsidTr="00DE44EE">
        <w:tc>
          <w:tcPr>
            <w:tcW w:w="2340" w:type="dxa"/>
            <w:tcMar>
              <w:top w:w="26" w:type="dxa"/>
              <w:left w:w="92" w:type="dxa"/>
              <w:bottom w:w="26" w:type="dxa"/>
              <w:right w:w="92" w:type="dxa"/>
            </w:tcMar>
            <w:vAlign w:val="center"/>
          </w:tcPr>
          <w:p w14:paraId="045A2306" w14:textId="77777777" w:rsidR="0019039B" w:rsidRDefault="0019039B" w:rsidP="0026559D">
            <w:pPr>
              <w:pStyle w:val="BodyText9"/>
              <w:suppressLineNumbers/>
              <w:spacing w:before="0" w:after="0" w:line="240" w:lineRule="auto"/>
              <w:rPr>
                <w:color w:val="262626" w:themeColor="text1" w:themeTint="D9"/>
              </w:rPr>
            </w:pPr>
            <w:r>
              <w:rPr>
                <w:sz w:val="20"/>
                <w:szCs w:val="20"/>
              </w:rPr>
              <w:t xml:space="preserve">Praveen Sharma</w:t>
            </w:r>
          </w:p>
        </w:tc>
        <w:tc>
          <w:tcPr>
            <w:tcW w:w="3120" w:type="dxa"/>
            <w:tcMar>
              <w:top w:w="26" w:type="dxa"/>
              <w:left w:w="92" w:type="dxa"/>
              <w:bottom w:w="26" w:type="dxa"/>
              <w:right w:w="92" w:type="dxa"/>
            </w:tcMar>
            <w:vAlign w:val="center"/>
          </w:tcPr>
          <w:p w14:paraId="10FE4053" w14:textId="77777777" w:rsidR="0019039B" w:rsidRDefault="00000000" w:rsidP="0026559D">
            <w:pPr>
              <w:pStyle w:val="BodyText9"/>
              <w:suppressLineNumbers/>
              <w:spacing w:before="0" w:after="0" w:line="240" w:lineRule="auto"/>
              <w:rPr>
                <w:color w:val="262626" w:themeColor="text1" w:themeTint="D9"/>
              </w:rPr>
            </w:pPr>
            <w:r>
              <w:rPr>
                <w:color w:val="262626" w:themeColor="text1" w:themeTint="D9"/>
                <w:sz w:val="20"/>
                <w:szCs w:val="20"/>
              </w:rPr>
              <w:t>Security Officer</w:t>
            </w:r>
          </w:p>
        </w:tc>
        <w:tc>
          <w:tcPr>
            <w:tcW w:w="1950" w:type="dxa"/>
            <w:tcMar>
              <w:top w:w="26" w:type="dxa"/>
              <w:left w:w="92" w:type="dxa"/>
              <w:bottom w:w="26" w:type="dxa"/>
              <w:right w:w="92" w:type="dxa"/>
            </w:tcMar>
            <w:vAlign w:val="center"/>
          </w:tcPr>
          <w:p w14:paraId="04F66AE6" w14:textId="77777777" w:rsidR="0019039B" w:rsidRDefault="0019039B" w:rsidP="0026559D">
            <w:pPr>
              <w:pStyle w:val="BodyText9"/>
              <w:suppressLineNumbers/>
              <w:spacing w:before="0" w:after="0" w:line="240" w:lineRule="auto"/>
              <w:rPr>
                <w:color w:val="262626" w:themeColor="text1" w:themeTint="D9"/>
              </w:rPr>
            </w:pPr>
          </w:p>
        </w:tc>
        <w:tc>
          <w:tcPr>
            <w:tcW w:w="1950" w:type="dxa"/>
            <w:tcMar>
              <w:top w:w="26" w:type="dxa"/>
              <w:left w:w="92" w:type="dxa"/>
              <w:bottom w:w="26" w:type="dxa"/>
              <w:right w:w="92" w:type="dxa"/>
            </w:tcMar>
            <w:vAlign w:val="center"/>
          </w:tcPr>
          <w:p w14:paraId="7C6FBC9D" w14:textId="77777777" w:rsidR="0019039B" w:rsidRDefault="009B6824" w:rsidP="0026559D">
            <w:pPr>
              <w:pStyle w:val="BodyText9"/>
              <w:suppressLineNumbers/>
              <w:spacing w:before="0" w:after="0" w:line="240" w:lineRule="auto"/>
              <w:rPr>
                <w:color w:val="262626" w:themeColor="text1" w:themeTint="D9"/>
              </w:rPr>
            </w:pPr>
            <w:fldSimple w:instr=" DOCPROPERTY &quot;PolicyDate&quot; \* MERGEFORMAT ">
              <w:r>
                <w:rPr>
                  <w:color w:val="262626" w:themeColor="text1" w:themeTint="D9"/>
                  <w:sz w:val="20"/>
                  <w:szCs w:val="20"/>
                </w:rPr>
                <w:t>July 19, 2026</w:t>
              </w:r>
            </w:fldSimple>
          </w:p>
        </w:tc>
      </w:tr>
    </w:tbl>
    <w:p w14:paraId="3FB1474A" w14:textId="77777777" w:rsidR="00BF0F18" w:rsidRDefault="00BF0F18" w:rsidP="00DE44EE">
      <w:pPr>
        <w:suppressLineNumbers/>
        <w:rPr>
          <w:rStyle w:val="Strong"/>
        </w:rPr>
      </w:pPr>
    </w:p>
    <w:p w14:paraId="56705969" w14:textId="2512075D" w:rsidR="0019039B" w:rsidRDefault="00000000" w:rsidP="007A2335">
      <w:pPr>
        <w:suppressLineNumbers/>
      </w:pPr>
      <w:r>
        <w:rPr>
          <w:rStyle w:val="Strong"/>
        </w:rPr>
        <w:t>COMPLIANCE</w:t>
      </w:r>
    </w:p>
    <w:p w14:paraId="2F2306EF" w14:textId="27FDF236" w:rsidR="0019039B" w:rsidRDefault="00000000" w:rsidP="0026559D">
      <w:pPr>
        <w:pStyle w:val="BodyText9"/>
        <w:suppressLineNumbers/>
        <w:rPr>
          <w:color w:val="262626" w:themeColor="text1" w:themeTint="D9"/>
        </w:rPr>
      </w:pPr>
      <w:r>
        <w:rPr>
          <w:color w:val="262626" w:themeColor="text1" w:themeTint="D9"/>
        </w:rPr>
        <w:t>This Standard implements the Asset Management Policy, the Access Control Policy and the Acceptable Use Policy, and supports the SOC 2 Trust Services Criteria CC6.1, CC6.4, CC6.5, CC6.8, CC7.1 and CC7.2. Where the Company processes protected health information or personal data on behalf of clients, it also supports HIPAA Security Rule 45 CFR §164.310(b) and (d), and GDPR Articles 5, 13, 15, 17 and 32.</w:t>
      </w:r>
    </w:p>
    <w:p w14:paraId="6ABCB386" w14:textId="77777777" w:rsidR="00DE44EE" w:rsidRDefault="00DE44EE" w:rsidP="0026559D">
      <w:pPr>
        <w:pStyle w:val="BodyText9"/>
        <w:suppressLineNumbers/>
        <w:rPr>
          <w:color w:val="262626" w:themeColor="text1" w:themeTint="D9"/>
        </w:rPr>
      </w:pPr>
    </w:p>
    <w:p w14:paraId="6DCDC6FA" w14:textId="77777777" w:rsidR="0019039B" w:rsidRPr="00BF0F18" w:rsidRDefault="00000000" w:rsidP="007A2335">
      <w:pPr>
        <w:suppressLineNumbers/>
        <w:rPr>
          <w:rStyle w:val="Strong"/>
        </w:rPr>
      </w:pPr>
      <w:r>
        <w:rPr>
          <w:rStyle w:val="Strong"/>
        </w:rPr>
        <w:t>DOCUMENT VALIDITY</w:t>
      </w:r>
    </w:p>
    <w:p w14:paraId="0A5761F4" w14:textId="77777777" w:rsidR="0019039B" w:rsidRDefault="009B6824" w:rsidP="0026559D">
      <w:pPr>
        <w:pStyle w:val="BodyText9"/>
        <w:suppressLineNumbers/>
        <w:rPr>
          <w:color w:val="262626" w:themeColor="text1" w:themeTint="D9"/>
        </w:rPr>
      </w:pPr>
      <w:fldSimple w:instr=" DOCPROPERTY &quot;PolicyDate&quot; \* MERGEFORMAT ">
        <w:r>
          <w:rPr>
            <w:color w:val="262626" w:themeColor="text1" w:themeTint="D9"/>
          </w:rPr>
          <w:t>July 19, 2026</w:t>
        </w:r>
      </w:fldSimple>
      <w:r>
        <w:rPr>
          <w:color w:val="262626" w:themeColor="text1" w:themeTint="D9"/>
        </w:rPr>
        <w:t xml:space="preserve"> – </w:t>
      </w:r>
      <w:fldSimple w:instr=" DOCPROPERTY &quot;PolicyExpiry&quot; \* MERGEFORMAT ">
        <w:r>
          <w:rPr>
            <w:color w:val="262626" w:themeColor="text1" w:themeTint="D9"/>
          </w:rPr>
          <w:t>July 19, 2027</w:t>
        </w:r>
      </w:fldSimple>
    </w:p>
    <w:p w14:paraId="55558E27" w14:textId="77777777" w:rsidR="0019039B" w:rsidRDefault="00000000" w:rsidP="007A2335">
      <w:pPr>
        <w:suppressLineNumbers/>
      </w:pPr>
      <w:r>
        <w:br w:type="page"/>
      </w:r>
    </w:p>
    <w:p w14:paraId="4E3B5711" w14:textId="77777777" w:rsidR="0019039B" w:rsidRDefault="00000000" w:rsidP="007A2335">
      <w:pPr>
        <w:suppressLineNumbers/>
      </w:pPr>
      <w:r>
        <w:lastRenderedPageBreak/>
        <w:t>TABLE OF CONTENTS</w:t>
      </w:r>
    </w:p>
    <w:sdt>
      <w:sdtPr>
        <w:rPr>
          <w:rFonts w:ascii="Calibri" w:hAnsi="Calibri"/>
          <w:b w:val="0"/>
          <w:bCs w:val="0"/>
          <w:caps w:val="0"/>
          <w:sz w:val="24"/>
          <w:szCs w:val="24"/>
        </w:rPr>
        <w:alias w:val="Table of Contents"/>
        <w:id w:val="-1368054761"/>
      </w:sdtPr>
      <w:sdtContent>
        <w:p w14:paraId="55880C67" w14:textId="77777777" w:rsidR="009B6824" w:rsidRDefault="00000000">
          <w:pPr>
            <w:pStyle w:val="TOC1"/>
            <w:suppressLineNumbers/>
            <w:tabs>
              <w:tab w:val="right" w:leader="dot" w:pos="9350"/>
            </w:tabs>
            <w:rPr>
              <w:rFonts w:eastAsiaTheme="minorEastAsia" w:cstheme="minorBidi"/>
              <w:b w:val="0"/>
              <w:bCs w:val="0"/>
              <w:caps w:val="0"/>
              <w:noProof/>
              <w:color w:val="auto"/>
              <w:kern w:val="2"/>
              <w:sz w:val="24"/>
              <w:szCs w:val="24"/>
              <w14:ligatures w14:val="standardContextual"/>
            </w:rPr>
          </w:pPr>
          <w:r>
            <w:fldChar w:fldCharType="begin"/>
            <w:instrText>TOC \h \o "1-2"</w:instrText>
            <w:fldChar w:fldCharType="separate"/>
          </w:r>
          <w:hyperlink w:anchor="_Toc235458827" w:history="1">
            <w:r>
              <w:rPr>
                <w:rStyle w:val="Hyperlink"/>
                <w:noProof/>
              </w:rPr>
              <w:t>1 Overview and Purpose</w:t>
            </w:r>
            <w:r>
              <w:rPr>
                <w:noProof/>
              </w:rPr>
              <w:tab/>
              <w:fldChar w:fldCharType="begin"/>
              <w:instrText xml:space="preserve"> PAGEREF _Toc235458827 \h </w:instrText>
              <w:fldChar w:fldCharType="separate"/>
              <w:t>4</w:t>
              <w:fldChar w:fldCharType="end"/>
            </w:r>
          </w:hyperlink>
        </w:p>
        <w:p w14:paraId="5F50B477" w14:textId="77777777" w:rsidR="009B6824" w:rsidRDefault="009B6824">
          <w:pPr>
            <w:pStyle w:val="TOC1"/>
            <w:suppressLineNumbers/>
            <w:tabs>
              <w:tab w:val="right" w:leader="dot" w:pos="9350"/>
            </w:tabs>
            <w:rPr>
              <w:rFonts w:eastAsiaTheme="minorEastAsia" w:cstheme="minorBidi"/>
              <w:b w:val="0"/>
              <w:bCs w:val="0"/>
              <w:caps w:val="0"/>
              <w:noProof/>
              <w:color w:val="auto"/>
              <w:kern w:val="2"/>
              <w:sz w:val="24"/>
              <w:szCs w:val="24"/>
              <w14:ligatures w14:val="standardContextual"/>
            </w:rPr>
          </w:pPr>
          <w:hyperlink w:anchor="_Toc235458828" w:history="1">
            <w:r>
              <w:rPr>
                <w:rStyle w:val="Hyperlink"/>
                <w:noProof/>
              </w:rPr>
              <w:t>2 Scope</w:t>
            </w:r>
            <w:r>
              <w:rPr>
                <w:noProof/>
              </w:rPr>
              <w:tab/>
              <w:fldChar w:fldCharType="begin"/>
              <w:instrText xml:space="preserve"> PAGEREF _Toc235458828 \h </w:instrText>
              <w:fldChar w:fldCharType="separate"/>
              <w:t>4</w:t>
              <w:fldChar w:fldCharType="end"/>
            </w:r>
          </w:hyperlink>
        </w:p>
        <w:p w14:paraId="36282C65" w14:textId="77777777" w:rsidR="009B6824" w:rsidRDefault="009B6824">
          <w:pPr>
            <w:pStyle w:val="TOC1"/>
            <w:suppressLineNumbers/>
            <w:tabs>
              <w:tab w:val="right" w:leader="dot" w:pos="9350"/>
            </w:tabs>
            <w:rPr>
              <w:rFonts w:eastAsiaTheme="minorEastAsia" w:cstheme="minorBidi"/>
              <w:b w:val="0"/>
              <w:bCs w:val="0"/>
              <w:caps w:val="0"/>
              <w:noProof/>
              <w:color w:val="auto"/>
              <w:kern w:val="2"/>
              <w:sz w:val="24"/>
              <w:szCs w:val="24"/>
              <w14:ligatures w14:val="standardContextual"/>
            </w:rPr>
          </w:pPr>
          <w:hyperlink w:anchor="_Toc235458829" w:history="1">
            <w:r>
              <w:rPr>
                <w:rStyle w:val="Hyperlink"/>
                <w:noProof/>
              </w:rPr>
              <w:t>3 Roles and Definitions</w:t>
            </w:r>
            <w:r>
              <w:rPr>
                <w:noProof/>
              </w:rPr>
              <w:tab/>
              <w:fldChar w:fldCharType="begin"/>
              <w:instrText xml:space="preserve"> PAGEREF _Toc235458829 \h </w:instrText>
              <w:fldChar w:fldCharType="separate"/>
              <w:t>4</w:t>
              <w:fldChar w:fldCharType="end"/>
            </w:r>
          </w:hyperlink>
        </w:p>
        <w:p w14:paraId="3E3BFF80" w14:textId="77777777" w:rsidR="009B6824" w:rsidRDefault="009B6824">
          <w:pPr>
            <w:pStyle w:val="TOC1"/>
            <w:suppressLineNumbers/>
            <w:tabs>
              <w:tab w:val="right" w:leader="dot" w:pos="9350"/>
            </w:tabs>
            <w:rPr>
              <w:rFonts w:eastAsiaTheme="minorEastAsia" w:cstheme="minorBidi"/>
              <w:b w:val="0"/>
              <w:bCs w:val="0"/>
              <w:caps w:val="0"/>
              <w:noProof/>
              <w:color w:val="auto"/>
              <w:kern w:val="2"/>
              <w:sz w:val="24"/>
              <w:szCs w:val="24"/>
              <w14:ligatures w14:val="standardContextual"/>
            </w:rPr>
          </w:pPr>
          <w:hyperlink w:anchor="_Toc235458830" w:history="1">
            <w:r>
              <w:rPr>
                <w:rStyle w:val="Hyperlink"/>
                <w:noProof/>
              </w:rPr>
              <w:t>4 Security Program</w:t>
            </w:r>
            <w:r>
              <w:rPr>
                <w:noProof/>
              </w:rPr>
              <w:tab/>
              <w:fldChar w:fldCharType="begin"/>
              <w:instrText xml:space="preserve"> PAGEREF _Toc235458830 \h </w:instrText>
              <w:fldChar w:fldCharType="separate"/>
              <w:t>4</w:t>
              <w:fldChar w:fldCharType="end"/>
            </w:r>
          </w:hyperlink>
        </w:p>
        <w:p w14:paraId="1EC59F0E" w14:textId="77777777" w:rsidR="009B6824" w:rsidRDefault="009B6824">
          <w:pPr>
            <w:pStyle w:val="TOC1"/>
            <w:suppressLineNumbers/>
            <w:tabs>
              <w:tab w:val="right" w:leader="dot" w:pos="9350"/>
            </w:tabs>
            <w:rPr>
              <w:rFonts w:eastAsiaTheme="minorEastAsia" w:cstheme="minorBidi"/>
              <w:b w:val="0"/>
              <w:bCs w:val="0"/>
              <w:caps w:val="0"/>
              <w:noProof/>
              <w:color w:val="auto"/>
              <w:kern w:val="2"/>
              <w:sz w:val="24"/>
              <w:szCs w:val="24"/>
              <w14:ligatures w14:val="standardContextual"/>
            </w:rPr>
          </w:pPr>
          <w:hyperlink w:anchor="_Toc235458831" w:history="1">
            <w:r>
              <w:rPr>
                <w:rStyle w:val="Hyperlink"/>
                <w:noProof/>
              </w:rPr>
              <w:t>5 Policy Framework</w:t>
            </w:r>
            <w:r>
              <w:rPr>
                <w:noProof/>
              </w:rPr>
              <w:tab/>
              <w:fldChar w:fldCharType="begin"/>
              <w:instrText xml:space="preserve"> PAGEREF _Toc235458831 \h </w:instrText>
              <w:fldChar w:fldCharType="separate"/>
              <w:t>5</w:t>
              <w:fldChar w:fldCharType="end"/>
            </w:r>
          </w:hyperlink>
        </w:p>
        <w:p w14:paraId="1E738F7D" w14:textId="77777777" w:rsidR="009B6824" w:rsidRDefault="009B6824">
          <w:pPr>
            <w:pStyle w:val="TOC1"/>
            <w:suppressLineNumbers/>
            <w:tabs>
              <w:tab w:val="right" w:leader="dot" w:pos="9350"/>
            </w:tabs>
            <w:rPr>
              <w:rFonts w:eastAsiaTheme="minorEastAsia" w:cstheme="minorBidi"/>
              <w:b w:val="0"/>
              <w:bCs w:val="0"/>
              <w:caps w:val="0"/>
              <w:noProof/>
              <w:color w:val="auto"/>
              <w:kern w:val="2"/>
              <w:sz w:val="24"/>
              <w:szCs w:val="24"/>
              <w14:ligatures w14:val="standardContextual"/>
            </w:rPr>
          </w:pPr>
          <w:hyperlink w:anchor="_Toc235458832" w:history="1">
            <w:r>
              <w:rPr>
                <w:rStyle w:val="Hyperlink"/>
                <w:noProof/>
              </w:rPr>
              <w:t>6 Control Environment and Accountability</w:t>
            </w:r>
            <w:r>
              <w:rPr>
                <w:noProof/>
              </w:rPr>
              <w:tab/>
              <w:fldChar w:fldCharType="begin"/>
              <w:instrText xml:space="preserve"> PAGEREF _Toc235458832 \h </w:instrText>
              <w:fldChar w:fldCharType="separate"/>
              <w:t>5</w:t>
              <w:fldChar w:fldCharType="end"/>
            </w:r>
          </w:hyperlink>
        </w:p>
        <w:p w14:paraId="5254791D" w14:textId="77777777" w:rsidR="009B6824" w:rsidRDefault="009B6824">
          <w:pPr>
            <w:pStyle w:val="TOC1"/>
            <w:suppressLineNumbers/>
            <w:tabs>
              <w:tab w:val="right" w:leader="dot" w:pos="9350"/>
            </w:tabs>
            <w:rPr>
              <w:rFonts w:eastAsiaTheme="minorEastAsia" w:cstheme="minorBidi"/>
              <w:b w:val="0"/>
              <w:bCs w:val="0"/>
              <w:caps w:val="0"/>
              <w:noProof/>
              <w:color w:val="auto"/>
              <w:kern w:val="2"/>
              <w:sz w:val="24"/>
              <w:szCs w:val="24"/>
              <w14:ligatures w14:val="standardContextual"/>
            </w:rPr>
          </w:pPr>
          <w:hyperlink w:anchor="_Toc235458833" w:history="1">
            <w:r>
              <w:rPr>
                <w:rStyle w:val="Hyperlink"/>
                <w:noProof/>
              </w:rPr>
              <w:t>7 Program Assessment</w:t>
            </w:r>
            <w:r>
              <w:rPr>
                <w:noProof/>
              </w:rPr>
              <w:tab/>
              <w:fldChar w:fldCharType="begin"/>
              <w:instrText xml:space="preserve"> PAGEREF _Toc235458833 \h </w:instrText>
              <w:fldChar w:fldCharType="separate"/>
              <w:t>5</w:t>
              <w:fldChar w:fldCharType="end"/>
            </w:r>
          </w:hyperlink>
        </w:p>
        <w:p w14:paraId="0DB72B0D" w14:textId="77777777" w:rsidR="009B6824" w:rsidRDefault="009B6824">
          <w:pPr>
            <w:pStyle w:val="TOC1"/>
            <w:suppressLineNumbers/>
            <w:tabs>
              <w:tab w:val="right" w:leader="dot" w:pos="9350"/>
            </w:tabs>
            <w:rPr>
              <w:rFonts w:eastAsiaTheme="minorEastAsia" w:cstheme="minorBidi"/>
              <w:b w:val="0"/>
              <w:bCs w:val="0"/>
              <w:caps w:val="0"/>
              <w:noProof/>
              <w:color w:val="auto"/>
              <w:kern w:val="2"/>
              <w:sz w:val="24"/>
              <w:szCs w:val="24"/>
              <w14:ligatures w14:val="standardContextual"/>
            </w:rPr>
          </w:pPr>
          <w:hyperlink w:anchor="_Toc235458834" w:history="1">
            <w:r>
              <w:rPr>
                <w:rStyle w:val="Hyperlink"/>
                <w:noProof/>
              </w:rPr>
              <w:t>8 Enforcement</w:t>
            </w:r>
            <w:r>
              <w:rPr>
                <w:noProof/>
              </w:rPr>
              <w:tab/>
              <w:fldChar w:fldCharType="begin"/>
              <w:instrText xml:space="preserve"> PAGEREF _Toc235458834 \h </w:instrText>
              <w:fldChar w:fldCharType="separate"/>
              <w:t>6</w:t>
              <w:fldChar w:fldCharType="end"/>
            </w:r>
          </w:hyperlink>
        </w:p>
        <w:p w14:paraId="46FB3936" w14:textId="77777777" w:rsidR="009B6824" w:rsidRDefault="009B6824">
          <w:pPr>
            <w:pStyle w:val="TOC1"/>
            <w:suppressLineNumbers/>
            <w:tabs>
              <w:tab w:val="right" w:leader="dot" w:pos="9350"/>
            </w:tabs>
            <w:rPr>
              <w:rFonts w:eastAsiaTheme="minorEastAsia" w:cstheme="minorBidi"/>
              <w:b w:val="0"/>
              <w:bCs w:val="0"/>
              <w:caps w:val="0"/>
              <w:noProof/>
              <w:color w:val="auto"/>
              <w:kern w:val="2"/>
              <w:sz w:val="24"/>
              <w:szCs w:val="24"/>
              <w14:ligatures w14:val="standardContextual"/>
            </w:rPr>
          </w:pPr>
          <w:hyperlink w:anchor="_Toc235458835" w:history="1">
            <w:r>
              <w:rPr>
                <w:rStyle w:val="Hyperlink"/>
                <w:noProof/>
              </w:rPr>
              <w:t>9 Exceptions</w:t>
            </w:r>
            <w:r>
              <w:rPr>
                <w:noProof/>
              </w:rPr>
              <w:tab/>
              <w:fldChar w:fldCharType="begin"/>
              <w:instrText xml:space="preserve"> PAGEREF _Toc235458835 \h </w:instrText>
              <w:fldChar w:fldCharType="separate"/>
              <w:t>6</w:t>
              <w:fldChar w:fldCharType="end"/>
            </w:r>
          </w:hyperlink>
        </w:p>
        <w:p w14:paraId="2ECE9BE5" w14:textId="77777777" w:rsidR="009B6824" w:rsidRDefault="009B6824">
          <w:pPr>
            <w:pStyle w:val="TOC1"/>
            <w:suppressLineNumbers/>
            <w:tabs>
              <w:tab w:val="right" w:leader="dot" w:pos="9350"/>
            </w:tabs>
            <w:rPr>
              <w:rFonts w:eastAsiaTheme="minorEastAsia" w:cstheme="minorBidi"/>
              <w:b w:val="0"/>
              <w:bCs w:val="0"/>
              <w:caps w:val="0"/>
              <w:noProof/>
              <w:color w:val="auto"/>
              <w:kern w:val="2"/>
              <w:sz w:val="24"/>
              <w:szCs w:val="24"/>
              <w14:ligatures w14:val="standardContextual"/>
            </w:rPr>
          </w:pPr>
          <w:hyperlink w:anchor="_Toc235458836" w:history="1">
            <w:r>
              <w:rPr>
                <w:rStyle w:val="Hyperlink"/>
                <w:noProof/>
              </w:rPr>
              <w:t>10 Reference</w:t>
            </w:r>
            <w:r>
              <w:rPr>
                <w:noProof/>
              </w:rPr>
              <w:tab/>
              <w:fldChar w:fldCharType="begin"/>
              <w:instrText xml:space="preserve"> PAGEREF _Toc235458836 \h </w:instrText>
              <w:fldChar w:fldCharType="separate"/>
              <w:t>6</w:t>
              <w:fldChar w:fldCharType="end"/>
            </w:r>
          </w:hyperlink>
        </w:p>
        <w:p w14:paraId="473F5A69" w14:textId="77777777" w:rsidR="009B6824" w:rsidRDefault="009B6824">
          <w:pPr>
            <w:pStyle w:val="TOC1"/>
            <w:suppressLineNumbers/>
            <w:tabs>
              <w:tab w:val="right" w:leader="dot" w:pos="9350"/>
            </w:tabs>
            <w:rPr>
              <w:rFonts w:eastAsiaTheme="minorEastAsia" w:cstheme="minorBidi"/>
              <w:b w:val="0"/>
              <w:bCs w:val="0"/>
              <w:caps w:val="0"/>
              <w:noProof/>
              <w:color w:val="auto"/>
              <w:kern w:val="2"/>
              <w:sz w:val="24"/>
              <w:szCs w:val="24"/>
              <w14:ligatures w14:val="standardContextual"/>
            </w:rPr>
          </w:pPr>
          <w:hyperlink w:anchor="_Toc235458837" w:history="1">
            <w:r>
              <w:rPr>
                <w:rStyle w:val="Hyperlink"/>
                <w:noProof/>
              </w:rPr>
              <w:t>11 Document Policy History</w:t>
            </w:r>
            <w:r>
              <w:rPr>
                <w:noProof/>
              </w:rPr>
              <w:tab/>
              <w:fldChar w:fldCharType="begin"/>
              <w:instrText xml:space="preserve"> PAGEREF _Toc235458837 \h </w:instrText>
              <w:fldChar w:fldCharType="separate"/>
              <w:t>6</w:t>
              <w:fldChar w:fldCharType="end"/>
            </w:r>
          </w:hyperlink>
        </w:p>
        <w:p w14:paraId="647C4D27" w14:textId="77777777" w:rsidR="0019039B" w:rsidRDefault="00000000" w:rsidP="007A2335">
          <w:pPr>
            <w:suppressLineNumbers/>
          </w:pPr>
          <w:r>
            <w:fldChar w:fldCharType="end"/>
          </w:r>
        </w:p>
      </w:sdtContent>
    </w:sdt>
    <w:p w14:paraId="0FA8B74C" w14:textId="77777777" w:rsidR="0019039B" w:rsidRDefault="00000000" w:rsidP="007A2335">
      <w:pPr>
        <w:suppressLineNumbers/>
      </w:pPr>
      <w:r>
        <w:br w:type="page"/>
      </w:r>
    </w:p>
    <w:p>
      <w:pPr>
        <w:pStyle w:val="Heading1"/>
      </w:pPr>
      <w:r>
        <w:t>Overview and Purpose</w:t>
      </w:r>
    </w:p>
    <w:p>
      <w:pPr>
        <w:rPr>
          <w:color w:val="262626" w:themeColor="text1" w:themeTint="D9"/>
        </w:rPr>
      </w:pPr>
      <w:r>
        <w:rPr>
          <w:rFonts w:ascii="Calibri Light" w:hAnsi="Calibri Light" w:cs="Calibri Light"/>
          <w:sz w:val="22"/>
          <w:szCs w:val="22"/>
          <w:color w:val="262626" w:themeColor="text1" w:themeTint="D9"/>
        </w:rPr>
        <w:t xml:space="preserve">This Standard specifies the configuration required of every device used for PromptHalo or client work, and states what the Company collects from a personally owned device and what it deliberately does not. Almost all Company work is performed on personally owned laptops and phones, so the baseline is written for the device rather than for its owner, and the Company’s obligations to the device owner are stated alongside the requirements imposed on them.</w:t>
      </w:r>
    </w:p>
    <w:p>
      <w:pPr>
        <w:pStyle w:val="Heading1"/>
      </w:pPr>
      <w:r>
        <w:t>Scope</w:t>
      </w:r>
    </w:p>
    <w:p>
      <w:pPr>
        <w:rPr>
          <w:color w:val="262626" w:themeColor="text1" w:themeTint="D9"/>
        </w:rPr>
      </w:pPr>
      <w:r>
        <w:rPr>
          <w:rFonts w:ascii="Calibri Light" w:hAnsi="Calibri Light" w:cs="Calibri Light"/>
          <w:sz w:val="22"/>
          <w:szCs w:val="22"/>
          <w:color w:val="262626" w:themeColor="text1" w:themeTint="D9"/>
        </w:rPr>
        <w:t xml:space="preserve">This Standard applies to every laptop, desktop and mobile device used to access Company or client information, whether Company-owned or personally owned, and to the device management, endpoint protection and conditional access services that enforce it.</w:t>
      </w:r>
    </w:p>
    <w:p>
      <w:pPr>
        <w:pStyle w:val="Heading1"/>
      </w:pPr>
      <w:r>
        <w:t>Roles and Definitions</w:t>
      </w:r>
    </w:p>
    <w:p>
      <w:pPr>
        <w:pStyle w:val="Emphasis-Normal"/>
        <w:numPr>
          <w:ilvl w:val="0"/>
          <w:numId w:val="500"/>
        </w:numPr>
        <w:rPr>
          <w:color w:val="262626" w:themeColor="text1" w:themeTint="D9"/>
        </w:rPr>
      </w:pPr>
      <w:r>
        <w:rPr>
          <w:rFonts w:ascii="Calibri Light" w:hAnsi="Calibri Light" w:cs="Calibri Light"/>
          <w:sz w:val="22"/>
          <w:szCs w:val="22"/>
          <w:color w:val="262626" w:themeColor="text1" w:themeTint="D9"/>
        </w:rPr>
        <w:t xml:space="preserve">“The Company” refers to PromptHalo.</w:t>
      </w:r>
    </w:p>
    <w:p>
      <w:pPr>
        <w:pStyle w:val="Emphasis-Normal"/>
        <w:numPr>
          <w:ilvl w:val="0"/>
          <w:numId w:val="500"/>
        </w:numPr>
        <w:rPr>
          <w:color w:val="262626" w:themeColor="text1" w:themeTint="D9"/>
        </w:rPr>
      </w:pPr>
      <w:r>
        <w:rPr>
          <w:rFonts w:ascii="Calibri Light" w:hAnsi="Calibri Light" w:cs="Calibri Light"/>
          <w:sz w:val="22"/>
          <w:szCs w:val="22"/>
          <w:color w:val="262626" w:themeColor="text1" w:themeTint="D9"/>
        </w:rPr>
        <w:t xml:space="preserve">The CEO or, in their absence, the Security Officer (the “Accountable Party”) owns this policy, oversees its implementation and enforcement, and may delegate specific duties to a designee.</w:t>
      </w:r>
      <w:r>
        <w:rPr>
          <w:rFonts w:ascii="Calibri Light" w:hAnsi="Calibri Light" w:cs="Calibri Light"/>
          <w:color w:val="5F8798"/>
          <w:sz w:val="18"/>
          <w:szCs w:val="18"/>
        </w:rPr>
        <w:t xml:space="preserve">  [SOC 2: CC1.3]</w:t>
      </w:r>
    </w:p>
    <w:p>
      <w:pPr>
        <w:pStyle w:val="Emphasis-Normal"/>
        <w:numPr>
          <w:ilvl w:val="0"/>
          <w:numId w:val="500"/>
        </w:numPr>
        <w:rPr>
          <w:color w:val="262626" w:themeColor="text1" w:themeTint="D9"/>
        </w:rPr>
      </w:pPr>
      <w:r>
        <w:rPr>
          <w:rFonts w:ascii="Calibri Light" w:hAnsi="Calibri Light" w:cs="Calibri Light"/>
          <w:sz w:val="22"/>
          <w:szCs w:val="22"/>
          <w:color w:val="262626" w:themeColor="text1" w:themeTint="D9"/>
        </w:rPr>
        <w:t xml:space="preserve">The Information Security Steering Committee approves this policy and reviews it at least annually.</w:t>
      </w:r>
      <w:r>
        <w:rPr>
          <w:rFonts w:ascii="Calibri Light" w:hAnsi="Calibri Light" w:cs="Calibri Light"/>
          <w:color w:val="5F8798"/>
          <w:sz w:val="18"/>
          <w:szCs w:val="18"/>
        </w:rPr>
        <w:t xml:space="preserve">  [SOC 2: CC1.2, CC5.3]</w:t>
      </w:r>
    </w:p>
    <w:p>
      <w:pPr>
        <w:pStyle w:val="Heading1"/>
      </w:pPr>
      <w:r>
        <w:t>Terminology</w:t>
      </w:r>
    </w:p>
    <w:p>
      <w:pPr>
        <w:rPr>
          <w:color w:val="262626" w:themeColor="text1" w:themeTint="D9"/>
        </w:rPr>
      </w:pPr>
      <w:r>
        <w:rPr>
          <w:rFonts w:ascii="Calibri Light" w:hAnsi="Calibri Light" w:cs="Calibri Light"/>
          <w:sz w:val="22"/>
          <w:szCs w:val="22"/>
          <w:color w:val="262626" w:themeColor="text1" w:themeTint="D9"/>
        </w:rPr>
        <w:t xml:space="preserve">The following terms have the meanings given below wherever they appear in this policy.</w:t>
      </w:r>
    </w:p>
    <w:p>
      <w:pPr>
        <w:pStyle w:val="Emphasis-Normal"/>
        <w:numPr>
          <w:ilvl w:val="0"/>
          <w:numId w:val="501"/>
        </w:numPr>
        <w:rPr>
          <w:color w:val="262626" w:themeColor="text1" w:themeTint="D9"/>
        </w:rPr>
      </w:pPr>
      <w:r>
        <w:rPr>
          <w:rFonts w:ascii="Calibri Light" w:hAnsi="Calibri Light" w:cs="Calibri Light"/>
          <w:sz w:val="22"/>
          <w:szCs w:val="22"/>
          <w:b/>
          <w:color w:val="262626" w:themeColor="text1" w:themeTint="D9"/>
        </w:rPr>
        <w:t xml:space="preserve">Enrolment</w:t>
      </w:r>
      <w:r>
        <w:rPr>
          <w:rFonts w:ascii="Calibri Light" w:hAnsi="Calibri Light" w:cs="Calibri Light"/>
          <w:sz w:val="22"/>
          <w:szCs w:val="22"/>
          <w:color w:val="262626" w:themeColor="text1" w:themeTint="D9"/>
        </w:rPr>
        <w:t xml:space="preserve"> — registration of a device with the Company’s device management so that its compliance state is reported and policy can be applied.</w:t>
      </w:r>
    </w:p>
    <w:p>
      <w:pPr>
        <w:pStyle w:val="Emphasis-Normal"/>
        <w:numPr>
          <w:ilvl w:val="0"/>
          <w:numId w:val="501"/>
        </w:numPr>
        <w:rPr>
          <w:color w:val="262626" w:themeColor="text1" w:themeTint="D9"/>
        </w:rPr>
      </w:pPr>
      <w:r>
        <w:rPr>
          <w:rFonts w:ascii="Calibri Light" w:hAnsi="Calibri Light" w:cs="Calibri Light"/>
          <w:sz w:val="22"/>
          <w:szCs w:val="22"/>
          <w:b/>
          <w:color w:val="262626" w:themeColor="text1" w:themeTint="D9"/>
        </w:rPr>
        <w:t xml:space="preserve">Compliance state</w:t>
      </w:r>
      <w:r>
        <w:rPr>
          <w:rFonts w:ascii="Calibri Light" w:hAnsi="Calibri Light" w:cs="Calibri Light"/>
          <w:sz w:val="22"/>
          <w:szCs w:val="22"/>
          <w:color w:val="262626" w:themeColor="text1" w:themeTint="D9"/>
        </w:rPr>
        <w:t xml:space="preserve"> — the current status of a device against the baseline defined in this Standard, expressed as a pass or fail per requirement.</w:t>
      </w:r>
    </w:p>
    <w:p>
      <w:pPr>
        <w:pStyle w:val="Emphasis-Normal"/>
        <w:numPr>
          <w:ilvl w:val="0"/>
          <w:numId w:val="501"/>
        </w:numPr>
        <w:rPr>
          <w:color w:val="262626" w:themeColor="text1" w:themeTint="D9"/>
        </w:rPr>
      </w:pPr>
      <w:r>
        <w:rPr>
          <w:rFonts w:ascii="Calibri Light" w:hAnsi="Calibri Light" w:cs="Calibri Light"/>
          <w:sz w:val="22"/>
          <w:szCs w:val="22"/>
          <w:b/>
          <w:color w:val="262626" w:themeColor="text1" w:themeTint="D9"/>
        </w:rPr>
        <w:t xml:space="preserve">Conditional access</w:t>
      </w:r>
      <w:r>
        <w:rPr>
          <w:rFonts w:ascii="Calibri Light" w:hAnsi="Calibri Light" w:cs="Calibri Light"/>
          <w:sz w:val="22"/>
          <w:szCs w:val="22"/>
          <w:color w:val="262626" w:themeColor="text1" w:themeTint="D9"/>
        </w:rPr>
        <w:t xml:space="preserve"> — an access decision that evaluates device compliance state as well as identity.</w:t>
      </w:r>
    </w:p>
    <w:p>
      <w:pPr>
        <w:pStyle w:val="Emphasis-Normal"/>
        <w:numPr>
          <w:ilvl w:val="0"/>
          <w:numId w:val="501"/>
        </w:numPr>
        <w:rPr>
          <w:color w:val="262626" w:themeColor="text1" w:themeTint="D9"/>
        </w:rPr>
      </w:pPr>
      <w:r>
        <w:rPr>
          <w:rFonts w:ascii="Calibri Light" w:hAnsi="Calibri Light" w:cs="Calibri Light"/>
          <w:sz w:val="22"/>
          <w:szCs w:val="22"/>
          <w:b/>
          <w:color w:val="262626" w:themeColor="text1" w:themeTint="D9"/>
        </w:rPr>
        <w:t xml:space="preserve">Managed configuration</w:t>
      </w:r>
      <w:r>
        <w:rPr>
          <w:rFonts w:ascii="Calibri Light" w:hAnsi="Calibri Light" w:cs="Calibri Light"/>
          <w:sz w:val="22"/>
          <w:szCs w:val="22"/>
          <w:color w:val="262626" w:themeColor="text1" w:themeTint="D9"/>
        </w:rPr>
        <w:t xml:space="preserve"> — a setting applied and enforced by device management rather than left to the user.</w:t>
      </w:r>
    </w:p>
    <w:p>
      <w:pPr>
        <w:pStyle w:val="Emphasis-Normal"/>
        <w:numPr>
          <w:ilvl w:val="0"/>
          <w:numId w:val="501"/>
        </w:numPr>
        <w:rPr>
          <w:color w:val="262626" w:themeColor="text1" w:themeTint="D9"/>
        </w:rPr>
      </w:pPr>
      <w:r>
        <w:rPr>
          <w:rFonts w:ascii="Calibri Light" w:hAnsi="Calibri Light" w:cs="Calibri Light"/>
          <w:sz w:val="22"/>
          <w:szCs w:val="22"/>
          <w:b/>
          <w:color w:val="262626" w:themeColor="text1" w:themeTint="D9"/>
        </w:rPr>
        <w:t xml:space="preserve">Company data</w:t>
      </w:r>
      <w:r>
        <w:rPr>
          <w:rFonts w:ascii="Calibri Light" w:hAnsi="Calibri Light" w:cs="Calibri Light"/>
          <w:sz w:val="22"/>
          <w:szCs w:val="22"/>
          <w:color w:val="262626" w:themeColor="text1" w:themeTint="D9"/>
        </w:rPr>
        <w:t xml:space="preserve"> — information belonging to the Company or its clients, as distinct from the personal content of the device owner.</w:t>
      </w:r>
    </w:p>
    <w:p>
      <w:pPr>
        <w:pStyle w:val="Emphasis-Normal"/>
        <w:numPr>
          <w:ilvl w:val="0"/>
          <w:numId w:val="501"/>
        </w:numPr>
        <w:rPr>
          <w:color w:val="262626" w:themeColor="text1" w:themeTint="D9"/>
        </w:rPr>
      </w:pPr>
      <w:r>
        <w:rPr>
          <w:rFonts w:ascii="Calibri Light" w:hAnsi="Calibri Light" w:cs="Calibri Light"/>
          <w:sz w:val="22"/>
          <w:szCs w:val="22"/>
          <w:b/>
          <w:color w:val="262626" w:themeColor="text1" w:themeTint="D9"/>
        </w:rPr>
        <w:t xml:space="preserve">Selective wipe</w:t>
      </w:r>
      <w:r>
        <w:rPr>
          <w:rFonts w:ascii="Calibri Light" w:hAnsi="Calibri Light" w:cs="Calibri Light"/>
          <w:sz w:val="22"/>
          <w:szCs w:val="22"/>
          <w:color w:val="262626" w:themeColor="text1" w:themeTint="D9"/>
        </w:rPr>
        <w:t xml:space="preserve"> — removal of Company data and managed applications from a device without affecting personal content.</w:t>
      </w:r>
    </w:p>
    <w:p>
      <w:pPr>
        <w:pStyle w:val="Emphasis-Normal"/>
        <w:numPr>
          <w:ilvl w:val="0"/>
          <w:numId w:val="501"/>
        </w:numPr>
        <w:rPr>
          <w:color w:val="262626" w:themeColor="text1" w:themeTint="D9"/>
        </w:rPr>
      </w:pPr>
      <w:r>
        <w:rPr>
          <w:rFonts w:ascii="Calibri Light" w:hAnsi="Calibri Light" w:cs="Calibri Light"/>
          <w:sz w:val="22"/>
          <w:szCs w:val="22"/>
          <w:b/>
          <w:color w:val="262626" w:themeColor="text1" w:themeTint="D9"/>
        </w:rPr>
        <w:t xml:space="preserve">Deferral window</w:t>
      </w:r>
      <w:r>
        <w:rPr>
          <w:rFonts w:ascii="Calibri Light" w:hAnsi="Calibri Light" w:cs="Calibri Light"/>
          <w:sz w:val="22"/>
          <w:szCs w:val="22"/>
          <w:color w:val="262626" w:themeColor="text1" w:themeTint="D9"/>
        </w:rPr>
        <w:t xml:space="preserve"> — the maximum period a user may postpone an enforced update before it is applied automatically.</w:t>
      </w:r>
    </w:p>
    <w:p>
      <w:pPr>
        <w:pStyle w:val="Emphasis-Normal"/>
        <w:numPr>
          <w:ilvl w:val="0"/>
          <w:numId w:val="501"/>
        </w:numPr>
        <w:rPr>
          <w:color w:val="262626" w:themeColor="text1" w:themeTint="D9"/>
        </w:rPr>
      </w:pPr>
      <w:r>
        <w:rPr>
          <w:rFonts w:ascii="Calibri Light" w:hAnsi="Calibri Light" w:cs="Calibri Light"/>
          <w:sz w:val="22"/>
          <w:szCs w:val="22"/>
          <w:b/>
          <w:color w:val="262626" w:themeColor="text1" w:themeTint="D9"/>
        </w:rPr>
        <w:t xml:space="preserve">Attestation</w:t>
      </w:r>
      <w:r>
        <w:rPr>
          <w:rFonts w:ascii="Calibri Light" w:hAnsi="Calibri Light" w:cs="Calibri Light"/>
          <w:sz w:val="22"/>
          <w:szCs w:val="22"/>
          <w:color w:val="262626" w:themeColor="text1" w:themeTint="D9"/>
        </w:rPr>
        <w:t xml:space="preserve"> — a cryptographic assurance from the device that its boot state and security features are intact.</w:t>
      </w:r>
    </w:p>
    <w:p>
      <w:pPr>
        <w:pStyle w:val="Heading1"/>
      </w:pPr>
      <w:r>
        <w:t>Relationship to the Governing Policies</w:t>
      </w:r>
    </w:p>
    <w:p>
      <w:pPr>
        <w:rPr>
          <w:color w:val="262626" w:themeColor="text1" w:themeTint="D9"/>
        </w:rPr>
      </w:pPr>
      <w:r>
        <w:rPr>
          <w:rFonts w:ascii="Calibri Light" w:hAnsi="Calibri Light" w:cs="Calibri Light"/>
          <w:sz w:val="22"/>
          <w:szCs w:val="22"/>
          <w:color w:val="262626" w:themeColor="text1" w:themeTint="D9"/>
        </w:rPr>
        <w:t xml:space="preserve">This Standard implements the outcomes required by the parent policy named below. It specifies services, settings and parameters, which the policy deliberately does not, so that platform change does not require policy revision.</w:t>
      </w:r>
    </w:p>
    <w:p>
      <w:pPr>
        <w:pStyle w:val="Emphasis-Normal"/>
        <w:numPr>
          <w:ilvl w:val="0"/>
          <w:numId w:val="502"/>
        </w:numPr>
        <w:rPr>
          <w:color w:val="262626" w:themeColor="text1" w:themeTint="D9"/>
        </w:rPr>
      </w:pPr>
      <w:r>
        <w:rPr>
          <w:rFonts w:ascii="Calibri Light" w:hAnsi="Calibri Light" w:cs="Calibri Light"/>
          <w:sz w:val="22"/>
          <w:szCs w:val="22"/>
          <w:color w:val="262626" w:themeColor="text1" w:themeTint="D9"/>
        </w:rPr>
        <w:t xml:space="preserve">The Asset Management Policy, the Access Control Policy and the Acceptable Use Policy defines the required outcomes. This Standard defines the configuration that produces them. Where the two conflict, the policy governs and this Standard shall be corrected.</w:t>
      </w:r>
      <w:r>
        <w:rPr>
          <w:rFonts w:ascii="Calibri Light" w:hAnsi="Calibri Light" w:cs="Calibri Light"/>
          <w:color w:val="5F8798"/>
          <w:sz w:val="18"/>
          <w:szCs w:val="18"/>
        </w:rPr>
        <w:t xml:space="preserve">  [SOC 2: CC5.3]</w:t>
      </w:r>
    </w:p>
    <w:p>
      <w:pPr>
        <w:pStyle w:val="Emphasis-Normal"/>
        <w:numPr>
          <w:ilvl w:val="0"/>
          <w:numId w:val="502"/>
        </w:numPr>
        <w:rPr>
          <w:color w:val="262626" w:themeColor="text1" w:themeTint="D9"/>
        </w:rPr>
      </w:pPr>
      <w:r>
        <w:rPr>
          <w:rFonts w:ascii="Calibri Light" w:hAnsi="Calibri Light" w:cs="Calibri Light"/>
          <w:sz w:val="22"/>
          <w:szCs w:val="22"/>
          <w:color w:val="262626" w:themeColor="text1" w:themeTint="D9"/>
        </w:rPr>
        <w:t xml:space="preserve">Each requirement below cites the policy section it implements. A requirement citing no policy section shall be removed, or the policy amended to require it.</w:t>
      </w:r>
      <w:r>
        <w:rPr>
          <w:rFonts w:ascii="Calibri Light" w:hAnsi="Calibri Light" w:cs="Calibri Light"/>
          <w:color w:val="5F8798"/>
          <w:sz w:val="18"/>
          <w:szCs w:val="18"/>
        </w:rPr>
        <w:t xml:space="preserve">  [SOC 2: CC5.3]</w:t>
      </w:r>
    </w:p>
    <w:p>
      <w:pPr>
        <w:pStyle w:val="Emphasis-Normal"/>
        <w:numPr>
          <w:ilvl w:val="0"/>
          <w:numId w:val="502"/>
        </w:numPr>
        <w:rPr>
          <w:color w:val="262626" w:themeColor="text1" w:themeTint="D9"/>
        </w:rPr>
      </w:pPr>
      <w:r>
        <w:rPr>
          <w:rFonts w:ascii="Calibri Light" w:hAnsi="Calibri Light" w:cs="Calibri Light"/>
          <w:sz w:val="22"/>
          <w:szCs w:val="22"/>
          <w:color w:val="262626" w:themeColor="text1" w:themeTint="D9"/>
        </w:rPr>
        <w:t xml:space="preserve">This Standard is issued and maintained by the Security Officer and may be revised without approval of the Information Security Steering Committee, provided every outcome required by the policy continues to be met.</w:t>
      </w:r>
      <w:r>
        <w:rPr>
          <w:rFonts w:ascii="Calibri Light" w:hAnsi="Calibri Light" w:cs="Calibri Light"/>
          <w:color w:val="5F8798"/>
          <w:sz w:val="18"/>
          <w:szCs w:val="18"/>
        </w:rPr>
        <w:t xml:space="preserve">  [SOC 2: CC5.3, CC1.3]</w:t>
      </w:r>
    </w:p>
    <w:p>
      <w:pPr>
        <w:pStyle w:val="Emphasis-Normal"/>
        <w:numPr>
          <w:ilvl w:val="0"/>
          <w:numId w:val="502"/>
        </w:numPr>
        <w:rPr>
          <w:color w:val="262626" w:themeColor="text1" w:themeTint="D9"/>
        </w:rPr>
      </w:pPr>
      <w:r>
        <w:rPr>
          <w:rFonts w:ascii="Calibri Light" w:hAnsi="Calibri Light" w:cs="Calibri Light"/>
          <w:sz w:val="22"/>
          <w:szCs w:val="22"/>
          <w:color w:val="262626" w:themeColor="text1" w:themeTint="D9"/>
        </w:rPr>
        <w:t xml:space="preserve">The Security Officer shall confirm at least annually that this Standard still delivers every outcome the policy requires, and shall record that confirmation.</w:t>
      </w:r>
      <w:r>
        <w:rPr>
          <w:rFonts w:ascii="Calibri Light" w:hAnsi="Calibri Light" w:cs="Calibri Light"/>
          <w:color w:val="5F8798"/>
          <w:sz w:val="18"/>
          <w:szCs w:val="18"/>
        </w:rPr>
        <w:t xml:space="preserve">  [SOC 2: CC4.1, CC5.3]</w:t>
      </w:r>
    </w:p>
    <w:p>
      <w:pPr>
        <w:pStyle w:val="Emphasis-Normal"/>
        <w:numPr>
          <w:ilvl w:val="0"/>
          <w:numId w:val="502"/>
        </w:numPr>
        <w:rPr>
          <w:color w:val="262626" w:themeColor="text1" w:themeTint="D9"/>
        </w:rPr>
      </w:pPr>
      <w:r>
        <w:rPr>
          <w:rFonts w:ascii="Calibri Light" w:hAnsi="Calibri Light" w:cs="Calibri Light"/>
          <w:sz w:val="22"/>
          <w:szCs w:val="22"/>
          <w:color w:val="262626" w:themeColor="text1" w:themeTint="D9"/>
        </w:rPr>
        <w:t xml:space="preserve">A deviation from this Standard shall be recorded as an exception with a compensating control and an expiry date, and reviewed at each quarterly Committee meeting.</w:t>
      </w:r>
      <w:r>
        <w:rPr>
          <w:rFonts w:ascii="Calibri Light" w:hAnsi="Calibri Light" w:cs="Calibri Light"/>
          <w:color w:val="5F8798"/>
          <w:sz w:val="18"/>
          <w:szCs w:val="18"/>
        </w:rPr>
        <w:t xml:space="preserve">  [SOC 2: CC5.3, CC3.2]</w:t>
      </w:r>
    </w:p>
    <w:p>
      <w:pPr>
        <w:pStyle w:val="Heading1"/>
      </w:pPr>
      <w:r>
        <w:t>Applying This Standard at Company Scale</w:t>
      </w:r>
    </w:p>
    <w:p>
      <w:pPr>
        <w:rPr>
          <w:color w:val="262626" w:themeColor="text1" w:themeTint="D9"/>
        </w:rPr>
      </w:pPr>
      <w:r>
        <w:rPr>
          <w:rFonts w:ascii="Calibri Light" w:hAnsi="Calibri Light" w:cs="Calibri Light"/>
          <w:sz w:val="22"/>
          <w:szCs w:val="22"/>
          <w:color w:val="262626" w:themeColor="text1" w:themeTint="D9"/>
        </w:rPr>
        <w:t xml:space="preserve">The Company is a small team without a dedicated platform or security engineering function. This Standard is written to be implemented by a few people alongside client work, so the following apply throughout.</w:t>
      </w:r>
    </w:p>
    <w:p>
      <w:pPr>
        <w:pStyle w:val="Emphasis-Normal"/>
        <w:numPr>
          <w:ilvl w:val="0"/>
          <w:numId w:val="503"/>
        </w:numPr>
        <w:rPr>
          <w:color w:val="262626" w:themeColor="text1" w:themeTint="D9"/>
        </w:rPr>
      </w:pPr>
      <w:r>
        <w:rPr>
          <w:rFonts w:ascii="Calibri Light" w:hAnsi="Calibri Light" w:cs="Calibri Light"/>
          <w:sz w:val="22"/>
          <w:szCs w:val="22"/>
          <w:color w:val="262626" w:themeColor="text1" w:themeTint="D9"/>
        </w:rPr>
        <w:t xml:space="preserve">Requirements marked as baseline are mandatory and shall be in place before the observation window opens. Requirements marked as maturing are expected but may be phased, provided a target date is recorded.</w:t>
      </w:r>
      <w:r>
        <w:rPr>
          <w:rFonts w:ascii="Calibri Light" w:hAnsi="Calibri Light" w:cs="Calibri Light"/>
          <w:color w:val="5F8798"/>
          <w:sz w:val="18"/>
          <w:szCs w:val="18"/>
        </w:rPr>
        <w:t xml:space="preserve">  [SOC 2: CC5.3, CC3.2]</w:t>
      </w:r>
    </w:p>
    <w:p>
      <w:pPr>
        <w:pStyle w:val="Emphasis-Normal"/>
        <w:numPr>
          <w:ilvl w:val="0"/>
          <w:numId w:val="503"/>
        </w:numPr>
        <w:rPr>
          <w:color w:val="262626" w:themeColor="text1" w:themeTint="D9"/>
        </w:rPr>
      </w:pPr>
      <w:r>
        <w:rPr>
          <w:rFonts w:ascii="Calibri Light" w:hAnsi="Calibri Light" w:cs="Calibri Light"/>
          <w:sz w:val="22"/>
          <w:szCs w:val="22"/>
          <w:color w:val="262626" w:themeColor="text1" w:themeTint="D9"/>
        </w:rPr>
        <w:t xml:space="preserve">Managed platform services shall be preferred to self-operated equivalents wherever one exists, because a managed service is maintained by its provider and produces exportable evidence without additional work.</w:t>
      </w:r>
      <w:r>
        <w:rPr>
          <w:rFonts w:ascii="Calibri Light" w:hAnsi="Calibri Light" w:cs="Calibri Light"/>
          <w:color w:val="5F8798"/>
          <w:sz w:val="18"/>
          <w:szCs w:val="18"/>
        </w:rPr>
        <w:t xml:space="preserve">  [SOC 2: CC7.1, CC2.1]</w:t>
      </w:r>
    </w:p>
    <w:p>
      <w:pPr>
        <w:pStyle w:val="Emphasis-Normal"/>
        <w:numPr>
          <w:ilvl w:val="0"/>
          <w:numId w:val="503"/>
        </w:numPr>
        <w:rPr>
          <w:color w:val="262626" w:themeColor="text1" w:themeTint="D9"/>
        </w:rPr>
      </w:pPr>
      <w:r>
        <w:rPr>
          <w:rFonts w:ascii="Calibri Light" w:hAnsi="Calibri Light" w:cs="Calibri Light"/>
          <w:sz w:val="22"/>
          <w:szCs w:val="22"/>
          <w:color w:val="262626" w:themeColor="text1" w:themeTint="D9"/>
        </w:rPr>
        <w:t xml:space="preserve">Where a requirement can be enforced by a platform setting, a guardrail or a pipeline check, that enforcement is the control and its output is the evidence. No separate register shall be maintained alongside it.</w:t>
      </w:r>
      <w:r>
        <w:rPr>
          <w:rFonts w:ascii="Calibri Light" w:hAnsi="Calibri Light" w:cs="Calibri Light"/>
          <w:color w:val="5F8798"/>
          <w:sz w:val="18"/>
          <w:szCs w:val="18"/>
        </w:rPr>
        <w:t xml:space="preserve">  [SOC 2: CC5.2, CC8.1]</w:t>
      </w:r>
    </w:p>
    <w:p>
      <w:pPr>
        <w:pStyle w:val="Emphasis-Normal"/>
        <w:numPr>
          <w:ilvl w:val="0"/>
          <w:numId w:val="503"/>
        </w:numPr>
        <w:rPr>
          <w:color w:val="262626" w:themeColor="text1" w:themeTint="D9"/>
        </w:rPr>
      </w:pPr>
      <w:r>
        <w:rPr>
          <w:rFonts w:ascii="Calibri Light" w:hAnsi="Calibri Light" w:cs="Calibri Light"/>
          <w:sz w:val="22"/>
          <w:szCs w:val="22"/>
          <w:color w:val="262626" w:themeColor="text1" w:themeTint="D9"/>
        </w:rPr>
        <w:t xml:space="preserve">Where the Company’s size prevents separation of duties, the limitation shall be recorded with a compensating control rather than the requirement being waived silently.</w:t>
      </w:r>
      <w:r>
        <w:rPr>
          <w:rFonts w:ascii="Calibri Light" w:hAnsi="Calibri Light" w:cs="Calibri Light"/>
          <w:color w:val="5F8798"/>
          <w:sz w:val="18"/>
          <w:szCs w:val="18"/>
        </w:rPr>
        <w:t xml:space="preserve">  [SOC 2: CC5.2, CC5.3]</w:t>
      </w:r>
    </w:p>
    <w:p>
      <w:pPr>
        <w:pStyle w:val="Emphasis-Normal"/>
        <w:numPr>
          <w:ilvl w:val="0"/>
          <w:numId w:val="503"/>
        </w:numPr>
        <w:rPr>
          <w:color w:val="262626" w:themeColor="text1" w:themeTint="D9"/>
        </w:rPr>
      </w:pPr>
      <w:r>
        <w:rPr>
          <w:rFonts w:ascii="Calibri Light" w:hAnsi="Calibri Light" w:cs="Calibri Light"/>
          <w:sz w:val="22"/>
          <w:szCs w:val="22"/>
          <w:color w:val="262626" w:themeColor="text1" w:themeTint="D9"/>
        </w:rPr>
        <w:t xml:space="preserve">A requirement that cannot be met shall become a recorded exception with a compensating control and an expiry date, reviewed at each quarterly Committee meeting. Silent omission is not an option.</w:t>
      </w:r>
      <w:r>
        <w:rPr>
          <w:rFonts w:ascii="Calibri Light" w:hAnsi="Calibri Light" w:cs="Calibri Light"/>
          <w:color w:val="5F8798"/>
          <w:sz w:val="18"/>
          <w:szCs w:val="18"/>
        </w:rPr>
        <w:t xml:space="preserve">  [SOC 2: CC5.3]</w:t>
      </w:r>
    </w:p>
    <w:p>
      <w:pPr>
        <w:pStyle w:val="Emphasis-Normal"/>
        <w:numPr>
          <w:ilvl w:val="0"/>
          <w:numId w:val="503"/>
        </w:numPr>
        <w:rPr>
          <w:color w:val="262626" w:themeColor="text1" w:themeTint="D9"/>
        </w:rPr>
      </w:pPr>
      <w:r>
        <w:rPr>
          <w:rFonts w:ascii="Calibri Light" w:hAnsi="Calibri Light" w:cs="Calibri Light"/>
          <w:sz w:val="22"/>
          <w:szCs w:val="22"/>
          <w:color w:val="262626" w:themeColor="text1" w:themeTint="D9"/>
        </w:rPr>
        <w:t xml:space="preserve">One person may perform several of the roles named here. No person shall approve their own exception.</w:t>
      </w:r>
      <w:r>
        <w:rPr>
          <w:rFonts w:ascii="Calibri Light" w:hAnsi="Calibri Light" w:cs="Calibri Light"/>
          <w:color w:val="5F8798"/>
          <w:sz w:val="18"/>
          <w:szCs w:val="18"/>
        </w:rPr>
        <w:t xml:space="preserve">  [SOC 2: CC1.3, CC5.2]</w:t>
      </w:r>
    </w:p>
    <w:p>
      <w:pPr>
        <w:pStyle w:val="Emphasis-Normal"/>
        <w:numPr>
          <w:ilvl w:val="0"/>
          <w:numId w:val="503"/>
        </w:numPr>
        <w:rPr>
          <w:color w:val="262626" w:themeColor="text1" w:themeTint="D9"/>
        </w:rPr>
      </w:pPr>
      <w:r>
        <w:rPr>
          <w:rFonts w:ascii="Calibri Light" w:hAnsi="Calibri Light" w:cs="Calibri Light"/>
          <w:sz w:val="22"/>
          <w:szCs w:val="22"/>
          <w:color w:val="262626" w:themeColor="text1" w:themeTint="D9"/>
        </w:rPr>
        <w:t xml:space="preserve">Enrolment and the compliance baseline are the first work, because conditional access has nothing to evaluate until devices report state.</w:t>
      </w:r>
      <w:r>
        <w:rPr>
          <w:rFonts w:ascii="Calibri Light" w:hAnsi="Calibri Light" w:cs="Calibri Light"/>
          <w:color w:val="5F8798"/>
          <w:sz w:val="18"/>
          <w:szCs w:val="18"/>
        </w:rPr>
        <w:t xml:space="preserve">  [SOC 2: CC6.4, CC6.8]</w:t>
      </w:r>
    </w:p>
    <w:p>
      <w:pPr>
        <w:pStyle w:val="Emphasis-Normal"/>
        <w:numPr>
          <w:ilvl w:val="0"/>
          <w:numId w:val="503"/>
        </w:numPr>
        <w:rPr>
          <w:color w:val="262626" w:themeColor="text1" w:themeTint="D9"/>
        </w:rPr>
      </w:pPr>
      <w:r>
        <w:rPr>
          <w:rFonts w:ascii="Calibri Light" w:hAnsi="Calibri Light" w:cs="Calibri Light"/>
          <w:sz w:val="22"/>
          <w:szCs w:val="22"/>
          <w:color w:val="262626" w:themeColor="text1" w:themeTint="D9"/>
        </w:rPr>
        <w:t xml:space="preserve">The disclosure required before enrolling a personally owned device shall be prepared before the first enrolment, not retrofitted afterwards.</w:t>
      </w:r>
      <w:r>
        <w:rPr>
          <w:rFonts w:ascii="Calibri Light" w:hAnsi="Calibri Light" w:cs="Calibri Light"/>
          <w:color w:val="5F8798"/>
          <w:sz w:val="18"/>
          <w:szCs w:val="18"/>
        </w:rPr>
        <w:t xml:space="preserve">  [SOC 2: CC2.2 · GDPR Art. 13]</w:t>
      </w:r>
    </w:p>
    <w:p>
      <w:pPr>
        <w:pStyle w:val="Heading1"/>
      </w:pPr>
      <w:r>
        <w:t>Devices in Scope</w:t>
      </w:r>
    </w:p>
    <w:p>
      <w:pPr>
        <w:rPr>
          <w:color w:val="262626" w:themeColor="text1" w:themeTint="D9"/>
        </w:rPr>
      </w:pPr>
      <w:r>
        <w:rPr>
          <w:rFonts w:ascii="Calibri Light" w:hAnsi="Calibri Light" w:cs="Calibri Light"/>
          <w:sz w:val="22"/>
          <w:szCs w:val="22"/>
          <w:color w:val="262626" w:themeColor="text1" w:themeTint="D9"/>
        </w:rPr>
        <w:t xml:space="preserve">Almost every device used for Company work is personally owned. The baseline below therefore applies to the device, not to who bought it.</w:t>
      </w:r>
    </w:p>
    <w:p>
      <w:pPr>
        <w:pStyle w:val="Emphasis-Normal"/>
        <w:numPr>
          <w:ilvl w:val="0"/>
          <w:numId w:val="504"/>
        </w:numPr>
        <w:rPr>
          <w:color w:val="262626" w:themeColor="text1" w:themeTint="D9"/>
        </w:rPr>
      </w:pPr>
      <w:r>
        <w:rPr>
          <w:rFonts w:ascii="Calibri Light" w:hAnsi="Calibri Light" w:cs="Calibri Light"/>
          <w:sz w:val="22"/>
          <w:szCs w:val="22"/>
          <w:color w:val="262626" w:themeColor="text1" w:themeTint="D9"/>
        </w:rPr>
        <w:t xml:space="preserve">Any laptop or desktop used to access Company or client information shall be enrolled, whether Company-owned or personally owned.</w:t>
      </w:r>
      <w:r>
        <w:rPr>
          <w:rFonts w:ascii="Calibri Light" w:hAnsi="Calibri Light" w:cs="Calibri Light"/>
          <w:color w:val="5F8798"/>
          <w:sz w:val="18"/>
          <w:szCs w:val="18"/>
        </w:rPr>
        <w:t xml:space="preserve">  [POL-AM-001 §6 · SOC 2: CC6.4, CC6.8 · HIPAA §164.310(b)]</w:t>
      </w:r>
    </w:p>
    <w:p>
      <w:pPr>
        <w:pStyle w:val="Emphasis-Normal"/>
        <w:numPr>
          <w:ilvl w:val="0"/>
          <w:numId w:val="504"/>
        </w:numPr>
        <w:rPr>
          <w:color w:val="262626" w:themeColor="text1" w:themeTint="D9"/>
        </w:rPr>
      </w:pPr>
      <w:r>
        <w:rPr>
          <w:rFonts w:ascii="Calibri Light" w:hAnsi="Calibri Light" w:cs="Calibri Light"/>
          <w:sz w:val="22"/>
          <w:szCs w:val="22"/>
          <w:color w:val="262626" w:themeColor="text1" w:themeTint="D9"/>
        </w:rPr>
        <w:t xml:space="preserve">Any mobile device used to access Company mail, chat or documents shall be enrolled and is subject to the mobile requirements of this Standard.</w:t>
      </w:r>
      <w:r>
        <w:rPr>
          <w:rFonts w:ascii="Calibri Light" w:hAnsi="Calibri Light" w:cs="Calibri Light"/>
          <w:color w:val="5F8798"/>
          <w:sz w:val="18"/>
          <w:szCs w:val="18"/>
        </w:rPr>
        <w:t xml:space="preserve">  [POL-AM-001 §7 · SOC 2: CC6.4]</w:t>
      </w:r>
    </w:p>
    <w:p>
      <w:pPr>
        <w:pStyle w:val="Emphasis-Normal"/>
        <w:numPr>
          <w:ilvl w:val="0"/>
          <w:numId w:val="504"/>
        </w:numPr>
        <w:rPr>
          <w:color w:val="262626" w:themeColor="text1" w:themeTint="D9"/>
        </w:rPr>
      </w:pPr>
      <w:r>
        <w:rPr>
          <w:rFonts w:ascii="Calibri Light" w:hAnsi="Calibri Light" w:cs="Calibri Light"/>
          <w:sz w:val="22"/>
          <w:szCs w:val="22"/>
          <w:color w:val="262626" w:themeColor="text1" w:themeTint="D9"/>
        </w:rPr>
        <w:t xml:space="preserve">Devices belonging to a client, used at a client site under the client’s management, are out of scope of this Standard and governed by the client’s controls and the engagement agreement.</w:t>
      </w:r>
      <w:r>
        <w:rPr>
          <w:rFonts w:ascii="Calibri Light" w:hAnsi="Calibri Light" w:cs="Calibri Light"/>
          <w:color w:val="5F8798"/>
          <w:sz w:val="18"/>
          <w:szCs w:val="18"/>
        </w:rPr>
        <w:t xml:space="preserve">  [POL-PHY-001 §9 · SOC 2: CC9.2]</w:t>
      </w:r>
    </w:p>
    <w:p>
      <w:pPr>
        <w:pStyle w:val="Emphasis-Normal"/>
        <w:numPr>
          <w:ilvl w:val="0"/>
          <w:numId w:val="504"/>
        </w:numPr>
        <w:rPr>
          <w:color w:val="262626" w:themeColor="text1" w:themeTint="D9"/>
        </w:rPr>
      </w:pPr>
      <w:r>
        <w:rPr>
          <w:rFonts w:ascii="Calibri Light" w:hAnsi="Calibri Light" w:cs="Calibri Light"/>
          <w:sz w:val="22"/>
          <w:szCs w:val="22"/>
          <w:color w:val="262626" w:themeColor="text1" w:themeTint="D9"/>
        </w:rPr>
        <w:t xml:space="preserve">Personal devices used only for voice calls, with no access to Company mail, chat or documents, are out of scope.</w:t>
      </w:r>
      <w:r>
        <w:rPr>
          <w:rFonts w:ascii="Calibri Light" w:hAnsi="Calibri Light" w:cs="Calibri Light"/>
          <w:color w:val="5F8798"/>
          <w:sz w:val="18"/>
          <w:szCs w:val="18"/>
        </w:rPr>
        <w:t xml:space="preserve">  [POL-AM-001 §7 · SOC 2: CC6.4]</w:t>
      </w:r>
    </w:p>
    <w:p>
      <w:pPr>
        <w:pStyle w:val="Emphasis-Normal"/>
        <w:numPr>
          <w:ilvl w:val="0"/>
          <w:numId w:val="504"/>
        </w:numPr>
        <w:rPr>
          <w:color w:val="262626" w:themeColor="text1" w:themeTint="D9"/>
        </w:rPr>
      </w:pPr>
      <w:r>
        <w:rPr>
          <w:rFonts w:ascii="Calibri Light" w:hAnsi="Calibri Light" w:cs="Calibri Light"/>
          <w:sz w:val="22"/>
          <w:szCs w:val="22"/>
          <w:color w:val="262626" w:themeColor="text1" w:themeTint="D9"/>
        </w:rPr>
        <w:t xml:space="preserve">A device that cannot meet this baseline shall not be enrolled, and the person shall be issued Company equipment.</w:t>
      </w:r>
      <w:r>
        <w:rPr>
          <w:rFonts w:ascii="Calibri Light" w:hAnsi="Calibri Light" w:cs="Calibri Light"/>
          <w:color w:val="5F8798"/>
          <w:sz w:val="18"/>
          <w:szCs w:val="18"/>
        </w:rPr>
        <w:t xml:space="preserve">  [POL-AM-001 §7 · SOC 2: CC6.4]</w:t>
      </w:r>
    </w:p>
    <w:p>
      <w:pPr>
        <w:pStyle w:val="Heading1"/>
      </w:pPr>
      <w:r>
        <w:t>Endpoint Baseline</w:t>
      </w:r>
    </w:p>
    <w:p>
      <w:pPr>
        <w:rPr>
          <w:color w:val="262626" w:themeColor="text1" w:themeTint="D9"/>
        </w:rPr>
      </w:pPr>
      <w:r>
        <w:rPr>
          <w:rFonts w:ascii="Calibri Light" w:hAnsi="Calibri Light" w:cs="Calibri Light"/>
          <w:sz w:val="22"/>
          <w:szCs w:val="22"/>
          <w:color w:val="262626" w:themeColor="text1" w:themeTint="D9"/>
        </w:rPr>
        <w:t xml:space="preserve">These settings are enforced by device management rather than requested of the user, because a setting a person can turn off is a suggestion.</w:t>
      </w:r>
    </w:p>
    <w:p>
      <w:pPr>
        <w:pStyle w:val="Emphasis-Normal"/>
        <w:numPr>
          <w:ilvl w:val="0"/>
          <w:numId w:val="505"/>
        </w:numPr>
        <w:rPr>
          <w:color w:val="262626" w:themeColor="text1" w:themeTint="D9"/>
        </w:rPr>
      </w:pPr>
      <w:r>
        <w:rPr>
          <w:rFonts w:ascii="Calibri Light" w:hAnsi="Calibri Light" w:cs="Calibri Light"/>
          <w:sz w:val="22"/>
          <w:szCs w:val="22"/>
          <w:color w:val="262626" w:themeColor="text1" w:themeTint="D9"/>
        </w:rPr>
        <w:t xml:space="preserve">Full-disk encryption shall be enabled and enforced, with the recovery key escrowed to device management and not held by the user alone.</w:t>
      </w:r>
      <w:r>
        <w:rPr>
          <w:rFonts w:ascii="Calibri Light" w:hAnsi="Calibri Light" w:cs="Calibri Light"/>
          <w:color w:val="5F8798"/>
          <w:sz w:val="18"/>
          <w:szCs w:val="18"/>
        </w:rPr>
        <w:t xml:space="preserve">  [POL-ENC-001 §7 · SOC 2: CC6.4, CC6.7 · HIPAA §164.312(a)(2)(iv)]</w:t>
      </w:r>
    </w:p>
    <w:p>
      <w:pPr>
        <w:pStyle w:val="Emphasis-Normal"/>
        <w:numPr>
          <w:ilvl w:val="0"/>
          <w:numId w:val="505"/>
        </w:numPr>
        <w:rPr>
          <w:color w:val="262626" w:themeColor="text1" w:themeTint="D9"/>
        </w:rPr>
      </w:pPr>
      <w:r>
        <w:rPr>
          <w:rFonts w:ascii="Calibri Light" w:hAnsi="Calibri Light" w:cs="Calibri Light"/>
          <w:sz w:val="22"/>
          <w:szCs w:val="22"/>
          <w:color w:val="262626" w:themeColor="text1" w:themeTint="D9"/>
        </w:rPr>
        <w:t xml:space="preserve">The screen shall lock automatically after no more than ten minutes of inactivity, and shall require the account credential or biometric to unlock.</w:t>
      </w:r>
      <w:r>
        <w:rPr>
          <w:rFonts w:ascii="Calibri Light" w:hAnsi="Calibri Light" w:cs="Calibri Light"/>
          <w:color w:val="5F8798"/>
          <w:sz w:val="18"/>
          <w:szCs w:val="18"/>
        </w:rPr>
        <w:t xml:space="preserve">  [POL-PHY-001 §7 · SOC 2: CC6.4 · HIPAA §164.310(b)]</w:t>
      </w:r>
    </w:p>
    <w:p>
      <w:pPr>
        <w:pStyle w:val="Emphasis-Normal"/>
        <w:numPr>
          <w:ilvl w:val="0"/>
          <w:numId w:val="505"/>
        </w:numPr>
        <w:rPr>
          <w:color w:val="262626" w:themeColor="text1" w:themeTint="D9"/>
        </w:rPr>
      </w:pPr>
      <w:r>
        <w:rPr>
          <w:rFonts w:ascii="Calibri Light" w:hAnsi="Calibri Light" w:cs="Calibri Light"/>
          <w:sz w:val="22"/>
          <w:szCs w:val="22"/>
          <w:color w:val="262626" w:themeColor="text1" w:themeTint="D9"/>
        </w:rPr>
        <w:t xml:space="preserve">The device firewall shall be enabled, and incoming connections shall be blocked by default.</w:t>
      </w:r>
      <w:r>
        <w:rPr>
          <w:rFonts w:ascii="Calibri Light" w:hAnsi="Calibri Light" w:cs="Calibri Light"/>
          <w:color w:val="5F8798"/>
          <w:sz w:val="18"/>
          <w:szCs w:val="18"/>
        </w:rPr>
        <w:t xml:space="preserve">  [POL-NET-001 §9 · SOC 2: CC6.6]</w:t>
      </w:r>
    </w:p>
    <w:p>
      <w:pPr>
        <w:pStyle w:val="Emphasis-Normal"/>
        <w:numPr>
          <w:ilvl w:val="0"/>
          <w:numId w:val="505"/>
        </w:numPr>
        <w:rPr>
          <w:color w:val="262626" w:themeColor="text1" w:themeTint="D9"/>
        </w:rPr>
      </w:pPr>
      <w:r>
        <w:rPr>
          <w:rFonts w:ascii="Calibri Light" w:hAnsi="Calibri Light" w:cs="Calibri Light"/>
          <w:sz w:val="22"/>
          <w:szCs w:val="22"/>
          <w:color w:val="262626" w:themeColor="text1" w:themeTint="D9"/>
        </w:rPr>
        <w:t xml:space="preserve">Secure boot and hardware-backed key storage shall be enabled where the hardware provides them, and devices lacking them shall be replaced at their next refresh.</w:t>
      </w:r>
      <w:r>
        <w:rPr>
          <w:rFonts w:ascii="Calibri Light" w:hAnsi="Calibri Light" w:cs="Calibri Light"/>
          <w:color w:val="5F8798"/>
          <w:sz w:val="18"/>
          <w:szCs w:val="18"/>
        </w:rPr>
        <w:t xml:space="preserve">  [POL-AM-001 §6 · SOC 2: CC6.8]</w:t>
      </w:r>
    </w:p>
    <w:p>
      <w:pPr>
        <w:pStyle w:val="Emphasis-Normal"/>
        <w:numPr>
          <w:ilvl w:val="0"/>
          <w:numId w:val="505"/>
        </w:numPr>
        <w:rPr>
          <w:color w:val="262626" w:themeColor="text1" w:themeTint="D9"/>
        </w:rPr>
      </w:pPr>
      <w:r>
        <w:rPr>
          <w:rFonts w:ascii="Calibri Light" w:hAnsi="Calibri Light" w:cs="Calibri Light"/>
          <w:sz w:val="22"/>
          <w:szCs w:val="22"/>
          <w:color w:val="262626" w:themeColor="text1" w:themeTint="D9"/>
        </w:rPr>
        <w:t xml:space="preserve">The operating system shall be a version currently receiving security updates from its vendor. A device on an unsupported version shall lose access until upgraded.</w:t>
      </w:r>
      <w:r>
        <w:rPr>
          <w:rFonts w:ascii="Calibri Light" w:hAnsi="Calibri Light" w:cs="Calibri Light"/>
          <w:color w:val="5F8798"/>
          <w:sz w:val="18"/>
          <w:szCs w:val="18"/>
        </w:rPr>
        <w:t xml:space="preserve">  [POL-VPM-001 §5, §12 · SOC 2: CC7.1, CC6.8]</w:t>
      </w:r>
    </w:p>
    <w:p>
      <w:pPr>
        <w:pStyle w:val="Emphasis-Normal"/>
        <w:numPr>
          <w:ilvl w:val="0"/>
          <w:numId w:val="505"/>
        </w:numPr>
        <w:rPr>
          <w:color w:val="262626" w:themeColor="text1" w:themeTint="D9"/>
        </w:rPr>
      </w:pPr>
      <w:r>
        <w:rPr>
          <w:rFonts w:ascii="Calibri Light" w:hAnsi="Calibri Light" w:cs="Calibri Light"/>
          <w:sz w:val="22"/>
          <w:szCs w:val="22"/>
          <w:color w:val="262626" w:themeColor="text1" w:themeTint="D9"/>
        </w:rPr>
        <w:t xml:space="preserve">Automatic backup of Company data to a personal cloud account shall be disabled, and Company data shall reside in Company-managed services.</w:t>
      </w:r>
      <w:r>
        <w:rPr>
          <w:rFonts w:ascii="Calibri Light" w:hAnsi="Calibri Light" w:cs="Calibri Light"/>
          <w:color w:val="5F8798"/>
          <w:sz w:val="18"/>
          <w:szCs w:val="18"/>
        </w:rPr>
        <w:t xml:space="preserve">  [POL-AUP-001 §9 · SOC 2: C1.1 · GDPR Art. 32]</w:t>
      </w:r>
    </w:p>
    <w:p>
      <w:pPr>
        <w:pStyle w:val="Emphasis-Normal"/>
        <w:numPr>
          <w:ilvl w:val="0"/>
          <w:numId w:val="505"/>
        </w:numPr>
        <w:rPr>
          <w:color w:val="262626" w:themeColor="text1" w:themeTint="D9"/>
        </w:rPr>
      </w:pPr>
      <w:r>
        <w:rPr>
          <w:rFonts w:ascii="Calibri Light" w:hAnsi="Calibri Light" w:cs="Calibri Light"/>
          <w:sz w:val="22"/>
          <w:szCs w:val="22"/>
          <w:color w:val="262626" w:themeColor="text1" w:themeTint="D9"/>
        </w:rPr>
        <w:t xml:space="preserve">Guest accounts and unmanaged secondary user profiles shall not be present on an enrolled device.</w:t>
      </w:r>
      <w:r>
        <w:rPr>
          <w:rFonts w:ascii="Calibri Light" w:hAnsi="Calibri Light" w:cs="Calibri Light"/>
          <w:color w:val="5F8798"/>
          <w:sz w:val="18"/>
          <w:szCs w:val="18"/>
        </w:rPr>
        <w:t xml:space="preserve">  [POL-AC-001 §13 · SOC 2: CC6.1]</w:t>
      </w:r>
    </w:p>
    <w:p>
      <w:pPr>
        <w:pStyle w:val="Heading1"/>
      </w:pPr>
      <w:r>
        <w:t>Update and Patch Enforcement</w:t>
      </w:r>
    </w:p>
    <w:p>
      <w:pPr>
        <w:rPr>
          <w:color w:val="262626" w:themeColor="text1" w:themeTint="D9"/>
        </w:rPr>
      </w:pPr>
      <w:r>
        <w:rPr>
          <w:rFonts w:ascii="Calibri Light" w:hAnsi="Calibri Light" w:cs="Calibri Light"/>
          <w:sz w:val="22"/>
          <w:szCs w:val="22"/>
          <w:color w:val="262626" w:themeColor="text1" w:themeTint="D9"/>
        </w:rPr>
        <w:t xml:space="preserve">Update deferral is the setting that most often turns a patched fleet into an unpatched one.</w:t>
      </w:r>
    </w:p>
    <w:p>
      <w:pPr>
        <w:pStyle w:val="Emphasis-Normal"/>
        <w:numPr>
          <w:ilvl w:val="0"/>
          <w:numId w:val="506"/>
        </w:numPr>
        <w:rPr>
          <w:color w:val="262626" w:themeColor="text1" w:themeTint="D9"/>
        </w:rPr>
      </w:pPr>
      <w:r>
        <w:rPr>
          <w:rFonts w:ascii="Calibri Light" w:hAnsi="Calibri Light" w:cs="Calibri Light"/>
          <w:sz w:val="22"/>
          <w:szCs w:val="22"/>
          <w:color w:val="262626" w:themeColor="text1" w:themeTint="D9"/>
        </w:rPr>
        <w:t xml:space="preserve">Operating system security updates shall be enforced through device management with a deferral window no longer than seven days for critical updates and thirty days for others.</w:t>
      </w:r>
      <w:r>
        <w:rPr>
          <w:rFonts w:ascii="Calibri Light" w:hAnsi="Calibri Light" w:cs="Calibri Light"/>
          <w:color w:val="5F8798"/>
          <w:sz w:val="18"/>
          <w:szCs w:val="18"/>
        </w:rPr>
        <w:t xml:space="preserve">  [POL-VPM-001 §5, §12 · SOC 2: CC7.1, CC6.8]</w:t>
      </w:r>
    </w:p>
    <w:p>
      <w:pPr>
        <w:pStyle w:val="Emphasis-Normal"/>
        <w:numPr>
          <w:ilvl w:val="0"/>
          <w:numId w:val="506"/>
        </w:numPr>
        <w:rPr>
          <w:color w:val="262626" w:themeColor="text1" w:themeTint="D9"/>
        </w:rPr>
      </w:pPr>
      <w:r>
        <w:rPr>
          <w:rFonts w:ascii="Calibri Light" w:hAnsi="Calibri Light" w:cs="Calibri Light"/>
          <w:sz w:val="22"/>
          <w:szCs w:val="22"/>
          <w:color w:val="262626" w:themeColor="text1" w:themeTint="D9"/>
        </w:rPr>
        <w:t xml:space="preserve">Browsers shall be configured to update automatically, since the browser is the most exposed application on the device.</w:t>
      </w:r>
      <w:r>
        <w:rPr>
          <w:rFonts w:ascii="Calibri Light" w:hAnsi="Calibri Light" w:cs="Calibri Light"/>
          <w:color w:val="5F8798"/>
          <w:sz w:val="18"/>
          <w:szCs w:val="18"/>
        </w:rPr>
        <w:t xml:space="preserve">  [POL-VPM-001 §12 · SOC 2: CC7.1]</w:t>
      </w:r>
    </w:p>
    <w:p>
      <w:pPr>
        <w:pStyle w:val="Emphasis-Normal"/>
        <w:numPr>
          <w:ilvl w:val="0"/>
          <w:numId w:val="506"/>
        </w:numPr>
        <w:rPr>
          <w:color w:val="262626" w:themeColor="text1" w:themeTint="D9"/>
        </w:rPr>
      </w:pPr>
      <w:r>
        <w:rPr>
          <w:rFonts w:ascii="Calibri Light" w:hAnsi="Calibri Light" w:cs="Calibri Light"/>
          <w:sz w:val="22"/>
          <w:szCs w:val="22"/>
          <w:color w:val="262626" w:themeColor="text1" w:themeTint="D9"/>
        </w:rPr>
        <w:t xml:space="preserve">Managed applications shall update automatically, and unmanaged applications shall not hold Company data.</w:t>
      </w:r>
      <w:r>
        <w:rPr>
          <w:rFonts w:ascii="Calibri Light" w:hAnsi="Calibri Light" w:cs="Calibri Light"/>
          <w:color w:val="5F8798"/>
          <w:sz w:val="18"/>
          <w:szCs w:val="18"/>
        </w:rPr>
        <w:t xml:space="preserve">  [POL-AM-001 §9 · SOC 2: CC7.1, CC6.8]</w:t>
      </w:r>
    </w:p>
    <w:p>
      <w:pPr>
        <w:pStyle w:val="Emphasis-Normal"/>
        <w:numPr>
          <w:ilvl w:val="0"/>
          <w:numId w:val="506"/>
        </w:numPr>
        <w:rPr>
          <w:color w:val="262626" w:themeColor="text1" w:themeTint="D9"/>
        </w:rPr>
      </w:pPr>
      <w:r>
        <w:rPr>
          <w:rFonts w:ascii="Calibri Light" w:hAnsi="Calibri Light" w:cs="Calibri Light"/>
          <w:sz w:val="22"/>
          <w:szCs w:val="22"/>
          <w:color w:val="262626" w:themeColor="text1" w:themeTint="D9"/>
        </w:rPr>
        <w:t xml:space="preserve">Patch compliance shall be reported per device and reconciled quarterly against the current personnel list.</w:t>
      </w:r>
      <w:r>
        <w:rPr>
          <w:rFonts w:ascii="Calibri Light" w:hAnsi="Calibri Light" w:cs="Calibri Light"/>
          <w:color w:val="5F8798"/>
          <w:sz w:val="18"/>
          <w:szCs w:val="18"/>
        </w:rPr>
        <w:t xml:space="preserve">  [POL-AM-001 §5 · SOC 2: CC6.8, CC2.1]</w:t>
      </w:r>
    </w:p>
    <w:p>
      <w:pPr>
        <w:pStyle w:val="Emphasis-Normal"/>
        <w:numPr>
          <w:ilvl w:val="0"/>
          <w:numId w:val="506"/>
        </w:numPr>
        <w:rPr>
          <w:color w:val="262626" w:themeColor="text1" w:themeTint="D9"/>
        </w:rPr>
      </w:pPr>
      <w:r>
        <w:rPr>
          <w:rFonts w:ascii="Calibri Light" w:hAnsi="Calibri Light" w:cs="Calibri Light"/>
          <w:sz w:val="22"/>
          <w:szCs w:val="22"/>
          <w:color w:val="262626" w:themeColor="text1" w:themeTint="D9"/>
        </w:rPr>
        <w:t xml:space="preserve">A device below the required patch level shall be blocked from Company systems by conditional access until remediated, rather than granted an informal grace period.</w:t>
      </w:r>
      <w:r>
        <w:rPr>
          <w:rFonts w:ascii="Calibri Light" w:hAnsi="Calibri Light" w:cs="Calibri Light"/>
          <w:color w:val="5F8798"/>
          <w:sz w:val="18"/>
          <w:szCs w:val="18"/>
        </w:rPr>
        <w:t xml:space="preserve">  [POL-AC-001 §13 · SOC 2: CC6.1, CC6.8]</w:t>
      </w:r>
    </w:p>
    <w:p>
      <w:pPr>
        <w:pStyle w:val="Heading1"/>
      </w:pPr>
      <w:r>
        <w:t>Endpoint Detection and Response</w:t>
      </w:r>
    </w:p>
    <w:p>
      <w:pPr>
        <w:rPr>
          <w:color w:val="262626" w:themeColor="text1" w:themeTint="D9"/>
        </w:rPr>
      </w:pPr>
      <w:r>
        <w:rPr>
          <w:rFonts w:ascii="Calibri Light" w:hAnsi="Calibri Light" w:cs="Calibri Light"/>
          <w:sz w:val="22"/>
          <w:szCs w:val="22"/>
          <w:color w:val="262626" w:themeColor="text1" w:themeTint="D9"/>
        </w:rPr>
        <w:t xml:space="preserve">Endpoint protection is the control that most often fails silently, because deployment feels like completion.</w:t>
      </w:r>
    </w:p>
    <w:p>
      <w:pPr>
        <w:pStyle w:val="Emphasis-Normal"/>
        <w:numPr>
          <w:ilvl w:val="0"/>
          <w:numId w:val="507"/>
        </w:numPr>
        <w:rPr>
          <w:color w:val="262626" w:themeColor="text1" w:themeTint="D9"/>
        </w:rPr>
      </w:pPr>
      <w:r>
        <w:rPr>
          <w:rFonts w:ascii="Calibri Light" w:hAnsi="Calibri Light" w:cs="Calibri Light"/>
          <w:sz w:val="22"/>
          <w:szCs w:val="22"/>
          <w:color w:val="262626" w:themeColor="text1" w:themeTint="D9"/>
        </w:rPr>
        <w:t xml:space="preserve">Endpoint detection and response software shall be installed on every enrolled laptop, with tamper protection enabled so it cannot be disabled locally.</w:t>
      </w:r>
      <w:r>
        <w:rPr>
          <w:rFonts w:ascii="Calibri Light" w:hAnsi="Calibri Light" w:cs="Calibri Light"/>
          <w:color w:val="5F8798"/>
          <w:sz w:val="18"/>
          <w:szCs w:val="18"/>
        </w:rPr>
        <w:t xml:space="preserve">  [POL-AM-001 §6 · SOC 2: CC6.8 · HIPAA §164.308(a)(5)(ii)(B)]</w:t>
      </w:r>
    </w:p>
    <w:p>
      <w:pPr>
        <w:pStyle w:val="Emphasis-Normal"/>
        <w:numPr>
          <w:ilvl w:val="0"/>
          <w:numId w:val="507"/>
        </w:numPr>
        <w:rPr>
          <w:color w:val="262626" w:themeColor="text1" w:themeTint="D9"/>
        </w:rPr>
      </w:pPr>
      <w:r>
        <w:rPr>
          <w:rFonts w:ascii="Calibri Light" w:hAnsi="Calibri Light" w:cs="Calibri Light"/>
          <w:sz w:val="22"/>
          <w:szCs w:val="22"/>
          <w:color w:val="262626" w:themeColor="text1" w:themeTint="D9"/>
        </w:rPr>
        <w:t xml:space="preserve">Detections shall route to the monitored channel and page for high severity, and every detection shall receive a recorded disposition.</w:t>
      </w:r>
      <w:r>
        <w:rPr>
          <w:rFonts w:ascii="Calibri Light" w:hAnsi="Calibri Light" w:cs="Calibri Light"/>
          <w:color w:val="5F8798"/>
          <w:sz w:val="18"/>
          <w:szCs w:val="18"/>
        </w:rPr>
        <w:t xml:space="preserve">  [POL-LOG-001 §10 · SOC 2: CC7.2, CC7.3]</w:t>
      </w:r>
    </w:p>
    <w:p>
      <w:pPr>
        <w:pStyle w:val="Emphasis-Normal"/>
        <w:numPr>
          <w:ilvl w:val="0"/>
          <w:numId w:val="507"/>
        </w:numPr>
        <w:rPr>
          <w:color w:val="262626" w:themeColor="text1" w:themeTint="D9"/>
        </w:rPr>
      </w:pPr>
      <w:r>
        <w:rPr>
          <w:rFonts w:ascii="Calibri Light" w:hAnsi="Calibri Light" w:cs="Calibri Light"/>
          <w:sz w:val="22"/>
          <w:szCs w:val="22"/>
          <w:color w:val="262626" w:themeColor="text1" w:themeTint="D9"/>
        </w:rPr>
        <w:t xml:space="preserve">Coverage shall be reconciled at least quarterly three ways: the endpoint protection console, the device management inventory, and the current personnel list. Any device present in one and absent from another shall be investigated.</w:t>
      </w:r>
      <w:r>
        <w:rPr>
          <w:rFonts w:ascii="Calibri Light" w:hAnsi="Calibri Light" w:cs="Calibri Light"/>
          <w:color w:val="5F8798"/>
          <w:sz w:val="18"/>
          <w:szCs w:val="18"/>
        </w:rPr>
        <w:t xml:space="preserve">  [POL-AM-001 §6 · SOC 2: CC6.8, CC2.1]</w:t>
      </w:r>
    </w:p>
    <w:p>
      <w:pPr>
        <w:pStyle w:val="Emphasis-Normal"/>
        <w:numPr>
          <w:ilvl w:val="0"/>
          <w:numId w:val="507"/>
        </w:numPr>
        <w:rPr>
          <w:color w:val="262626" w:themeColor="text1" w:themeTint="D9"/>
        </w:rPr>
      </w:pPr>
      <w:r>
        <w:rPr>
          <w:rFonts w:ascii="Calibri Light" w:hAnsi="Calibri Light" w:cs="Calibri Light"/>
          <w:sz w:val="22"/>
          <w:szCs w:val="22"/>
          <w:color w:val="262626" w:themeColor="text1" w:themeTint="D9"/>
        </w:rPr>
        <w:t xml:space="preserve">Endpoint telemetry shall be retained on the terms set by the Logging and Monitoring Policy, so that an investigation is possible after the fact.</w:t>
      </w:r>
      <w:r>
        <w:rPr>
          <w:rFonts w:ascii="Calibri Light" w:hAnsi="Calibri Light" w:cs="Calibri Light"/>
          <w:color w:val="5F8798"/>
          <w:sz w:val="18"/>
          <w:szCs w:val="18"/>
        </w:rPr>
        <w:t xml:space="preserve">  [POL-LOG-001 §7 · SOC 2: CC7.2]</w:t>
      </w:r>
    </w:p>
    <w:p>
      <w:pPr>
        <w:pStyle w:val="Emphasis-Normal"/>
        <w:numPr>
          <w:ilvl w:val="0"/>
          <w:numId w:val="507"/>
        </w:numPr>
        <w:rPr>
          <w:color w:val="262626" w:themeColor="text1" w:themeTint="D9"/>
        </w:rPr>
      </w:pPr>
      <w:r>
        <w:rPr>
          <w:rFonts w:ascii="Calibri Light" w:hAnsi="Calibri Light" w:cs="Calibri Light"/>
          <w:sz w:val="22"/>
          <w:szCs w:val="22"/>
          <w:color w:val="262626" w:themeColor="text1" w:themeTint="D9"/>
        </w:rPr>
        <w:t xml:space="preserve">A device whose agent has not reported within a defined period shall be treated as non-compliant and lose access until it does.</w:t>
      </w:r>
      <w:r>
        <w:rPr>
          <w:rFonts w:ascii="Calibri Light" w:hAnsi="Calibri Light" w:cs="Calibri Light"/>
          <w:color w:val="5F8798"/>
          <w:sz w:val="18"/>
          <w:szCs w:val="18"/>
        </w:rPr>
        <w:t xml:space="preserve">  [POL-AC-001 §13 · SOC 2: CC6.8, CC6.1]</w:t>
      </w:r>
    </w:p>
    <w:p>
      <w:pPr>
        <w:pStyle w:val="Heading1"/>
      </w:pPr>
      <w:r>
        <w:t>Application and Extension Control</w:t>
      </w:r>
    </w:p>
    <w:p>
      <w:pPr>
        <w:rPr>
          <w:color w:val="262626" w:themeColor="text1" w:themeTint="D9"/>
        </w:rPr>
      </w:pPr>
      <w:r>
        <w:rPr>
          <w:rFonts w:ascii="Calibri Light" w:hAnsi="Calibri Light" w:cs="Calibri Light"/>
          <w:sz w:val="22"/>
          <w:szCs w:val="22"/>
          <w:color w:val="262626" w:themeColor="text1" w:themeTint="D9"/>
        </w:rPr>
        <w:t xml:space="preserve">The browser extension is the most under-governed piece of software in a modern company, and it can read everything on screen.</w:t>
      </w:r>
    </w:p>
    <w:p>
      <w:pPr>
        <w:pStyle w:val="Emphasis-Normal"/>
        <w:numPr>
          <w:ilvl w:val="0"/>
          <w:numId w:val="508"/>
        </w:numPr>
        <w:rPr>
          <w:color w:val="262626" w:themeColor="text1" w:themeTint="D9"/>
        </w:rPr>
      </w:pPr>
      <w:r>
        <w:rPr>
          <w:rFonts w:ascii="Calibri Light" w:hAnsi="Calibri Light" w:cs="Calibri Light"/>
          <w:sz w:val="22"/>
          <w:szCs w:val="22"/>
          <w:color w:val="262626" w:themeColor="text1" w:themeTint="D9"/>
        </w:rPr>
        <w:t xml:space="preserve">Administrative rights on endpoints shall be granted only where a role requires them, and shall be time-limited where the platform supports elevation on demand.</w:t>
      </w:r>
      <w:r>
        <w:rPr>
          <w:rFonts w:ascii="Calibri Light" w:hAnsi="Calibri Light" w:cs="Calibri Light"/>
          <w:color w:val="5F8798"/>
          <w:sz w:val="18"/>
          <w:szCs w:val="18"/>
        </w:rPr>
        <w:t xml:space="preserve">  [POL-AC-001 §9 · SOC 2: CC6.3, CC6.8]</w:t>
      </w:r>
    </w:p>
    <w:p>
      <w:pPr>
        <w:pStyle w:val="Emphasis-Normal"/>
        <w:numPr>
          <w:ilvl w:val="0"/>
          <w:numId w:val="508"/>
        </w:numPr>
        <w:rPr>
          <w:color w:val="262626" w:themeColor="text1" w:themeTint="D9"/>
        </w:rPr>
      </w:pPr>
      <w:r>
        <w:rPr>
          <w:rFonts w:ascii="Calibri Light" w:hAnsi="Calibri Light" w:cs="Calibri Light"/>
          <w:sz w:val="22"/>
          <w:szCs w:val="22"/>
          <w:color w:val="262626" w:themeColor="text1" w:themeTint="D9"/>
        </w:rPr>
        <w:t xml:space="preserve">Software installation shall be restricted to approved sources, and installation of unapproved software shall be blocked or require approval.</w:t>
      </w:r>
      <w:r>
        <w:rPr>
          <w:rFonts w:ascii="Calibri Light" w:hAnsi="Calibri Light" w:cs="Calibri Light"/>
          <w:color w:val="5F8798"/>
          <w:sz w:val="18"/>
          <w:szCs w:val="18"/>
        </w:rPr>
        <w:t xml:space="preserve">  [POL-AUP-001 §12 · SOC 2: CC6.8]</w:t>
      </w:r>
    </w:p>
    <w:p>
      <w:pPr>
        <w:pStyle w:val="Emphasis-Normal"/>
        <w:numPr>
          <w:ilvl w:val="0"/>
          <w:numId w:val="508"/>
        </w:numPr>
        <w:rPr>
          <w:color w:val="262626" w:themeColor="text1" w:themeTint="D9"/>
        </w:rPr>
      </w:pPr>
      <w:r>
        <w:rPr>
          <w:rFonts w:ascii="Calibri Light" w:hAnsi="Calibri Light" w:cs="Calibri Light"/>
          <w:sz w:val="22"/>
          <w:szCs w:val="22"/>
          <w:color w:val="262626" w:themeColor="text1" w:themeTint="D9"/>
        </w:rPr>
        <w:t xml:space="preserve">Browser extensions shall be governed by allow-list in the managed browser profile, and extension installation outside the allow-list shall be blocked.</w:t>
      </w:r>
      <w:r>
        <w:rPr>
          <w:rFonts w:ascii="Calibri Light" w:hAnsi="Calibri Light" w:cs="Calibri Light"/>
          <w:color w:val="5F8798"/>
          <w:sz w:val="18"/>
          <w:szCs w:val="18"/>
        </w:rPr>
        <w:t xml:space="preserve">  [POL-AUP-001 §12 · SOC 2: CC6.8, C1.1]</w:t>
      </w:r>
    </w:p>
    <w:p>
      <w:pPr>
        <w:pStyle w:val="Emphasis-Normal"/>
        <w:numPr>
          <w:ilvl w:val="0"/>
          <w:numId w:val="508"/>
        </w:numPr>
        <w:rPr>
          <w:color w:val="262626" w:themeColor="text1" w:themeTint="D9"/>
        </w:rPr>
      </w:pPr>
      <w:r>
        <w:rPr>
          <w:rFonts w:ascii="Calibri Light" w:hAnsi="Calibri Light" w:cs="Calibri Light"/>
          <w:sz w:val="22"/>
          <w:szCs w:val="22"/>
          <w:color w:val="262626" w:themeColor="text1" w:themeTint="D9"/>
        </w:rPr>
        <w:t xml:space="preserve">Artificial intelligence assistants and browser integrations that read page content shall not be installed unless they appear on the approved tool register.</w:t>
      </w:r>
      <w:r>
        <w:rPr>
          <w:rFonts w:ascii="Calibri Light" w:hAnsi="Calibri Light" w:cs="Calibri Light"/>
          <w:color w:val="5F8798"/>
          <w:sz w:val="18"/>
          <w:szCs w:val="18"/>
        </w:rPr>
        <w:t xml:space="preserve">  [POL-AUP-001 §10 · SOC 2: CC9.2, C1.1 · GDPR Art. 28]</w:t>
      </w:r>
    </w:p>
    <w:p>
      <w:pPr>
        <w:pStyle w:val="Emphasis-Normal"/>
        <w:numPr>
          <w:ilvl w:val="0"/>
          <w:numId w:val="508"/>
        </w:numPr>
        <w:rPr>
          <w:color w:val="262626" w:themeColor="text1" w:themeTint="D9"/>
        </w:rPr>
      </w:pPr>
      <w:r>
        <w:rPr>
          <w:rFonts w:ascii="Calibri Light" w:hAnsi="Calibri Light" w:cs="Calibri Light"/>
          <w:sz w:val="22"/>
          <w:szCs w:val="22"/>
          <w:color w:val="262626" w:themeColor="text1" w:themeTint="D9"/>
        </w:rPr>
        <w:t xml:space="preserve">The managed browser profile shall be signed in to the Company identity and shall not synchronise Company data to a personal profile.</w:t>
      </w:r>
      <w:r>
        <w:rPr>
          <w:rFonts w:ascii="Calibri Light" w:hAnsi="Calibri Light" w:cs="Calibri Light"/>
          <w:color w:val="5F8798"/>
          <w:sz w:val="18"/>
          <w:szCs w:val="18"/>
        </w:rPr>
        <w:t xml:space="preserve">  [POL-AC-001 §13 · SOC 2: CC6.1, C1.1]</w:t>
      </w:r>
    </w:p>
    <w:p>
      <w:pPr>
        <w:pStyle w:val="Heading1"/>
      </w:pPr>
      <w:r>
        <w:t>Personally Owned Devices: What Is and Is Not Collected</w:t>
      </w:r>
    </w:p>
    <w:p>
      <w:pPr>
        <w:rPr>
          <w:color w:val="262626" w:themeColor="text1" w:themeTint="D9"/>
        </w:rPr>
      </w:pPr>
      <w:r>
        <w:rPr>
          <w:rFonts w:ascii="Calibri Light" w:hAnsi="Calibri Light" w:cs="Calibri Light"/>
          <w:sz w:val="22"/>
          <w:szCs w:val="22"/>
          <w:color w:val="262626" w:themeColor="text1" w:themeTint="D9"/>
        </w:rPr>
        <w:t xml:space="preserve">This section states the Company’s side of the bargain. It is disclosed before enrolment and is what makes the baseline above acceptable to impose.</w:t>
      </w:r>
    </w:p>
    <w:p>
      <w:pPr>
        <w:pStyle w:val="Emphasis-Normal"/>
        <w:numPr>
          <w:ilvl w:val="0"/>
          <w:numId w:val="509"/>
        </w:numPr>
        <w:rPr>
          <w:color w:val="262626" w:themeColor="text1" w:themeTint="D9"/>
        </w:rPr>
      </w:pPr>
      <w:r>
        <w:rPr>
          <w:rFonts w:ascii="Calibri Light" w:hAnsi="Calibri Light" w:cs="Calibri Light"/>
          <w:sz w:val="22"/>
          <w:szCs w:val="22"/>
          <w:color w:val="262626" w:themeColor="text1" w:themeTint="D9"/>
        </w:rPr>
        <w:t xml:space="preserve">On a personally owned device the Company collects: device model and operating system version; encryption, screen lock and firewall state; patch level; endpoint protection status and its detections; the inventory of managed applications; and device location only when a device is reported lost.</w:t>
      </w:r>
      <w:r>
        <w:rPr>
          <w:rFonts w:ascii="Calibri Light" w:hAnsi="Calibri Light" w:cs="Calibri Light"/>
          <w:color w:val="5F8798"/>
          <w:sz w:val="18"/>
          <w:szCs w:val="18"/>
        </w:rPr>
        <w:t xml:space="preserve">  [POL-AM-001 §7 · SOC 2: C1.1 · GDPR Art. 5(1)(c), 13]</w:t>
      </w:r>
    </w:p>
    <w:p>
      <w:pPr>
        <w:pStyle w:val="Emphasis-Normal"/>
        <w:numPr>
          <w:ilvl w:val="0"/>
          <w:numId w:val="509"/>
        </w:numPr>
        <w:rPr>
          <w:color w:val="262626" w:themeColor="text1" w:themeTint="D9"/>
        </w:rPr>
      </w:pPr>
      <w:r>
        <w:rPr>
          <w:rFonts w:ascii="Calibri Light" w:hAnsi="Calibri Light" w:cs="Calibri Light"/>
          <w:sz w:val="22"/>
          <w:szCs w:val="22"/>
          <w:color w:val="262626" w:themeColor="text1" w:themeTint="D9"/>
        </w:rPr>
        <w:t xml:space="preserve">The Company does not collect: browsing history outside managed Company applications; personal file contents; personal application data or the inventory of unmanaged personal applications; personal messages, photographs or contacts; keystrokes; camera or microphone input; or continuous location.</w:t>
      </w:r>
      <w:r>
        <w:rPr>
          <w:rFonts w:ascii="Calibri Light" w:hAnsi="Calibri Light" w:cs="Calibri Light"/>
          <w:color w:val="5F8798"/>
          <w:sz w:val="18"/>
          <w:szCs w:val="18"/>
        </w:rPr>
        <w:t xml:space="preserve">  [POL-AUP-001 §15 · GDPR Art. 5(1)(c)]</w:t>
      </w:r>
    </w:p>
    <w:p>
      <w:pPr>
        <w:pStyle w:val="Emphasis-Normal"/>
        <w:numPr>
          <w:ilvl w:val="0"/>
          <w:numId w:val="509"/>
        </w:numPr>
        <w:rPr>
          <w:color w:val="262626" w:themeColor="text1" w:themeTint="D9"/>
        </w:rPr>
      </w:pPr>
      <w:r>
        <w:rPr>
          <w:rFonts w:ascii="Calibri Light" w:hAnsi="Calibri Light" w:cs="Calibri Light"/>
          <w:sz w:val="22"/>
          <w:szCs w:val="22"/>
          <w:color w:val="262626" w:themeColor="text1" w:themeTint="D9"/>
        </w:rPr>
        <w:t xml:space="preserve">The categories collected, the purpose, the retention period and this list of exclusions shall be presented to the individual and acknowledged before enrolment.</w:t>
      </w:r>
      <w:r>
        <w:rPr>
          <w:rFonts w:ascii="Calibri Light" w:hAnsi="Calibri Light" w:cs="Calibri Light"/>
          <w:color w:val="5F8798"/>
          <w:sz w:val="18"/>
          <w:szCs w:val="18"/>
        </w:rPr>
        <w:t xml:space="preserve">  [POL-AUP-001 §15 · SOC 2: CC2.2 · GDPR Art. 13]</w:t>
      </w:r>
    </w:p>
    <w:p>
      <w:pPr>
        <w:pStyle w:val="Emphasis-Normal"/>
        <w:numPr>
          <w:ilvl w:val="0"/>
          <w:numId w:val="509"/>
        </w:numPr>
        <w:rPr>
          <w:color w:val="262626" w:themeColor="text1" w:themeTint="D9"/>
        </w:rPr>
      </w:pPr>
      <w:r>
        <w:rPr>
          <w:rFonts w:ascii="Calibri Light" w:hAnsi="Calibri Light" w:cs="Calibri Light"/>
          <w:sz w:val="22"/>
          <w:szCs w:val="22"/>
          <w:color w:val="262626" w:themeColor="text1" w:themeTint="D9"/>
        </w:rPr>
        <w:t xml:space="preserve">Removal of Company data from a personally owned device shall use selective wipe, affecting Company data and managed applications only. Full device wipe shall not be performed on a personally owned device.</w:t>
      </w:r>
      <w:r>
        <w:rPr>
          <w:rFonts w:ascii="Calibri Light" w:hAnsi="Calibri Light" w:cs="Calibri Light"/>
          <w:color w:val="5F8798"/>
          <w:sz w:val="18"/>
          <w:szCs w:val="18"/>
        </w:rPr>
        <w:t xml:space="preserve">  [POL-AM-001 §7 · SOC 2: CC6.5 · HIPAA §164.310(d)(2)(i)]</w:t>
      </w:r>
    </w:p>
    <w:p>
      <w:pPr>
        <w:pStyle w:val="Emphasis-Normal"/>
        <w:numPr>
          <w:ilvl w:val="0"/>
          <w:numId w:val="509"/>
        </w:numPr>
        <w:rPr>
          <w:color w:val="262626" w:themeColor="text1" w:themeTint="D9"/>
        </w:rPr>
      </w:pPr>
      <w:r>
        <w:rPr>
          <w:rFonts w:ascii="Calibri Light" w:hAnsi="Calibri Light" w:cs="Calibri Light"/>
          <w:sz w:val="22"/>
          <w:szCs w:val="22"/>
          <w:color w:val="262626" w:themeColor="text1" w:themeTint="D9"/>
        </w:rPr>
        <w:t xml:space="preserve">A person may ask what has been collected from their device and shall receive a substantive answer within a reasonable period.</w:t>
      </w:r>
      <w:r>
        <w:rPr>
          <w:rFonts w:ascii="Calibri Light" w:hAnsi="Calibri Light" w:cs="Calibri Light"/>
          <w:color w:val="5F8798"/>
          <w:sz w:val="18"/>
          <w:szCs w:val="18"/>
        </w:rPr>
        <w:t xml:space="preserve">  [POL-AUP-001 §15 · GDPR Art. 15]</w:t>
      </w:r>
    </w:p>
    <w:p>
      <w:pPr>
        <w:pStyle w:val="Heading1"/>
      </w:pPr>
      <w:r>
        <w:t>Mobile Devices</w:t>
      </w:r>
    </w:p>
    <w:p>
      <w:pPr>
        <w:rPr>
          <w:color w:val="262626" w:themeColor="text1" w:themeTint="D9"/>
        </w:rPr>
      </w:pPr>
      <w:r>
        <w:rPr>
          <w:rFonts w:ascii="Calibri Light" w:hAnsi="Calibri Light" w:cs="Calibri Light"/>
          <w:sz w:val="22"/>
          <w:szCs w:val="22"/>
          <w:color w:val="262626" w:themeColor="text1" w:themeTint="D9"/>
        </w:rPr>
        <w:t xml:space="preserve">Phones reach Company mail and chat and are lost far more often than laptops.</w:t>
      </w:r>
    </w:p>
    <w:p>
      <w:pPr>
        <w:pStyle w:val="Emphasis-Normal"/>
        <w:numPr>
          <w:ilvl w:val="0"/>
          <w:numId w:val="510"/>
        </w:numPr>
        <w:rPr>
          <w:color w:val="262626" w:themeColor="text1" w:themeTint="D9"/>
        </w:rPr>
      </w:pPr>
      <w:r>
        <w:rPr>
          <w:rFonts w:ascii="Calibri Light" w:hAnsi="Calibri Light" w:cs="Calibri Light"/>
          <w:sz w:val="22"/>
          <w:szCs w:val="22"/>
          <w:color w:val="262626" w:themeColor="text1" w:themeTint="D9"/>
        </w:rPr>
        <w:t xml:space="preserve">Company mail, chat and documents shall be accessed through managed applications, and the managed application container shall be protected by device passcode or biometric.</w:t>
      </w:r>
      <w:r>
        <w:rPr>
          <w:rFonts w:ascii="Calibri Light" w:hAnsi="Calibri Light" w:cs="Calibri Light"/>
          <w:color w:val="5F8798"/>
          <w:sz w:val="18"/>
          <w:szCs w:val="18"/>
        </w:rPr>
        <w:t xml:space="preserve">  [POL-AM-001 §7 · SOC 2: CC6.4, C1.1]</w:t>
      </w:r>
    </w:p>
    <w:p>
      <w:pPr>
        <w:pStyle w:val="Emphasis-Normal"/>
        <w:numPr>
          <w:ilvl w:val="0"/>
          <w:numId w:val="510"/>
        </w:numPr>
        <w:rPr>
          <w:color w:val="262626" w:themeColor="text1" w:themeTint="D9"/>
        </w:rPr>
      </w:pPr>
      <w:r>
        <w:rPr>
          <w:rFonts w:ascii="Calibri Light" w:hAnsi="Calibri Light" w:cs="Calibri Light"/>
          <w:sz w:val="22"/>
          <w:szCs w:val="22"/>
          <w:color w:val="262626" w:themeColor="text1" w:themeTint="D9"/>
        </w:rPr>
        <w:t xml:space="preserve">Device encryption shall be enabled, the operating system shall be a supported version, and the device shall not be jailbroken or rooted. A jailbroken device shall be blocked.</w:t>
      </w:r>
      <w:r>
        <w:rPr>
          <w:rFonts w:ascii="Calibri Light" w:hAnsi="Calibri Light" w:cs="Calibri Light"/>
          <w:color w:val="5F8798"/>
          <w:sz w:val="18"/>
          <w:szCs w:val="18"/>
        </w:rPr>
        <w:t xml:space="preserve">  [POL-AM-001 §7 · SOC 2: CC6.4, CC6.8]</w:t>
      </w:r>
    </w:p>
    <w:p>
      <w:pPr>
        <w:pStyle w:val="Emphasis-Normal"/>
        <w:numPr>
          <w:ilvl w:val="0"/>
          <w:numId w:val="510"/>
        </w:numPr>
        <w:rPr>
          <w:color w:val="262626" w:themeColor="text1" w:themeTint="D9"/>
        </w:rPr>
      </w:pPr>
      <w:r>
        <w:rPr>
          <w:rFonts w:ascii="Calibri Light" w:hAnsi="Calibri Light" w:cs="Calibri Light"/>
          <w:sz w:val="22"/>
          <w:szCs w:val="22"/>
          <w:color w:val="262626" w:themeColor="text1" w:themeTint="D9"/>
        </w:rPr>
        <w:t xml:space="preserve">Copying Company data out of managed applications into unmanaged ones shall be restricted where the platform supports it.</w:t>
      </w:r>
      <w:r>
        <w:rPr>
          <w:rFonts w:ascii="Calibri Light" w:hAnsi="Calibri Light" w:cs="Calibri Light"/>
          <w:color w:val="5F8798"/>
          <w:sz w:val="18"/>
          <w:szCs w:val="18"/>
        </w:rPr>
        <w:t xml:space="preserve">  [POL-AUP-001 §9 · SOC 2: C1.1, CC6.7]</w:t>
      </w:r>
    </w:p>
    <w:p>
      <w:pPr>
        <w:pStyle w:val="Emphasis-Normal"/>
        <w:numPr>
          <w:ilvl w:val="0"/>
          <w:numId w:val="510"/>
        </w:numPr>
        <w:rPr>
          <w:color w:val="262626" w:themeColor="text1" w:themeTint="D9"/>
        </w:rPr>
      </w:pPr>
      <w:r>
        <w:rPr>
          <w:rFonts w:ascii="Calibri Light" w:hAnsi="Calibri Light" w:cs="Calibri Light"/>
          <w:sz w:val="22"/>
          <w:szCs w:val="22"/>
          <w:color w:val="262626" w:themeColor="text1" w:themeTint="D9"/>
        </w:rPr>
        <w:t xml:space="preserve">Selective wipe shall remove the managed container and its data only.</w:t>
      </w:r>
      <w:r>
        <w:rPr>
          <w:rFonts w:ascii="Calibri Light" w:hAnsi="Calibri Light" w:cs="Calibri Light"/>
          <w:color w:val="5F8798"/>
          <w:sz w:val="18"/>
          <w:szCs w:val="18"/>
        </w:rPr>
        <w:t xml:space="preserve">  [POL-AM-001 §7 · SOC 2: CC6.5]</w:t>
      </w:r>
    </w:p>
    <w:p>
      <w:pPr>
        <w:pStyle w:val="Emphasis-Normal"/>
        <w:numPr>
          <w:ilvl w:val="0"/>
          <w:numId w:val="510"/>
        </w:numPr>
        <w:rPr>
          <w:color w:val="262626" w:themeColor="text1" w:themeTint="D9"/>
        </w:rPr>
      </w:pPr>
      <w:r>
        <w:rPr>
          <w:rFonts w:ascii="Calibri Light" w:hAnsi="Calibri Light" w:cs="Calibri Light"/>
          <w:sz w:val="22"/>
          <w:szCs w:val="22"/>
          <w:color w:val="262626" w:themeColor="text1" w:themeTint="D9"/>
        </w:rPr>
        <w:t xml:space="preserve">Client information shall not be stored in the device photo library, including screenshots of client systems.</w:t>
      </w:r>
      <w:r>
        <w:rPr>
          <w:rFonts w:ascii="Calibri Light" w:hAnsi="Calibri Light" w:cs="Calibri Light"/>
          <w:color w:val="5F8798"/>
          <w:sz w:val="18"/>
          <w:szCs w:val="18"/>
        </w:rPr>
        <w:t xml:space="preserve">  [POL-PHY-001 §9 · SOC 2: C1.1 · GDPR Art. 5(1)(f)]</w:t>
      </w:r>
    </w:p>
    <w:p>
      <w:pPr>
        <w:pStyle w:val="Heading1"/>
      </w:pPr>
      <w:r>
        <w:t>Enrolment, Transfer and Offboarding</w:t>
      </w:r>
    </w:p>
    <w:p>
      <w:pPr>
        <w:rPr>
          <w:color w:val="262626" w:themeColor="text1" w:themeTint="D9"/>
        </w:rPr>
      </w:pPr>
      <w:r>
        <w:rPr>
          <w:rFonts w:ascii="Calibri Light" w:hAnsi="Calibri Light" w:cs="Calibri Light"/>
          <w:sz w:val="22"/>
          <w:szCs w:val="22"/>
          <w:color w:val="262626" w:themeColor="text1" w:themeTint="D9"/>
        </w:rPr>
        <w:t xml:space="preserve">Devices join and leave more often than they are bought, and each transition is where data is left behind.</w:t>
      </w:r>
    </w:p>
    <w:p>
      <w:pPr>
        <w:pStyle w:val="Emphasis-Normal"/>
        <w:numPr>
          <w:ilvl w:val="0"/>
          <w:numId w:val="511"/>
        </w:numPr>
        <w:rPr>
          <w:color w:val="262626" w:themeColor="text1" w:themeTint="D9"/>
        </w:rPr>
      </w:pPr>
      <w:r>
        <w:rPr>
          <w:rFonts w:ascii="Calibri Light" w:hAnsi="Calibri Light" w:cs="Calibri Light"/>
          <w:sz w:val="22"/>
          <w:szCs w:val="22"/>
          <w:color w:val="262626" w:themeColor="text1" w:themeTint="D9"/>
        </w:rPr>
        <w:t xml:space="preserve">Enrolment shall be completed and compliance confirmed before access to Company systems is granted.</w:t>
      </w:r>
      <w:r>
        <w:rPr>
          <w:rFonts w:ascii="Calibri Light" w:hAnsi="Calibri Light" w:cs="Calibri Light"/>
          <w:color w:val="5F8798"/>
          <w:sz w:val="18"/>
          <w:szCs w:val="18"/>
        </w:rPr>
        <w:t xml:space="preserve">  [POL-AC-001 §7 · SOC 2: CC6.2, CC6.4]</w:t>
      </w:r>
    </w:p>
    <w:p>
      <w:pPr>
        <w:pStyle w:val="Emphasis-Normal"/>
        <w:numPr>
          <w:ilvl w:val="0"/>
          <w:numId w:val="511"/>
        </w:numPr>
        <w:rPr>
          <w:color w:val="262626" w:themeColor="text1" w:themeTint="D9"/>
        </w:rPr>
      </w:pPr>
      <w:r>
        <w:rPr>
          <w:rFonts w:ascii="Calibri Light" w:hAnsi="Calibri Light" w:cs="Calibri Light"/>
          <w:sz w:val="22"/>
          <w:szCs w:val="22"/>
          <w:color w:val="262626" w:themeColor="text1" w:themeTint="D9"/>
        </w:rPr>
        <w:t xml:space="preserve">On departure, Company data shall be removed by selective wipe, the removal recorded, and the individual asked to confirm no residual copies remain in personal storage.</w:t>
      </w:r>
      <w:r>
        <w:rPr>
          <w:rFonts w:ascii="Calibri Light" w:hAnsi="Calibri Light" w:cs="Calibri Light"/>
          <w:color w:val="5F8798"/>
          <w:sz w:val="18"/>
          <w:szCs w:val="18"/>
        </w:rPr>
        <w:t xml:space="preserve">  [POL-AM-001 §12 · SOC 2: CC6.5, C1.2 · GDPR Art. 17]</w:t>
      </w:r>
    </w:p>
    <w:p>
      <w:pPr>
        <w:pStyle w:val="Emphasis-Normal"/>
        <w:numPr>
          <w:ilvl w:val="0"/>
          <w:numId w:val="511"/>
        </w:numPr>
        <w:rPr>
          <w:color w:val="262626" w:themeColor="text1" w:themeTint="D9"/>
        </w:rPr>
      </w:pPr>
      <w:r>
        <w:rPr>
          <w:rFonts w:ascii="Calibri Light" w:hAnsi="Calibri Light" w:cs="Calibri Light"/>
          <w:sz w:val="22"/>
          <w:szCs w:val="22"/>
          <w:color w:val="262626" w:themeColor="text1" w:themeTint="D9"/>
        </w:rPr>
        <w:t xml:space="preserve">Company-owned equipment shall be returned within a defined period; equipment not returned shall be wiped remotely and the matter treated as a security event.</w:t>
      </w:r>
      <w:r>
        <w:rPr>
          <w:rFonts w:ascii="Calibri Light" w:hAnsi="Calibri Light" w:cs="Calibri Light"/>
          <w:color w:val="5F8798"/>
          <w:sz w:val="18"/>
          <w:szCs w:val="18"/>
        </w:rPr>
        <w:t xml:space="preserve">  [POL-PHY-001 §10 · SOC 2: CC6.5, CC7.3]</w:t>
      </w:r>
    </w:p>
    <w:p>
      <w:pPr>
        <w:pStyle w:val="Emphasis-Normal"/>
        <w:numPr>
          <w:ilvl w:val="0"/>
          <w:numId w:val="511"/>
        </w:numPr>
        <w:rPr>
          <w:color w:val="262626" w:themeColor="text1" w:themeTint="D9"/>
        </w:rPr>
      </w:pPr>
      <w:r>
        <w:rPr>
          <w:rFonts w:ascii="Calibri Light" w:hAnsi="Calibri Light" w:cs="Calibri Light"/>
          <w:sz w:val="22"/>
          <w:szCs w:val="22"/>
          <w:color w:val="262626" w:themeColor="text1" w:themeTint="D9"/>
        </w:rPr>
        <w:t xml:space="preserve">A device sold, given away or returned to a lessor shall be sanitised in accordance with the Physical Security Policy and the action recorded.</w:t>
      </w:r>
      <w:r>
        <w:rPr>
          <w:rFonts w:ascii="Calibri Light" w:hAnsi="Calibri Light" w:cs="Calibri Light"/>
          <w:color w:val="5F8798"/>
          <w:sz w:val="18"/>
          <w:szCs w:val="18"/>
        </w:rPr>
        <w:t xml:space="preserve">  [POL-PHY-001 §10 · SOC 2: CC6.5]</w:t>
      </w:r>
    </w:p>
    <w:p>
      <w:pPr>
        <w:pStyle w:val="Emphasis-Normal"/>
        <w:numPr>
          <w:ilvl w:val="0"/>
          <w:numId w:val="511"/>
        </w:numPr>
        <w:rPr>
          <w:color w:val="262626" w:themeColor="text1" w:themeTint="D9"/>
        </w:rPr>
      </w:pPr>
      <w:r>
        <w:rPr>
          <w:rFonts w:ascii="Calibri Light" w:hAnsi="Calibri Light" w:cs="Calibri Light"/>
          <w:sz w:val="22"/>
          <w:szCs w:val="22"/>
          <w:color w:val="262626" w:themeColor="text1" w:themeTint="D9"/>
        </w:rPr>
        <w:t xml:space="preserve">Loss or theft shall be reported within twenty-four hours, and on report access shall be revoked and wipe initiated, with the timestamps recorded.</w:t>
      </w:r>
      <w:r>
        <w:rPr>
          <w:rFonts w:ascii="Calibri Light" w:hAnsi="Calibri Light" w:cs="Calibri Light"/>
          <w:color w:val="5F8798"/>
          <w:sz w:val="18"/>
          <w:szCs w:val="18"/>
        </w:rPr>
        <w:t xml:space="preserve">  [POL-IRP-001 §8 · SOC 2: CC7.3 · GDPR Art. 33]</w:t>
      </w:r>
    </w:p>
    <w:p>
      <w:pPr>
        <w:pStyle w:val="Heading1"/>
      </w:pPr>
      <w:r>
        <w:t>Evidence Produced by This Standard</w:t>
      </w:r>
    </w:p>
    <w:p>
      <w:pPr>
        <w:rPr>
          <w:color w:val="262626" w:themeColor="text1" w:themeTint="D9"/>
        </w:rPr>
      </w:pPr>
      <w:r>
        <w:rPr>
          <w:rFonts w:ascii="Calibri Light" w:hAnsi="Calibri Light" w:cs="Calibri Light"/>
          <w:sz w:val="22"/>
          <w:szCs w:val="22"/>
          <w:color w:val="262626" w:themeColor="text1" w:themeTint="D9"/>
        </w:rPr>
        <w:t xml:space="preserve">Each item below is generated by the configuration specified above and can be exported on request.</w:t>
      </w:r>
    </w:p>
    <w:p>
      <w:pPr>
        <w:pStyle w:val="Emphasis-Normal"/>
        <w:numPr>
          <w:ilvl w:val="0"/>
          <w:numId w:val="512"/>
        </w:numPr>
        <w:rPr>
          <w:color w:val="262626" w:themeColor="text1" w:themeTint="D9"/>
        </w:rPr>
      </w:pPr>
      <w:r>
        <w:rPr>
          <w:rFonts w:ascii="Calibri Light" w:hAnsi="Calibri Light" w:cs="Calibri Light"/>
          <w:sz w:val="22"/>
          <w:szCs w:val="22"/>
          <w:color w:val="262626" w:themeColor="text1" w:themeTint="D9"/>
        </w:rPr>
        <w:t xml:space="preserve">Device inventory with owner, ownership type, operating system version and enrolment date.</w:t>
      </w:r>
      <w:r>
        <w:rPr>
          <w:rFonts w:ascii="Calibri Light" w:hAnsi="Calibri Light" w:cs="Calibri Light"/>
          <w:color w:val="5F8798"/>
          <w:sz w:val="18"/>
          <w:szCs w:val="18"/>
        </w:rPr>
        <w:t xml:space="preserve">  [SOC 2: CC2.1]</w:t>
      </w:r>
    </w:p>
    <w:p>
      <w:pPr>
        <w:pStyle w:val="Emphasis-Normal"/>
        <w:numPr>
          <w:ilvl w:val="0"/>
          <w:numId w:val="512"/>
        </w:numPr>
        <w:rPr>
          <w:color w:val="262626" w:themeColor="text1" w:themeTint="D9"/>
        </w:rPr>
      </w:pPr>
      <w:r>
        <w:rPr>
          <w:rFonts w:ascii="Calibri Light" w:hAnsi="Calibri Light" w:cs="Calibri Light"/>
          <w:sz w:val="22"/>
          <w:szCs w:val="22"/>
          <w:color w:val="262626" w:themeColor="text1" w:themeTint="D9"/>
        </w:rPr>
        <w:t xml:space="preserve">Compliance report per device covering encryption, screen lock, firewall, patch level and endpoint protection status.</w:t>
      </w:r>
      <w:r>
        <w:rPr>
          <w:rFonts w:ascii="Calibri Light" w:hAnsi="Calibri Light" w:cs="Calibri Light"/>
          <w:color w:val="5F8798"/>
          <w:sz w:val="18"/>
          <w:szCs w:val="18"/>
        </w:rPr>
        <w:t xml:space="preserve">  [SOC 2: CC6.4, CC6.8]</w:t>
      </w:r>
    </w:p>
    <w:p>
      <w:pPr>
        <w:pStyle w:val="Emphasis-Normal"/>
        <w:numPr>
          <w:ilvl w:val="0"/>
          <w:numId w:val="512"/>
        </w:numPr>
        <w:rPr>
          <w:color w:val="262626" w:themeColor="text1" w:themeTint="D9"/>
        </w:rPr>
      </w:pPr>
      <w:r>
        <w:rPr>
          <w:rFonts w:ascii="Calibri Light" w:hAnsi="Calibri Light" w:cs="Calibri Light"/>
          <w:sz w:val="22"/>
          <w:szCs w:val="22"/>
          <w:color w:val="262626" w:themeColor="text1" w:themeTint="D9"/>
        </w:rPr>
        <w:t xml:space="preserve">Three-way coverage reconciliation between endpoint protection, device management and the personnel list.</w:t>
      </w:r>
      <w:r>
        <w:rPr>
          <w:rFonts w:ascii="Calibri Light" w:hAnsi="Calibri Light" w:cs="Calibri Light"/>
          <w:color w:val="5F8798"/>
          <w:sz w:val="18"/>
          <w:szCs w:val="18"/>
        </w:rPr>
        <w:t xml:space="preserve">  [SOC 2: CC6.8, CC2.1]</w:t>
      </w:r>
    </w:p>
    <w:p>
      <w:pPr>
        <w:pStyle w:val="Emphasis-Normal"/>
        <w:numPr>
          <w:ilvl w:val="0"/>
          <w:numId w:val="512"/>
        </w:numPr>
        <w:rPr>
          <w:color w:val="262626" w:themeColor="text1" w:themeTint="D9"/>
        </w:rPr>
      </w:pPr>
      <w:r>
        <w:rPr>
          <w:rFonts w:ascii="Calibri Light" w:hAnsi="Calibri Light" w:cs="Calibri Light"/>
          <w:sz w:val="22"/>
          <w:szCs w:val="22"/>
          <w:color w:val="262626" w:themeColor="text1" w:themeTint="D9"/>
        </w:rPr>
        <w:t xml:space="preserve">Conditional access policy configuration showing that non-compliant devices are blocked.</w:t>
      </w:r>
      <w:r>
        <w:rPr>
          <w:rFonts w:ascii="Calibri Light" w:hAnsi="Calibri Light" w:cs="Calibri Light"/>
          <w:color w:val="5F8798"/>
          <w:sz w:val="18"/>
          <w:szCs w:val="18"/>
        </w:rPr>
        <w:t xml:space="preserve">  [SOC 2: CC6.1, CC6.8]</w:t>
      </w:r>
    </w:p>
    <w:p>
      <w:pPr>
        <w:pStyle w:val="Emphasis-Normal"/>
        <w:numPr>
          <w:ilvl w:val="0"/>
          <w:numId w:val="512"/>
        </w:numPr>
        <w:rPr>
          <w:color w:val="262626" w:themeColor="text1" w:themeTint="D9"/>
        </w:rPr>
      </w:pPr>
      <w:r>
        <w:rPr>
          <w:rFonts w:ascii="Calibri Light" w:hAnsi="Calibri Light" w:cs="Calibri Light"/>
          <w:sz w:val="22"/>
          <w:szCs w:val="22"/>
          <w:color w:val="262626" w:themeColor="text1" w:themeTint="D9"/>
        </w:rPr>
        <w:t xml:space="preserve">The disclosure presented before enrolment and the acknowledgement records.</w:t>
      </w:r>
      <w:r>
        <w:rPr>
          <w:rFonts w:ascii="Calibri Light" w:hAnsi="Calibri Light" w:cs="Calibri Light"/>
          <w:color w:val="5F8798"/>
          <w:sz w:val="18"/>
          <w:szCs w:val="18"/>
        </w:rPr>
        <w:t xml:space="preserve">  [SOC 2: CC2.2 · GDPR Art. 13]</w:t>
      </w:r>
    </w:p>
    <w:p>
      <w:pPr>
        <w:pStyle w:val="Emphasis-Normal"/>
        <w:numPr>
          <w:ilvl w:val="0"/>
          <w:numId w:val="512"/>
        </w:numPr>
        <w:rPr>
          <w:color w:val="262626" w:themeColor="text1" w:themeTint="D9"/>
        </w:rPr>
      </w:pPr>
      <w:r>
        <w:rPr>
          <w:rFonts w:ascii="Calibri Light" w:hAnsi="Calibri Light" w:cs="Calibri Light"/>
          <w:sz w:val="22"/>
          <w:szCs w:val="22"/>
          <w:color w:val="262626" w:themeColor="text1" w:themeTint="D9"/>
        </w:rPr>
        <w:t xml:space="preserve">Selective wipe and device return records reconciled to inventory entries.</w:t>
      </w:r>
      <w:r>
        <w:rPr>
          <w:rFonts w:ascii="Calibri Light" w:hAnsi="Calibri Light" w:cs="Calibri Light"/>
          <w:color w:val="5F8798"/>
          <w:sz w:val="18"/>
          <w:szCs w:val="18"/>
        </w:rPr>
        <w:t xml:space="preserve">  [SOC 2: CC6.5]</w:t>
      </w:r>
    </w:p>
    <w:p>
      <w:pPr>
        <w:pStyle w:val="Emphasis-Normal"/>
        <w:numPr>
          <w:ilvl w:val="0"/>
          <w:numId w:val="512"/>
        </w:numPr>
        <w:rPr>
          <w:color w:val="262626" w:themeColor="text1" w:themeTint="D9"/>
        </w:rPr>
      </w:pPr>
      <w:r>
        <w:rPr>
          <w:rFonts w:ascii="Calibri Light" w:hAnsi="Calibri Light" w:cs="Calibri Light"/>
          <w:sz w:val="22"/>
          <w:szCs w:val="22"/>
          <w:color w:val="262626" w:themeColor="text1" w:themeTint="D9"/>
        </w:rPr>
        <w:t xml:space="preserve">Endpoint detection dispositions for the period.</w:t>
      </w:r>
      <w:r>
        <w:rPr>
          <w:rFonts w:ascii="Calibri Light" w:hAnsi="Calibri Light" w:cs="Calibri Light"/>
          <w:color w:val="5F8798"/>
          <w:sz w:val="18"/>
          <w:szCs w:val="18"/>
        </w:rPr>
        <w:t xml:space="preserve">  [SOC 2: CC7.3]</w:t>
      </w:r>
    </w:p>
    <w:p>
      <w:pPr>
        <w:pStyle w:val="Heading1"/>
      </w:pPr>
      <w:r>
        <w:t>Authoritative Sources</w:t>
      </w:r>
    </w:p>
    <w:p>
      <w:pPr>
        <w:rPr>
          <w:color w:val="262626" w:themeColor="text1" w:themeTint="D9"/>
        </w:rPr>
      </w:pPr>
      <w:r>
        <w:rPr>
          <w:rFonts w:ascii="Calibri Light" w:hAnsi="Calibri Light" w:cs="Calibri Light"/>
          <w:sz w:val="22"/>
          <w:szCs w:val="22"/>
          <w:color w:val="262626" w:themeColor="text1" w:themeTint="D9"/>
        </w:rPr>
        <w:t xml:space="preserve">The requirements in this Standard are drawn from the following sources. Where a source is revised, this Standard shall be reviewed against the revision.</w:t>
      </w:r>
    </w:p>
    <w:p>
      <w:pPr>
        <w:pStyle w:val="Emphasis-Normal"/>
        <w:numPr>
          <w:ilvl w:val="0"/>
          <w:numId w:val="513"/>
        </w:numPr>
        <w:rPr>
          <w:color w:val="262626" w:themeColor="text1" w:themeTint="D9"/>
        </w:rPr>
      </w:pPr>
      <w:r>
        <w:rPr>
          <w:rFonts w:ascii="Calibri Light" w:hAnsi="Calibri Light" w:cs="Calibri Light"/>
          <w:sz w:val="22"/>
          <w:szCs w:val="22"/>
          <w:color w:val="262626" w:themeColor="text1" w:themeTint="D9"/>
        </w:rPr>
        <w:t xml:space="preserve">NIST SP 800-124 Revision 2, Guidelines for Managing the Security of Mobile Devices in the Enterprise — the basis for the enrolment, containerisation and selective wipe requirements.</w:t>
      </w:r>
    </w:p>
    <w:p>
      <w:pPr>
        <w:pStyle w:val="Emphasis-Normal"/>
        <w:numPr>
          <w:ilvl w:val="0"/>
          <w:numId w:val="513"/>
        </w:numPr>
        <w:rPr>
          <w:color w:val="262626" w:themeColor="text1" w:themeTint="D9"/>
        </w:rPr>
      </w:pPr>
      <w:r>
        <w:rPr>
          <w:rFonts w:ascii="Calibri Light" w:hAnsi="Calibri Light" w:cs="Calibri Light"/>
          <w:sz w:val="22"/>
          <w:szCs w:val="22"/>
          <w:color w:val="262626" w:themeColor="text1" w:themeTint="D9"/>
        </w:rPr>
        <w:t xml:space="preserve">NIST SP 800-46 Revision 2, Guide to Enterprise Telework, Remote Access, and Bring Your Own Device Security — the basis for the treatment of personally owned devices and the separation of Company data from personal content.</w:t>
      </w:r>
    </w:p>
    <w:p>
      <w:pPr>
        <w:pStyle w:val="Emphasis-Normal"/>
        <w:numPr>
          <w:ilvl w:val="0"/>
          <w:numId w:val="513"/>
        </w:numPr>
        <w:rPr>
          <w:color w:val="262626" w:themeColor="text1" w:themeTint="D9"/>
        </w:rPr>
      </w:pPr>
      <w:r>
        <w:rPr>
          <w:rFonts w:ascii="Calibri Light" w:hAnsi="Calibri Light" w:cs="Calibri Light"/>
          <w:sz w:val="22"/>
          <w:szCs w:val="22"/>
          <w:color w:val="262626" w:themeColor="text1" w:themeTint="D9"/>
        </w:rPr>
        <w:t xml:space="preserve">NIST SP 800-53 Revision 5, control families AC, CM and SI — the underlying control expectations for configuration and integrity.</w:t>
      </w:r>
    </w:p>
    <w:p>
      <w:pPr>
        <w:pStyle w:val="Emphasis-Normal"/>
        <w:numPr>
          <w:ilvl w:val="0"/>
          <w:numId w:val="513"/>
        </w:numPr>
        <w:rPr>
          <w:color w:val="262626" w:themeColor="text1" w:themeTint="D9"/>
        </w:rPr>
      </w:pPr>
      <w:r>
        <w:rPr>
          <w:rFonts w:ascii="Calibri Light" w:hAnsi="Calibri Light" w:cs="Calibri Light"/>
          <w:sz w:val="22"/>
          <w:szCs w:val="22"/>
          <w:color w:val="262626" w:themeColor="text1" w:themeTint="D9"/>
        </w:rPr>
        <w:t xml:space="preserve">CIS Benchmarks for macOS, Windows and the managed browser — the basis for the endpoint configuration baseline.</w:t>
      </w:r>
    </w:p>
    <w:p>
      <w:pPr>
        <w:pStyle w:val="Emphasis-Normal"/>
        <w:numPr>
          <w:ilvl w:val="0"/>
          <w:numId w:val="513"/>
        </w:numPr>
        <w:rPr>
          <w:color w:val="262626" w:themeColor="text1" w:themeTint="D9"/>
        </w:rPr>
      </w:pPr>
      <w:r>
        <w:rPr>
          <w:rFonts w:ascii="Calibri Light" w:hAnsi="Calibri Light" w:cs="Calibri Light"/>
          <w:sz w:val="22"/>
          <w:szCs w:val="22"/>
          <w:color w:val="262626" w:themeColor="text1" w:themeTint="D9"/>
        </w:rPr>
        <w:t xml:space="preserve">ISO/IEC 27002:2022, clause 8.1 (User endpoint devices) and clause 6.7 (Remote working).</w:t>
      </w:r>
    </w:p>
    <w:p>
      <w:pPr>
        <w:pStyle w:val="Emphasis-Normal"/>
        <w:numPr>
          <w:ilvl w:val="0"/>
          <w:numId w:val="513"/>
        </w:numPr>
        <w:rPr>
          <w:color w:val="262626" w:themeColor="text1" w:themeTint="D9"/>
        </w:rPr>
      </w:pPr>
      <w:r>
        <w:rPr>
          <w:rFonts w:ascii="Calibri Light" w:hAnsi="Calibri Light" w:cs="Calibri Light"/>
          <w:sz w:val="22"/>
          <w:szCs w:val="22"/>
          <w:color w:val="262626" w:themeColor="text1" w:themeTint="D9"/>
        </w:rPr>
        <w:t xml:space="preserve">45 CFR §164.310(b) and (d), HIPAA workstation use and device and media controls — the basis for the screen lock, workstation and disposal requirements.</w:t>
      </w:r>
    </w:p>
    <w:p>
      <w:pPr>
        <w:pStyle w:val="Emphasis-Normal"/>
        <w:numPr>
          <w:ilvl w:val="0"/>
          <w:numId w:val="513"/>
        </w:numPr>
        <w:rPr>
          <w:color w:val="262626" w:themeColor="text1" w:themeTint="D9"/>
        </w:rPr>
      </w:pPr>
      <w:r>
        <w:rPr>
          <w:rFonts w:ascii="Calibri Light" w:hAnsi="Calibri Light" w:cs="Calibri Light"/>
          <w:sz w:val="22"/>
          <w:szCs w:val="22"/>
          <w:color w:val="262626" w:themeColor="text1" w:themeTint="D9"/>
        </w:rPr>
        <w:t xml:space="preserve">Regulation (EU) 2016/679, Articles 5(1)(c), 13, 15, 17 and 32 — the basis for data minimisation in device telemetry, disclosure before enrolment, the right to ask what is collected, and removal on departure.</w:t>
      </w:r>
    </w:p>
    <w:p>
      <w:pPr>
        <w:pStyle w:val="Emphasis-Normal"/>
        <w:numPr>
          <w:ilvl w:val="0"/>
          <w:numId w:val="513"/>
        </w:numPr>
        <w:rPr>
          <w:color w:val="262626" w:themeColor="text1" w:themeTint="D9"/>
        </w:rPr>
      </w:pPr>
      <w:r>
        <w:rPr>
          <w:rFonts w:ascii="Calibri Light" w:hAnsi="Calibri Light" w:cs="Calibri Light"/>
          <w:sz w:val="22"/>
          <w:szCs w:val="22"/>
          <w:color w:val="262626" w:themeColor="text1" w:themeTint="D9"/>
        </w:rPr>
        <w:t xml:space="preserve">European Data Protection Board and predecessor guidance on data processing at work — the basis for the explicit list of what is not collected from personally owned devices.</w:t>
      </w:r>
    </w:p>
    <w:p>
      <w:pPr>
        <w:pStyle w:val="Heading1"/>
      </w:pPr>
      <w:r>
        <w:t>Enforcement</w:t>
      </w:r>
    </w:p>
    <w:p>
      <w:pPr>
        <w:pStyle w:val="Emphasis-Normal"/>
        <w:numPr>
          <w:ilvl w:val="0"/>
          <w:numId w:val="514"/>
        </w:numPr>
        <w:rPr>
          <w:color w:val="262626" w:themeColor="text1" w:themeTint="D9"/>
        </w:rPr>
      </w:pPr>
      <w:r>
        <w:rPr>
          <w:rFonts w:ascii="Calibri Light" w:hAnsi="Calibri Light" w:cs="Calibri Light"/>
          <w:sz w:val="22"/>
          <w:szCs w:val="22"/>
          <w:color w:val="262626" w:themeColor="text1" w:themeTint="D9"/>
        </w:rPr>
        <w:t xml:space="preserve">Violations of this document may result in disciplinary action up to and including termination of employment or engagement, and, where applicable, civil or criminal referral.</w:t>
      </w:r>
      <w:r>
        <w:rPr>
          <w:rFonts w:ascii="Calibri Light" w:hAnsi="Calibri Light" w:cs="Calibri Light"/>
          <w:color w:val="5F8798"/>
          <w:sz w:val="18"/>
          <w:szCs w:val="18"/>
        </w:rPr>
        <w:t xml:space="preserve">  [SOC 2: CC1.5]</w:t>
      </w:r>
    </w:p>
    <w:p>
      <w:pPr>
        <w:pStyle w:val="Emphasis-Normal"/>
        <w:numPr>
          <w:ilvl w:val="0"/>
          <w:numId w:val="514"/>
        </w:numPr>
        <w:rPr>
          <w:color w:val="262626" w:themeColor="text1" w:themeTint="D9"/>
        </w:rPr>
      </w:pPr>
      <w:r>
        <w:rPr>
          <w:rFonts w:ascii="Calibri Light" w:hAnsi="Calibri Light" w:cs="Calibri Light"/>
          <w:sz w:val="22"/>
          <w:szCs w:val="22"/>
          <w:color w:val="262626" w:themeColor="text1" w:themeTint="D9"/>
        </w:rPr>
        <w:t xml:space="preserve">Disciplinary decisions shall be documented by the Security Officer and applied consistently, in accordance with the Company’s personnel sanctions process.</w:t>
      </w:r>
      <w:r>
        <w:rPr>
          <w:rFonts w:ascii="Calibri Light" w:hAnsi="Calibri Light" w:cs="Calibri Light"/>
          <w:color w:val="5F8798"/>
          <w:sz w:val="18"/>
          <w:szCs w:val="18"/>
        </w:rPr>
        <w:t xml:space="preserve">  [SOC 2: CC1.5]</w:t>
      </w:r>
    </w:p>
    <w:p>
      <w:pPr>
        <w:pStyle w:val="Heading1"/>
      </w:pPr>
      <w:r>
        <w:t>Exceptions</w:t>
      </w:r>
    </w:p>
    <w:p>
      <w:pPr>
        <w:rPr>
          <w:color w:val="262626" w:themeColor="text1" w:themeTint="D9"/>
        </w:rPr>
      </w:pPr>
      <w:r>
        <w:rPr>
          <w:rFonts w:ascii="Calibri Light" w:hAnsi="Calibri Light" w:cs="Calibri Light"/>
          <w:sz w:val="22"/>
          <w:szCs w:val="22"/>
          <w:color w:val="262626" w:themeColor="text1" w:themeTint="D9"/>
        </w:rPr>
        <w:t xml:space="preserve">Exceptions to this policy must be requested in writing to the Security Officer and approved by the Information Security Steering Committee before taking effect. Approved exceptions shall be documented, risk-assessed, time-bound with an expiry date, and reviewed at least annually.</w:t>
      </w:r>
    </w:p>
    <w:p>
      <w:pPr>
        <w:pStyle w:val="Heading1"/>
      </w:pPr>
      <w:r>
        <w:t>Reference</w:t>
      </w:r>
    </w:p>
    <w:p>
      <w:pPr>
        <w:pStyle w:val="Emphasis-Normal"/>
        <w:numPr>
          <w:ilvl w:val="0"/>
          <w:numId w:val="515"/>
        </w:numPr>
        <w:rPr>
          <w:color w:val="262626" w:themeColor="text1" w:themeTint="D9"/>
        </w:rPr>
      </w:pPr>
      <w:r>
        <w:rPr>
          <w:rFonts w:ascii="Calibri Light" w:hAnsi="Calibri Light" w:cs="Calibri Light"/>
          <w:sz w:val="22"/>
          <w:szCs w:val="22"/>
          <w:color w:val="262626" w:themeColor="text1" w:themeTint="D9"/>
        </w:rPr>
        <w:t xml:space="preserve">Asset Management Policy (POL-AM-001)</w:t>
      </w:r>
    </w:p>
    <w:p>
      <w:pPr>
        <w:pStyle w:val="Emphasis-Normal"/>
        <w:numPr>
          <w:ilvl w:val="0"/>
          <w:numId w:val="515"/>
        </w:numPr>
        <w:rPr>
          <w:color w:val="262626" w:themeColor="text1" w:themeTint="D9"/>
        </w:rPr>
      </w:pPr>
      <w:r>
        <w:rPr>
          <w:rFonts w:ascii="Calibri Light" w:hAnsi="Calibri Light" w:cs="Calibri Light"/>
          <w:sz w:val="22"/>
          <w:szCs w:val="22"/>
          <w:color w:val="262626" w:themeColor="text1" w:themeTint="D9"/>
        </w:rPr>
        <w:t xml:space="preserve">Access Control Policy (POL-AC-001)</w:t>
      </w:r>
    </w:p>
    <w:p>
      <w:pPr>
        <w:pStyle w:val="Emphasis-Normal"/>
        <w:numPr>
          <w:ilvl w:val="0"/>
          <w:numId w:val="515"/>
        </w:numPr>
        <w:rPr>
          <w:color w:val="262626" w:themeColor="text1" w:themeTint="D9"/>
        </w:rPr>
      </w:pPr>
      <w:r>
        <w:rPr>
          <w:rFonts w:ascii="Calibri Light" w:hAnsi="Calibri Light" w:cs="Calibri Light"/>
          <w:sz w:val="22"/>
          <w:szCs w:val="22"/>
          <w:color w:val="262626" w:themeColor="text1" w:themeTint="D9"/>
        </w:rPr>
        <w:t xml:space="preserve">Acceptable Use Policy (POL-AUP-001)</w:t>
      </w:r>
    </w:p>
    <w:p>
      <w:pPr>
        <w:pStyle w:val="Emphasis-Normal"/>
        <w:numPr>
          <w:ilvl w:val="0"/>
          <w:numId w:val="515"/>
        </w:numPr>
        <w:rPr>
          <w:color w:val="262626" w:themeColor="text1" w:themeTint="D9"/>
        </w:rPr>
      </w:pPr>
      <w:r>
        <w:rPr>
          <w:rFonts w:ascii="Calibri Light" w:hAnsi="Calibri Light" w:cs="Calibri Light"/>
          <w:sz w:val="22"/>
          <w:szCs w:val="22"/>
          <w:color w:val="262626" w:themeColor="text1" w:themeTint="D9"/>
        </w:rPr>
        <w:t xml:space="preserve">Physical Security Policy (POL-PHY-001)</w:t>
      </w:r>
    </w:p>
    <w:p>
      <w:pPr>
        <w:pStyle w:val="Emphasis-Normal"/>
        <w:numPr>
          <w:ilvl w:val="0"/>
          <w:numId w:val="515"/>
        </w:numPr>
        <w:rPr>
          <w:color w:val="262626" w:themeColor="text1" w:themeTint="D9"/>
        </w:rPr>
      </w:pPr>
      <w:r>
        <w:rPr>
          <w:rFonts w:ascii="Calibri Light" w:hAnsi="Calibri Light" w:cs="Calibri Light"/>
          <w:sz w:val="22"/>
          <w:szCs w:val="22"/>
          <w:color w:val="262626" w:themeColor="text1" w:themeTint="D9"/>
        </w:rPr>
        <w:t xml:space="preserve">Encryption Policy (POL-ENC-001)</w:t>
      </w:r>
    </w:p>
    <w:p>
      <w:pPr>
        <w:pStyle w:val="Emphasis-Normal"/>
        <w:numPr>
          <w:ilvl w:val="0"/>
          <w:numId w:val="515"/>
        </w:numPr>
        <w:rPr>
          <w:color w:val="262626" w:themeColor="text1" w:themeTint="D9"/>
        </w:rPr>
      </w:pPr>
      <w:r>
        <w:rPr>
          <w:rFonts w:ascii="Calibri Light" w:hAnsi="Calibri Light" w:cs="Calibri Light"/>
          <w:sz w:val="22"/>
          <w:szCs w:val="22"/>
          <w:color w:val="262626" w:themeColor="text1" w:themeTint="D9"/>
        </w:rPr>
        <w:t xml:space="preserve">Vulnerability and Patch Management Policy (POL-VPM-001)</w:t>
      </w:r>
    </w:p>
    <w:p>
      <w:pPr>
        <w:pStyle w:val="Emphasis-Normal"/>
        <w:numPr>
          <w:ilvl w:val="0"/>
          <w:numId w:val="515"/>
        </w:numPr>
        <w:rPr>
          <w:color w:val="262626" w:themeColor="text1" w:themeTint="D9"/>
        </w:rPr>
      </w:pPr>
      <w:r>
        <w:rPr>
          <w:rFonts w:ascii="Calibri Light" w:hAnsi="Calibri Light" w:cs="Calibri Light"/>
          <w:sz w:val="22"/>
          <w:szCs w:val="22"/>
          <w:color w:val="262626" w:themeColor="text1" w:themeTint="D9"/>
        </w:rPr>
        <w:t xml:space="preserve">Logging and Monitoring Policy (POL-LOG-001)</w:t>
      </w:r>
    </w:p>
    <w:p>
      <w:pPr>
        <w:pStyle w:val="Emphasis-Normal"/>
        <w:numPr>
          <w:ilvl w:val="0"/>
          <w:numId w:val="515"/>
        </w:numPr>
        <w:rPr>
          <w:color w:val="262626" w:themeColor="text1" w:themeTint="D9"/>
        </w:rPr>
      </w:pPr>
      <w:r>
        <w:rPr>
          <w:rFonts w:ascii="Calibri Light" w:hAnsi="Calibri Light" w:cs="Calibri Light"/>
          <w:sz w:val="22"/>
          <w:szCs w:val="22"/>
          <w:color w:val="262626" w:themeColor="text1" w:themeTint="D9"/>
        </w:rPr>
        <w:t xml:space="preserve">Incident Response Plan (POL-IRP-001)</w:t>
      </w:r>
    </w:p>
    <w:p>
      <w:pPr>
        <w:pStyle w:val="Emphasis-Normal"/>
        <w:numPr>
          <w:ilvl w:val="0"/>
          <w:numId w:val="515"/>
        </w:numPr>
        <w:rPr>
          <w:color w:val="262626" w:themeColor="text1" w:themeTint="D9"/>
        </w:rPr>
      </w:pPr>
      <w:r>
        <w:rPr>
          <w:rFonts w:ascii="Calibri Light" w:hAnsi="Calibri Light" w:cs="Calibri Light"/>
          <w:sz w:val="22"/>
          <w:szCs w:val="22"/>
          <w:color w:val="262626" w:themeColor="text1" w:themeTint="D9"/>
        </w:rPr>
        <w:t xml:space="preserve">Code of Conduct (POL-COC-001)</w:t>
      </w:r>
    </w:p>
    <w:p>
      <w:pPr>
        <w:pStyle w:val="Emphasis-Normal"/>
        <w:numPr>
          <w:ilvl w:val="0"/>
          <w:numId w:val="515"/>
        </w:numPr>
        <w:rPr>
          <w:color w:val="262626" w:themeColor="text1" w:themeTint="D9"/>
        </w:rPr>
      </w:pPr>
      <w:r>
        <w:rPr>
          <w:rFonts w:ascii="Calibri Light" w:hAnsi="Calibri Light" w:cs="Calibri Light"/>
          <w:sz w:val="22"/>
          <w:szCs w:val="22"/>
          <w:color w:val="262626" w:themeColor="text1" w:themeTint="D9"/>
        </w:rPr>
        <w:t xml:space="preserve">HIPAA Security Rule, 45 CFR §164.310(b) and §164.310(d)</w:t>
      </w:r>
    </w:p>
    <w:p>
      <w:pPr>
        <w:pStyle w:val="Emphasis-Normal"/>
        <w:numPr>
          <w:ilvl w:val="0"/>
          <w:numId w:val="515"/>
        </w:numPr>
        <w:rPr>
          <w:color w:val="262626" w:themeColor="text1" w:themeTint="D9"/>
        </w:rPr>
      </w:pPr>
      <w:r>
        <w:rPr>
          <w:rFonts w:ascii="Calibri Light" w:hAnsi="Calibri Light" w:cs="Calibri Light"/>
          <w:sz w:val="22"/>
          <w:szCs w:val="22"/>
          <w:color w:val="262626" w:themeColor="text1" w:themeTint="D9"/>
        </w:rPr>
        <w:t xml:space="preserve">EU General Data Protection Regulation, Articles 5, 13, 15, 17 and 32</w:t>
      </w:r>
    </w:p>
    <w:p w14:paraId="00FFBC58" w14:textId="77777777" w:rsidR="0019039B" w:rsidRDefault="00000000" w:rsidP="00BF0F18">
      <w:pPr>
        <w:pStyle w:val="Heading1"/>
        <w:suppressLineNumbers/>
      </w:pPr>
      <w:bookmarkStart w:id="11" w:name="_Toc235458837"/>
      <w:r>
        <w:t>Document Policy History</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340"/>
        <w:gridCol w:w="5460"/>
      </w:tblGrid>
      <w:tr w:rsidR="0019039B" w14:paraId="73DA6238" w14:textId="77777777" w:rsidTr="00DE44EE">
        <w:trPr>
          <w:tblHeader/>
        </w:trPr>
        <w:tc>
          <w:tcPr>
            <w:tcW w:w="1560" w:type="dxa"/>
            <w:tcBorders>
              <w:top w:val="single" w:sz="4" w:space="0" w:color="BFCDD4"/>
              <w:left w:val="single" w:sz="4" w:space="0" w:color="BFCDD4"/>
              <w:bottom w:val="single" w:sz="2" w:space="0" w:color="595959" w:themeColor="text1" w:themeTint="A6"/>
              <w:right w:val="single" w:sz="4" w:space="0" w:color="BFCDD4"/>
            </w:tcBorders>
            <w:tcMar>
              <w:top w:w="26" w:type="dxa"/>
              <w:left w:w="92" w:type="dxa"/>
              <w:bottom w:w="26" w:type="dxa"/>
              <w:right w:w="92" w:type="dxa"/>
            </w:tcMar>
            <w:vAlign w:val="center"/>
          </w:tcPr>
          <w:p w14:paraId="6DE93450" w14:textId="77777777" w:rsidR="0019039B" w:rsidRDefault="00000000" w:rsidP="00DE44EE">
            <w:pPr>
              <w:suppressLineNumbers/>
              <w:spacing w:before="0" w:after="0" w:line="240" w:lineRule="auto"/>
            </w:pPr>
            <w:r>
              <w:rPr>
                <w:rFonts w:ascii="Calibri Light" w:hAnsi="Calibri Light" w:cs="Calibri Light"/>
                <w:sz w:val="22"/>
                <w:szCs w:val="22"/>
                <w:sz w:val="20"/>
                <w:szCs w:val="20"/>
              </w:rPr>
              <w:t>Version</w:t>
            </w:r>
          </w:p>
        </w:tc>
        <w:tc>
          <w:tcPr>
            <w:tcW w:w="2340" w:type="dxa"/>
            <w:tcBorders>
              <w:top w:val="single" w:sz="4" w:space="0" w:color="BFCDD4"/>
              <w:left w:val="single" w:sz="4" w:space="0" w:color="BFCDD4"/>
              <w:bottom w:val="single" w:sz="2" w:space="0" w:color="595959" w:themeColor="text1" w:themeTint="A6"/>
              <w:right w:val="single" w:sz="4" w:space="0" w:color="BFCDD4"/>
            </w:tcBorders>
            <w:tcMar>
              <w:top w:w="26" w:type="dxa"/>
              <w:left w:w="92" w:type="dxa"/>
              <w:bottom w:w="26" w:type="dxa"/>
              <w:right w:w="92" w:type="dxa"/>
            </w:tcMar>
            <w:vAlign w:val="center"/>
          </w:tcPr>
          <w:p w14:paraId="2688D1AF" w14:textId="77777777" w:rsidR="0019039B" w:rsidRDefault="00000000" w:rsidP="00DE44EE">
            <w:pPr>
              <w:suppressLineNumbers/>
              <w:spacing w:before="0" w:after="0" w:line="240" w:lineRule="auto"/>
            </w:pPr>
            <w:r>
              <w:rPr>
                <w:rFonts w:ascii="Calibri Light" w:hAnsi="Calibri Light" w:cs="Calibri Light"/>
                <w:sz w:val="22"/>
                <w:szCs w:val="22"/>
                <w:sz w:val="20"/>
                <w:szCs w:val="20"/>
              </w:rPr>
              <w:t>Date</w:t>
            </w:r>
          </w:p>
        </w:tc>
        <w:tc>
          <w:tcPr>
            <w:tcW w:w="5460" w:type="dxa"/>
            <w:tcBorders>
              <w:top w:val="single" w:sz="4" w:space="0" w:color="BFCDD4"/>
              <w:left w:val="single" w:sz="4" w:space="0" w:color="BFCDD4"/>
              <w:bottom w:val="single" w:sz="2" w:space="0" w:color="595959" w:themeColor="text1" w:themeTint="A6"/>
              <w:right w:val="single" w:sz="4" w:space="0" w:color="BFCDD4"/>
            </w:tcBorders>
            <w:tcMar>
              <w:top w:w="26" w:type="dxa"/>
              <w:left w:w="92" w:type="dxa"/>
              <w:bottom w:w="26" w:type="dxa"/>
              <w:right w:w="92" w:type="dxa"/>
            </w:tcMar>
            <w:vAlign w:val="center"/>
          </w:tcPr>
          <w:p w14:paraId="69E0E5BD" w14:textId="77777777" w:rsidR="0019039B" w:rsidRDefault="00000000" w:rsidP="00DE44EE">
            <w:pPr>
              <w:suppressLineNumbers/>
              <w:spacing w:before="0" w:after="0" w:line="240" w:lineRule="auto"/>
            </w:pPr>
            <w:r>
              <w:rPr>
                <w:rFonts w:ascii="Calibri Light" w:hAnsi="Calibri Light" w:cs="Calibri Light"/>
                <w:sz w:val="22"/>
                <w:szCs w:val="22"/>
                <w:sz w:val="20"/>
                <w:szCs w:val="20"/>
              </w:rPr>
              <w:t>Description</w:t>
            </w:r>
          </w:p>
        </w:tc>
      </w:tr>
      <w:tr w:rsidR="0019039B" w14:paraId="11148E57" w14:textId="77777777" w:rsidTr="00DE44EE">
        <w:tc>
          <w:tcPr>
            <w:tcW w:w="1560" w:type="dxa"/>
            <w:tcBorders>
              <w:top w:val="single" w:sz="2" w:space="0" w:color="595959" w:themeColor="text1" w:themeTint="A6"/>
              <w:left w:val="single" w:sz="4" w:space="0" w:color="BFCDD4"/>
              <w:bottom w:val="single" w:sz="4" w:space="0" w:color="BFCDD4"/>
              <w:right w:val="single" w:sz="4" w:space="0" w:color="BFCDD4"/>
            </w:tcBorders>
            <w:tcMar>
              <w:top w:w="26" w:type="dxa"/>
              <w:left w:w="92" w:type="dxa"/>
              <w:bottom w:w="26" w:type="dxa"/>
              <w:right w:w="92" w:type="dxa"/>
            </w:tcMar>
            <w:vAlign w:val="center"/>
          </w:tcPr>
          <w:p w14:paraId="1BF6E107" w14:textId="77777777" w:rsidR="0019039B" w:rsidRDefault="009B6824" w:rsidP="00DE44EE">
            <w:pPr>
              <w:suppressLineNumbers/>
              <w:spacing w:before="0" w:after="0" w:line="240" w:lineRule="auto"/>
            </w:pPr>
            <w:r>
              <w:rPr>
                <w:rFonts w:ascii="Calibri Light" w:hAnsi="Calibri Light" w:cs="Calibri Light"/>
                <w:sz w:val="20"/>
                <w:szCs w:val="20"/>
                <w:color w:val="262626" w:themeColor="text1" w:themeTint="D9"/>
              </w:rPr>
              <w:t xml:space="preserve">1.0</w:t>
            </w:r>
          </w:p>
        </w:tc>
        <w:tc>
          <w:tcPr>
            <w:tcW w:w="2340" w:type="dxa"/>
            <w:tcBorders>
              <w:top w:val="single" w:sz="2" w:space="0" w:color="595959" w:themeColor="text1" w:themeTint="A6"/>
              <w:left w:val="single" w:sz="4" w:space="0" w:color="BFCDD4"/>
              <w:bottom w:val="single" w:sz="4" w:space="0" w:color="BFCDD4"/>
              <w:right w:val="single" w:sz="4" w:space="0" w:color="BFCDD4"/>
            </w:tcBorders>
            <w:tcMar>
              <w:top w:w="26" w:type="dxa"/>
              <w:left w:w="92" w:type="dxa"/>
              <w:bottom w:w="26" w:type="dxa"/>
              <w:right w:w="92" w:type="dxa"/>
            </w:tcMar>
            <w:vAlign w:val="center"/>
          </w:tcPr>
          <w:p w14:paraId="6923858F" w14:textId="77777777" w:rsidR="0019039B" w:rsidRDefault="009B6824" w:rsidP="00DE44EE">
            <w:pPr>
              <w:suppressLineNumbers/>
              <w:spacing w:before="0" w:after="0" w:line="240" w:lineRule="auto"/>
            </w:pPr>
            <w:r>
              <w:rPr>
                <w:rFonts w:ascii="Calibri Light" w:hAnsi="Calibri Light" w:cs="Calibri Light"/>
                <w:sz w:val="20"/>
                <w:szCs w:val="20"/>
                <w:color w:val="262626" w:themeColor="text1" w:themeTint="D9"/>
              </w:rPr>
              <w:t xml:space="preserve">July 19, 2026</w:t>
            </w:r>
          </w:p>
        </w:tc>
        <w:tc>
          <w:tcPr>
            <w:tcW w:w="5460" w:type="dxa"/>
            <w:tcBorders>
              <w:top w:val="single" w:sz="2" w:space="0" w:color="595959" w:themeColor="text1" w:themeTint="A6"/>
              <w:left w:val="single" w:sz="4" w:space="0" w:color="BFCDD4"/>
              <w:bottom w:val="single" w:sz="4" w:space="0" w:color="BFCDD4"/>
              <w:right w:val="single" w:sz="4" w:space="0" w:color="BFCDD4"/>
            </w:tcBorders>
            <w:tcMar>
              <w:top w:w="26" w:type="dxa"/>
              <w:left w:w="92" w:type="dxa"/>
              <w:bottom w:w="26" w:type="dxa"/>
              <w:right w:w="92" w:type="dxa"/>
            </w:tcMar>
            <w:vAlign w:val="center"/>
          </w:tcPr>
          <w:p w14:paraId="12C7ABC0" w14:textId="77777777" w:rsidR="0019039B" w:rsidRDefault="00000000" w:rsidP="00DE44EE">
            <w:pPr>
              <w:suppressLineNumbers/>
              <w:spacing w:before="0" w:after="0" w:line="240" w:lineRule="auto"/>
            </w:pPr>
            <w:r>
              <w:rPr>
                <w:rFonts w:ascii="Calibri Light" w:hAnsi="Calibri Light" w:cs="Calibri Light"/>
                <w:sz w:val="20"/>
                <w:szCs w:val="20"/>
                <w:color w:val="262626" w:themeColor="text1" w:themeTint="D9"/>
              </w:rPr>
              <w:t xml:space="preserve">Initial release.</w:t>
            </w:r>
          </w:p>
        </w:tc>
      </w:tr>
      <w:tr w:rsidR="0019039B" w14:paraId="04B4DF59" w14:textId="77777777">
        <w:tc>
          <w:tcPr>
            <w:tcW w:w="1560"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5CA54BD0" w14:textId="77777777" w:rsidR="0019039B" w:rsidRDefault="0019039B" w:rsidP="00DE44EE">
            <w:pPr>
              <w:suppressLineNumbers/>
              <w:spacing w:before="0" w:after="0" w:line="240" w:lineRule="auto"/>
            </w:pPr>
          </w:p>
        </w:tc>
        <w:tc>
          <w:tcPr>
            <w:tcW w:w="2340"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4C5A4AD8" w14:textId="77777777" w:rsidR="0019039B" w:rsidRDefault="0019039B" w:rsidP="00DE44EE">
            <w:pPr>
              <w:suppressLineNumbers/>
              <w:spacing w:before="0" w:after="0" w:line="240" w:lineRule="auto"/>
            </w:pPr>
          </w:p>
        </w:tc>
        <w:tc>
          <w:tcPr>
            <w:tcW w:w="5460"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3EF629F8" w14:textId="77777777" w:rsidR="0019039B" w:rsidRDefault="0019039B" w:rsidP="00DE44EE">
            <w:pPr>
              <w:suppressLineNumbers/>
              <w:spacing w:before="0" w:after="0" w:line="240" w:lineRule="auto"/>
            </w:pPr>
          </w:p>
        </w:tc>
      </w:tr>
      <w:tr w:rsidR="0019039B" w14:paraId="6EB2F396" w14:textId="77777777">
        <w:tc>
          <w:tcPr>
            <w:tcW w:w="1560"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29E8FB0D" w14:textId="77777777" w:rsidR="0019039B" w:rsidRDefault="0019039B" w:rsidP="00DE44EE">
            <w:pPr>
              <w:suppressLineNumbers/>
              <w:spacing w:before="0" w:after="0" w:line="240" w:lineRule="auto"/>
            </w:pPr>
          </w:p>
        </w:tc>
        <w:tc>
          <w:tcPr>
            <w:tcW w:w="2340"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69F3F185" w14:textId="77777777" w:rsidR="0019039B" w:rsidRDefault="0019039B" w:rsidP="00DE44EE">
            <w:pPr>
              <w:suppressLineNumbers/>
              <w:spacing w:before="0" w:after="0" w:line="240" w:lineRule="auto"/>
            </w:pPr>
          </w:p>
        </w:tc>
        <w:tc>
          <w:tcPr>
            <w:tcW w:w="5460"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4E856650" w14:textId="77777777" w:rsidR="0019039B" w:rsidRDefault="0019039B" w:rsidP="00DE44EE">
            <w:pPr>
              <w:suppressLineNumbers/>
              <w:spacing w:before="0" w:after="0" w:line="240" w:lineRule="auto"/>
            </w:pPr>
          </w:p>
        </w:tc>
      </w:tr>
      <w:tr w:rsidR="0019039B" w14:paraId="45FF049C" w14:textId="77777777">
        <w:tc>
          <w:tcPr>
            <w:tcW w:w="1560"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6237AA3D" w14:textId="77777777" w:rsidR="0019039B" w:rsidRDefault="0019039B" w:rsidP="00DE44EE">
            <w:pPr>
              <w:suppressLineNumbers/>
              <w:spacing w:before="0" w:after="0" w:line="240" w:lineRule="auto"/>
            </w:pPr>
          </w:p>
        </w:tc>
        <w:tc>
          <w:tcPr>
            <w:tcW w:w="2340"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0C8AE3D2" w14:textId="77777777" w:rsidR="0019039B" w:rsidRDefault="0019039B" w:rsidP="00DE44EE">
            <w:pPr>
              <w:suppressLineNumbers/>
              <w:spacing w:before="0" w:after="0" w:line="240" w:lineRule="auto"/>
            </w:pPr>
          </w:p>
        </w:tc>
        <w:tc>
          <w:tcPr>
            <w:tcW w:w="5460"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475293DB" w14:textId="77777777" w:rsidR="0019039B" w:rsidRDefault="0019039B" w:rsidP="00DE44EE">
            <w:pPr>
              <w:suppressLineNumbers/>
              <w:spacing w:before="0" w:after="0" w:line="240" w:lineRule="auto"/>
            </w:pPr>
          </w:p>
        </w:tc>
      </w:tr>
    </w:tbl>
    <w:sectPr w:rsidR="00DE44EE">
      <w:headerReference w:type="default" r:id="rId9"/>
      <w:footerReference w:type="default" r:id="rId10"/>
      <w:headerReference w:type="first" r:id="rId11"/>
      <w:footerReference w:type="first" r:id="rId12"/>
      <w:pgSz w:w="12240" w:h="15840"/>
      <w:pgMar w:top="1040" w:right="1440" w:bottom="900" w:left="1440" w:header="340" w:footer="340" w:gutter="0"/>
      <w:lnNumType w:countBy="1" w:start="1" w:restart="continuous" w:distance="36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49DDE3" w14:textId="77777777" w:rsidR="009018D5" w:rsidRDefault="009018D5" w:rsidP="007A2335">
      <w:r>
        <w:separator/>
      </w:r>
    </w:p>
  </w:endnote>
  <w:endnote w:type="continuationSeparator" w:id="0">
    <w:p w14:paraId="30CBC29F" w14:textId="77777777" w:rsidR="009018D5" w:rsidRDefault="009018D5" w:rsidP="007A23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tabs>
        <w:tab w:val="right" w:pos="9360"/>
      </w:tabs>
      <w:spacing w:before="0" w:after="0" w:line="240" w:lineRule="auto"/>
    </w:pPr>
    <w:r>
      <w:rPr>
        <w:rFonts w:ascii="Calibri Light" w:hAnsi="Calibri Light"/>
        <w:sz w:val="17"/>
        <w:color w:val="7A848E"/>
      </w:rPr>
      <w:t xml:space="preserve">Page </w:t>
    </w:r>
    <w:r>
      <w:fldChar w:fldCharType="begin"/>
    </w:r>
    <w:r>
      <w:instrText>PAGE</w:instrText>
    </w:r>
    <w:r>
      <w:fldChar w:fldCharType="separate"/>
    </w:r>
    <w:r>
      <w:rPr>
        <w:rFonts w:ascii="Calibri Light" w:hAnsi="Calibri Light"/>
        <w:sz w:val="17"/>
        <w:color w:val="7A848E"/>
        <w:noProof/>
      </w:rPr>
      <w:t>1</w:t>
    </w:r>
    <w:r>
      <w:fldChar w:fldCharType="end"/>
    </w:r>
    <w:r>
      <w:rPr>
        <w:rFonts w:ascii="Calibri Light" w:hAnsi="Calibri Light"/>
        <w:sz w:val="17"/>
        <w:color w:val="7A848E"/>
      </w:rPr>
      <w:t xml:space="preserve"> of </w:t>
    </w:r>
    <w:r>
      <w:fldChar w:fldCharType="begin"/>
    </w:r>
    <w:r>
      <w:instrText>NUMPAGES</w:instrText>
    </w:r>
    <w:r>
      <w:fldChar w:fldCharType="separate"/>
    </w:r>
    <w:r>
      <w:rPr>
        <w:rFonts w:ascii="Calibri Light" w:hAnsi="Calibri Light"/>
        <w:sz w:val="17"/>
        <w:color w:val="7A848E"/>
        <w:noProof/>
      </w:rPr>
      <w:t>1</w:t>
    </w:r>
    <w:r>
      <w:fldChar w:fldCharType="end"/>
    </w:r>
    <w:r>
      <w:tab/>
    </w:r>
    <w:r w:rsidRPr="001E2F5A">
      <w:rPr>
        <w:noProof/>
      </w:rPr>
      <w:drawing>
        <wp:inline distT="0" distB="0" distL="0" distR="0" wp14:anchorId="7512B672" wp14:editId="69EE1F29">
          <wp:extent cx="998968" cy="307023"/>
          <wp:effectExtent l="0" t="0" r="4445" b="0"/>
          <wp:docPr id="456977664" name="Picture 4569776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9062" cy="310125"/>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6D010B" w14:textId="77777777" w:rsidR="009018D5" w:rsidRDefault="009018D5" w:rsidP="007A2335">
      <w:r>
        <w:separator/>
      </w:r>
    </w:p>
  </w:footnote>
  <w:footnote w:type="continuationSeparator" w:id="0">
    <w:p w14:paraId="2D46E541" w14:textId="77777777" w:rsidR="009018D5" w:rsidRDefault="009018D5" w:rsidP="007A23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spacing w:before="0" w:after="0" w:line="240" w:lineRule="auto"/>
      <w:jc w:val="center"/>
    </w:pPr>
    <w:r>
      <w:rPr>
        <w:rFonts w:ascii="Calibri Light" w:hAnsi="Calibri Light"/>
        <w:sz w:val="17"/>
        <w:color w:val="7A848E"/>
        <w:spacing w:val="12"/>
      </w:rPr>
      <w:t xml:space="preserve">ENDPOINT AND BYOD STANDARD · INTERNAL · STD-EPT-001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43660E"/>
    <w:multiLevelType w:val="hybridMultilevel"/>
    <w:tmpl w:val="F4A861CC"/>
    <w:lvl w:ilvl="0" w:tplc="658ABD2A">
      <w:start w:val="1"/>
      <w:numFmt w:val="decimal"/>
      <w:lvlText w:val="%1."/>
      <w:lvlJc w:val="left"/>
      <w:pPr>
        <w:ind w:left="620" w:hanging="360"/>
      </w:pPr>
    </w:lvl>
    <w:lvl w:ilvl="1" w:tplc="72A6BDBE">
      <w:numFmt w:val="decimal"/>
      <w:lvlText w:val=""/>
      <w:lvlJc w:val="left"/>
    </w:lvl>
    <w:lvl w:ilvl="2" w:tplc="AC62B27E">
      <w:numFmt w:val="decimal"/>
      <w:lvlText w:val=""/>
      <w:lvlJc w:val="left"/>
    </w:lvl>
    <w:lvl w:ilvl="3" w:tplc="1CDA5428">
      <w:numFmt w:val="decimal"/>
      <w:lvlText w:val=""/>
      <w:lvlJc w:val="left"/>
    </w:lvl>
    <w:lvl w:ilvl="4" w:tplc="F642CA78">
      <w:numFmt w:val="decimal"/>
      <w:lvlText w:val=""/>
      <w:lvlJc w:val="left"/>
    </w:lvl>
    <w:lvl w:ilvl="5" w:tplc="D58A9E38">
      <w:numFmt w:val="decimal"/>
      <w:lvlText w:val=""/>
      <w:lvlJc w:val="left"/>
    </w:lvl>
    <w:lvl w:ilvl="6" w:tplc="6D920BEC">
      <w:numFmt w:val="decimal"/>
      <w:lvlText w:val=""/>
      <w:lvlJc w:val="left"/>
    </w:lvl>
    <w:lvl w:ilvl="7" w:tplc="9A2AD962">
      <w:numFmt w:val="decimal"/>
      <w:lvlText w:val=""/>
      <w:lvlJc w:val="left"/>
    </w:lvl>
    <w:lvl w:ilvl="8" w:tplc="210E58A8">
      <w:numFmt w:val="decimal"/>
      <w:lvlText w:val=""/>
      <w:lvlJc w:val="left"/>
    </w:lvl>
  </w:abstractNum>
  <w:abstractNum w:abstractNumId="1" w15:restartNumberingAfterBreak="0">
    <w:nsid w:val="0D4F44E9"/>
    <w:multiLevelType w:val="hybridMultilevel"/>
    <w:tmpl w:val="D3D07824"/>
    <w:lvl w:ilvl="0" w:tplc="593851A2">
      <w:start w:val="1"/>
      <w:numFmt w:val="decimal"/>
      <w:lvlText w:val="%1."/>
      <w:lvlJc w:val="left"/>
      <w:pPr>
        <w:ind w:left="620" w:hanging="360"/>
      </w:pPr>
    </w:lvl>
    <w:lvl w:ilvl="1" w:tplc="2F9A6F38">
      <w:numFmt w:val="decimal"/>
      <w:lvlText w:val=""/>
      <w:lvlJc w:val="left"/>
    </w:lvl>
    <w:lvl w:ilvl="2" w:tplc="405C5908">
      <w:numFmt w:val="decimal"/>
      <w:lvlText w:val=""/>
      <w:lvlJc w:val="left"/>
    </w:lvl>
    <w:lvl w:ilvl="3" w:tplc="05061E6C">
      <w:numFmt w:val="decimal"/>
      <w:lvlText w:val=""/>
      <w:lvlJc w:val="left"/>
    </w:lvl>
    <w:lvl w:ilvl="4" w:tplc="8B62D0FC">
      <w:numFmt w:val="decimal"/>
      <w:lvlText w:val=""/>
      <w:lvlJc w:val="left"/>
    </w:lvl>
    <w:lvl w:ilvl="5" w:tplc="D12AAE54">
      <w:numFmt w:val="decimal"/>
      <w:lvlText w:val=""/>
      <w:lvlJc w:val="left"/>
    </w:lvl>
    <w:lvl w:ilvl="6" w:tplc="822A1508">
      <w:numFmt w:val="decimal"/>
      <w:lvlText w:val=""/>
      <w:lvlJc w:val="left"/>
    </w:lvl>
    <w:lvl w:ilvl="7" w:tplc="566CCD1C">
      <w:numFmt w:val="decimal"/>
      <w:lvlText w:val=""/>
      <w:lvlJc w:val="left"/>
    </w:lvl>
    <w:lvl w:ilvl="8" w:tplc="5180FD0A">
      <w:numFmt w:val="decimal"/>
      <w:lvlText w:val=""/>
      <w:lvlJc w:val="left"/>
    </w:lvl>
  </w:abstractNum>
  <w:abstractNum w:abstractNumId="2" w15:restartNumberingAfterBreak="0">
    <w:nsid w:val="12381682"/>
    <w:multiLevelType w:val="hybridMultilevel"/>
    <w:tmpl w:val="5AC4A2BE"/>
    <w:lvl w:ilvl="0" w:tplc="02A4A696">
      <w:start w:val="1"/>
      <w:numFmt w:val="decimal"/>
      <w:lvlText w:val="%1."/>
      <w:lvlJc w:val="left"/>
      <w:pPr>
        <w:ind w:left="620" w:hanging="360"/>
      </w:pPr>
    </w:lvl>
    <w:lvl w:ilvl="1" w:tplc="6D8E4FD0">
      <w:numFmt w:val="decimal"/>
      <w:lvlText w:val=""/>
      <w:lvlJc w:val="left"/>
    </w:lvl>
    <w:lvl w:ilvl="2" w:tplc="3FB46C02">
      <w:numFmt w:val="decimal"/>
      <w:lvlText w:val=""/>
      <w:lvlJc w:val="left"/>
    </w:lvl>
    <w:lvl w:ilvl="3" w:tplc="F5BE307A">
      <w:numFmt w:val="decimal"/>
      <w:lvlText w:val=""/>
      <w:lvlJc w:val="left"/>
    </w:lvl>
    <w:lvl w:ilvl="4" w:tplc="413AC72A">
      <w:numFmt w:val="decimal"/>
      <w:lvlText w:val=""/>
      <w:lvlJc w:val="left"/>
    </w:lvl>
    <w:lvl w:ilvl="5" w:tplc="2EAA9528">
      <w:numFmt w:val="decimal"/>
      <w:lvlText w:val=""/>
      <w:lvlJc w:val="left"/>
    </w:lvl>
    <w:lvl w:ilvl="6" w:tplc="AA003E3E">
      <w:numFmt w:val="decimal"/>
      <w:lvlText w:val=""/>
      <w:lvlJc w:val="left"/>
    </w:lvl>
    <w:lvl w:ilvl="7" w:tplc="2DDE166C">
      <w:numFmt w:val="decimal"/>
      <w:lvlText w:val=""/>
      <w:lvlJc w:val="left"/>
    </w:lvl>
    <w:lvl w:ilvl="8" w:tplc="98289EEC">
      <w:numFmt w:val="decimal"/>
      <w:lvlText w:val=""/>
      <w:lvlJc w:val="left"/>
    </w:lvl>
  </w:abstractNum>
  <w:abstractNum w:abstractNumId="3" w15:restartNumberingAfterBreak="0">
    <w:nsid w:val="12A90452"/>
    <w:multiLevelType w:val="hybridMultilevel"/>
    <w:tmpl w:val="E95AD15C"/>
    <w:lvl w:ilvl="0" w:tplc="51104B38">
      <w:start w:val="1"/>
      <w:numFmt w:val="bullet"/>
      <w:lvlText w:val="●"/>
      <w:lvlJc w:val="left"/>
      <w:pPr>
        <w:ind w:left="720" w:hanging="360"/>
      </w:pPr>
    </w:lvl>
    <w:lvl w:ilvl="1" w:tplc="15DC10BC">
      <w:start w:val="1"/>
      <w:numFmt w:val="bullet"/>
      <w:lvlText w:val="○"/>
      <w:lvlJc w:val="left"/>
      <w:pPr>
        <w:ind w:left="1440" w:hanging="360"/>
      </w:pPr>
    </w:lvl>
    <w:lvl w:ilvl="2" w:tplc="46906D2A">
      <w:start w:val="1"/>
      <w:numFmt w:val="bullet"/>
      <w:lvlText w:val="■"/>
      <w:lvlJc w:val="left"/>
      <w:pPr>
        <w:ind w:left="2160" w:hanging="360"/>
      </w:pPr>
    </w:lvl>
    <w:lvl w:ilvl="3" w:tplc="4ADC6E1A">
      <w:start w:val="1"/>
      <w:numFmt w:val="bullet"/>
      <w:lvlText w:val="●"/>
      <w:lvlJc w:val="left"/>
      <w:pPr>
        <w:ind w:left="2880" w:hanging="360"/>
      </w:pPr>
    </w:lvl>
    <w:lvl w:ilvl="4" w:tplc="72C80178">
      <w:start w:val="1"/>
      <w:numFmt w:val="bullet"/>
      <w:lvlText w:val="○"/>
      <w:lvlJc w:val="left"/>
      <w:pPr>
        <w:ind w:left="3600" w:hanging="360"/>
      </w:pPr>
    </w:lvl>
    <w:lvl w:ilvl="5" w:tplc="90325F78">
      <w:start w:val="1"/>
      <w:numFmt w:val="bullet"/>
      <w:lvlText w:val="■"/>
      <w:lvlJc w:val="left"/>
      <w:pPr>
        <w:ind w:left="4320" w:hanging="360"/>
      </w:pPr>
    </w:lvl>
    <w:lvl w:ilvl="6" w:tplc="D4EAC122">
      <w:start w:val="1"/>
      <w:numFmt w:val="bullet"/>
      <w:lvlText w:val="●"/>
      <w:lvlJc w:val="left"/>
      <w:pPr>
        <w:ind w:left="5040" w:hanging="360"/>
      </w:pPr>
    </w:lvl>
    <w:lvl w:ilvl="7" w:tplc="AAFAE78E">
      <w:start w:val="1"/>
      <w:numFmt w:val="bullet"/>
      <w:lvlText w:val="●"/>
      <w:lvlJc w:val="left"/>
      <w:pPr>
        <w:ind w:left="5760" w:hanging="360"/>
      </w:pPr>
    </w:lvl>
    <w:lvl w:ilvl="8" w:tplc="D864312A">
      <w:start w:val="1"/>
      <w:numFmt w:val="bullet"/>
      <w:lvlText w:val="●"/>
      <w:lvlJc w:val="left"/>
      <w:pPr>
        <w:ind w:left="6480" w:hanging="360"/>
      </w:pPr>
    </w:lvl>
  </w:abstractNum>
  <w:abstractNum w:abstractNumId="4" w15:restartNumberingAfterBreak="0">
    <w:nsid w:val="1F181B1C"/>
    <w:multiLevelType w:val="hybridMultilevel"/>
    <w:tmpl w:val="8176FE40"/>
    <w:lvl w:ilvl="0" w:tplc="84DA111E">
      <w:start w:val="1"/>
      <w:numFmt w:val="decimal"/>
      <w:lvlText w:val="%1."/>
      <w:lvlJc w:val="left"/>
      <w:pPr>
        <w:ind w:left="620" w:hanging="360"/>
      </w:pPr>
    </w:lvl>
    <w:lvl w:ilvl="1" w:tplc="EC228C00">
      <w:numFmt w:val="decimal"/>
      <w:lvlText w:val=""/>
      <w:lvlJc w:val="left"/>
    </w:lvl>
    <w:lvl w:ilvl="2" w:tplc="5B924CF6">
      <w:numFmt w:val="decimal"/>
      <w:lvlText w:val=""/>
      <w:lvlJc w:val="left"/>
    </w:lvl>
    <w:lvl w:ilvl="3" w:tplc="FA9CE1BA">
      <w:numFmt w:val="decimal"/>
      <w:lvlText w:val=""/>
      <w:lvlJc w:val="left"/>
    </w:lvl>
    <w:lvl w:ilvl="4" w:tplc="4732CC84">
      <w:numFmt w:val="decimal"/>
      <w:lvlText w:val=""/>
      <w:lvlJc w:val="left"/>
    </w:lvl>
    <w:lvl w:ilvl="5" w:tplc="99082D2A">
      <w:numFmt w:val="decimal"/>
      <w:lvlText w:val=""/>
      <w:lvlJc w:val="left"/>
    </w:lvl>
    <w:lvl w:ilvl="6" w:tplc="2CD688DE">
      <w:numFmt w:val="decimal"/>
      <w:lvlText w:val=""/>
      <w:lvlJc w:val="left"/>
    </w:lvl>
    <w:lvl w:ilvl="7" w:tplc="10FA9BF0">
      <w:numFmt w:val="decimal"/>
      <w:lvlText w:val=""/>
      <w:lvlJc w:val="left"/>
    </w:lvl>
    <w:lvl w:ilvl="8" w:tplc="BBA4F128">
      <w:numFmt w:val="decimal"/>
      <w:lvlText w:val=""/>
      <w:lvlJc w:val="left"/>
    </w:lvl>
  </w:abstractNum>
  <w:abstractNum w:abstractNumId="5" w15:restartNumberingAfterBreak="0">
    <w:nsid w:val="3781113F"/>
    <w:multiLevelType w:val="hybridMultilevel"/>
    <w:tmpl w:val="9454D2A2"/>
    <w:lvl w:ilvl="0" w:tplc="2F8C71F4">
      <w:start w:val="1"/>
      <w:numFmt w:val="decimal"/>
      <w:lvlText w:val="%1."/>
      <w:lvlJc w:val="left"/>
      <w:pPr>
        <w:ind w:left="620" w:hanging="360"/>
      </w:pPr>
    </w:lvl>
    <w:lvl w:ilvl="1" w:tplc="0014566E">
      <w:numFmt w:val="decimal"/>
      <w:lvlText w:val=""/>
      <w:lvlJc w:val="left"/>
    </w:lvl>
    <w:lvl w:ilvl="2" w:tplc="4DB45612">
      <w:numFmt w:val="decimal"/>
      <w:lvlText w:val=""/>
      <w:lvlJc w:val="left"/>
    </w:lvl>
    <w:lvl w:ilvl="3" w:tplc="724666C6">
      <w:numFmt w:val="decimal"/>
      <w:lvlText w:val=""/>
      <w:lvlJc w:val="left"/>
    </w:lvl>
    <w:lvl w:ilvl="4" w:tplc="2800DC9A">
      <w:numFmt w:val="decimal"/>
      <w:lvlText w:val=""/>
      <w:lvlJc w:val="left"/>
    </w:lvl>
    <w:lvl w:ilvl="5" w:tplc="BDEC9E4C">
      <w:numFmt w:val="decimal"/>
      <w:lvlText w:val=""/>
      <w:lvlJc w:val="left"/>
    </w:lvl>
    <w:lvl w:ilvl="6" w:tplc="75746004">
      <w:numFmt w:val="decimal"/>
      <w:lvlText w:val=""/>
      <w:lvlJc w:val="left"/>
    </w:lvl>
    <w:lvl w:ilvl="7" w:tplc="F626CADC">
      <w:numFmt w:val="decimal"/>
      <w:lvlText w:val=""/>
      <w:lvlJc w:val="left"/>
    </w:lvl>
    <w:lvl w:ilvl="8" w:tplc="0EDA45AE">
      <w:numFmt w:val="decimal"/>
      <w:lvlText w:val=""/>
      <w:lvlJc w:val="left"/>
    </w:lvl>
  </w:abstractNum>
  <w:abstractNum w:abstractNumId="6" w15:restartNumberingAfterBreak="0">
    <w:nsid w:val="37CB2894"/>
    <w:multiLevelType w:val="hybridMultilevel"/>
    <w:tmpl w:val="D80CCD7A"/>
    <w:lvl w:ilvl="0" w:tplc="78E8FDAE">
      <w:start w:val="1"/>
      <w:numFmt w:val="decimal"/>
      <w:lvlText w:val="%1."/>
      <w:lvlJc w:val="left"/>
      <w:pPr>
        <w:ind w:left="620" w:hanging="360"/>
      </w:pPr>
    </w:lvl>
    <w:lvl w:ilvl="1" w:tplc="BC9A0D84">
      <w:numFmt w:val="decimal"/>
      <w:lvlText w:val=""/>
      <w:lvlJc w:val="left"/>
    </w:lvl>
    <w:lvl w:ilvl="2" w:tplc="BD62DF40">
      <w:numFmt w:val="decimal"/>
      <w:lvlText w:val=""/>
      <w:lvlJc w:val="left"/>
    </w:lvl>
    <w:lvl w:ilvl="3" w:tplc="5FC8E1AA">
      <w:numFmt w:val="decimal"/>
      <w:lvlText w:val=""/>
      <w:lvlJc w:val="left"/>
    </w:lvl>
    <w:lvl w:ilvl="4" w:tplc="FBB4D8F0">
      <w:numFmt w:val="decimal"/>
      <w:lvlText w:val=""/>
      <w:lvlJc w:val="left"/>
    </w:lvl>
    <w:lvl w:ilvl="5" w:tplc="0F8A79A2">
      <w:numFmt w:val="decimal"/>
      <w:lvlText w:val=""/>
      <w:lvlJc w:val="left"/>
    </w:lvl>
    <w:lvl w:ilvl="6" w:tplc="9C608644">
      <w:numFmt w:val="decimal"/>
      <w:lvlText w:val=""/>
      <w:lvlJc w:val="left"/>
    </w:lvl>
    <w:lvl w:ilvl="7" w:tplc="7D7C6356">
      <w:numFmt w:val="decimal"/>
      <w:lvlText w:val=""/>
      <w:lvlJc w:val="left"/>
    </w:lvl>
    <w:lvl w:ilvl="8" w:tplc="620CEA2E">
      <w:numFmt w:val="decimal"/>
      <w:lvlText w:val=""/>
      <w:lvlJc w:val="left"/>
    </w:lvl>
  </w:abstractNum>
  <w:abstractNum w:abstractNumId="7" w15:restartNumberingAfterBreak="0">
    <w:nsid w:val="3B3E71FB"/>
    <w:multiLevelType w:val="hybridMultilevel"/>
    <w:tmpl w:val="164A61FA"/>
    <w:lvl w:ilvl="0" w:tplc="4692B8E0">
      <w:start w:val="1"/>
      <w:numFmt w:val="bullet"/>
      <w:lvlText w:val="•"/>
      <w:lvlJc w:val="left"/>
      <w:pPr>
        <w:ind w:left="620" w:hanging="360"/>
      </w:pPr>
    </w:lvl>
    <w:lvl w:ilvl="1" w:tplc="FF062C68">
      <w:numFmt w:val="decimal"/>
      <w:lvlText w:val=""/>
      <w:lvlJc w:val="left"/>
    </w:lvl>
    <w:lvl w:ilvl="2" w:tplc="E384EB1A">
      <w:numFmt w:val="decimal"/>
      <w:lvlText w:val=""/>
      <w:lvlJc w:val="left"/>
    </w:lvl>
    <w:lvl w:ilvl="3" w:tplc="09602996">
      <w:numFmt w:val="decimal"/>
      <w:lvlText w:val=""/>
      <w:lvlJc w:val="left"/>
    </w:lvl>
    <w:lvl w:ilvl="4" w:tplc="D0584B1C">
      <w:numFmt w:val="decimal"/>
      <w:lvlText w:val=""/>
      <w:lvlJc w:val="left"/>
    </w:lvl>
    <w:lvl w:ilvl="5" w:tplc="E7B6D6C6">
      <w:numFmt w:val="decimal"/>
      <w:lvlText w:val=""/>
      <w:lvlJc w:val="left"/>
    </w:lvl>
    <w:lvl w:ilvl="6" w:tplc="10BAECA4">
      <w:numFmt w:val="decimal"/>
      <w:lvlText w:val=""/>
      <w:lvlJc w:val="left"/>
    </w:lvl>
    <w:lvl w:ilvl="7" w:tplc="D0640334">
      <w:numFmt w:val="decimal"/>
      <w:lvlText w:val=""/>
      <w:lvlJc w:val="left"/>
    </w:lvl>
    <w:lvl w:ilvl="8" w:tplc="4510DC9C">
      <w:numFmt w:val="decimal"/>
      <w:lvlText w:val=""/>
      <w:lvlJc w:val="left"/>
    </w:lvl>
  </w:abstractNum>
  <w:abstractNum w:abstractNumId="8" w15:restartNumberingAfterBreak="0">
    <w:nsid w:val="3F3E6C6E"/>
    <w:multiLevelType w:val="hybridMultilevel"/>
    <w:tmpl w:val="23665D02"/>
    <w:lvl w:ilvl="0" w:tplc="82C67C14">
      <w:start w:val="1"/>
      <w:numFmt w:val="decimal"/>
      <w:lvlText w:val="%1."/>
      <w:lvlJc w:val="left"/>
      <w:pPr>
        <w:ind w:left="620" w:hanging="360"/>
      </w:pPr>
    </w:lvl>
    <w:lvl w:ilvl="1" w:tplc="ACEE9A72">
      <w:numFmt w:val="decimal"/>
      <w:lvlText w:val=""/>
      <w:lvlJc w:val="left"/>
    </w:lvl>
    <w:lvl w:ilvl="2" w:tplc="A47A80B8">
      <w:numFmt w:val="decimal"/>
      <w:lvlText w:val=""/>
      <w:lvlJc w:val="left"/>
    </w:lvl>
    <w:lvl w:ilvl="3" w:tplc="7812EFF0">
      <w:numFmt w:val="decimal"/>
      <w:lvlText w:val=""/>
      <w:lvlJc w:val="left"/>
    </w:lvl>
    <w:lvl w:ilvl="4" w:tplc="4F56F6F0">
      <w:numFmt w:val="decimal"/>
      <w:lvlText w:val=""/>
      <w:lvlJc w:val="left"/>
    </w:lvl>
    <w:lvl w:ilvl="5" w:tplc="1DBE46D8">
      <w:numFmt w:val="decimal"/>
      <w:lvlText w:val=""/>
      <w:lvlJc w:val="left"/>
    </w:lvl>
    <w:lvl w:ilvl="6" w:tplc="2124DD36">
      <w:numFmt w:val="decimal"/>
      <w:lvlText w:val=""/>
      <w:lvlJc w:val="left"/>
    </w:lvl>
    <w:lvl w:ilvl="7" w:tplc="12A227FE">
      <w:numFmt w:val="decimal"/>
      <w:lvlText w:val=""/>
      <w:lvlJc w:val="left"/>
    </w:lvl>
    <w:lvl w:ilvl="8" w:tplc="BCC67590">
      <w:numFmt w:val="decimal"/>
      <w:lvlText w:val=""/>
      <w:lvlJc w:val="left"/>
    </w:lvl>
  </w:abstractNum>
  <w:abstractNum w:abstractNumId="9" w15:restartNumberingAfterBreak="0">
    <w:nsid w:val="4B775FC3"/>
    <w:multiLevelType w:val="hybridMultilevel"/>
    <w:tmpl w:val="EB12C6B0"/>
    <w:lvl w:ilvl="0" w:tplc="0632E60C">
      <w:start w:val="1"/>
      <w:numFmt w:val="decimal"/>
      <w:lvlText w:val="%1."/>
      <w:lvlJc w:val="left"/>
      <w:pPr>
        <w:ind w:left="620" w:hanging="360"/>
      </w:pPr>
    </w:lvl>
    <w:lvl w:ilvl="1" w:tplc="FF5E57AC">
      <w:numFmt w:val="decimal"/>
      <w:lvlText w:val=""/>
      <w:lvlJc w:val="left"/>
    </w:lvl>
    <w:lvl w:ilvl="2" w:tplc="DAA46B02">
      <w:numFmt w:val="decimal"/>
      <w:lvlText w:val=""/>
      <w:lvlJc w:val="left"/>
    </w:lvl>
    <w:lvl w:ilvl="3" w:tplc="CC8212BC">
      <w:numFmt w:val="decimal"/>
      <w:lvlText w:val=""/>
      <w:lvlJc w:val="left"/>
    </w:lvl>
    <w:lvl w:ilvl="4" w:tplc="2C7E2B2A">
      <w:numFmt w:val="decimal"/>
      <w:lvlText w:val=""/>
      <w:lvlJc w:val="left"/>
    </w:lvl>
    <w:lvl w:ilvl="5" w:tplc="6EDC8634">
      <w:numFmt w:val="decimal"/>
      <w:lvlText w:val=""/>
      <w:lvlJc w:val="left"/>
    </w:lvl>
    <w:lvl w:ilvl="6" w:tplc="16CE64F8">
      <w:numFmt w:val="decimal"/>
      <w:lvlText w:val=""/>
      <w:lvlJc w:val="left"/>
    </w:lvl>
    <w:lvl w:ilvl="7" w:tplc="1374B0A8">
      <w:numFmt w:val="decimal"/>
      <w:lvlText w:val=""/>
      <w:lvlJc w:val="left"/>
    </w:lvl>
    <w:lvl w:ilvl="8" w:tplc="881653AC">
      <w:numFmt w:val="decimal"/>
      <w:lvlText w:val=""/>
      <w:lvlJc w:val="left"/>
    </w:lvl>
  </w:abstractNum>
  <w:abstractNum w:abstractNumId="10" w15:restartNumberingAfterBreak="0">
    <w:nsid w:val="4E4B6442"/>
    <w:multiLevelType w:val="hybridMultilevel"/>
    <w:tmpl w:val="07EE893C"/>
    <w:lvl w:ilvl="0" w:tplc="2CC27D6C">
      <w:start w:val="1"/>
      <w:numFmt w:val="decimal"/>
      <w:lvlText w:val="%1."/>
      <w:lvlJc w:val="left"/>
      <w:pPr>
        <w:ind w:left="620" w:hanging="360"/>
      </w:pPr>
    </w:lvl>
    <w:lvl w:ilvl="1" w:tplc="1576D634">
      <w:numFmt w:val="decimal"/>
      <w:lvlText w:val=""/>
      <w:lvlJc w:val="left"/>
    </w:lvl>
    <w:lvl w:ilvl="2" w:tplc="FFEEE7AE">
      <w:numFmt w:val="decimal"/>
      <w:lvlText w:val=""/>
      <w:lvlJc w:val="left"/>
    </w:lvl>
    <w:lvl w:ilvl="3" w:tplc="8B9A0414">
      <w:numFmt w:val="decimal"/>
      <w:lvlText w:val=""/>
      <w:lvlJc w:val="left"/>
    </w:lvl>
    <w:lvl w:ilvl="4" w:tplc="F54603E8">
      <w:numFmt w:val="decimal"/>
      <w:lvlText w:val=""/>
      <w:lvlJc w:val="left"/>
    </w:lvl>
    <w:lvl w:ilvl="5" w:tplc="3282F5CC">
      <w:numFmt w:val="decimal"/>
      <w:lvlText w:val=""/>
      <w:lvlJc w:val="left"/>
    </w:lvl>
    <w:lvl w:ilvl="6" w:tplc="3FE815CE">
      <w:numFmt w:val="decimal"/>
      <w:lvlText w:val=""/>
      <w:lvlJc w:val="left"/>
    </w:lvl>
    <w:lvl w:ilvl="7" w:tplc="D64A5776">
      <w:numFmt w:val="decimal"/>
      <w:lvlText w:val=""/>
      <w:lvlJc w:val="left"/>
    </w:lvl>
    <w:lvl w:ilvl="8" w:tplc="A040432E">
      <w:numFmt w:val="decimal"/>
      <w:lvlText w:val=""/>
      <w:lvlJc w:val="left"/>
    </w:lvl>
  </w:abstractNum>
  <w:abstractNum w:abstractNumId="11" w15:restartNumberingAfterBreak="0">
    <w:nsid w:val="4E5671AB"/>
    <w:multiLevelType w:val="hybridMultilevel"/>
    <w:tmpl w:val="F88E14F0"/>
    <w:lvl w:ilvl="0" w:tplc="A6EAD9C4">
      <w:start w:val="1"/>
      <w:numFmt w:val="decimal"/>
      <w:lvlText w:val="%1."/>
      <w:lvlJc w:val="left"/>
      <w:pPr>
        <w:ind w:left="620" w:hanging="360"/>
      </w:pPr>
    </w:lvl>
    <w:lvl w:ilvl="1" w:tplc="F73070EC">
      <w:numFmt w:val="decimal"/>
      <w:lvlText w:val=""/>
      <w:lvlJc w:val="left"/>
    </w:lvl>
    <w:lvl w:ilvl="2" w:tplc="7B8E6248">
      <w:numFmt w:val="decimal"/>
      <w:lvlText w:val=""/>
      <w:lvlJc w:val="left"/>
    </w:lvl>
    <w:lvl w:ilvl="3" w:tplc="027C9D56">
      <w:numFmt w:val="decimal"/>
      <w:lvlText w:val=""/>
      <w:lvlJc w:val="left"/>
    </w:lvl>
    <w:lvl w:ilvl="4" w:tplc="740ED0A2">
      <w:numFmt w:val="decimal"/>
      <w:lvlText w:val=""/>
      <w:lvlJc w:val="left"/>
    </w:lvl>
    <w:lvl w:ilvl="5" w:tplc="894473A2">
      <w:numFmt w:val="decimal"/>
      <w:lvlText w:val=""/>
      <w:lvlJc w:val="left"/>
    </w:lvl>
    <w:lvl w:ilvl="6" w:tplc="AA54DC02">
      <w:numFmt w:val="decimal"/>
      <w:lvlText w:val=""/>
      <w:lvlJc w:val="left"/>
    </w:lvl>
    <w:lvl w:ilvl="7" w:tplc="E60E4E0C">
      <w:numFmt w:val="decimal"/>
      <w:lvlText w:val=""/>
      <w:lvlJc w:val="left"/>
    </w:lvl>
    <w:lvl w:ilvl="8" w:tplc="81760BCE">
      <w:numFmt w:val="decimal"/>
      <w:lvlText w:val=""/>
      <w:lvlJc w:val="left"/>
    </w:lvl>
  </w:abstractNum>
  <w:abstractNum w:abstractNumId="12" w15:restartNumberingAfterBreak="0">
    <w:nsid w:val="60DE7120"/>
    <w:multiLevelType w:val="hybridMultilevel"/>
    <w:tmpl w:val="59207FBE"/>
    <w:lvl w:ilvl="0" w:tplc="29FE4AE4">
      <w:start w:val="1"/>
      <w:numFmt w:val="decimal"/>
      <w:lvlText w:val="%1."/>
      <w:lvlJc w:val="left"/>
      <w:pPr>
        <w:ind w:left="620" w:hanging="360"/>
      </w:pPr>
    </w:lvl>
    <w:lvl w:ilvl="1" w:tplc="6A04A384">
      <w:numFmt w:val="decimal"/>
      <w:lvlText w:val=""/>
      <w:lvlJc w:val="left"/>
    </w:lvl>
    <w:lvl w:ilvl="2" w:tplc="94249D14">
      <w:numFmt w:val="decimal"/>
      <w:lvlText w:val=""/>
      <w:lvlJc w:val="left"/>
    </w:lvl>
    <w:lvl w:ilvl="3" w:tplc="B1EC5042">
      <w:numFmt w:val="decimal"/>
      <w:lvlText w:val=""/>
      <w:lvlJc w:val="left"/>
    </w:lvl>
    <w:lvl w:ilvl="4" w:tplc="79728806">
      <w:numFmt w:val="decimal"/>
      <w:lvlText w:val=""/>
      <w:lvlJc w:val="left"/>
    </w:lvl>
    <w:lvl w:ilvl="5" w:tplc="F6CC730C">
      <w:numFmt w:val="decimal"/>
      <w:lvlText w:val=""/>
      <w:lvlJc w:val="left"/>
    </w:lvl>
    <w:lvl w:ilvl="6" w:tplc="0C349284">
      <w:numFmt w:val="decimal"/>
      <w:lvlText w:val=""/>
      <w:lvlJc w:val="left"/>
    </w:lvl>
    <w:lvl w:ilvl="7" w:tplc="79A662C0">
      <w:numFmt w:val="decimal"/>
      <w:lvlText w:val=""/>
      <w:lvlJc w:val="left"/>
    </w:lvl>
    <w:lvl w:ilvl="8" w:tplc="C9B6EFF4">
      <w:numFmt w:val="decimal"/>
      <w:lvlText w:val=""/>
      <w:lvlJc w:val="left"/>
    </w:lvl>
  </w:abstractNum>
  <w:abstractNum w:abstractNumId="13" w15:restartNumberingAfterBreak="0">
    <w:nsid w:val="6AE64E4F"/>
    <w:multiLevelType w:val="hybridMultilevel"/>
    <w:tmpl w:val="2C8E9C2C"/>
    <w:lvl w:ilvl="0" w:tplc="BA025874">
      <w:start w:val="1"/>
      <w:numFmt w:val="decimal"/>
      <w:pStyle w:val="Emphasis-Normal"/>
      <w:lvlText w:val="%1."/>
      <w:lvlJc w:val="left"/>
      <w:pPr>
        <w:ind w:left="620" w:hanging="360"/>
      </w:pPr>
    </w:lvl>
    <w:lvl w:ilvl="1" w:tplc="4D3C4E8E">
      <w:numFmt w:val="decimal"/>
      <w:lvlText w:val=""/>
      <w:lvlJc w:val="left"/>
    </w:lvl>
    <w:lvl w:ilvl="2" w:tplc="36D62C64">
      <w:numFmt w:val="decimal"/>
      <w:lvlText w:val=""/>
      <w:lvlJc w:val="left"/>
    </w:lvl>
    <w:lvl w:ilvl="3" w:tplc="61C64CB0">
      <w:numFmt w:val="decimal"/>
      <w:lvlText w:val=""/>
      <w:lvlJc w:val="left"/>
    </w:lvl>
    <w:lvl w:ilvl="4" w:tplc="4C7814C8">
      <w:numFmt w:val="decimal"/>
      <w:lvlText w:val=""/>
      <w:lvlJc w:val="left"/>
    </w:lvl>
    <w:lvl w:ilvl="5" w:tplc="AA1C702E">
      <w:numFmt w:val="decimal"/>
      <w:lvlText w:val=""/>
      <w:lvlJc w:val="left"/>
    </w:lvl>
    <w:lvl w:ilvl="6" w:tplc="0D0C0B62">
      <w:numFmt w:val="decimal"/>
      <w:lvlText w:val=""/>
      <w:lvlJc w:val="left"/>
    </w:lvl>
    <w:lvl w:ilvl="7" w:tplc="EA94D312">
      <w:numFmt w:val="decimal"/>
      <w:lvlText w:val=""/>
      <w:lvlJc w:val="left"/>
    </w:lvl>
    <w:lvl w:ilvl="8" w:tplc="EC4A645C">
      <w:numFmt w:val="decimal"/>
      <w:lvlText w:val=""/>
      <w:lvlJc w:val="left"/>
    </w:lvl>
  </w:abstractNum>
  <w:abstractNum w:abstractNumId="14" w15:restartNumberingAfterBreak="0">
    <w:nsid w:val="6BF7350F"/>
    <w:multiLevelType w:val="multilevel"/>
    <w:tmpl w:val="AF968384"/>
    <w:lvl w:ilvl="0">
      <w:start w:val="1"/>
      <w:numFmt w:val="decimal"/>
      <w:pStyle w:val="Heading1"/>
      <w:suff w:val="space"/>
      <w:lvlText w:val="%1"/>
      <w:lvlJc w:val="left"/>
      <w:pPr>
        <w:ind w:left="0" w:firstLine="0"/>
      </w:pPr>
    </w:lvl>
    <w:lvl w:ilvl="1">
      <w:start w:val="1"/>
      <w:numFmt w:val="decimal"/>
      <w:pStyle w:val="Heading2"/>
      <w:suff w:val="space"/>
      <w:lvlText w:val="%1.%2"/>
      <w:lvlJc w:val="left"/>
      <w:pPr>
        <w:ind w:left="0" w:firstLine="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84856543">
    <w:abstractNumId w:val="3"/>
    <w:lvlOverride w:ilvl="0">
      <w:startOverride w:val="1"/>
    </w:lvlOverride>
  </w:num>
  <w:num w:numId="2" w16cid:durableId="1606503434">
    <w:abstractNumId w:val="14"/>
    <w:lvlOverride w:ilvl="0">
      <w:startOverride w:val="1"/>
    </w:lvlOverride>
  </w:num>
  <w:num w:numId="3" w16cid:durableId="163329379">
    <w:abstractNumId w:val="6"/>
    <w:lvlOverride w:ilvl="0">
      <w:startOverride w:val="1"/>
    </w:lvlOverride>
  </w:num>
  <w:num w:numId="4" w16cid:durableId="504515954">
    <w:abstractNumId w:val="13"/>
    <w:lvlOverride w:ilvl="0">
      <w:startOverride w:val="1"/>
    </w:lvlOverride>
  </w:num>
  <w:num w:numId="5" w16cid:durableId="1720517177">
    <w:abstractNumId w:val="10"/>
    <w:lvlOverride w:ilvl="0">
      <w:startOverride w:val="1"/>
    </w:lvlOverride>
  </w:num>
  <w:num w:numId="6" w16cid:durableId="799492028">
    <w:abstractNumId w:val="0"/>
    <w:lvlOverride w:ilvl="0">
      <w:startOverride w:val="1"/>
    </w:lvlOverride>
  </w:num>
  <w:num w:numId="7" w16cid:durableId="769735509">
    <w:abstractNumId w:val="4"/>
    <w:lvlOverride w:ilvl="0">
      <w:startOverride w:val="1"/>
    </w:lvlOverride>
  </w:num>
  <w:num w:numId="8" w16cid:durableId="1416824578">
    <w:abstractNumId w:val="1"/>
    <w:lvlOverride w:ilvl="0">
      <w:startOverride w:val="1"/>
    </w:lvlOverride>
  </w:num>
  <w:num w:numId="9" w16cid:durableId="370570583">
    <w:abstractNumId w:val="2"/>
    <w:lvlOverride w:ilvl="0">
      <w:startOverride w:val="1"/>
    </w:lvlOverride>
  </w:num>
  <w:num w:numId="10" w16cid:durableId="1854344309">
    <w:abstractNumId w:val="5"/>
    <w:lvlOverride w:ilvl="0">
      <w:startOverride w:val="1"/>
    </w:lvlOverride>
  </w:num>
  <w:num w:numId="11" w16cid:durableId="1655448655">
    <w:abstractNumId w:val="11"/>
    <w:lvlOverride w:ilvl="0">
      <w:startOverride w:val="1"/>
    </w:lvlOverride>
  </w:num>
  <w:num w:numId="12" w16cid:durableId="1496411477">
    <w:abstractNumId w:val="8"/>
    <w:lvlOverride w:ilvl="0">
      <w:startOverride w:val="1"/>
    </w:lvlOverride>
  </w:num>
  <w:num w:numId="13" w16cid:durableId="968052852">
    <w:abstractNumId w:val="12"/>
    <w:lvlOverride w:ilvl="0">
      <w:startOverride w:val="1"/>
    </w:lvlOverride>
  </w:num>
  <w:num w:numId="14" w16cid:durableId="710956824">
    <w:abstractNumId w:val="9"/>
    <w:lvlOverride w:ilvl="0">
      <w:startOverride w:val="1"/>
    </w:lvlOverride>
  </w:num>
  <w:num w:numId="15" w16cid:durableId="541553592">
    <w:abstractNumId w:val="13"/>
    <w:lvlOverride w:ilvl="0">
      <w:startOverride w:val="1"/>
    </w:lvlOverride>
  </w:num>
  <w:num w:numId="16" w16cid:durableId="651952488">
    <w:abstractNumId w:val="13"/>
    <w:lvlOverride w:ilvl="0">
      <w:startOverride w:val="1"/>
    </w:lvlOverride>
  </w:num>
  <w:num w:numId="17" w16cid:durableId="347214537">
    <w:abstractNumId w:val="13"/>
    <w:lvlOverride w:ilvl="0">
      <w:startOverride w:val="1"/>
    </w:lvlOverride>
  </w:num>
  <w:num w:numId="18" w16cid:durableId="503401407">
    <w:abstractNumId w:val="13"/>
    <w:lvlOverride w:ilvl="0">
      <w:startOverride w:val="1"/>
    </w:lvlOverride>
  </w:num>
  <w:num w:numId="19" w16cid:durableId="707223924">
    <w:abstractNumId w:val="13"/>
    <w:lvlOverride w:ilvl="0">
      <w:startOverride w:val="1"/>
    </w:lvlOverride>
  </w:num>
  <w:num w:numId="20" w16cid:durableId="1252816642">
    <w:abstractNumId w:val="13"/>
    <w:lvlOverride w:ilvl="0">
      <w:startOverride w:val="1"/>
    </w:lvlOverride>
  </w:num>
  <w:num w:numId="21" w16cid:durableId="930353963">
    <w:abstractNumId w:val="13"/>
    <w:lvlOverride w:ilvl="0">
      <w:startOverride w:val="1"/>
    </w:lvlOverride>
  </w:num>
  <w:num w:numId="30">
    <w:abstractNumId w:val="13"/>
    <w:lvlOverride w:ilvl="0">
      <w:startOverride w:val="1"/>
    </w:lvlOverride>
  </w:num>
  <w:num w:numId="80">
    <w:abstractNumId w:val="13"/>
    <w:lvlOverride w:ilvl="0">
      <w:startOverride w:val="1"/>
    </w:lvlOverride>
  </w:num>
  <w:num w:numId="81">
    <w:abstractNumId w:val="13"/>
    <w:lvlOverride w:ilvl="0">
      <w:startOverride w:val="1"/>
    </w:lvlOverride>
  </w:num>
  <w:num w:numId="500">
    <w:abstractNumId w:val="13"/>
    <w:lvlOverride w:ilvl="0">
      <w:startOverride w:val="1"/>
    </w:lvlOverride>
  </w:num>
  <w:num w:numId="501">
    <w:abstractNumId w:val="13"/>
    <w:lvlOverride w:ilvl="0">
      <w:startOverride w:val="1"/>
    </w:lvlOverride>
  </w:num>
  <w:num w:numId="502">
    <w:abstractNumId w:val="13"/>
    <w:lvlOverride w:ilvl="0">
      <w:startOverride w:val="1"/>
    </w:lvlOverride>
  </w:num>
  <w:num w:numId="503">
    <w:abstractNumId w:val="13"/>
    <w:lvlOverride w:ilvl="0">
      <w:startOverride w:val="1"/>
    </w:lvlOverride>
  </w:num>
  <w:num w:numId="504">
    <w:abstractNumId w:val="13"/>
    <w:lvlOverride w:ilvl="0">
      <w:startOverride w:val="1"/>
    </w:lvlOverride>
  </w:num>
  <w:num w:numId="505">
    <w:abstractNumId w:val="13"/>
    <w:lvlOverride w:ilvl="0">
      <w:startOverride w:val="1"/>
    </w:lvlOverride>
  </w:num>
  <w:num w:numId="506">
    <w:abstractNumId w:val="13"/>
    <w:lvlOverride w:ilvl="0">
      <w:startOverride w:val="1"/>
    </w:lvlOverride>
  </w:num>
  <w:num w:numId="507">
    <w:abstractNumId w:val="13"/>
    <w:lvlOverride w:ilvl="0">
      <w:startOverride w:val="1"/>
    </w:lvlOverride>
  </w:num>
  <w:num w:numId="508">
    <w:abstractNumId w:val="13"/>
    <w:lvlOverride w:ilvl="0">
      <w:startOverride w:val="1"/>
    </w:lvlOverride>
  </w:num>
  <w:num w:numId="509">
    <w:abstractNumId w:val="13"/>
    <w:lvlOverride w:ilvl="0">
      <w:startOverride w:val="1"/>
    </w:lvlOverride>
  </w:num>
  <w:num w:numId="510">
    <w:abstractNumId w:val="13"/>
    <w:lvlOverride w:ilvl="0">
      <w:startOverride w:val="1"/>
    </w:lvlOverride>
  </w:num>
  <w:num w:numId="511">
    <w:abstractNumId w:val="13"/>
    <w:lvlOverride w:ilvl="0">
      <w:startOverride w:val="1"/>
    </w:lvlOverride>
  </w:num>
  <w:num w:numId="512">
    <w:abstractNumId w:val="13"/>
    <w:lvlOverride w:ilvl="0">
      <w:startOverride w:val="1"/>
    </w:lvlOverride>
  </w:num>
  <w:num w:numId="513">
    <w:abstractNumId w:val="13"/>
    <w:lvlOverride w:ilvl="0">
      <w:startOverride w:val="1"/>
    </w:lvlOverride>
  </w:num>
  <w:num w:numId="514">
    <w:abstractNumId w:val="13"/>
    <w:lvlOverride w:ilvl="0">
      <w:startOverride w:val="1"/>
    </w:lvlOverride>
  </w:num>
  <w:num w:numId="515">
    <w:abstractNumId w:val="1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displayBackgroundShap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39B"/>
    <w:rsid w:val="0019039B"/>
    <w:rsid w:val="001E6297"/>
    <w:rsid w:val="0026559D"/>
    <w:rsid w:val="002A676A"/>
    <w:rsid w:val="005A1C95"/>
    <w:rsid w:val="00676D65"/>
    <w:rsid w:val="006A3C41"/>
    <w:rsid w:val="007A2335"/>
    <w:rsid w:val="00811F88"/>
    <w:rsid w:val="009018D5"/>
    <w:rsid w:val="009774EC"/>
    <w:rsid w:val="009B6824"/>
    <w:rsid w:val="00BE3B75"/>
    <w:rsid w:val="00BF0F18"/>
    <w:rsid w:val="00CB5DD7"/>
    <w:rsid w:val="00DE44EE"/>
    <w:rsid w:val="00F12058"/>
    <w:rsid w:val="00F63FA8"/>
    <w:rsid w:val="00FD1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07F0F7"/>
  <w15:docId w15:val="{12292B02-3FE6-1B41-A08E-4407A5E64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35"/>
    <w:pPr>
      <w:spacing w:after="140" w:line="276" w:lineRule="auto"/>
    </w:pPr>
    <w:rPr>
      <w:color w:val="404040" w:themeColor="text1" w:themeTint="BF"/>
      <w:sz w:val="24"/>
      <w:szCs w:val="24"/>
    </w:rPr>
  </w:style>
  <w:style w:type="paragraph" w:styleId="Heading1">
    <w:name w:val="heading 1"/>
    <w:next w:val="BodyText9"/>
    <w:uiPriority w:val="9"/>
    <w:qFormat/>
    <w:rsid w:val="00BF0F18"/>
    <w:pPr>
      <w:numPr>
        <w:numId w:val="2"/>
      </w:numPr>
      <w:pBdr>
        <w:bottom w:val="single" w:sz="8" w:space="0" w:color="2A9D8F"/>
      </w:pBdr>
      <w:spacing w:before="360" w:after="180"/>
      <w:outlineLvl w:val="0"/>
    </w:pPr>
    <w:rPr>
      <w:rFonts w:ascii="Cambria" w:eastAsia="Calibri Light" w:hAnsi="Cambria" w:cs="Calibri Light"/>
      <w:b/>
      <w:bCs/>
      <w:color w:val="1B4965"/>
      <w:sz w:val="32"/>
      <w:szCs w:val="32"/>
    </w:rPr>
  </w:style>
  <w:style w:type="paragraph" w:styleId="Heading2">
    <w:name w:val="heading 2"/>
    <w:next w:val="BodyText9"/>
    <w:uiPriority w:val="9"/>
    <w:unhideWhenUsed/>
    <w:qFormat/>
    <w:rsid w:val="006A3C41"/>
    <w:pPr>
      <w:numPr>
        <w:ilvl w:val="1"/>
        <w:numId w:val="2"/>
      </w:numPr>
      <w:spacing w:before="280" w:after="140"/>
      <w:outlineLvl w:val="1"/>
    </w:pPr>
    <w:rPr>
      <w:rFonts w:ascii="Aptos" w:eastAsia="Calibri Light" w:hAnsi="Aptos" w:cs="Calibri Light"/>
      <w:b/>
      <w:bCs/>
      <w:color w:val="2A9D8F"/>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odyText9">
    <w:name w:val="Body Text 9"/>
    <w:basedOn w:val="Normal"/>
    <w:qFormat/>
    <w:rsid w:val="0026559D"/>
    <w:rPr>
      <w:rFonts w:ascii="Calibri Light" w:hAnsi="Calibri Light" w:cs="Calibri Light"/>
      <w:color w:val="262626" w:themeColor="text1" w:themeTint="D9"/>
      <w:sz w:val="22"/>
      <w:szCs w:val="22"/>
    </w:rPr>
  </w:style>
  <w:style w:type="paragraph" w:styleId="TOC1">
    <w:name w:val="toc 1"/>
    <w:basedOn w:val="Normal"/>
    <w:next w:val="Normal"/>
    <w:autoRedefine/>
    <w:uiPriority w:val="39"/>
    <w:unhideWhenUsed/>
    <w:rsid w:val="006A3C41"/>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A3C41"/>
    <w:pPr>
      <w:spacing w:after="0"/>
      <w:ind w:left="240"/>
    </w:pPr>
    <w:rPr>
      <w:rFonts w:asciiTheme="minorHAnsi" w:hAnsiTheme="minorHAnsi"/>
      <w:smallCaps/>
      <w:sz w:val="20"/>
      <w:szCs w:val="20"/>
    </w:rPr>
  </w:style>
  <w:style w:type="character" w:styleId="UnresolvedMention">
    <w:name w:val="Unresolved Mention"/>
    <w:basedOn w:val="DefaultParagraphFont"/>
    <w:uiPriority w:val="99"/>
    <w:semiHidden/>
    <w:unhideWhenUsed/>
    <w:rsid w:val="004A4835"/>
    <w:rPr>
      <w:color w:val="605E5C"/>
      <w:shd w:val="clear" w:color="auto" w:fill="E1DFDD"/>
    </w:rPr>
  </w:style>
  <w:style w:type="paragraph" w:styleId="Header">
    <w:name w:val="header"/>
    <w:basedOn w:val="Normal"/>
    <w:link w:val="HeaderChar"/>
    <w:uiPriority w:val="99"/>
    <w:unhideWhenUsed/>
    <w:rsid w:val="004A48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4835"/>
    <w:rPr>
      <w:color w:val="404040" w:themeColor="text1" w:themeTint="BF"/>
    </w:rPr>
  </w:style>
  <w:style w:type="paragraph" w:styleId="Footer">
    <w:name w:val="footer"/>
    <w:basedOn w:val="Normal"/>
    <w:link w:val="FooterChar"/>
    <w:uiPriority w:val="99"/>
    <w:unhideWhenUsed/>
    <w:rsid w:val="004A48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4835"/>
    <w:rPr>
      <w:color w:val="404040" w:themeColor="text1" w:themeTint="BF"/>
    </w:rPr>
  </w:style>
  <w:style w:type="character" w:styleId="Strong">
    <w:name w:val="Strong"/>
    <w:basedOn w:val="DefaultParagraphFont"/>
    <w:uiPriority w:val="22"/>
    <w:qFormat/>
    <w:rsid w:val="00BF0F18"/>
    <w:rPr>
      <w:b/>
      <w:bCs/>
      <w:sz w:val="32"/>
      <w:szCs w:val="32"/>
    </w:rPr>
  </w:style>
  <w:style w:type="paragraph" w:styleId="TOC3">
    <w:name w:val="toc 3"/>
    <w:basedOn w:val="Normal"/>
    <w:next w:val="Normal"/>
    <w:autoRedefine/>
    <w:uiPriority w:val="39"/>
    <w:unhideWhenUsed/>
    <w:rsid w:val="004A4835"/>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4A483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4A483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4A483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4A483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4A483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4A4835"/>
    <w:pPr>
      <w:spacing w:after="0"/>
      <w:ind w:left="1920"/>
    </w:pPr>
    <w:rPr>
      <w:rFonts w:asciiTheme="minorHAnsi" w:hAnsiTheme="minorHAnsi"/>
      <w:sz w:val="18"/>
      <w:szCs w:val="18"/>
    </w:rPr>
  </w:style>
  <w:style w:type="character" w:styleId="Emphasis">
    <w:name w:val="Emphasis"/>
    <w:uiPriority w:val="20"/>
    <w:qFormat/>
    <w:rsid w:val="009B6824"/>
    <w:rPr>
      <w:b/>
      <w:i/>
      <w:spacing w:val="10"/>
    </w:rPr>
  </w:style>
  <w:style w:type="table" w:styleId="TableGrid">
    <w:name w:val="Table Grid"/>
    <w:basedOn w:val="TableNormal"/>
    <w:uiPriority w:val="39"/>
    <w:rsid w:val="00BF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Normal">
    <w:name w:val="Emphasis-Normal"/>
    <w:basedOn w:val="BodyText9"/>
    <w:qFormat/>
    <w:rsid w:val="0026559D"/>
    <w:pPr>
      <w:numPr>
        <w:numId w:val="15"/>
      </w:numPr>
    </w:pPr>
    <w:rPr>
      <w:color w:val="262626" w:themeColor="text1" w:themeTint="D9"/>
    </w:rPr>
  </w:style>
  <w:style w:type="character" w:styleId="LineNumber">
    <w:name w:val="line number"/>
    <w:basedOn w:val="DefaultParagraphFont"/>
    <w:uiPriority w:val="99"/>
    <w:semiHidden/>
    <w:unhideWhenUsed/>
    <w:rPr>
      <w:rFonts w:ascii="Calibri Light" w:hAnsi="Calibri Light"/>
      <w:color w:val="C9CFD4"/>
      <w:sz w:val="13"/>
      <w:szCs w:val="1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ecurity@prompthalo.com"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7</Pages>
  <Words>1074</Words>
  <Characters>6125</Characters>
  <Application>Microsoft Office Word</Application>
  <DocSecurity>0</DocSecurity>
  <Lines>51</Lines>
  <Paragraphs>14</Paragraphs>
  <ScaleCrop>false</ScaleCrop>
  <Company/>
  <LinksUpToDate>false</LinksUpToDate>
  <CharactersWithSpaces>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Praveen Sharma</cp:lastModifiedBy>
  <cp:revision>9</cp:revision>
  <dcterms:created xsi:type="dcterms:W3CDTF">2026-07-20T03:15:00Z</dcterms:created>
  <dcterms:modified xsi:type="dcterms:W3CDTF">2026-07-22T04:21:00Z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Name">
    <vt:lpwstr>PromptHalo</vt:lpwstr>
  </property>
  <property fmtid="{D5CDD505-2E9C-101B-9397-08002B2CF9AE}" pid="3" name="DocTitle">
    <vt:lpwstr>Endpoint Standard</vt:lpwstr>
  </property>
  <property fmtid="{D5CDD505-2E9C-101B-9397-08002B2CF9AE}" pid="4" name="DocId">
    <vt:lpwstr>STD-EPT-001</vt:lpwstr>
  </property>
  <property fmtid="{D5CDD505-2E9C-101B-9397-08002B2CF9AE}" pid="5" name="PolicyVersion">
    <vt:lpwstr>1.0</vt:lpwstr>
  </property>
  <property fmtid="{D5CDD505-2E9C-101B-9397-08002B2CF9AE}" pid="6" name="PolicyDate">
    <vt:lpwstr>July 19, 2026</vt:lpwstr>
  </property>
  <property fmtid="{D5CDD505-2E9C-101B-9397-08002B2CF9AE}" pid="7" name="PolicyExpiry">
    <vt:lpwstr>July 19, 2027</vt:lpwstr>
  </property>
  <property fmtid="{D5CDD505-2E9C-101B-9397-08002B2CF9AE}" pid="8" name="SecurityOfficer">
    <vt:lpwstr>Praveen Sharma</vt:lpwstr>
  </property>
  <property fmtid="{D5CDD505-2E9C-101B-9397-08002B2CF9AE}" pid="9" name="Contact">
    <vt:lpwstr>security@prompthalo.com</vt:lpwstr>
  </property>
  <property fmtid="{D5CDD505-2E9C-101B-9397-08002B2CF9AE}" pid="10" name="DocOwner">
    <vt:lpwstr>Chief Executive Officer — Accountable Party</vt:lpwstr>
  </property>
  <property fmtid="{D5CDD505-2E9C-101B-9397-08002B2CF9AE}" pid="11" name="DocAuthor">
    <vt:lpwstr>Security Officer</vt:lpwstr>
  </property>
  <property fmtid="{D5CDD505-2E9C-101B-9397-08002B2CF9AE}" pid="12" name="ReviewCycle">
    <vt:lpwstr>Annual, or upon significant change to systems, threats, or obligations</vt:lpwstr>
  </property>
  <property fmtid="{D5CDD505-2E9C-101B-9397-08002B2CF9AE}" pid="13" name="Supersedes">
    <vt:lpwstr>N/A</vt:lpwstr>
  </property>
  <property fmtid="{D5CDD505-2E9C-101B-9397-08002B2CF9AE}" pid="14" name="Audience">
    <vt:lpwstr>All personnel and contractors using any device for Company or client work, and those administering device management</vt:lpwstr>
  </property>
</Properties>
</file>