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2AE06E" w14:textId="77777777" w:rsidR="00AC4A83" w:rsidRDefault="00AC4A83">
      <w:pPr>
        <w:pStyle w:val="Title"/>
        <w:suppressLineNumbers/>
        <w:spacing w:after="240"/>
        <w:jc w:val="center"/>
        <w:rPr>
          <w:rStyle w:val="Emphasis"/>
          <w:rFonts w:eastAsia="Times New Roman"/>
          <w:b w:val="0"/>
          <w:i w:val="0"/>
          <w:smallCaps/>
          <w:color w:val="074F6A"/>
          <w:spacing w:val="0"/>
          <w:sz w:val="52"/>
          <w:szCs w:val="52"/>
        </w:rPr>
      </w:pPr>
    </w:p>
    <w:p w14:paraId="6DF09BDF" w14:textId="77777777" w:rsidR="00AC4A83" w:rsidRDefault="00AC4A83">
      <w:pPr>
        <w:pStyle w:val="Title"/>
        <w:suppressLineNumbers/>
        <w:spacing w:after="240"/>
        <w:jc w:val="center"/>
        <w:rPr>
          <w:rStyle w:val="Emphasis"/>
          <w:rFonts w:eastAsia="Times New Roman"/>
          <w:b w:val="0"/>
          <w:i w:val="0"/>
          <w:smallCaps/>
          <w:color w:val="074F6A"/>
          <w:spacing w:val="0"/>
          <w:sz w:val="52"/>
          <w:szCs w:val="52"/>
        </w:rPr>
      </w:pPr>
    </w:p>
    <w:p w14:paraId="4298B7E4" w14:textId="77777777" w:rsidR="00AC4A83" w:rsidRDefault="00AC4A83">
      <w:pPr>
        <w:pStyle w:val="Title"/>
        <w:suppressLineNumbers/>
        <w:spacing w:after="240"/>
        <w:jc w:val="center"/>
        <w:rPr>
          <w:rStyle w:val="Emphasis"/>
          <w:rFonts w:eastAsia="Times New Roman"/>
          <w:b w:val="0"/>
          <w:i w:val="0"/>
          <w:smallCaps/>
          <w:color w:val="074F6A"/>
          <w:spacing w:val="0"/>
          <w:sz w:val="52"/>
          <w:szCs w:val="52"/>
        </w:rPr>
      </w:pPr>
    </w:p>
    <w:p w14:paraId="77D385A9" w14:textId="77777777" w:rsidR="00AC4A83" w:rsidRDefault="00000000">
      <w:pPr>
        <w:pStyle w:val="Title"/>
        <w:suppressLineNumbers/>
        <w:spacing w:after="240"/>
        <w:jc w:val="center"/>
        <w:rPr>
          <w:rStyle w:val="Emphasis"/>
          <w:rFonts w:eastAsia="Times New Roman"/>
          <w:b w:val="0"/>
          <w:i w:val="0"/>
          <w:smallCaps/>
          <w:color w:val="074F6A"/>
          <w:spacing w:val="0"/>
          <w:sz w:val="52"/>
          <w:szCs w:val="52"/>
        </w:rPr>
      </w:pPr>
      <w:r>
        <w:rPr>
          <w:rFonts w:ascii="Arial" w:eastAsia="Arial" w:hAnsi="Arial" w:cs="Arial"/>
          <w:b/>
          <w:caps/>
          <w:color w:val="404040" w:themeColor="text1" w:themeTint="BF"/>
          <w:spacing w:val="10"/>
          <w:sz w:val="52"/>
        </w:rPr>
        <w:t>CODE OF CONDUCT</w:t>
      </w:r>
    </w:p>
    <w:p w14:paraId="08BB8A73" w14:textId="77777777" w:rsidR="00AC4A83" w:rsidRDefault="00AC4A83">
      <w:pPr>
        <w:pStyle w:val="Title"/>
        <w:suppressLineNumbers/>
        <w:spacing w:after="240"/>
        <w:jc w:val="center"/>
        <w:rPr>
          <w:rStyle w:val="Emphasis"/>
          <w:rFonts w:eastAsia="Times New Roman"/>
          <w:b w:val="0"/>
          <w:i w:val="0"/>
          <w:smallCaps/>
          <w:color w:val="074F6A"/>
          <w:spacing w:val="0"/>
          <w:sz w:val="52"/>
          <w:szCs w:val="52"/>
        </w:rPr>
      </w:pPr>
    </w:p>
    <w:p w14:paraId="1DBB2064" w14:textId="77777777" w:rsidR="00AC4A83" w:rsidRDefault="00AC4A83">
      <w:pPr>
        <w:pStyle w:val="Title"/>
        <w:suppressLineNumbers/>
        <w:spacing w:after="240"/>
        <w:jc w:val="center"/>
        <w:rPr>
          <w:rStyle w:val="Emphasis"/>
          <w:rFonts w:eastAsia="Times New Roman"/>
          <w:b w:val="0"/>
          <w:i w:val="0"/>
          <w:smallCaps/>
          <w:color w:val="074F6A"/>
          <w:spacing w:val="0"/>
          <w:sz w:val="52"/>
          <w:szCs w:val="52"/>
        </w:rPr>
      </w:pPr>
    </w:p>
    <w:p w14:paraId="2ED6622A" w14:textId="77777777" w:rsidR="00AC4A83" w:rsidRDefault="00000000">
      <w:pPr>
        <w:pStyle w:val="Title"/>
        <w:suppressLineNumbers/>
        <w:spacing w:after="240"/>
        <w:jc w:val="center"/>
        <w:rPr>
          <w:rFonts w:ascii="Calibri Light" w:hAnsi="Calibri Light" w:cs="Calibri Light"/>
          <w:sz w:val="20"/>
          <w:szCs w:val="20"/>
        </w:rPr>
      </w:pPr>
      <w:r>
        <w:rPr>
          <w:color w:val="404040" w:themeColor="text1" w:themeTint="BF"/>
          <w:sz w:val="21"/>
        </w:rPr>
        <w:t>Version 1.0</w:t>
      </w:r>
    </w:p>
    <w:p w14:paraId="7180A3D2" w14:textId="77777777" w:rsidR="00AC4A83" w:rsidRDefault="00000000">
      <w:pPr>
        <w:suppressLineNumbers/>
        <w:spacing w:after="40" w:line="240" w:lineRule="auto"/>
        <w:jc w:val="center"/>
        <w:rPr>
          <w:rFonts w:ascii="Calibri Light" w:hAnsi="Calibri Light" w:cs="Calibri Light"/>
          <w:sz w:val="20"/>
          <w:szCs w:val="20"/>
        </w:rPr>
      </w:pPr>
      <w:r>
        <w:rPr>
          <w:sz w:val="21"/>
        </w:rPr>
        <w:t>Revision Date: July 23, 2026</w:t>
      </w:r>
    </w:p>
    <w:p w14:paraId="6F19A2D3" w14:textId="77777777" w:rsidR="00AC4A83" w:rsidRDefault="00000000">
      <w:pPr>
        <w:suppressLineNumbers/>
        <w:spacing w:after="40" w:line="240" w:lineRule="auto"/>
        <w:jc w:val="center"/>
        <w:rPr>
          <w:rFonts w:ascii="Calibri Light" w:hAnsi="Calibri Light" w:cs="Calibri Light"/>
          <w:sz w:val="20"/>
          <w:szCs w:val="20"/>
        </w:rPr>
      </w:pPr>
      <w:r>
        <w:rPr>
          <w:sz w:val="21"/>
        </w:rPr>
        <w:t xml:space="preserve">Contact: </w:t>
      </w:r>
      <w:r>
        <w:rPr>
          <w:sz w:val="21"/>
          <w:u w:val="single"/>
        </w:rPr>
        <w:t>security@prompthalo.com</w:t>
      </w:r>
    </w:p>
    <w:p w14:paraId="45887C4D" w14:textId="77777777" w:rsidR="00AC4A83" w:rsidRDefault="00AC4A83">
      <w:pPr>
        <w:suppressLineNumbers/>
        <w:spacing w:after="40" w:line="240" w:lineRule="auto"/>
        <w:jc w:val="center"/>
      </w:pPr>
    </w:p>
    <w:p w14:paraId="2015755C" w14:textId="77777777" w:rsidR="00AC4A83" w:rsidRDefault="00AC4A83">
      <w:pPr>
        <w:suppressLineNumbers/>
        <w:spacing w:after="40" w:line="240" w:lineRule="auto"/>
        <w:jc w:val="center"/>
      </w:pPr>
    </w:p>
    <w:p w14:paraId="724406A9" w14:textId="77777777" w:rsidR="00AC4A83" w:rsidRDefault="00AC4A83">
      <w:pPr>
        <w:suppressLineNumbers/>
        <w:spacing w:after="40" w:line="240" w:lineRule="auto"/>
        <w:jc w:val="center"/>
      </w:pPr>
    </w:p>
    <w:p w14:paraId="36C08319" w14:textId="77777777" w:rsidR="00AC4A83" w:rsidRDefault="00AC4A83">
      <w:pPr>
        <w:suppressLineNumbers/>
        <w:spacing w:after="40" w:line="240" w:lineRule="auto"/>
        <w:jc w:val="center"/>
      </w:pPr>
    </w:p>
    <w:p w14:paraId="127219BF" w14:textId="77777777" w:rsidR="00AC4A83" w:rsidRDefault="00AC4A83">
      <w:pPr>
        <w:suppressLineNumbers/>
        <w:spacing w:after="40" w:line="240" w:lineRule="auto"/>
        <w:jc w:val="center"/>
      </w:pPr>
    </w:p>
    <w:p w14:paraId="3E5268B0" w14:textId="77777777" w:rsidR="00AC4A83" w:rsidRDefault="00000000">
      <w:pPr>
        <w:suppressLineNumbers/>
        <w:spacing w:after="40" w:line="240" w:lineRule="auto"/>
        <w:jc w:val="center"/>
      </w:pPr>
      <w:bookmarkStart w:id="0" w:name="EffectiveDate"/>
      <w:r>
        <w:rPr>
          <w:noProof/>
        </w:rPr>
        <w:drawing>
          <wp:inline distT="0" distB="0" distL="0" distR="0" wp14:anchorId="5EB1641A" wp14:editId="565A154E">
            <wp:extent cx="2665095" cy="75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tretch>
                      <a:fillRect/>
                    </a:stretch>
                  </pic:blipFill>
                  <pic:spPr bwMode="auto">
                    <a:xfrm>
                      <a:off x="0" y="0"/>
                      <a:ext cx="2665095" cy="751840"/>
                    </a:xfrm>
                    <a:prstGeom prst="rect">
                      <a:avLst/>
                    </a:prstGeom>
                  </pic:spPr>
                </pic:pic>
              </a:graphicData>
            </a:graphic>
          </wp:inline>
        </w:drawing>
      </w:r>
      <w:bookmarkEnd w:id="0"/>
      <w:r>
        <w:br w:type="page"/>
      </w:r>
    </w:p>
    <w:p w14:paraId="7A86F988" w14:textId="77777777" w:rsidR="00AC4A83" w:rsidRDefault="00000000">
      <w:pPr>
        <w:suppressLineNumbers/>
        <w:spacing w:after="160"/>
        <w:rPr>
          <w:rStyle w:val="Strong"/>
        </w:rPr>
      </w:pPr>
      <w:r>
        <w:rPr>
          <w:rStyle w:val="Strong"/>
          <w:caps/>
        </w:rPr>
        <w:lastRenderedPageBreak/>
        <w:t>DOCUMENT INFORMATION</w:t>
      </w:r>
    </w:p>
    <w:tbl>
      <w:tblPr>
        <w:tblW w:w="9669" w:type="dxa"/>
        <w:tblLayout w:type="fixed"/>
        <w:tblCellMar>
          <w:top w:w="26" w:type="dxa"/>
          <w:left w:w="92" w:type="dxa"/>
          <w:bottom w:w="26" w:type="dxa"/>
          <w:right w:w="92" w:type="dxa"/>
        </w:tblCellMar>
        <w:tblLook w:val="0000" w:firstRow="0" w:lastRow="0" w:firstColumn="0" w:lastColumn="0" w:noHBand="0" w:noVBand="0"/>
      </w:tblPr>
      <w:tblGrid>
        <w:gridCol w:w="3124"/>
        <w:gridCol w:w="6545"/>
      </w:tblGrid>
      <w:tr w:rsidR="00AC4A83" w14:paraId="146E462F"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71FCF31" w14:textId="77777777" w:rsidR="00AC4A83" w:rsidRDefault="00000000">
            <w:pPr>
              <w:pStyle w:val="BodyText9"/>
              <w:suppressLineNumbers/>
              <w:spacing w:before="40" w:after="40" w:line="240" w:lineRule="auto"/>
            </w:pPr>
            <w:r>
              <w:rPr>
                <w:b/>
                <w:color w:val="404040" w:themeColor="text1" w:themeTint="BF"/>
                <w:sz w:val="20"/>
                <w:szCs w:val="20"/>
              </w:rPr>
              <w:t>Document Family</w:t>
            </w:r>
          </w:p>
        </w:tc>
        <w:tc>
          <w:tcPr>
            <w:tcW w:w="6544" w:type="dxa"/>
            <w:tcBorders>
              <w:top w:val="single" w:sz="4" w:space="0" w:color="BFCDD4"/>
              <w:left w:val="single" w:sz="4" w:space="0" w:color="BFCDD4"/>
              <w:bottom w:val="single" w:sz="4" w:space="0" w:color="BFCDD4"/>
              <w:right w:val="single" w:sz="4" w:space="0" w:color="BFCDD4"/>
            </w:tcBorders>
            <w:vAlign w:val="center"/>
          </w:tcPr>
          <w:p w14:paraId="0A5C5D27" w14:textId="77777777" w:rsidR="00AC4A83" w:rsidRDefault="00000000">
            <w:pPr>
              <w:pStyle w:val="BodyText9"/>
              <w:suppressLineNumbers/>
              <w:spacing w:before="40" w:after="40" w:line="240" w:lineRule="auto"/>
            </w:pPr>
            <w:r>
              <w:rPr>
                <w:b/>
                <w:color w:val="404040" w:themeColor="text1" w:themeTint="BF"/>
                <w:sz w:val="20"/>
                <w:szCs w:val="20"/>
              </w:rPr>
              <w:t>Governance, Ethics, and Security</w:t>
            </w:r>
          </w:p>
        </w:tc>
      </w:tr>
      <w:tr w:rsidR="00AC4A83" w14:paraId="71EC53B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5874892" w14:textId="77777777" w:rsidR="00AC4A83" w:rsidRDefault="00000000">
            <w:pPr>
              <w:pStyle w:val="BodyText9"/>
              <w:suppressLineNumbers/>
              <w:spacing w:before="40" w:after="40" w:line="240" w:lineRule="auto"/>
            </w:pPr>
            <w:r>
              <w:rPr>
                <w:b/>
                <w:color w:val="404040" w:themeColor="text1" w:themeTint="BF"/>
                <w:sz w:val="20"/>
              </w:rPr>
              <w:t>Document Title</w:t>
            </w:r>
          </w:p>
        </w:tc>
        <w:tc>
          <w:tcPr>
            <w:tcW w:w="6544" w:type="dxa"/>
            <w:tcBorders>
              <w:top w:val="single" w:sz="4" w:space="0" w:color="BFCDD4"/>
              <w:left w:val="single" w:sz="4" w:space="0" w:color="BFCDD4"/>
              <w:bottom w:val="single" w:sz="4" w:space="0" w:color="BFCDD4"/>
              <w:right w:val="single" w:sz="4" w:space="0" w:color="BFCDD4"/>
            </w:tcBorders>
            <w:vAlign w:val="center"/>
          </w:tcPr>
          <w:p w14:paraId="11F7FE88" w14:textId="77777777" w:rsidR="00AC4A83" w:rsidRDefault="00000000">
            <w:pPr>
              <w:pStyle w:val="BodyText9"/>
              <w:suppressLineNumbers/>
              <w:spacing w:before="40" w:after="40" w:line="240" w:lineRule="auto"/>
            </w:pPr>
            <w:r>
              <w:rPr>
                <w:color w:val="404040" w:themeColor="text1" w:themeTint="BF"/>
                <w:sz w:val="20"/>
              </w:rPr>
              <w:t>Code of Conduct</w:t>
            </w:r>
          </w:p>
        </w:tc>
      </w:tr>
      <w:tr w:rsidR="00AC4A83" w14:paraId="7A737E8C"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2536E31" w14:textId="77777777" w:rsidR="00AC4A83" w:rsidRDefault="00000000">
            <w:pPr>
              <w:pStyle w:val="BodyText9"/>
              <w:suppressLineNumbers/>
              <w:spacing w:before="40" w:after="40" w:line="240" w:lineRule="auto"/>
            </w:pPr>
            <w:r>
              <w:rPr>
                <w:b/>
                <w:color w:val="404040" w:themeColor="text1" w:themeTint="BF"/>
                <w:sz w:val="20"/>
                <w:szCs w:val="20"/>
              </w:rPr>
              <w:t>Document ID</w:t>
            </w:r>
          </w:p>
        </w:tc>
        <w:tc>
          <w:tcPr>
            <w:tcW w:w="6544" w:type="dxa"/>
            <w:tcBorders>
              <w:top w:val="single" w:sz="4" w:space="0" w:color="BFCDD4"/>
              <w:left w:val="single" w:sz="4" w:space="0" w:color="BFCDD4"/>
              <w:bottom w:val="single" w:sz="4" w:space="0" w:color="BFCDD4"/>
              <w:right w:val="single" w:sz="4" w:space="0" w:color="BFCDD4"/>
            </w:tcBorders>
            <w:vAlign w:val="center"/>
          </w:tcPr>
          <w:p w14:paraId="25B70CD1" w14:textId="77777777" w:rsidR="00AC4A83" w:rsidRDefault="00000000">
            <w:pPr>
              <w:pStyle w:val="BodyText9"/>
              <w:suppressLineNumbers/>
              <w:spacing w:before="40" w:after="40" w:line="240" w:lineRule="auto"/>
            </w:pPr>
            <w:r>
              <w:rPr>
                <w:color w:val="404040" w:themeColor="text1" w:themeTint="BF"/>
                <w:sz w:val="20"/>
              </w:rPr>
              <w:t>POL-COC-001</w:t>
            </w:r>
          </w:p>
        </w:tc>
      </w:tr>
      <w:tr w:rsidR="00AC4A83" w14:paraId="7D64595B"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BCAABC8" w14:textId="77777777" w:rsidR="00AC4A83" w:rsidRDefault="00000000">
            <w:pPr>
              <w:pStyle w:val="BodyText9"/>
              <w:suppressLineNumbers/>
              <w:spacing w:before="40" w:after="40" w:line="240" w:lineRule="auto"/>
            </w:pPr>
            <w:r>
              <w:rPr>
                <w:b/>
                <w:color w:val="404040" w:themeColor="text1" w:themeTint="BF"/>
                <w:sz w:val="20"/>
                <w:szCs w:val="20"/>
              </w:rPr>
              <w:t>Current Version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692CF949" w14:textId="77777777" w:rsidR="00AC4A83" w:rsidRDefault="00000000">
            <w:pPr>
              <w:pStyle w:val="BodyText9"/>
              <w:suppressLineNumbers/>
              <w:spacing w:before="40" w:after="40" w:line="240" w:lineRule="auto"/>
            </w:pPr>
            <w:r>
              <w:rPr>
                <w:color w:val="404040" w:themeColor="text1" w:themeTint="BF"/>
                <w:sz w:val="20"/>
              </w:rPr>
              <w:t>1.0</w:t>
            </w:r>
          </w:p>
        </w:tc>
      </w:tr>
      <w:tr w:rsidR="00AC4A83" w14:paraId="1BE9EEA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DC4F139" w14:textId="77777777" w:rsidR="00AC4A83" w:rsidRDefault="00000000">
            <w:pPr>
              <w:pStyle w:val="BodyText9"/>
              <w:suppressLineNumbers/>
              <w:spacing w:before="40" w:after="40" w:line="240" w:lineRule="auto"/>
            </w:pPr>
            <w:r>
              <w:rPr>
                <w:b/>
                <w:color w:val="404040" w:themeColor="text1" w:themeTint="BF"/>
                <w:sz w:val="20"/>
                <w:szCs w:val="20"/>
              </w:rPr>
              <w:t>Approved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5766C03E" w14:textId="77777777" w:rsidR="00AC4A83" w:rsidRDefault="00000000">
            <w:pPr>
              <w:pStyle w:val="BodyText9"/>
              <w:suppressLineNumbers/>
              <w:spacing w:before="40" w:after="40" w:line="240" w:lineRule="auto"/>
            </w:pPr>
            <w:r>
              <w:rPr>
                <w:color w:val="404040" w:themeColor="text1" w:themeTint="BF"/>
                <w:sz w:val="20"/>
              </w:rPr>
              <w:t>July 23, 2026</w:t>
            </w:r>
          </w:p>
        </w:tc>
      </w:tr>
      <w:tr w:rsidR="00AC4A83" w14:paraId="74A5453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787463BC" w14:textId="77777777" w:rsidR="00AC4A83" w:rsidRDefault="00000000">
            <w:pPr>
              <w:pStyle w:val="BodyText9"/>
              <w:suppressLineNumbers/>
              <w:spacing w:before="40" w:after="40" w:line="240" w:lineRule="auto"/>
            </w:pPr>
            <w:r>
              <w:rPr>
                <w:b/>
                <w:color w:val="404040" w:themeColor="text1" w:themeTint="BF"/>
                <w:sz w:val="20"/>
                <w:szCs w:val="20"/>
              </w:rPr>
              <w:t>Approved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24232DEB" w14:textId="77777777" w:rsidR="00AC4A83" w:rsidRDefault="00000000">
            <w:pPr>
              <w:pStyle w:val="BodyText9"/>
              <w:suppressLineNumbers/>
              <w:spacing w:before="40" w:after="40" w:line="240" w:lineRule="auto"/>
            </w:pPr>
            <w:r>
              <w:rPr>
                <w:color w:val="404040" w:themeColor="text1" w:themeTint="BF"/>
                <w:sz w:val="20"/>
              </w:rPr>
              <w:t>Information Security Steering Committee</w:t>
            </w:r>
          </w:p>
        </w:tc>
      </w:tr>
      <w:tr w:rsidR="00AC4A83" w14:paraId="0DA1BA7E"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035C6B2E" w14:textId="77777777" w:rsidR="00AC4A83" w:rsidRDefault="00000000">
            <w:pPr>
              <w:pStyle w:val="BodyText9"/>
              <w:suppressLineNumbers/>
              <w:spacing w:before="40" w:after="40" w:line="240" w:lineRule="auto"/>
            </w:pPr>
            <w:r>
              <w:rPr>
                <w:b/>
                <w:color w:val="404040" w:themeColor="text1" w:themeTint="BF"/>
                <w:sz w:val="20"/>
                <w:szCs w:val="20"/>
              </w:rPr>
              <w:t>Effective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0B88794A" w14:textId="77777777" w:rsidR="00AC4A83" w:rsidRDefault="00000000">
            <w:pPr>
              <w:pStyle w:val="BodyText9"/>
              <w:suppressLineNumbers/>
              <w:spacing w:before="40" w:after="40" w:line="240" w:lineRule="auto"/>
            </w:pPr>
            <w:r>
              <w:rPr>
                <w:color w:val="404040" w:themeColor="text1" w:themeTint="BF"/>
                <w:sz w:val="20"/>
              </w:rPr>
              <w:t>July 23, 2026</w:t>
            </w:r>
          </w:p>
        </w:tc>
      </w:tr>
      <w:tr w:rsidR="00AC4A83" w14:paraId="2A497B38"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07C2681" w14:textId="77777777" w:rsidR="00AC4A83" w:rsidRDefault="00000000">
            <w:pPr>
              <w:pStyle w:val="BodyText9"/>
              <w:suppressLineNumbers/>
              <w:spacing w:before="40" w:after="40" w:line="240" w:lineRule="auto"/>
            </w:pPr>
            <w:r>
              <w:rPr>
                <w:b/>
                <w:color w:val="404040" w:themeColor="text1" w:themeTint="BF"/>
                <w:sz w:val="20"/>
                <w:szCs w:val="20"/>
              </w:rPr>
              <w:t>Next Review Date</w:t>
            </w:r>
          </w:p>
        </w:tc>
        <w:tc>
          <w:tcPr>
            <w:tcW w:w="6544" w:type="dxa"/>
            <w:tcBorders>
              <w:top w:val="single" w:sz="4" w:space="0" w:color="BFCDD4"/>
              <w:left w:val="single" w:sz="4" w:space="0" w:color="BFCDD4"/>
              <w:bottom w:val="single" w:sz="4" w:space="0" w:color="BFCDD4"/>
              <w:right w:val="single" w:sz="4" w:space="0" w:color="BFCDD4"/>
            </w:tcBorders>
            <w:vAlign w:val="center"/>
          </w:tcPr>
          <w:p w14:paraId="05DDD538" w14:textId="77777777" w:rsidR="00AC4A83" w:rsidRDefault="00000000">
            <w:pPr>
              <w:pStyle w:val="BodyText9"/>
              <w:suppressLineNumbers/>
              <w:spacing w:before="40" w:after="40" w:line="240" w:lineRule="auto"/>
            </w:pPr>
            <w:r>
              <w:rPr>
                <w:color w:val="404040" w:themeColor="text1" w:themeTint="BF"/>
                <w:sz w:val="20"/>
              </w:rPr>
              <w:t>July 23, 2027</w:t>
            </w:r>
          </w:p>
        </w:tc>
      </w:tr>
      <w:tr w:rsidR="00AC4A83" w14:paraId="66A0AE30"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008DDD2" w14:textId="77777777" w:rsidR="00AC4A83" w:rsidRDefault="00000000">
            <w:pPr>
              <w:pStyle w:val="BodyText9"/>
              <w:suppressLineNumbers/>
              <w:spacing w:before="40" w:after="40" w:line="240" w:lineRule="auto"/>
            </w:pPr>
            <w:r>
              <w:rPr>
                <w:b/>
                <w:color w:val="404040" w:themeColor="text1" w:themeTint="BF"/>
                <w:sz w:val="20"/>
                <w:szCs w:val="20"/>
              </w:rPr>
              <w:t>Classification</w:t>
            </w:r>
          </w:p>
        </w:tc>
        <w:tc>
          <w:tcPr>
            <w:tcW w:w="6544" w:type="dxa"/>
            <w:tcBorders>
              <w:top w:val="single" w:sz="4" w:space="0" w:color="BFCDD4"/>
              <w:left w:val="single" w:sz="4" w:space="0" w:color="BFCDD4"/>
              <w:bottom w:val="single" w:sz="4" w:space="0" w:color="BFCDD4"/>
              <w:right w:val="single" w:sz="4" w:space="0" w:color="BFCDD4"/>
            </w:tcBorders>
            <w:vAlign w:val="center"/>
          </w:tcPr>
          <w:p w14:paraId="4F32B042" w14:textId="77777777" w:rsidR="00AC4A83" w:rsidRDefault="00000000">
            <w:pPr>
              <w:pStyle w:val="BodyText9"/>
              <w:suppressLineNumbers/>
              <w:spacing w:before="40" w:after="40" w:line="240" w:lineRule="auto"/>
            </w:pPr>
            <w:r>
              <w:rPr>
                <w:color w:val="404040" w:themeColor="text1" w:themeTint="BF"/>
                <w:sz w:val="20"/>
              </w:rPr>
              <w:t>Internal</w:t>
            </w:r>
          </w:p>
        </w:tc>
      </w:tr>
      <w:tr w:rsidR="00AC4A83" w14:paraId="7EDC79B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D475BF4" w14:textId="77777777" w:rsidR="00AC4A83" w:rsidRDefault="00000000">
            <w:pPr>
              <w:pStyle w:val="BodyText9"/>
              <w:suppressLineNumbers/>
              <w:spacing w:before="40" w:after="40" w:line="240" w:lineRule="auto"/>
            </w:pPr>
            <w:r>
              <w:rPr>
                <w:b/>
                <w:color w:val="404040" w:themeColor="text1" w:themeTint="BF"/>
                <w:sz w:val="20"/>
                <w:szCs w:val="20"/>
              </w:rPr>
              <w:t>Document Owner</w:t>
            </w:r>
          </w:p>
        </w:tc>
        <w:tc>
          <w:tcPr>
            <w:tcW w:w="6544" w:type="dxa"/>
            <w:tcBorders>
              <w:top w:val="single" w:sz="4" w:space="0" w:color="BFCDD4"/>
              <w:left w:val="single" w:sz="4" w:space="0" w:color="BFCDD4"/>
              <w:bottom w:val="single" w:sz="4" w:space="0" w:color="BFCDD4"/>
              <w:right w:val="single" w:sz="4" w:space="0" w:color="BFCDD4"/>
            </w:tcBorders>
            <w:vAlign w:val="center"/>
          </w:tcPr>
          <w:p w14:paraId="759F646C" w14:textId="77777777" w:rsidR="00AC4A83" w:rsidRDefault="00000000">
            <w:pPr>
              <w:pStyle w:val="BodyText9"/>
              <w:suppressLineNumbers/>
              <w:spacing w:before="40" w:after="40" w:line="240" w:lineRule="auto"/>
            </w:pPr>
            <w:r>
              <w:fldChar w:fldCharType="begin"/>
            </w:r>
            <w:r>
              <w:instrText xml:space="preserve"> DOCPROPERTY "DocOwner"</w:instrText>
            </w:r>
            <w:r>
              <w:fldChar w:fldCharType="separate"/>
            </w:r>
            <w:r>
              <w:t>Chief Executive Officer — Accountable Party</w:t>
            </w:r>
            <w:r>
              <w:fldChar w:fldCharType="end"/>
            </w:r>
          </w:p>
        </w:tc>
      </w:tr>
      <w:tr w:rsidR="00AC4A83" w14:paraId="6E03DC43"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6B35823F" w14:textId="77777777" w:rsidR="00AC4A83" w:rsidRDefault="00000000">
            <w:pPr>
              <w:pStyle w:val="BodyText9"/>
              <w:suppressLineNumbers/>
              <w:spacing w:before="40" w:after="40" w:line="240" w:lineRule="auto"/>
            </w:pPr>
            <w:r>
              <w:rPr>
                <w:b/>
                <w:color w:val="404040" w:themeColor="text1" w:themeTint="BF"/>
                <w:sz w:val="20"/>
                <w:szCs w:val="20"/>
              </w:rPr>
              <w:t>Prepared By</w:t>
            </w:r>
          </w:p>
        </w:tc>
        <w:tc>
          <w:tcPr>
            <w:tcW w:w="6544" w:type="dxa"/>
            <w:tcBorders>
              <w:top w:val="single" w:sz="4" w:space="0" w:color="BFCDD4"/>
              <w:left w:val="single" w:sz="4" w:space="0" w:color="BFCDD4"/>
              <w:bottom w:val="single" w:sz="4" w:space="0" w:color="BFCDD4"/>
              <w:right w:val="single" w:sz="4" w:space="0" w:color="BFCDD4"/>
            </w:tcBorders>
            <w:vAlign w:val="center"/>
          </w:tcPr>
          <w:p w14:paraId="7ED289F8" w14:textId="77777777" w:rsidR="00AC4A83" w:rsidRDefault="00000000">
            <w:pPr>
              <w:pStyle w:val="BodyText9"/>
              <w:suppressLineNumbers/>
              <w:spacing w:before="40" w:after="40" w:line="240" w:lineRule="auto"/>
            </w:pPr>
            <w:r>
              <w:rPr>
                <w:color w:val="404040" w:themeColor="text1" w:themeTint="BF"/>
                <w:sz w:val="20"/>
              </w:rPr>
              <w:t>Security Officer</w:t>
            </w:r>
          </w:p>
        </w:tc>
      </w:tr>
      <w:tr w:rsidR="00AC4A83" w14:paraId="0369FE59"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2525E935" w14:textId="77777777" w:rsidR="00AC4A83" w:rsidRDefault="00000000">
            <w:pPr>
              <w:pStyle w:val="BodyText9"/>
              <w:suppressLineNumbers/>
              <w:spacing w:before="40" w:after="40" w:line="240" w:lineRule="auto"/>
            </w:pPr>
            <w:r>
              <w:rPr>
                <w:b/>
                <w:color w:val="404040" w:themeColor="text1" w:themeTint="BF"/>
                <w:sz w:val="20"/>
                <w:szCs w:val="20"/>
              </w:rPr>
              <w:t>Review Cycle</w:t>
            </w:r>
          </w:p>
        </w:tc>
        <w:tc>
          <w:tcPr>
            <w:tcW w:w="6544" w:type="dxa"/>
            <w:tcBorders>
              <w:top w:val="single" w:sz="4" w:space="0" w:color="BFCDD4"/>
              <w:left w:val="single" w:sz="4" w:space="0" w:color="BFCDD4"/>
              <w:bottom w:val="single" w:sz="4" w:space="0" w:color="BFCDD4"/>
              <w:right w:val="single" w:sz="4" w:space="0" w:color="BFCDD4"/>
            </w:tcBorders>
            <w:vAlign w:val="center"/>
          </w:tcPr>
          <w:p w14:paraId="3A705B43" w14:textId="77777777" w:rsidR="00AC4A83" w:rsidRDefault="00000000">
            <w:pPr>
              <w:pStyle w:val="BodyText9"/>
              <w:suppressLineNumbers/>
              <w:spacing w:before="40" w:after="40" w:line="240" w:lineRule="auto"/>
            </w:pPr>
            <w:r>
              <w:fldChar w:fldCharType="begin"/>
            </w:r>
            <w:r>
              <w:instrText xml:space="preserve"> DOCPROPERTY "ReviewCycle"</w:instrText>
            </w:r>
            <w:r>
              <w:fldChar w:fldCharType="separate"/>
            </w:r>
            <w:r>
              <w:t>Annual, or upon material change</w:t>
            </w:r>
            <w:r>
              <w:fldChar w:fldCharType="end"/>
            </w:r>
          </w:p>
        </w:tc>
      </w:tr>
      <w:tr w:rsidR="00AC4A83" w14:paraId="2F8F99B6"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144F4A1E" w14:textId="77777777" w:rsidR="00AC4A83" w:rsidRDefault="00000000">
            <w:pPr>
              <w:pStyle w:val="BodyText9"/>
              <w:suppressLineNumbers/>
              <w:spacing w:before="40" w:after="40" w:line="240" w:lineRule="auto"/>
            </w:pPr>
            <w:r>
              <w:rPr>
                <w:b/>
                <w:color w:val="404040" w:themeColor="text1" w:themeTint="BF"/>
                <w:sz w:val="20"/>
                <w:szCs w:val="20"/>
              </w:rPr>
              <w:t>Supersedes</w:t>
            </w:r>
          </w:p>
        </w:tc>
        <w:tc>
          <w:tcPr>
            <w:tcW w:w="6544" w:type="dxa"/>
            <w:tcBorders>
              <w:top w:val="single" w:sz="4" w:space="0" w:color="BFCDD4"/>
              <w:left w:val="single" w:sz="4" w:space="0" w:color="BFCDD4"/>
              <w:bottom w:val="single" w:sz="4" w:space="0" w:color="BFCDD4"/>
              <w:right w:val="single" w:sz="4" w:space="0" w:color="BFCDD4"/>
            </w:tcBorders>
            <w:vAlign w:val="center"/>
          </w:tcPr>
          <w:p w14:paraId="40DB13B3" w14:textId="77777777" w:rsidR="00AC4A83" w:rsidRDefault="00000000">
            <w:pPr>
              <w:pStyle w:val="BodyText9"/>
              <w:suppressLineNumbers/>
              <w:spacing w:before="40" w:after="40" w:line="240" w:lineRule="auto"/>
            </w:pPr>
            <w:r>
              <w:rPr>
                <w:color w:val="404040" w:themeColor="text1" w:themeTint="BF"/>
                <w:sz w:val="20"/>
              </w:rPr>
              <w:t>N/A</w:t>
            </w:r>
          </w:p>
        </w:tc>
      </w:tr>
      <w:tr w:rsidR="00AC4A83" w14:paraId="38BAFEC1" w14:textId="77777777">
        <w:trPr>
          <w:trHeight w:val="20"/>
        </w:trPr>
        <w:tc>
          <w:tcPr>
            <w:tcW w:w="3124" w:type="dxa"/>
            <w:tcBorders>
              <w:top w:val="single" w:sz="4" w:space="0" w:color="BFCDD4"/>
              <w:left w:val="single" w:sz="4" w:space="0" w:color="BFCDD4"/>
              <w:bottom w:val="single" w:sz="4" w:space="0" w:color="BFCDD4"/>
              <w:right w:val="single" w:sz="4" w:space="0" w:color="BFCDD4"/>
            </w:tcBorders>
            <w:shd w:val="clear" w:color="auto" w:fill="EAF2F4"/>
            <w:vAlign w:val="center"/>
          </w:tcPr>
          <w:p w14:paraId="3308B33C" w14:textId="77777777" w:rsidR="00AC4A83" w:rsidRDefault="00000000">
            <w:pPr>
              <w:pStyle w:val="BodyText9"/>
              <w:suppressLineNumbers/>
              <w:spacing w:before="40" w:after="40" w:line="240" w:lineRule="auto"/>
            </w:pPr>
            <w:r>
              <w:rPr>
                <w:b/>
                <w:color w:val="404040" w:themeColor="text1" w:themeTint="BF"/>
                <w:sz w:val="20"/>
                <w:szCs w:val="20"/>
              </w:rPr>
              <w:t>Audience</w:t>
            </w:r>
          </w:p>
        </w:tc>
        <w:tc>
          <w:tcPr>
            <w:tcW w:w="6544" w:type="dxa"/>
            <w:tcBorders>
              <w:top w:val="single" w:sz="4" w:space="0" w:color="BFCDD4"/>
              <w:left w:val="single" w:sz="4" w:space="0" w:color="BFCDD4"/>
              <w:bottom w:val="single" w:sz="4" w:space="0" w:color="BFCDD4"/>
              <w:right w:val="single" w:sz="4" w:space="0" w:color="BFCDD4"/>
            </w:tcBorders>
            <w:vAlign w:val="center"/>
          </w:tcPr>
          <w:p w14:paraId="6FD0CFA6" w14:textId="77777777" w:rsidR="00AC4A83" w:rsidRDefault="00000000">
            <w:pPr>
              <w:pStyle w:val="BodyText9"/>
              <w:suppressLineNumbers/>
              <w:spacing w:before="40" w:after="40" w:line="240" w:lineRule="auto"/>
            </w:pPr>
            <w:r>
              <w:fldChar w:fldCharType="begin"/>
            </w:r>
            <w:r>
              <w:instrText xml:space="preserve"> DOCPROPERTY "Audience"</w:instrText>
            </w:r>
            <w:r>
              <w:fldChar w:fldCharType="separate"/>
            </w:r>
            <w:r>
              <w:t>All personnel, including employees, contractors, consultants and interns</w:t>
            </w:r>
            <w:r>
              <w:fldChar w:fldCharType="end"/>
            </w:r>
          </w:p>
        </w:tc>
      </w:tr>
    </w:tbl>
    <w:p w14:paraId="78CBF7B8" w14:textId="77777777" w:rsidR="00AC4A83" w:rsidRDefault="00AC4A83">
      <w:pPr>
        <w:suppressLineNumbers/>
        <w:rPr>
          <w:rStyle w:val="Strong"/>
        </w:rPr>
      </w:pPr>
    </w:p>
    <w:p w14:paraId="43EB443B" w14:textId="77777777" w:rsidR="00AC4A83" w:rsidRDefault="00000000">
      <w:pPr>
        <w:suppressLineNumbers/>
        <w:spacing w:before="360" w:after="160"/>
        <w:rPr>
          <w:rStyle w:val="Strong"/>
        </w:rPr>
      </w:pPr>
      <w:r>
        <w:rPr>
          <w:rStyle w:val="Strong"/>
          <w:caps/>
        </w:rPr>
        <w:t>APPROVAL / Owner / Reviewer</w:t>
      </w:r>
    </w:p>
    <w:tbl>
      <w:tblPr>
        <w:tblW w:w="9360" w:type="dxa"/>
        <w:tblLayout w:type="fixed"/>
        <w:tblCellMar>
          <w:top w:w="26" w:type="dxa"/>
          <w:left w:w="92" w:type="dxa"/>
          <w:bottom w:w="26" w:type="dxa"/>
          <w:right w:w="92" w:type="dxa"/>
        </w:tblCellMar>
        <w:tblLook w:val="0000" w:firstRow="0" w:lastRow="0" w:firstColumn="0" w:lastColumn="0" w:noHBand="0" w:noVBand="0"/>
      </w:tblPr>
      <w:tblGrid>
        <w:gridCol w:w="2592"/>
        <w:gridCol w:w="2880"/>
        <w:gridCol w:w="2162"/>
        <w:gridCol w:w="1726"/>
      </w:tblGrid>
      <w:tr w:rsidR="00AC4A83" w14:paraId="175AA93E" w14:textId="77777777">
        <w:trPr>
          <w:tblHeader/>
        </w:trPr>
        <w:tc>
          <w:tcPr>
            <w:tcW w:w="2591" w:type="dxa"/>
            <w:tcBorders>
              <w:top w:val="single" w:sz="2" w:space="0" w:color="808080"/>
              <w:left w:val="single" w:sz="2" w:space="0" w:color="808080"/>
              <w:bottom w:val="single" w:sz="2" w:space="0" w:color="808080"/>
              <w:right w:val="single" w:sz="2" w:space="0" w:color="808080"/>
            </w:tcBorders>
            <w:vAlign w:val="center"/>
          </w:tcPr>
          <w:p w14:paraId="33A564F9" w14:textId="77777777" w:rsidR="00AC4A83" w:rsidRDefault="00000000">
            <w:pPr>
              <w:pStyle w:val="BodyText9"/>
              <w:suppressLineNumbers/>
              <w:spacing w:before="40" w:after="40" w:line="240" w:lineRule="auto"/>
              <w:rPr>
                <w:b/>
                <w:bCs/>
              </w:rPr>
            </w:pPr>
            <w:r>
              <w:rPr>
                <w:b/>
                <w:bCs/>
                <w:color w:val="404040" w:themeColor="text1" w:themeTint="BF"/>
                <w:sz w:val="20"/>
                <w:szCs w:val="20"/>
              </w:rPr>
              <w:t>Name</w:t>
            </w:r>
          </w:p>
        </w:tc>
        <w:tc>
          <w:tcPr>
            <w:tcW w:w="2880" w:type="dxa"/>
            <w:tcBorders>
              <w:top w:val="single" w:sz="2" w:space="0" w:color="808080"/>
              <w:left w:val="single" w:sz="2" w:space="0" w:color="808080"/>
              <w:bottom w:val="single" w:sz="2" w:space="0" w:color="808080"/>
              <w:right w:val="single" w:sz="2" w:space="0" w:color="808080"/>
            </w:tcBorders>
            <w:vAlign w:val="center"/>
          </w:tcPr>
          <w:p w14:paraId="6B1F809E" w14:textId="77777777" w:rsidR="00AC4A83" w:rsidRDefault="00000000">
            <w:pPr>
              <w:pStyle w:val="BodyText9"/>
              <w:suppressLineNumbers/>
              <w:spacing w:before="40" w:after="40" w:line="240" w:lineRule="auto"/>
              <w:rPr>
                <w:b/>
                <w:bCs/>
              </w:rPr>
            </w:pPr>
            <w:r>
              <w:rPr>
                <w:b/>
                <w:bCs/>
                <w:color w:val="404040" w:themeColor="text1" w:themeTint="BF"/>
                <w:sz w:val="20"/>
                <w:szCs w:val="20"/>
              </w:rPr>
              <w:t>Information Security Role</w:t>
            </w:r>
          </w:p>
        </w:tc>
        <w:tc>
          <w:tcPr>
            <w:tcW w:w="2162" w:type="dxa"/>
            <w:tcBorders>
              <w:top w:val="single" w:sz="2" w:space="0" w:color="808080"/>
              <w:left w:val="single" w:sz="2" w:space="0" w:color="808080"/>
              <w:bottom w:val="single" w:sz="2" w:space="0" w:color="808080"/>
              <w:right w:val="single" w:sz="2" w:space="0" w:color="808080"/>
            </w:tcBorders>
            <w:vAlign w:val="center"/>
          </w:tcPr>
          <w:p w14:paraId="32961746" w14:textId="77777777" w:rsidR="00AC4A83" w:rsidRDefault="00000000">
            <w:pPr>
              <w:pStyle w:val="BodyText9"/>
              <w:suppressLineNumbers/>
              <w:spacing w:before="40" w:after="40" w:line="240" w:lineRule="auto"/>
              <w:rPr>
                <w:b/>
                <w:bCs/>
              </w:rPr>
            </w:pPr>
            <w:r>
              <w:rPr>
                <w:b/>
                <w:bCs/>
                <w:color w:val="404040" w:themeColor="text1" w:themeTint="BF"/>
                <w:sz w:val="20"/>
                <w:szCs w:val="20"/>
              </w:rPr>
              <w:t>Signature</w:t>
            </w:r>
          </w:p>
        </w:tc>
        <w:tc>
          <w:tcPr>
            <w:tcW w:w="1726" w:type="dxa"/>
            <w:tcBorders>
              <w:top w:val="single" w:sz="2" w:space="0" w:color="808080"/>
              <w:left w:val="single" w:sz="2" w:space="0" w:color="808080"/>
              <w:bottom w:val="single" w:sz="2" w:space="0" w:color="808080"/>
              <w:right w:val="single" w:sz="2" w:space="0" w:color="808080"/>
            </w:tcBorders>
            <w:vAlign w:val="center"/>
          </w:tcPr>
          <w:p w14:paraId="4307A53B" w14:textId="77777777" w:rsidR="00AC4A83" w:rsidRDefault="00000000">
            <w:pPr>
              <w:pStyle w:val="BodyText9"/>
              <w:suppressLineNumbers/>
              <w:spacing w:before="40" w:after="40" w:line="240" w:lineRule="auto"/>
              <w:rPr>
                <w:b/>
                <w:bCs/>
              </w:rPr>
            </w:pPr>
            <w:r>
              <w:rPr>
                <w:b/>
                <w:bCs/>
                <w:color w:val="404040" w:themeColor="text1" w:themeTint="BF"/>
                <w:sz w:val="20"/>
                <w:szCs w:val="20"/>
              </w:rPr>
              <w:t>Date</w:t>
            </w:r>
          </w:p>
        </w:tc>
      </w:tr>
      <w:tr w:rsidR="00AC4A83" w14:paraId="6A29E61B" w14:textId="77777777">
        <w:tc>
          <w:tcPr>
            <w:tcW w:w="2591" w:type="dxa"/>
            <w:tcBorders>
              <w:top w:val="single" w:sz="2" w:space="0" w:color="808080"/>
              <w:left w:val="single" w:sz="2" w:space="0" w:color="808080"/>
              <w:bottom w:val="single" w:sz="2" w:space="0" w:color="808080"/>
              <w:right w:val="single" w:sz="2" w:space="0" w:color="808080"/>
            </w:tcBorders>
            <w:vAlign w:val="center"/>
          </w:tcPr>
          <w:p w14:paraId="0C1B7D14" w14:textId="77777777" w:rsidR="00AC4A83" w:rsidRDefault="00000000">
            <w:pPr>
              <w:pStyle w:val="BodyText9"/>
              <w:suppressLineNumbers/>
              <w:spacing w:before="40" w:after="40" w:line="240" w:lineRule="auto"/>
            </w:pPr>
            <w:r>
              <w:rPr>
                <w:b/>
                <w:color w:val="404040" w:themeColor="text1" w:themeTint="BF"/>
                <w:sz w:val="20"/>
                <w:szCs w:val="20"/>
              </w:rPr>
              <w:t>Madhuri Chandoor</w:t>
            </w:r>
          </w:p>
        </w:tc>
        <w:tc>
          <w:tcPr>
            <w:tcW w:w="2880" w:type="dxa"/>
            <w:tcBorders>
              <w:top w:val="single" w:sz="2" w:space="0" w:color="808080"/>
              <w:left w:val="single" w:sz="2" w:space="0" w:color="808080"/>
              <w:bottom w:val="single" w:sz="2" w:space="0" w:color="808080"/>
              <w:right w:val="single" w:sz="2" w:space="0" w:color="808080"/>
            </w:tcBorders>
            <w:vAlign w:val="center"/>
          </w:tcPr>
          <w:p w14:paraId="159A1BAB" w14:textId="77777777" w:rsidR="00AC4A83" w:rsidRDefault="00000000">
            <w:pPr>
              <w:pStyle w:val="BodyText9"/>
              <w:suppressLineNumbers/>
              <w:spacing w:before="40" w:after="40" w:line="240" w:lineRule="auto"/>
            </w:pPr>
            <w:r>
              <w:rPr>
                <w:color w:val="404040" w:themeColor="text1" w:themeTint="BF"/>
                <w:sz w:val="20"/>
                <w:szCs w:val="20"/>
              </w:rPr>
              <w:t>CEO and Founder</w:t>
            </w:r>
          </w:p>
        </w:tc>
        <w:tc>
          <w:tcPr>
            <w:tcW w:w="2162" w:type="dxa"/>
            <w:tcBorders>
              <w:top w:val="single" w:sz="2" w:space="0" w:color="808080"/>
              <w:left w:val="single" w:sz="2" w:space="0" w:color="808080"/>
              <w:bottom w:val="single" w:sz="2" w:space="0" w:color="808080"/>
              <w:right w:val="single" w:sz="2" w:space="0" w:color="808080"/>
            </w:tcBorders>
            <w:vAlign w:val="center"/>
          </w:tcPr>
          <w:p w14:paraId="542439D3" w14:textId="77777777" w:rsidR="00AC4A83" w:rsidRDefault="00AC4A83">
            <w:pPr>
              <w:pStyle w:val="BodyText9"/>
              <w:suppressLineNumbers/>
              <w:spacing w:before="40" w:after="40" w:line="240" w:lineRule="auto"/>
            </w:pPr>
          </w:p>
        </w:tc>
        <w:tc>
          <w:tcPr>
            <w:tcW w:w="1726" w:type="dxa"/>
            <w:tcBorders>
              <w:top w:val="single" w:sz="2" w:space="0" w:color="808080"/>
              <w:left w:val="single" w:sz="2" w:space="0" w:color="808080"/>
              <w:bottom w:val="single" w:sz="2" w:space="0" w:color="808080"/>
              <w:right w:val="single" w:sz="2" w:space="0" w:color="808080"/>
            </w:tcBorders>
            <w:vAlign w:val="center"/>
          </w:tcPr>
          <w:p w14:paraId="0CCB312B" w14:textId="77777777" w:rsidR="00AC4A83" w:rsidRDefault="00000000">
            <w:pPr>
              <w:pStyle w:val="BodyText9"/>
              <w:suppressLineNumbers/>
              <w:spacing w:before="40" w:after="40" w:line="240" w:lineRule="auto"/>
            </w:pPr>
            <w:r>
              <w:rPr>
                <w:color w:val="404040" w:themeColor="text1" w:themeTint="BF"/>
                <w:sz w:val="20"/>
              </w:rPr>
              <w:t>July 23, 2026</w:t>
            </w:r>
          </w:p>
        </w:tc>
      </w:tr>
      <w:tr w:rsidR="00AC4A83" w14:paraId="1A0FA11F" w14:textId="77777777">
        <w:tc>
          <w:tcPr>
            <w:tcW w:w="2591" w:type="dxa"/>
            <w:tcBorders>
              <w:top w:val="single" w:sz="2" w:space="0" w:color="808080"/>
              <w:left w:val="single" w:sz="2" w:space="0" w:color="808080"/>
              <w:bottom w:val="single" w:sz="2" w:space="0" w:color="808080"/>
              <w:right w:val="single" w:sz="2" w:space="0" w:color="808080"/>
            </w:tcBorders>
            <w:vAlign w:val="center"/>
          </w:tcPr>
          <w:p w14:paraId="646D8F72" w14:textId="77777777" w:rsidR="00AC4A83" w:rsidRDefault="00000000">
            <w:pPr>
              <w:pStyle w:val="BodyText9"/>
              <w:suppressLineNumbers/>
              <w:spacing w:before="40" w:after="40" w:line="240" w:lineRule="auto"/>
            </w:pPr>
            <w:r>
              <w:rPr>
                <w:b/>
                <w:color w:val="404040" w:themeColor="text1" w:themeTint="BF"/>
                <w:sz w:val="20"/>
                <w:szCs w:val="20"/>
              </w:rPr>
              <w:t>Praveen Sharma</w:t>
            </w:r>
          </w:p>
        </w:tc>
        <w:tc>
          <w:tcPr>
            <w:tcW w:w="2880" w:type="dxa"/>
            <w:tcBorders>
              <w:top w:val="single" w:sz="2" w:space="0" w:color="808080"/>
              <w:left w:val="single" w:sz="2" w:space="0" w:color="808080"/>
              <w:bottom w:val="single" w:sz="2" w:space="0" w:color="808080"/>
              <w:right w:val="single" w:sz="2" w:space="0" w:color="808080"/>
            </w:tcBorders>
            <w:vAlign w:val="center"/>
          </w:tcPr>
          <w:p w14:paraId="5A24E8FF" w14:textId="77777777" w:rsidR="00AC4A83" w:rsidRDefault="00000000">
            <w:pPr>
              <w:pStyle w:val="BodyText9"/>
              <w:suppressLineNumbers/>
              <w:spacing w:before="40" w:after="40" w:line="240" w:lineRule="auto"/>
            </w:pPr>
            <w:r>
              <w:rPr>
                <w:color w:val="404040" w:themeColor="text1" w:themeTint="BF"/>
                <w:sz w:val="20"/>
                <w:szCs w:val="20"/>
              </w:rPr>
              <w:t>Security Officer</w:t>
            </w:r>
          </w:p>
        </w:tc>
        <w:tc>
          <w:tcPr>
            <w:tcW w:w="2162" w:type="dxa"/>
            <w:tcBorders>
              <w:top w:val="single" w:sz="2" w:space="0" w:color="808080"/>
              <w:left w:val="single" w:sz="2" w:space="0" w:color="808080"/>
              <w:bottom w:val="single" w:sz="2" w:space="0" w:color="808080"/>
              <w:right w:val="single" w:sz="2" w:space="0" w:color="808080"/>
            </w:tcBorders>
            <w:vAlign w:val="center"/>
          </w:tcPr>
          <w:p w14:paraId="550B5DA5" w14:textId="77777777" w:rsidR="00AC4A83" w:rsidRDefault="00AC4A83">
            <w:pPr>
              <w:pStyle w:val="BodyText9"/>
              <w:suppressLineNumbers/>
              <w:spacing w:before="40" w:after="40" w:line="240" w:lineRule="auto"/>
            </w:pPr>
          </w:p>
        </w:tc>
        <w:tc>
          <w:tcPr>
            <w:tcW w:w="1726" w:type="dxa"/>
            <w:tcBorders>
              <w:top w:val="single" w:sz="2" w:space="0" w:color="808080"/>
              <w:left w:val="single" w:sz="2" w:space="0" w:color="808080"/>
              <w:bottom w:val="single" w:sz="2" w:space="0" w:color="808080"/>
              <w:right w:val="single" w:sz="2" w:space="0" w:color="808080"/>
            </w:tcBorders>
            <w:vAlign w:val="center"/>
          </w:tcPr>
          <w:p w14:paraId="30146912" w14:textId="77777777" w:rsidR="00AC4A83" w:rsidRDefault="00000000">
            <w:pPr>
              <w:pStyle w:val="BodyText9"/>
              <w:suppressLineNumbers/>
              <w:spacing w:before="40" w:after="40" w:line="240" w:lineRule="auto"/>
            </w:pPr>
            <w:r>
              <w:rPr>
                <w:color w:val="404040" w:themeColor="text1" w:themeTint="BF"/>
                <w:sz w:val="20"/>
              </w:rPr>
              <w:t>July 23, 2026</w:t>
            </w:r>
          </w:p>
        </w:tc>
      </w:tr>
    </w:tbl>
    <w:p w14:paraId="64A4E3F9" w14:textId="77777777" w:rsidR="00AC4A83" w:rsidRDefault="00AC4A83">
      <w:pPr>
        <w:suppressLineNumbers/>
        <w:rPr>
          <w:rStyle w:val="Strong"/>
        </w:rPr>
      </w:pPr>
    </w:p>
    <w:p w14:paraId="24CAACC3" w14:textId="77777777" w:rsidR="00AC4A83" w:rsidRDefault="00000000">
      <w:pPr>
        <w:suppressLineNumbers/>
        <w:spacing w:before="360" w:after="160"/>
      </w:pPr>
      <w:r>
        <w:rPr>
          <w:rStyle w:val="Strong"/>
          <w:caps/>
        </w:rPr>
        <w:t>COMPLIANCE</w:t>
      </w:r>
    </w:p>
    <w:p w14:paraId="0E527E7F" w14:textId="77777777" w:rsidR="00AC4A83" w:rsidRDefault="00000000">
      <w:pPr>
        <w:pStyle w:val="BodyText9"/>
        <w:suppressLineNumbers/>
        <w:spacing w:after="120"/>
        <w:jc w:val="both"/>
      </w:pPr>
      <w:r>
        <w:rPr>
          <w:color w:val="404040" w:themeColor="text1" w:themeTint="BF"/>
        </w:rPr>
        <w:t xml:space="preserve">This document supports the </w:t>
      </w:r>
      <w:r>
        <w:rPr>
          <w:rFonts w:ascii="Calibri Light" w:eastAsia="Calibri Light" w:hAnsi="Calibri Light" w:cs="Calibri Light"/>
          <w:color w:val="404040" w:themeColor="text1" w:themeTint="BF"/>
          <w:sz w:val="18"/>
        </w:rPr>
        <w:t>SOC 2 Trust Services Criteria</w:t>
      </w:r>
      <w:r>
        <w:rPr>
          <w:color w:val="404040" w:themeColor="text1" w:themeTint="BF"/>
        </w:rPr>
        <w:t xml:space="preserve"> </w:t>
      </w:r>
      <w:r>
        <w:rPr>
          <w:rFonts w:ascii="Calibri Light" w:eastAsia="Calibri Light" w:hAnsi="Calibri Light" w:cs="Calibri Light"/>
          <w:color w:val="404040" w:themeColor="text1" w:themeTint="BF"/>
          <w:sz w:val="18"/>
        </w:rPr>
        <w:t>CC1.1</w:t>
      </w:r>
      <w:r>
        <w:rPr>
          <w:color w:val="404040" w:themeColor="text1" w:themeTint="BF"/>
        </w:rPr>
        <w:t xml:space="preserve">, </w:t>
      </w:r>
      <w:r>
        <w:rPr>
          <w:rFonts w:ascii="Calibri Light" w:eastAsia="Calibri Light" w:hAnsi="Calibri Light" w:cs="Calibri Light"/>
          <w:color w:val="404040" w:themeColor="text1" w:themeTint="BF"/>
          <w:sz w:val="18"/>
        </w:rPr>
        <w:t>CC1.4</w:t>
      </w:r>
      <w:r>
        <w:rPr>
          <w:color w:val="404040" w:themeColor="text1" w:themeTint="BF"/>
        </w:rPr>
        <w:t xml:space="preserve">, </w:t>
      </w:r>
      <w:r>
        <w:rPr>
          <w:rFonts w:ascii="Calibri Light" w:eastAsia="Calibri Light" w:hAnsi="Calibri Light" w:cs="Calibri Light"/>
          <w:color w:val="404040" w:themeColor="text1" w:themeTint="BF"/>
          <w:sz w:val="18"/>
        </w:rPr>
        <w:t>CC1.5</w:t>
      </w:r>
      <w:r>
        <w:rPr>
          <w:color w:val="404040" w:themeColor="text1" w:themeTint="BF"/>
        </w:rPr>
        <w:t xml:space="preserve"> (Control Environment), </w:t>
      </w:r>
      <w:r>
        <w:rPr>
          <w:rFonts w:ascii="Calibri Light" w:eastAsia="Calibri Light" w:hAnsi="Calibri Light" w:cs="Calibri Light"/>
          <w:color w:val="404040" w:themeColor="text1" w:themeTint="BF"/>
          <w:sz w:val="18"/>
        </w:rPr>
        <w:t>CC2.2</w:t>
      </w:r>
      <w:r>
        <w:rPr>
          <w:color w:val="404040" w:themeColor="text1" w:themeTint="BF"/>
        </w:rPr>
        <w:t xml:space="preserve">, </w:t>
      </w:r>
      <w:r>
        <w:rPr>
          <w:rFonts w:ascii="Calibri Light" w:eastAsia="Calibri Light" w:hAnsi="Calibri Light" w:cs="Calibri Light"/>
          <w:color w:val="404040" w:themeColor="text1" w:themeTint="BF"/>
          <w:sz w:val="18"/>
        </w:rPr>
        <w:t>CC2.3</w:t>
      </w:r>
      <w:r>
        <w:rPr>
          <w:color w:val="404040" w:themeColor="text1" w:themeTint="BF"/>
        </w:rPr>
        <w:t xml:space="preserve"> (Communication) and </w:t>
      </w:r>
      <w:r>
        <w:rPr>
          <w:rFonts w:ascii="Calibri Light" w:eastAsia="Calibri Light" w:hAnsi="Calibri Light" w:cs="Calibri Light"/>
          <w:color w:val="404040" w:themeColor="text1" w:themeTint="BF"/>
          <w:sz w:val="18"/>
        </w:rPr>
        <w:t>CC3.3</w:t>
      </w:r>
      <w:r>
        <w:rPr>
          <w:color w:val="404040" w:themeColor="text1" w:themeTint="BF"/>
        </w:rPr>
        <w:t xml:space="preserve"> (Fraud Risk). Where the Company processes protected health information or personal data on behalf of clients, it also supports </w:t>
      </w:r>
      <w:r>
        <w:rPr>
          <w:rFonts w:ascii="Calibri Light" w:eastAsia="Calibri Light" w:hAnsi="Calibri Light" w:cs="Calibri Light"/>
          <w:color w:val="404040" w:themeColor="text1" w:themeTint="BF"/>
          <w:sz w:val="18"/>
        </w:rPr>
        <w:t>HIPAA Security Rule</w:t>
      </w:r>
      <w:r>
        <w:rPr>
          <w:color w:val="404040" w:themeColor="text1" w:themeTint="BF"/>
        </w:rPr>
        <w:t xml:space="preserve"> </w:t>
      </w:r>
      <w:r>
        <w:rPr>
          <w:rFonts w:ascii="Calibri Light" w:eastAsia="Calibri Light" w:hAnsi="Calibri Light" w:cs="Calibri Light"/>
          <w:color w:val="404040" w:themeColor="text1" w:themeTint="BF"/>
          <w:sz w:val="18"/>
        </w:rPr>
        <w:t>45 CFR §164.308(a)(3)</w:t>
      </w:r>
      <w:r>
        <w:rPr>
          <w:color w:val="404040" w:themeColor="text1" w:themeTint="BF"/>
        </w:rPr>
        <w:t xml:space="preserve"> and </w:t>
      </w:r>
      <w:r>
        <w:rPr>
          <w:rFonts w:ascii="Calibri Light" w:eastAsia="Calibri Light" w:hAnsi="Calibri Light" w:cs="Calibri Light"/>
          <w:color w:val="404040" w:themeColor="text1" w:themeTint="BF"/>
          <w:sz w:val="18"/>
        </w:rPr>
        <w:t>§164.308(a)(5)</w:t>
      </w:r>
      <w:r>
        <w:rPr>
          <w:color w:val="404040" w:themeColor="text1" w:themeTint="BF"/>
        </w:rPr>
        <w:t xml:space="preserve">, and </w:t>
      </w:r>
      <w:r>
        <w:rPr>
          <w:rFonts w:ascii="Calibri Light" w:eastAsia="Calibri Light" w:hAnsi="Calibri Light" w:cs="Calibri Light"/>
          <w:color w:val="404040" w:themeColor="text1" w:themeTint="BF"/>
          <w:sz w:val="18"/>
        </w:rPr>
        <w:t>GDPR Articles 5, 32 and 33</w:t>
      </w:r>
      <w:r>
        <w:rPr>
          <w:color w:val="404040" w:themeColor="text1" w:themeTint="BF"/>
        </w:rPr>
        <w:t>.</w:t>
      </w:r>
    </w:p>
    <w:p w14:paraId="0DCB96D2" w14:textId="77777777" w:rsidR="00AC4A83" w:rsidRDefault="00000000">
      <w:pPr>
        <w:suppressLineNumbers/>
        <w:spacing w:before="360" w:after="160"/>
        <w:rPr>
          <w:rStyle w:val="Strong"/>
        </w:rPr>
      </w:pPr>
      <w:r>
        <w:rPr>
          <w:rStyle w:val="Strong"/>
          <w:caps/>
        </w:rPr>
        <w:t>DOCUMENT VALIDITY</w:t>
      </w:r>
    </w:p>
    <w:p w14:paraId="5665B11B" w14:textId="77777777" w:rsidR="00AC4A83" w:rsidRDefault="00000000">
      <w:pPr>
        <w:pStyle w:val="BodyText9"/>
        <w:suppressLineNumbers/>
        <w:spacing w:after="120"/>
        <w:jc w:val="both"/>
      </w:pPr>
      <w:r>
        <w:rPr>
          <w:color w:val="404040" w:themeColor="text1" w:themeTint="BF"/>
        </w:rPr>
        <w:lastRenderedPageBreak/>
        <w:t>This document is valid only in its published electronic form in the PromptHalo Technologies policy repository. Printed or locally saved copies are uncontrolled and must be verified against the published version before use. This document is classified Internal and may not be distributed outside PromptHalo Technologies or its authorized clients without the written approval of the Security Officer.</w:t>
      </w:r>
    </w:p>
    <w:p w14:paraId="16484934" w14:textId="77777777" w:rsidR="00AC4A83" w:rsidRDefault="00000000">
      <w:pPr>
        <w:suppressLineNumbers/>
      </w:pPr>
      <w:r>
        <w:br w:type="page"/>
      </w:r>
    </w:p>
    <w:p w14:paraId="6E2D150C" w14:textId="77777777" w:rsidR="00AC4A83" w:rsidRDefault="00000000">
      <w:pPr>
        <w:suppressLineNumbers/>
        <w:spacing w:after="160"/>
        <w:rPr>
          <w:rStyle w:val="Strong"/>
        </w:rPr>
      </w:pPr>
      <w:r>
        <w:rPr>
          <w:rStyle w:val="Strong"/>
          <w:caps/>
        </w:rPr>
        <w:lastRenderedPageBreak/>
        <w:t>TABLE OF CONTENTS</w:t>
      </w:r>
    </w:p>
    <w:p w14:paraId="3A31DF29" w14:textId="1337CE66" w:rsidR="00C60300" w:rsidRDefault="00000000">
      <w:pPr>
        <w:pStyle w:val="TOC1"/>
        <w:tabs>
          <w:tab w:val="right" w:leader="dot" w:pos="9350"/>
        </w:tabs>
        <w:rPr>
          <w:rFonts w:eastAsiaTheme="minorEastAsia" w:cstheme="minorBidi"/>
          <w:b w:val="0"/>
          <w:bCs w:val="0"/>
          <w:caps w:val="0"/>
          <w:noProof/>
          <w:color w:val="auto"/>
          <w:kern w:val="2"/>
          <w:sz w:val="24"/>
          <w:szCs w:val="24"/>
          <w14:ligatures w14:val="standardContextual"/>
        </w:rPr>
      </w:pPr>
      <w:r>
        <w:fldChar w:fldCharType="begin"/>
      </w:r>
      <w:sdt>
        <w:sdtPr>
          <w:id w:val="-1893333535"/>
          <w:docPartObj>
            <w:docPartGallery w:val="Table of Contents"/>
            <w:docPartUnique/>
          </w:docPartObj>
        </w:sdtPr>
        <w:sdtEndPr>
          <w:rPr>
            <w:rStyle w:val="IndexLink"/>
          </w:rPr>
        </w:sdtEndPr>
        <w:sdtContent>
          <w:r>
            <w:rPr>
              <w:rStyle w:val="IndexLink"/>
            </w:rPr>
            <w:instrText xml:space="preserve"> TOC \o "1-2" \h</w:instrText>
          </w:r>
          <w:r>
            <w:rPr>
              <w:rStyle w:val="IndexLink"/>
            </w:rPr>
            <w:fldChar w:fldCharType="separate"/>
          </w:r>
        </w:sdtContent>
      </w:sdt>
      <w:hyperlink w:anchor="_Toc237800926" w:history="1">
        <w:r w:rsidR="00C60300" w:rsidRPr="00620E9F">
          <w:rPr>
            <w:rStyle w:val="Hyperlink"/>
            <w:noProof/>
          </w:rPr>
          <w:t>1 Overview and Purpose</w:t>
        </w:r>
        <w:r w:rsidR="00C60300">
          <w:rPr>
            <w:noProof/>
          </w:rPr>
          <w:tab/>
        </w:r>
        <w:r w:rsidR="00C60300">
          <w:rPr>
            <w:noProof/>
          </w:rPr>
          <w:fldChar w:fldCharType="begin"/>
        </w:r>
        <w:r w:rsidR="00C60300">
          <w:rPr>
            <w:noProof/>
          </w:rPr>
          <w:instrText xml:space="preserve"> PAGEREF _Toc237800926 \h </w:instrText>
        </w:r>
        <w:r w:rsidR="00C60300">
          <w:rPr>
            <w:noProof/>
          </w:rPr>
        </w:r>
        <w:r w:rsidR="00C60300">
          <w:rPr>
            <w:noProof/>
          </w:rPr>
          <w:fldChar w:fldCharType="separate"/>
        </w:r>
        <w:r w:rsidR="00C60300">
          <w:rPr>
            <w:noProof/>
          </w:rPr>
          <w:t>5</w:t>
        </w:r>
        <w:r w:rsidR="00C60300">
          <w:rPr>
            <w:noProof/>
          </w:rPr>
          <w:fldChar w:fldCharType="end"/>
        </w:r>
      </w:hyperlink>
    </w:p>
    <w:p w14:paraId="264AF60C" w14:textId="757E06CE"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27" w:history="1">
        <w:r w:rsidRPr="00620E9F">
          <w:rPr>
            <w:rStyle w:val="Hyperlink"/>
            <w:noProof/>
          </w:rPr>
          <w:t>2 Scope</w:t>
        </w:r>
        <w:r>
          <w:rPr>
            <w:noProof/>
          </w:rPr>
          <w:tab/>
        </w:r>
        <w:r>
          <w:rPr>
            <w:noProof/>
          </w:rPr>
          <w:fldChar w:fldCharType="begin"/>
        </w:r>
        <w:r>
          <w:rPr>
            <w:noProof/>
          </w:rPr>
          <w:instrText xml:space="preserve"> PAGEREF _Toc237800927 \h </w:instrText>
        </w:r>
        <w:r>
          <w:rPr>
            <w:noProof/>
          </w:rPr>
        </w:r>
        <w:r>
          <w:rPr>
            <w:noProof/>
          </w:rPr>
          <w:fldChar w:fldCharType="separate"/>
        </w:r>
        <w:r>
          <w:rPr>
            <w:noProof/>
          </w:rPr>
          <w:t>5</w:t>
        </w:r>
        <w:r>
          <w:rPr>
            <w:noProof/>
          </w:rPr>
          <w:fldChar w:fldCharType="end"/>
        </w:r>
      </w:hyperlink>
    </w:p>
    <w:p w14:paraId="24CDEF25" w14:textId="425F0009"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28" w:history="1">
        <w:r w:rsidRPr="00620E9F">
          <w:rPr>
            <w:rStyle w:val="Hyperlink"/>
            <w:noProof/>
          </w:rPr>
          <w:t>3 Roles and Definitions</w:t>
        </w:r>
        <w:r>
          <w:rPr>
            <w:noProof/>
          </w:rPr>
          <w:tab/>
        </w:r>
        <w:r>
          <w:rPr>
            <w:noProof/>
          </w:rPr>
          <w:fldChar w:fldCharType="begin"/>
        </w:r>
        <w:r>
          <w:rPr>
            <w:noProof/>
          </w:rPr>
          <w:instrText xml:space="preserve"> PAGEREF _Toc237800928 \h </w:instrText>
        </w:r>
        <w:r>
          <w:rPr>
            <w:noProof/>
          </w:rPr>
        </w:r>
        <w:r>
          <w:rPr>
            <w:noProof/>
          </w:rPr>
          <w:fldChar w:fldCharType="separate"/>
        </w:r>
        <w:r>
          <w:rPr>
            <w:noProof/>
          </w:rPr>
          <w:t>5</w:t>
        </w:r>
        <w:r>
          <w:rPr>
            <w:noProof/>
          </w:rPr>
          <w:fldChar w:fldCharType="end"/>
        </w:r>
      </w:hyperlink>
    </w:p>
    <w:p w14:paraId="0B5C2E8B" w14:textId="47F5A6C7"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29" w:history="1">
        <w:r w:rsidRPr="00620E9F">
          <w:rPr>
            <w:rStyle w:val="Hyperlink"/>
            <w:noProof/>
          </w:rPr>
          <w:t>4 Terminology</w:t>
        </w:r>
        <w:r>
          <w:rPr>
            <w:noProof/>
          </w:rPr>
          <w:tab/>
        </w:r>
        <w:r>
          <w:rPr>
            <w:noProof/>
          </w:rPr>
          <w:fldChar w:fldCharType="begin"/>
        </w:r>
        <w:r>
          <w:rPr>
            <w:noProof/>
          </w:rPr>
          <w:instrText xml:space="preserve"> PAGEREF _Toc237800929 \h </w:instrText>
        </w:r>
        <w:r>
          <w:rPr>
            <w:noProof/>
          </w:rPr>
        </w:r>
        <w:r>
          <w:rPr>
            <w:noProof/>
          </w:rPr>
          <w:fldChar w:fldCharType="separate"/>
        </w:r>
        <w:r>
          <w:rPr>
            <w:noProof/>
          </w:rPr>
          <w:t>5</w:t>
        </w:r>
        <w:r>
          <w:rPr>
            <w:noProof/>
          </w:rPr>
          <w:fldChar w:fldCharType="end"/>
        </w:r>
      </w:hyperlink>
    </w:p>
    <w:p w14:paraId="6A7244A3" w14:textId="05A16F5A"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30" w:history="1">
        <w:r w:rsidRPr="00620E9F">
          <w:rPr>
            <w:rStyle w:val="Hyperlink"/>
            <w:noProof/>
          </w:rPr>
          <w:t>5 Standards of Integrity</w:t>
        </w:r>
        <w:r>
          <w:rPr>
            <w:noProof/>
          </w:rPr>
          <w:tab/>
        </w:r>
        <w:r>
          <w:rPr>
            <w:noProof/>
          </w:rPr>
          <w:fldChar w:fldCharType="begin"/>
        </w:r>
        <w:r>
          <w:rPr>
            <w:noProof/>
          </w:rPr>
          <w:instrText xml:space="preserve"> PAGEREF _Toc237800930 \h </w:instrText>
        </w:r>
        <w:r>
          <w:rPr>
            <w:noProof/>
          </w:rPr>
        </w:r>
        <w:r>
          <w:rPr>
            <w:noProof/>
          </w:rPr>
          <w:fldChar w:fldCharType="separate"/>
        </w:r>
        <w:r>
          <w:rPr>
            <w:noProof/>
          </w:rPr>
          <w:t>6</w:t>
        </w:r>
        <w:r>
          <w:rPr>
            <w:noProof/>
          </w:rPr>
          <w:fldChar w:fldCharType="end"/>
        </w:r>
      </w:hyperlink>
    </w:p>
    <w:p w14:paraId="3CC01F9F" w14:textId="45106223"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31" w:history="1">
        <w:r w:rsidRPr="00620E9F">
          <w:rPr>
            <w:rStyle w:val="Hyperlink"/>
            <w:noProof/>
          </w:rPr>
          <w:t>6 Professional Conduct in the Workplace</w:t>
        </w:r>
        <w:r>
          <w:rPr>
            <w:noProof/>
          </w:rPr>
          <w:tab/>
        </w:r>
        <w:r>
          <w:rPr>
            <w:noProof/>
          </w:rPr>
          <w:fldChar w:fldCharType="begin"/>
        </w:r>
        <w:r>
          <w:rPr>
            <w:noProof/>
          </w:rPr>
          <w:instrText xml:space="preserve"> PAGEREF _Toc237800931 \h </w:instrText>
        </w:r>
        <w:r>
          <w:rPr>
            <w:noProof/>
          </w:rPr>
        </w:r>
        <w:r>
          <w:rPr>
            <w:noProof/>
          </w:rPr>
          <w:fldChar w:fldCharType="separate"/>
        </w:r>
        <w:r>
          <w:rPr>
            <w:noProof/>
          </w:rPr>
          <w:t>7</w:t>
        </w:r>
        <w:r>
          <w:rPr>
            <w:noProof/>
          </w:rPr>
          <w:fldChar w:fldCharType="end"/>
        </w:r>
      </w:hyperlink>
    </w:p>
    <w:p w14:paraId="3189DAA6" w14:textId="0E651B51"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32" w:history="1">
        <w:r w:rsidRPr="00620E9F">
          <w:rPr>
            <w:rStyle w:val="Hyperlink"/>
            <w:noProof/>
          </w:rPr>
          <w:t>7 Conflicts of Interest</w:t>
        </w:r>
        <w:r>
          <w:rPr>
            <w:noProof/>
          </w:rPr>
          <w:tab/>
        </w:r>
        <w:r>
          <w:rPr>
            <w:noProof/>
          </w:rPr>
          <w:fldChar w:fldCharType="begin"/>
        </w:r>
        <w:r>
          <w:rPr>
            <w:noProof/>
          </w:rPr>
          <w:instrText xml:space="preserve"> PAGEREF _Toc237800932 \h </w:instrText>
        </w:r>
        <w:r>
          <w:rPr>
            <w:noProof/>
          </w:rPr>
        </w:r>
        <w:r>
          <w:rPr>
            <w:noProof/>
          </w:rPr>
          <w:fldChar w:fldCharType="separate"/>
        </w:r>
        <w:r>
          <w:rPr>
            <w:noProof/>
          </w:rPr>
          <w:t>7</w:t>
        </w:r>
        <w:r>
          <w:rPr>
            <w:noProof/>
          </w:rPr>
          <w:fldChar w:fldCharType="end"/>
        </w:r>
      </w:hyperlink>
    </w:p>
    <w:p w14:paraId="1095DB83" w14:textId="3A1C62A9"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33" w:history="1">
        <w:r w:rsidRPr="00620E9F">
          <w:rPr>
            <w:rStyle w:val="Hyperlink"/>
            <w:noProof/>
          </w:rPr>
          <w:t>8 Independence and Objectivity</w:t>
        </w:r>
        <w:r>
          <w:rPr>
            <w:noProof/>
          </w:rPr>
          <w:tab/>
        </w:r>
        <w:r>
          <w:rPr>
            <w:noProof/>
          </w:rPr>
          <w:fldChar w:fldCharType="begin"/>
        </w:r>
        <w:r>
          <w:rPr>
            <w:noProof/>
          </w:rPr>
          <w:instrText xml:space="preserve"> PAGEREF _Toc237800933 \h </w:instrText>
        </w:r>
        <w:r>
          <w:rPr>
            <w:noProof/>
          </w:rPr>
        </w:r>
        <w:r>
          <w:rPr>
            <w:noProof/>
          </w:rPr>
          <w:fldChar w:fldCharType="separate"/>
        </w:r>
        <w:r>
          <w:rPr>
            <w:noProof/>
          </w:rPr>
          <w:t>8</w:t>
        </w:r>
        <w:r>
          <w:rPr>
            <w:noProof/>
          </w:rPr>
          <w:fldChar w:fldCharType="end"/>
        </w:r>
      </w:hyperlink>
    </w:p>
    <w:p w14:paraId="6012F5D2" w14:textId="5395EDDE"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34" w:history="1">
        <w:r w:rsidRPr="00620E9F">
          <w:rPr>
            <w:rStyle w:val="Hyperlink"/>
            <w:noProof/>
          </w:rPr>
          <w:t>9 Confidentiality and Client Information</w:t>
        </w:r>
        <w:r>
          <w:rPr>
            <w:noProof/>
          </w:rPr>
          <w:tab/>
        </w:r>
        <w:r>
          <w:rPr>
            <w:noProof/>
          </w:rPr>
          <w:fldChar w:fldCharType="begin"/>
        </w:r>
        <w:r>
          <w:rPr>
            <w:noProof/>
          </w:rPr>
          <w:instrText xml:space="preserve"> PAGEREF _Toc237800934 \h </w:instrText>
        </w:r>
        <w:r>
          <w:rPr>
            <w:noProof/>
          </w:rPr>
        </w:r>
        <w:r>
          <w:rPr>
            <w:noProof/>
          </w:rPr>
          <w:fldChar w:fldCharType="separate"/>
        </w:r>
        <w:r>
          <w:rPr>
            <w:noProof/>
          </w:rPr>
          <w:t>8</w:t>
        </w:r>
        <w:r>
          <w:rPr>
            <w:noProof/>
          </w:rPr>
          <w:fldChar w:fldCharType="end"/>
        </w:r>
      </w:hyperlink>
    </w:p>
    <w:p w14:paraId="526D7332" w14:textId="779A015B"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35" w:history="1">
        <w:r w:rsidRPr="00620E9F">
          <w:rPr>
            <w:rStyle w:val="Hyperlink"/>
            <w:noProof/>
          </w:rPr>
          <w:t>10 Protection of Assets and Misuse of Access</w:t>
        </w:r>
        <w:r>
          <w:rPr>
            <w:noProof/>
          </w:rPr>
          <w:tab/>
        </w:r>
        <w:r>
          <w:rPr>
            <w:noProof/>
          </w:rPr>
          <w:fldChar w:fldCharType="begin"/>
        </w:r>
        <w:r>
          <w:rPr>
            <w:noProof/>
          </w:rPr>
          <w:instrText xml:space="preserve"> PAGEREF _Toc237800935 \h </w:instrText>
        </w:r>
        <w:r>
          <w:rPr>
            <w:noProof/>
          </w:rPr>
        </w:r>
        <w:r>
          <w:rPr>
            <w:noProof/>
          </w:rPr>
          <w:fldChar w:fldCharType="separate"/>
        </w:r>
        <w:r>
          <w:rPr>
            <w:noProof/>
          </w:rPr>
          <w:t>8</w:t>
        </w:r>
        <w:r>
          <w:rPr>
            <w:noProof/>
          </w:rPr>
          <w:fldChar w:fldCharType="end"/>
        </w:r>
      </w:hyperlink>
    </w:p>
    <w:p w14:paraId="4BE9334F" w14:textId="3E2E43A9"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36" w:history="1">
        <w:r w:rsidRPr="00620E9F">
          <w:rPr>
            <w:rStyle w:val="Hyperlink"/>
            <w:noProof/>
          </w:rPr>
          <w:t>11 Use of Company Systems and Artificial Intelligence Tools</w:t>
        </w:r>
        <w:r>
          <w:rPr>
            <w:noProof/>
          </w:rPr>
          <w:tab/>
        </w:r>
        <w:r>
          <w:rPr>
            <w:noProof/>
          </w:rPr>
          <w:fldChar w:fldCharType="begin"/>
        </w:r>
        <w:r>
          <w:rPr>
            <w:noProof/>
          </w:rPr>
          <w:instrText xml:space="preserve"> PAGEREF _Toc237800936 \h </w:instrText>
        </w:r>
        <w:r>
          <w:rPr>
            <w:noProof/>
          </w:rPr>
        </w:r>
        <w:r>
          <w:rPr>
            <w:noProof/>
          </w:rPr>
          <w:fldChar w:fldCharType="separate"/>
        </w:r>
        <w:r>
          <w:rPr>
            <w:noProof/>
          </w:rPr>
          <w:t>9</w:t>
        </w:r>
        <w:r>
          <w:rPr>
            <w:noProof/>
          </w:rPr>
          <w:fldChar w:fldCharType="end"/>
        </w:r>
      </w:hyperlink>
    </w:p>
    <w:p w14:paraId="4C6237FD" w14:textId="19A820C1"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37" w:history="1">
        <w:r w:rsidRPr="00620E9F">
          <w:rPr>
            <w:rStyle w:val="Hyperlink"/>
            <w:noProof/>
          </w:rPr>
          <w:t>12 Personal Devices and Bring Your Own Device</w:t>
        </w:r>
        <w:r>
          <w:rPr>
            <w:noProof/>
          </w:rPr>
          <w:tab/>
        </w:r>
        <w:r>
          <w:rPr>
            <w:noProof/>
          </w:rPr>
          <w:fldChar w:fldCharType="begin"/>
        </w:r>
        <w:r>
          <w:rPr>
            <w:noProof/>
          </w:rPr>
          <w:instrText xml:space="preserve"> PAGEREF _Toc237800937 \h </w:instrText>
        </w:r>
        <w:r>
          <w:rPr>
            <w:noProof/>
          </w:rPr>
        </w:r>
        <w:r>
          <w:rPr>
            <w:noProof/>
          </w:rPr>
          <w:fldChar w:fldCharType="separate"/>
        </w:r>
        <w:r>
          <w:rPr>
            <w:noProof/>
          </w:rPr>
          <w:t>9</w:t>
        </w:r>
        <w:r>
          <w:rPr>
            <w:noProof/>
          </w:rPr>
          <w:fldChar w:fldCharType="end"/>
        </w:r>
      </w:hyperlink>
    </w:p>
    <w:p w14:paraId="6F0ABA07" w14:textId="4FB34508"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38" w:history="1">
        <w:r w:rsidRPr="00620E9F">
          <w:rPr>
            <w:rStyle w:val="Hyperlink"/>
            <w:noProof/>
          </w:rPr>
          <w:t>13 Fair Dealing, Gifts, and Anti-Corruption</w:t>
        </w:r>
        <w:r>
          <w:rPr>
            <w:noProof/>
          </w:rPr>
          <w:tab/>
        </w:r>
        <w:r>
          <w:rPr>
            <w:noProof/>
          </w:rPr>
          <w:fldChar w:fldCharType="begin"/>
        </w:r>
        <w:r>
          <w:rPr>
            <w:noProof/>
          </w:rPr>
          <w:instrText xml:space="preserve"> PAGEREF _Toc237800938 \h </w:instrText>
        </w:r>
        <w:r>
          <w:rPr>
            <w:noProof/>
          </w:rPr>
        </w:r>
        <w:r>
          <w:rPr>
            <w:noProof/>
          </w:rPr>
          <w:fldChar w:fldCharType="separate"/>
        </w:r>
        <w:r>
          <w:rPr>
            <w:noProof/>
          </w:rPr>
          <w:t>10</w:t>
        </w:r>
        <w:r>
          <w:rPr>
            <w:noProof/>
          </w:rPr>
          <w:fldChar w:fldCharType="end"/>
        </w:r>
      </w:hyperlink>
    </w:p>
    <w:p w14:paraId="098F8593" w14:textId="6C0BED96"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39" w:history="1">
        <w:r w:rsidRPr="00620E9F">
          <w:rPr>
            <w:rStyle w:val="Hyperlink"/>
            <w:noProof/>
          </w:rPr>
          <w:t>14 Public Communication and Social Media</w:t>
        </w:r>
        <w:r>
          <w:rPr>
            <w:noProof/>
          </w:rPr>
          <w:tab/>
        </w:r>
        <w:r>
          <w:rPr>
            <w:noProof/>
          </w:rPr>
          <w:fldChar w:fldCharType="begin"/>
        </w:r>
        <w:r>
          <w:rPr>
            <w:noProof/>
          </w:rPr>
          <w:instrText xml:space="preserve"> PAGEREF _Toc237800939 \h </w:instrText>
        </w:r>
        <w:r>
          <w:rPr>
            <w:noProof/>
          </w:rPr>
        </w:r>
        <w:r>
          <w:rPr>
            <w:noProof/>
          </w:rPr>
          <w:fldChar w:fldCharType="separate"/>
        </w:r>
        <w:r>
          <w:rPr>
            <w:noProof/>
          </w:rPr>
          <w:t>10</w:t>
        </w:r>
        <w:r>
          <w:rPr>
            <w:noProof/>
          </w:rPr>
          <w:fldChar w:fldCharType="end"/>
        </w:r>
      </w:hyperlink>
    </w:p>
    <w:p w14:paraId="62040296" w14:textId="2CF0B9B7"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40" w:history="1">
        <w:r w:rsidRPr="00620E9F">
          <w:rPr>
            <w:rStyle w:val="Hyperlink"/>
            <w:noProof/>
          </w:rPr>
          <w:t>15 Compliance with Laws and Contractual Obligations</w:t>
        </w:r>
        <w:r>
          <w:rPr>
            <w:noProof/>
          </w:rPr>
          <w:tab/>
        </w:r>
        <w:r>
          <w:rPr>
            <w:noProof/>
          </w:rPr>
          <w:fldChar w:fldCharType="begin"/>
        </w:r>
        <w:r>
          <w:rPr>
            <w:noProof/>
          </w:rPr>
          <w:instrText xml:space="preserve"> PAGEREF _Toc237800940 \h </w:instrText>
        </w:r>
        <w:r>
          <w:rPr>
            <w:noProof/>
          </w:rPr>
        </w:r>
        <w:r>
          <w:rPr>
            <w:noProof/>
          </w:rPr>
          <w:fldChar w:fldCharType="separate"/>
        </w:r>
        <w:r>
          <w:rPr>
            <w:noProof/>
          </w:rPr>
          <w:t>11</w:t>
        </w:r>
        <w:r>
          <w:rPr>
            <w:noProof/>
          </w:rPr>
          <w:fldChar w:fldCharType="end"/>
        </w:r>
      </w:hyperlink>
    </w:p>
    <w:p w14:paraId="4EE41872" w14:textId="78CC4BF4"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41" w:history="1">
        <w:r w:rsidRPr="00620E9F">
          <w:rPr>
            <w:rStyle w:val="Hyperlink"/>
            <w:noProof/>
          </w:rPr>
          <w:t>16 Reporting Concerns and Non-Retaliation</w:t>
        </w:r>
        <w:r>
          <w:rPr>
            <w:noProof/>
          </w:rPr>
          <w:tab/>
        </w:r>
        <w:r>
          <w:rPr>
            <w:noProof/>
          </w:rPr>
          <w:fldChar w:fldCharType="begin"/>
        </w:r>
        <w:r>
          <w:rPr>
            <w:noProof/>
          </w:rPr>
          <w:instrText xml:space="preserve"> PAGEREF _Toc237800941 \h </w:instrText>
        </w:r>
        <w:r>
          <w:rPr>
            <w:noProof/>
          </w:rPr>
        </w:r>
        <w:r>
          <w:rPr>
            <w:noProof/>
          </w:rPr>
          <w:fldChar w:fldCharType="separate"/>
        </w:r>
        <w:r>
          <w:rPr>
            <w:noProof/>
          </w:rPr>
          <w:t>11</w:t>
        </w:r>
        <w:r>
          <w:rPr>
            <w:noProof/>
          </w:rPr>
          <w:fldChar w:fldCharType="end"/>
        </w:r>
      </w:hyperlink>
    </w:p>
    <w:p w14:paraId="1F8AB318" w14:textId="773D8FAF"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42" w:history="1">
        <w:r w:rsidRPr="00620E9F">
          <w:rPr>
            <w:rStyle w:val="Hyperlink"/>
            <w:noProof/>
          </w:rPr>
          <w:t>17 Acknowledgment and Training</w:t>
        </w:r>
        <w:r>
          <w:rPr>
            <w:noProof/>
          </w:rPr>
          <w:tab/>
        </w:r>
        <w:r>
          <w:rPr>
            <w:noProof/>
          </w:rPr>
          <w:fldChar w:fldCharType="begin"/>
        </w:r>
        <w:r>
          <w:rPr>
            <w:noProof/>
          </w:rPr>
          <w:instrText xml:space="preserve"> PAGEREF _Toc237800942 \h </w:instrText>
        </w:r>
        <w:r>
          <w:rPr>
            <w:noProof/>
          </w:rPr>
        </w:r>
        <w:r>
          <w:rPr>
            <w:noProof/>
          </w:rPr>
          <w:fldChar w:fldCharType="separate"/>
        </w:r>
        <w:r>
          <w:rPr>
            <w:noProof/>
          </w:rPr>
          <w:t>12</w:t>
        </w:r>
        <w:r>
          <w:rPr>
            <w:noProof/>
          </w:rPr>
          <w:fldChar w:fldCharType="end"/>
        </w:r>
      </w:hyperlink>
    </w:p>
    <w:p w14:paraId="270565DA" w14:textId="0A61A727"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43" w:history="1">
        <w:r w:rsidRPr="00620E9F">
          <w:rPr>
            <w:rStyle w:val="Hyperlink"/>
            <w:noProof/>
          </w:rPr>
          <w:t>18 Enforcement</w:t>
        </w:r>
        <w:r>
          <w:rPr>
            <w:noProof/>
          </w:rPr>
          <w:tab/>
        </w:r>
        <w:r>
          <w:rPr>
            <w:noProof/>
          </w:rPr>
          <w:fldChar w:fldCharType="begin"/>
        </w:r>
        <w:r>
          <w:rPr>
            <w:noProof/>
          </w:rPr>
          <w:instrText xml:space="preserve"> PAGEREF _Toc237800943 \h </w:instrText>
        </w:r>
        <w:r>
          <w:rPr>
            <w:noProof/>
          </w:rPr>
        </w:r>
        <w:r>
          <w:rPr>
            <w:noProof/>
          </w:rPr>
          <w:fldChar w:fldCharType="separate"/>
        </w:r>
        <w:r>
          <w:rPr>
            <w:noProof/>
          </w:rPr>
          <w:t>12</w:t>
        </w:r>
        <w:r>
          <w:rPr>
            <w:noProof/>
          </w:rPr>
          <w:fldChar w:fldCharType="end"/>
        </w:r>
      </w:hyperlink>
    </w:p>
    <w:p w14:paraId="152136A3" w14:textId="0C91A60D"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44" w:history="1">
        <w:r w:rsidRPr="00620E9F">
          <w:rPr>
            <w:rStyle w:val="Hyperlink"/>
            <w:noProof/>
          </w:rPr>
          <w:t>19 Exceptions</w:t>
        </w:r>
        <w:r>
          <w:rPr>
            <w:noProof/>
          </w:rPr>
          <w:tab/>
        </w:r>
        <w:r>
          <w:rPr>
            <w:noProof/>
          </w:rPr>
          <w:fldChar w:fldCharType="begin"/>
        </w:r>
        <w:r>
          <w:rPr>
            <w:noProof/>
          </w:rPr>
          <w:instrText xml:space="preserve"> PAGEREF _Toc237800944 \h </w:instrText>
        </w:r>
        <w:r>
          <w:rPr>
            <w:noProof/>
          </w:rPr>
        </w:r>
        <w:r>
          <w:rPr>
            <w:noProof/>
          </w:rPr>
          <w:fldChar w:fldCharType="separate"/>
        </w:r>
        <w:r>
          <w:rPr>
            <w:noProof/>
          </w:rPr>
          <w:t>13</w:t>
        </w:r>
        <w:r>
          <w:rPr>
            <w:noProof/>
          </w:rPr>
          <w:fldChar w:fldCharType="end"/>
        </w:r>
      </w:hyperlink>
    </w:p>
    <w:p w14:paraId="3639C7E8" w14:textId="5E865C95"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45" w:history="1">
        <w:r w:rsidRPr="00620E9F">
          <w:rPr>
            <w:rStyle w:val="Hyperlink"/>
            <w:noProof/>
          </w:rPr>
          <w:t>20 Reference</w:t>
        </w:r>
        <w:r>
          <w:rPr>
            <w:noProof/>
          </w:rPr>
          <w:tab/>
        </w:r>
        <w:r>
          <w:rPr>
            <w:noProof/>
          </w:rPr>
          <w:fldChar w:fldCharType="begin"/>
        </w:r>
        <w:r>
          <w:rPr>
            <w:noProof/>
          </w:rPr>
          <w:instrText xml:space="preserve"> PAGEREF _Toc237800945 \h </w:instrText>
        </w:r>
        <w:r>
          <w:rPr>
            <w:noProof/>
          </w:rPr>
        </w:r>
        <w:r>
          <w:rPr>
            <w:noProof/>
          </w:rPr>
          <w:fldChar w:fldCharType="separate"/>
        </w:r>
        <w:r>
          <w:rPr>
            <w:noProof/>
          </w:rPr>
          <w:t>13</w:t>
        </w:r>
        <w:r>
          <w:rPr>
            <w:noProof/>
          </w:rPr>
          <w:fldChar w:fldCharType="end"/>
        </w:r>
      </w:hyperlink>
    </w:p>
    <w:p w14:paraId="61B6EE10" w14:textId="3F4D9708" w:rsidR="00C60300" w:rsidRDefault="00C60300">
      <w:pPr>
        <w:pStyle w:val="TOC1"/>
        <w:tabs>
          <w:tab w:val="right" w:leader="dot" w:pos="9350"/>
        </w:tabs>
        <w:rPr>
          <w:rFonts w:eastAsiaTheme="minorEastAsia" w:cstheme="minorBidi"/>
          <w:b w:val="0"/>
          <w:bCs w:val="0"/>
          <w:caps w:val="0"/>
          <w:noProof/>
          <w:color w:val="auto"/>
          <w:kern w:val="2"/>
          <w:sz w:val="24"/>
          <w:szCs w:val="24"/>
          <w14:ligatures w14:val="standardContextual"/>
        </w:rPr>
      </w:pPr>
      <w:hyperlink w:anchor="_Toc237800946" w:history="1">
        <w:r w:rsidRPr="00620E9F">
          <w:rPr>
            <w:rStyle w:val="Hyperlink"/>
            <w:noProof/>
          </w:rPr>
          <w:t>21 Document Policy History</w:t>
        </w:r>
        <w:r>
          <w:rPr>
            <w:noProof/>
          </w:rPr>
          <w:tab/>
        </w:r>
        <w:r>
          <w:rPr>
            <w:noProof/>
          </w:rPr>
          <w:fldChar w:fldCharType="begin"/>
        </w:r>
        <w:r>
          <w:rPr>
            <w:noProof/>
          </w:rPr>
          <w:instrText xml:space="preserve"> PAGEREF _Toc237800946 \h </w:instrText>
        </w:r>
        <w:r>
          <w:rPr>
            <w:noProof/>
          </w:rPr>
        </w:r>
        <w:r>
          <w:rPr>
            <w:noProof/>
          </w:rPr>
          <w:fldChar w:fldCharType="separate"/>
        </w:r>
        <w:r>
          <w:rPr>
            <w:noProof/>
          </w:rPr>
          <w:t>13</w:t>
        </w:r>
        <w:r>
          <w:rPr>
            <w:noProof/>
          </w:rPr>
          <w:fldChar w:fldCharType="end"/>
        </w:r>
      </w:hyperlink>
    </w:p>
    <w:p w14:paraId="1141763A" w14:textId="41D7D366" w:rsidR="00AC4A83" w:rsidRDefault="00000000">
      <w:pPr>
        <w:pStyle w:val="TOC1"/>
        <w:suppressLineNumbers/>
        <w:tabs>
          <w:tab w:val="right" w:leader="dot" w:pos="9350"/>
        </w:tabs>
        <w:rPr>
          <w:rFonts w:eastAsiaTheme="minorEastAsia" w:cstheme="minorBidi"/>
          <w:b w:val="0"/>
          <w:bCs w:val="0"/>
          <w:caps w:val="0"/>
          <w:color w:val="auto"/>
          <w:kern w:val="2"/>
          <w:sz w:val="24"/>
          <w:szCs w:val="24"/>
          <w14:ligatures w14:val="standardContextual"/>
        </w:rPr>
      </w:pPr>
      <w:r>
        <w:rPr>
          <w:rStyle w:val="IndexLink"/>
          <w:b w:val="0"/>
          <w:bCs w:val="0"/>
          <w:caps w:val="0"/>
          <w:kern w:val="2"/>
          <w:sz w:val="24"/>
          <w:szCs w:val="24"/>
        </w:rPr>
        <w:fldChar w:fldCharType="end"/>
      </w:r>
    </w:p>
    <w:p w14:paraId="17613F1A" w14:textId="77777777" w:rsidR="00AC4A83" w:rsidRDefault="00AC4A83">
      <w:pPr>
        <w:sectPr w:rsidR="00AC4A83">
          <w:headerReference w:type="default" r:id="rId8"/>
          <w:footerReference w:type="default" r:id="rId9"/>
          <w:headerReference w:type="first" r:id="rId10"/>
          <w:footerReference w:type="first" r:id="rId11"/>
          <w:pgSz w:w="12240" w:h="15840"/>
          <w:pgMar w:top="1440" w:right="1440" w:bottom="1440" w:left="1440" w:header="720" w:footer="720" w:gutter="0"/>
          <w:cols w:space="720"/>
          <w:formProt w:val="0"/>
          <w:titlePg/>
          <w:docGrid w:linePitch="360" w:charSpace="8192"/>
        </w:sectPr>
      </w:pPr>
    </w:p>
    <w:p w14:paraId="08BE8C7C" w14:textId="77777777" w:rsidR="00AC4A83" w:rsidRDefault="00000000">
      <w:pPr>
        <w:pStyle w:val="Heading1"/>
        <w:keepNext/>
        <w:numPr>
          <w:ilvl w:val="0"/>
          <w:numId w:val="4"/>
        </w:numPr>
        <w:spacing w:before="240" w:after="80"/>
      </w:pPr>
      <w:bookmarkStart w:id="1" w:name="_Toc237800926"/>
      <w:r>
        <w:lastRenderedPageBreak/>
        <w:t>Overview and Purpose</w:t>
      </w:r>
      <w:bookmarkEnd w:id="1"/>
    </w:p>
    <w:p w14:paraId="112021D4" w14:textId="77777777" w:rsidR="00AC4A83" w:rsidRDefault="00000000">
      <w:pPr>
        <w:pStyle w:val="BodyText9"/>
        <w:spacing w:after="120"/>
        <w:jc w:val="both"/>
      </w:pPr>
      <w:r>
        <w:rPr>
          <w:color w:val="404040" w:themeColor="text1" w:themeTint="BF"/>
        </w:rPr>
        <w:t>PromptHalo Technologies (“the Company”) advises clients on the protection of their most sensitive information and, in doing so, is granted access to systems, data, and business circumstances that clients expect will be treated with integrity. This Code of Conduct defines the ethical standards and expected behavior of all personnel, establishes how concerns are raised and addressed, and evidences the Company’s commitment to integrity and ethical values.</w:t>
      </w:r>
    </w:p>
    <w:p w14:paraId="18BE7F03" w14:textId="77777777" w:rsidR="00AC4A83" w:rsidRDefault="00000000">
      <w:pPr>
        <w:pStyle w:val="Heading1"/>
        <w:keepNext/>
        <w:numPr>
          <w:ilvl w:val="0"/>
          <w:numId w:val="5"/>
        </w:numPr>
        <w:spacing w:before="240" w:after="80"/>
      </w:pPr>
      <w:bookmarkStart w:id="2" w:name="_Toc237800927"/>
      <w:r>
        <w:t>Scope</w:t>
      </w:r>
      <w:bookmarkEnd w:id="2"/>
    </w:p>
    <w:p w14:paraId="5F1B4405" w14:textId="77777777" w:rsidR="00AC4A83" w:rsidRDefault="00000000">
      <w:pPr>
        <w:pStyle w:val="BodyText9"/>
        <w:spacing w:after="120"/>
        <w:jc w:val="both"/>
      </w:pPr>
      <w:r>
        <w:rPr>
          <w:color w:val="404040" w:themeColor="text1" w:themeTint="BF"/>
        </w:rPr>
        <w:t>This Code applies to all candidates, employees, officers, contractors, consultants, interns, and temporary workers of the Company, in all locations from which Company business is conducted, including remote work environments and client premises. It applies to conduct during working hours and to conduct outside working hours where that conduct affects the Company, its clients, or its reputation.</w:t>
      </w:r>
    </w:p>
    <w:p w14:paraId="340D5AEB" w14:textId="77777777" w:rsidR="00AC4A83" w:rsidRDefault="00000000">
      <w:pPr>
        <w:pStyle w:val="BodyText9"/>
        <w:spacing w:after="120"/>
        <w:jc w:val="both"/>
      </w:pPr>
      <w:r>
        <w:rPr>
          <w:color w:val="404040" w:themeColor="text1" w:themeTint="BF"/>
        </w:rPr>
        <w:t xml:space="preserve">This Code is written for a company of the Company's current size and is to be read that way. Unless a clause says otherwise, a requirement to declare, record, review or decide is satisfied by a short, dated note attributable to the person who made it. No clause requires a hotline, an external ethics provider, a committee sitting, an investigator independent of management, or a separate case management system.  </w:t>
      </w:r>
      <w:r>
        <w:rPr>
          <w:rFonts w:ascii="Calibri Light" w:eastAsia="Calibri Light" w:hAnsi="Calibri Light" w:cs="Calibri Light"/>
          <w:color w:val="404040" w:themeColor="text1" w:themeTint="BF"/>
          <w:sz w:val="18"/>
        </w:rPr>
        <w:t>[SOC 2: CC1.1, CC5.3]</w:t>
      </w:r>
    </w:p>
    <w:p w14:paraId="7F65C0CF" w14:textId="77777777" w:rsidR="00AC4A83" w:rsidRDefault="00000000">
      <w:pPr>
        <w:pStyle w:val="BodyText9"/>
        <w:spacing w:after="120"/>
        <w:jc w:val="both"/>
      </w:pPr>
      <w:r>
        <w:rPr>
          <w:color w:val="404040" w:themeColor="text1" w:themeTint="BF"/>
        </w:rPr>
        <w:t>Third parties acting on the Company’s behalf shall be held to equivalent standards through contractual terms managed under the Vendor Management Policy.</w:t>
      </w:r>
    </w:p>
    <w:p w14:paraId="7DA2C46D" w14:textId="77777777" w:rsidR="00AC4A83" w:rsidRDefault="00000000">
      <w:pPr>
        <w:pStyle w:val="Heading1"/>
        <w:keepNext/>
        <w:numPr>
          <w:ilvl w:val="0"/>
          <w:numId w:val="6"/>
        </w:numPr>
        <w:spacing w:before="240" w:after="80"/>
      </w:pPr>
      <w:bookmarkStart w:id="3" w:name="_Toc237800928"/>
      <w:r>
        <w:t>Roles and Definitions</w:t>
      </w:r>
      <w:bookmarkEnd w:id="3"/>
    </w:p>
    <w:p w14:paraId="685673C5" w14:textId="77777777" w:rsidR="00AC4A83" w:rsidRDefault="00000000">
      <w:pPr>
        <w:pStyle w:val="Emphasis-Normal"/>
        <w:numPr>
          <w:ilvl w:val="0"/>
          <w:numId w:val="7"/>
        </w:numPr>
        <w:spacing w:after="120"/>
        <w:jc w:val="both"/>
      </w:pPr>
      <w:r>
        <w:rPr>
          <w:color w:val="404040" w:themeColor="text1" w:themeTint="BF"/>
        </w:rPr>
        <w:t>“The Company” refers to PromptHalo Technologies.</w:t>
      </w:r>
    </w:p>
    <w:p w14:paraId="57A4353D" w14:textId="77777777" w:rsidR="00AC4A83" w:rsidRDefault="00000000">
      <w:pPr>
        <w:pStyle w:val="Emphasis-Normal"/>
        <w:numPr>
          <w:ilvl w:val="0"/>
          <w:numId w:val="8"/>
        </w:numPr>
        <w:spacing w:after="120"/>
        <w:jc w:val="both"/>
      </w:pPr>
      <w:r>
        <w:rPr>
          <w:color w:val="404040" w:themeColor="text1" w:themeTint="BF"/>
        </w:rPr>
        <w:t xml:space="preserve">The CEO or, in their absence, the Security Officer (the “Accountable Party”) owns this policy, oversees its implementation and enforcement, and may delegate specific duties to a designee.  </w:t>
      </w:r>
      <w:r>
        <w:rPr>
          <w:rFonts w:ascii="Calibri Light" w:eastAsia="Calibri Light" w:hAnsi="Calibri Light" w:cs="Calibri Light"/>
          <w:color w:val="404040" w:themeColor="text1" w:themeTint="BF"/>
          <w:sz w:val="18"/>
        </w:rPr>
        <w:t>[SOC 2: CC1.3]</w:t>
      </w:r>
    </w:p>
    <w:p w14:paraId="519B5BD9" w14:textId="77777777" w:rsidR="00AC4A83" w:rsidRDefault="00000000">
      <w:pPr>
        <w:pStyle w:val="Emphasis-Normal"/>
        <w:numPr>
          <w:ilvl w:val="0"/>
          <w:numId w:val="9"/>
        </w:numPr>
        <w:spacing w:after="120"/>
        <w:jc w:val="both"/>
      </w:pPr>
      <w:r>
        <w:rPr>
          <w:color w:val="404040" w:themeColor="text1" w:themeTint="BF"/>
        </w:rPr>
        <w:t xml:space="preserve">The Information Security Steering Committee approves this policy and reviews it at least annually.  </w:t>
      </w:r>
      <w:r>
        <w:rPr>
          <w:rFonts w:ascii="Calibri Light" w:eastAsia="Calibri Light" w:hAnsi="Calibri Light" w:cs="Calibri Light"/>
          <w:color w:val="404040" w:themeColor="text1" w:themeTint="BF"/>
          <w:sz w:val="18"/>
        </w:rPr>
        <w:t>[SOC 2: CC1.2, CC5.3]</w:t>
      </w:r>
    </w:p>
    <w:p w14:paraId="501F62E1" w14:textId="77777777" w:rsidR="00AC4A83" w:rsidRDefault="00000000">
      <w:pPr>
        <w:pStyle w:val="Heading1"/>
        <w:keepNext/>
        <w:numPr>
          <w:ilvl w:val="0"/>
          <w:numId w:val="10"/>
        </w:numPr>
        <w:spacing w:before="240" w:after="80"/>
      </w:pPr>
      <w:bookmarkStart w:id="4" w:name="_Toc237800929"/>
      <w:r>
        <w:t>Terminology</w:t>
      </w:r>
      <w:bookmarkEnd w:id="4"/>
    </w:p>
    <w:p w14:paraId="5F2143C7" w14:textId="77777777" w:rsidR="00AC4A83" w:rsidRDefault="00000000">
      <w:pPr>
        <w:spacing w:after="120"/>
        <w:jc w:val="both"/>
        <w:rPr>
          <w:color w:val="262626" w:themeColor="text1" w:themeTint="D9"/>
        </w:rPr>
      </w:pPr>
      <w:r>
        <w:t>The following terms have the meanings given below wherever they appear in this policy.</w:t>
      </w:r>
    </w:p>
    <w:p w14:paraId="1A3214AB" w14:textId="11C2ADA0" w:rsidR="00AC4A83" w:rsidRDefault="0035294F">
      <w:pPr>
        <w:pStyle w:val="Emphasis-Normal"/>
        <w:numPr>
          <w:ilvl w:val="0"/>
          <w:numId w:val="11"/>
        </w:numPr>
        <w:spacing w:after="120"/>
        <w:jc w:val="both"/>
      </w:pPr>
      <w:r>
        <w:rPr>
          <w:b/>
          <w:color w:val="404040" w:themeColor="text1" w:themeTint="BF"/>
        </w:rPr>
        <w:t>Bring Your Own Device (</w:t>
      </w:r>
      <w:r w:rsidR="00000000">
        <w:rPr>
          <w:b/>
          <w:color w:val="404040" w:themeColor="text1" w:themeTint="BF"/>
        </w:rPr>
        <w:t>BYOD</w:t>
      </w:r>
      <w:r>
        <w:rPr>
          <w:b/>
          <w:color w:val="404040" w:themeColor="text1" w:themeTint="BF"/>
        </w:rPr>
        <w:t>)</w:t>
      </w:r>
      <w:r w:rsidR="00000000">
        <w:rPr>
          <w:color w:val="404040" w:themeColor="text1" w:themeTint="BF"/>
        </w:rPr>
        <w:t xml:space="preserve"> — a personally owned device used to access Company or client information.</w:t>
      </w:r>
    </w:p>
    <w:p w14:paraId="0E4FA2C4" w14:textId="23F1CB5F" w:rsidR="00AC4A83" w:rsidRDefault="00000000">
      <w:pPr>
        <w:pStyle w:val="Emphasis-Normal"/>
        <w:numPr>
          <w:ilvl w:val="0"/>
          <w:numId w:val="12"/>
        </w:numPr>
        <w:spacing w:after="120"/>
        <w:jc w:val="both"/>
      </w:pPr>
      <w:r>
        <w:rPr>
          <w:b/>
          <w:color w:val="404040" w:themeColor="text1" w:themeTint="BF"/>
        </w:rPr>
        <w:t>Client information</w:t>
      </w:r>
      <w:r>
        <w:rPr>
          <w:color w:val="404040" w:themeColor="text1" w:themeTint="BF"/>
        </w:rPr>
        <w:t xml:space="preserve"> — any information obtained </w:t>
      </w:r>
      <w:r w:rsidR="0035294F">
        <w:rPr>
          <w:color w:val="404040" w:themeColor="text1" w:themeTint="BF"/>
        </w:rPr>
        <w:t>during</w:t>
      </w:r>
      <w:r>
        <w:rPr>
          <w:color w:val="404040" w:themeColor="text1" w:themeTint="BF"/>
        </w:rPr>
        <w:t xml:space="preserve"> an engagement, including vulnerabilities, assessment results, architecture, incident details and personal data.</w:t>
      </w:r>
    </w:p>
    <w:p w14:paraId="2023E6FD" w14:textId="77777777" w:rsidR="00AC4A83" w:rsidRDefault="00000000">
      <w:pPr>
        <w:pStyle w:val="Emphasis-Normal"/>
        <w:numPr>
          <w:ilvl w:val="0"/>
          <w:numId w:val="13"/>
        </w:numPr>
        <w:spacing w:after="120"/>
        <w:jc w:val="both"/>
      </w:pPr>
      <w:r>
        <w:rPr>
          <w:b/>
          <w:color w:val="404040" w:themeColor="text1" w:themeTint="BF"/>
        </w:rPr>
        <w:t>Conflict of interest</w:t>
      </w:r>
      <w:r>
        <w:rPr>
          <w:color w:val="404040" w:themeColor="text1" w:themeTint="BF"/>
        </w:rPr>
        <w:t xml:space="preserve"> — any circumstance in which personal, financial or outside interests could reasonably be seen to impair objectivity in Company or client work.</w:t>
      </w:r>
    </w:p>
    <w:p w14:paraId="1C612AB7" w14:textId="77777777" w:rsidR="00AC4A83" w:rsidRDefault="00000000">
      <w:pPr>
        <w:pStyle w:val="Emphasis-Normal"/>
        <w:numPr>
          <w:ilvl w:val="0"/>
          <w:numId w:val="14"/>
        </w:numPr>
        <w:spacing w:after="120"/>
        <w:jc w:val="both"/>
      </w:pPr>
      <w:r>
        <w:rPr>
          <w:b/>
          <w:color w:val="404040" w:themeColor="text1" w:themeTint="BF"/>
        </w:rPr>
        <w:t>Deficiency</w:t>
      </w:r>
      <w:r>
        <w:rPr>
          <w:color w:val="404040" w:themeColor="text1" w:themeTint="BF"/>
        </w:rPr>
        <w:t xml:space="preserve"> — a control that is absent, not operating as described, or not producing evidence.</w:t>
      </w:r>
    </w:p>
    <w:p w14:paraId="56B067CD" w14:textId="77777777" w:rsidR="00AC4A83" w:rsidRDefault="00000000">
      <w:pPr>
        <w:pStyle w:val="Emphasis-Normal"/>
        <w:numPr>
          <w:ilvl w:val="0"/>
          <w:numId w:val="15"/>
        </w:numPr>
        <w:spacing w:after="120"/>
        <w:jc w:val="both"/>
      </w:pPr>
      <w:r>
        <w:rPr>
          <w:b/>
          <w:color w:val="404040" w:themeColor="text1" w:themeTint="BF"/>
        </w:rPr>
        <w:lastRenderedPageBreak/>
        <w:t>Independence</w:t>
      </w:r>
      <w:r>
        <w:rPr>
          <w:color w:val="404040" w:themeColor="text1" w:themeTint="BF"/>
        </w:rPr>
        <w:t xml:space="preserve"> — the absence of any relationship or interest that would cause a reasonable person to question the objectivity of a finding or opinion.</w:t>
      </w:r>
    </w:p>
    <w:p w14:paraId="488AFB97" w14:textId="77777777" w:rsidR="00AC4A83" w:rsidRDefault="00000000">
      <w:pPr>
        <w:pStyle w:val="Emphasis-Normal"/>
        <w:numPr>
          <w:ilvl w:val="0"/>
          <w:numId w:val="16"/>
        </w:numPr>
        <w:spacing w:after="120"/>
        <w:jc w:val="both"/>
      </w:pPr>
      <w:r>
        <w:rPr>
          <w:b/>
          <w:bCs/>
          <w:color w:val="404040" w:themeColor="text1" w:themeTint="BF"/>
        </w:rPr>
        <w:t xml:space="preserve">Information Security Steering Committee </w:t>
      </w:r>
      <w:r>
        <w:rPr>
          <w:color w:val="404040" w:themeColor="text1" w:themeTint="BF"/>
        </w:rPr>
        <w:t>— the Company's oversight body for information security. At the Company's current size, the Committee comprises the CEO, and every reference in this policy to a decision, approval, review or report of the Committee is satisfied by a dated written record made or confirmed by the CEO; a formal meeting is not required. The Committee's composition is reviewed as the Company grows, and additional members are appointed when an oversight member independent of security operations becomes available.</w:t>
      </w:r>
      <w:r>
        <w:rPr>
          <w:rFonts w:ascii="Calibri Light" w:eastAsia="Calibri Light" w:hAnsi="Calibri Light" w:cs="Calibri Light"/>
          <w:color w:val="404040" w:themeColor="text1" w:themeTint="BF"/>
          <w:sz w:val="18"/>
        </w:rPr>
        <w:t xml:space="preserve">  [SOC 2: CC1.2, CC1.3]</w:t>
      </w:r>
    </w:p>
    <w:p w14:paraId="16E29AB6" w14:textId="77777777" w:rsidR="00AC4A83" w:rsidRDefault="00000000">
      <w:pPr>
        <w:pStyle w:val="Emphasis-Normal"/>
        <w:numPr>
          <w:ilvl w:val="0"/>
          <w:numId w:val="17"/>
        </w:numPr>
        <w:spacing w:after="120"/>
        <w:jc w:val="both"/>
      </w:pPr>
      <w:r>
        <w:rPr>
          <w:b/>
          <w:color w:val="404040" w:themeColor="text1" w:themeTint="BF"/>
        </w:rPr>
        <w:t>Personnel</w:t>
      </w:r>
      <w:r>
        <w:rPr>
          <w:color w:val="404040" w:themeColor="text1" w:themeTint="BF"/>
        </w:rPr>
        <w:t xml:space="preserve"> — all individuals within the scope of Section 2, including employees, officers, contractors, consultants, interns and temporary workers.</w:t>
      </w:r>
    </w:p>
    <w:p w14:paraId="0E55FD34" w14:textId="77777777" w:rsidR="00AC4A83" w:rsidRDefault="00000000">
      <w:pPr>
        <w:pStyle w:val="Emphasis-Normal"/>
        <w:numPr>
          <w:ilvl w:val="0"/>
          <w:numId w:val="18"/>
        </w:numPr>
        <w:spacing w:after="120"/>
        <w:jc w:val="both"/>
      </w:pPr>
      <w:r>
        <w:rPr>
          <w:b/>
          <w:color w:val="404040" w:themeColor="text1" w:themeTint="BF"/>
        </w:rPr>
        <w:t>Privileged access</w:t>
      </w:r>
      <w:r>
        <w:rPr>
          <w:color w:val="404040" w:themeColor="text1" w:themeTint="BF"/>
        </w:rPr>
        <w:t xml:space="preserve"> — administrative or elevated access to Company or client systems beyond that required by an ordinary user.</w:t>
      </w:r>
    </w:p>
    <w:p w14:paraId="13DF7981" w14:textId="77777777" w:rsidR="00AC4A83" w:rsidRDefault="00000000">
      <w:pPr>
        <w:pStyle w:val="Emphasis-Normal"/>
        <w:numPr>
          <w:ilvl w:val="0"/>
          <w:numId w:val="19"/>
        </w:numPr>
        <w:spacing w:after="120"/>
        <w:jc w:val="both"/>
      </w:pPr>
      <w:r>
        <w:rPr>
          <w:b/>
          <w:color w:val="404040" w:themeColor="text1" w:themeTint="BF"/>
        </w:rPr>
        <w:t>Retaliation</w:t>
      </w:r>
      <w:r>
        <w:rPr>
          <w:color w:val="404040" w:themeColor="text1" w:themeTint="BF"/>
        </w:rPr>
        <w:t xml:space="preserve"> — any adverse action taken against a person because they made a good-faith report or participated in an investigation.</w:t>
      </w:r>
    </w:p>
    <w:p w14:paraId="7F44F385" w14:textId="77777777" w:rsidR="00AC4A83" w:rsidRDefault="00000000">
      <w:pPr>
        <w:pStyle w:val="Emphasis-Normal"/>
        <w:numPr>
          <w:ilvl w:val="0"/>
          <w:numId w:val="20"/>
        </w:numPr>
        <w:spacing w:after="120"/>
        <w:jc w:val="both"/>
      </w:pPr>
      <w:r>
        <w:rPr>
          <w:b/>
          <w:color w:val="404040" w:themeColor="text1" w:themeTint="BF"/>
        </w:rPr>
        <w:t>Security Officer</w:t>
      </w:r>
      <w:r>
        <w:rPr>
          <w:color w:val="404040" w:themeColor="text1" w:themeTint="BF"/>
        </w:rPr>
        <w:t xml:space="preserve"> — the individual accountable for day-to-day operation of the security program.</w:t>
      </w:r>
    </w:p>
    <w:p w14:paraId="133F3539" w14:textId="77777777" w:rsidR="00AC4A83" w:rsidRDefault="00000000">
      <w:pPr>
        <w:pStyle w:val="Emphasis-Normal"/>
        <w:numPr>
          <w:ilvl w:val="0"/>
          <w:numId w:val="21"/>
        </w:numPr>
        <w:spacing w:after="120"/>
        <w:jc w:val="both"/>
      </w:pPr>
      <w:r>
        <w:rPr>
          <w:b/>
          <w:color w:val="404040" w:themeColor="text1" w:themeTint="BF"/>
        </w:rPr>
        <w:t>Significant change</w:t>
      </w:r>
      <w:r>
        <w:rPr>
          <w:color w:val="404040" w:themeColor="text1" w:themeTint="BF"/>
        </w:rPr>
        <w:t xml:space="preserve"> — a change meeting the trigger criteria in the Risk Management Policy that requires risk reassessment, including a change to the services offered, the systems in scope, the personnel holding privileged access, or the third parties processing client information.  </w:t>
      </w:r>
      <w:r>
        <w:rPr>
          <w:rFonts w:ascii="Calibri Light" w:eastAsia="Calibri Light" w:hAnsi="Calibri Light" w:cs="Calibri Light"/>
          <w:color w:val="404040" w:themeColor="text1" w:themeTint="BF"/>
          <w:sz w:val="18"/>
        </w:rPr>
        <w:t>[SOC 2: CC3.4]</w:t>
      </w:r>
    </w:p>
    <w:p w14:paraId="7AE98194" w14:textId="77777777" w:rsidR="00AC4A83" w:rsidRDefault="00000000">
      <w:pPr>
        <w:pStyle w:val="Emphasis-Normal"/>
        <w:numPr>
          <w:ilvl w:val="0"/>
          <w:numId w:val="22"/>
        </w:numPr>
        <w:spacing w:after="120"/>
        <w:jc w:val="both"/>
      </w:pPr>
      <w:r>
        <w:rPr>
          <w:b/>
          <w:color w:val="404040" w:themeColor="text1" w:themeTint="BF"/>
        </w:rPr>
        <w:t>Subservice organization</w:t>
      </w:r>
      <w:r>
        <w:rPr>
          <w:color w:val="404040" w:themeColor="text1" w:themeTint="BF"/>
        </w:rPr>
        <w:t xml:space="preserve"> — a third party whose controls the Company relies upon and which is carved out of the Company’s report.</w:t>
      </w:r>
    </w:p>
    <w:p w14:paraId="6B1CFB9B" w14:textId="77777777" w:rsidR="00AC4A83" w:rsidRDefault="00000000">
      <w:pPr>
        <w:pStyle w:val="Heading1"/>
        <w:keepNext/>
        <w:numPr>
          <w:ilvl w:val="0"/>
          <w:numId w:val="23"/>
        </w:numPr>
        <w:spacing w:before="240" w:after="80"/>
      </w:pPr>
      <w:bookmarkStart w:id="5" w:name="_Toc237800930"/>
      <w:r>
        <w:t>Standards of Integrity</w:t>
      </w:r>
      <w:bookmarkEnd w:id="5"/>
    </w:p>
    <w:p w14:paraId="51ED5847" w14:textId="77777777" w:rsidR="00AC4A83" w:rsidRDefault="00000000">
      <w:pPr>
        <w:pStyle w:val="Emphasis-Normal"/>
        <w:numPr>
          <w:ilvl w:val="0"/>
          <w:numId w:val="24"/>
        </w:numPr>
        <w:spacing w:after="120"/>
        <w:jc w:val="both"/>
      </w:pPr>
      <w:r>
        <w:rPr>
          <w:color w:val="404040" w:themeColor="text1" w:themeTint="BF"/>
        </w:rPr>
        <w:t xml:space="preserve">Personnel shall act honestly, lawfully, and in good faith in all dealings with clients, colleagues, vendors, regulators, and the public.  </w:t>
      </w:r>
      <w:r>
        <w:rPr>
          <w:rFonts w:ascii="Calibri Light" w:eastAsia="Calibri Light" w:hAnsi="Calibri Light" w:cs="Calibri Light"/>
          <w:color w:val="404040" w:themeColor="text1" w:themeTint="BF"/>
          <w:sz w:val="18"/>
        </w:rPr>
        <w:t>[SOC 2: CC1.1]</w:t>
      </w:r>
    </w:p>
    <w:p w14:paraId="19607616" w14:textId="77777777" w:rsidR="00AC4A83" w:rsidRDefault="00000000">
      <w:pPr>
        <w:pStyle w:val="Emphasis-Normal"/>
        <w:numPr>
          <w:ilvl w:val="0"/>
          <w:numId w:val="25"/>
        </w:numPr>
        <w:spacing w:after="120"/>
        <w:jc w:val="both"/>
      </w:pPr>
      <w:r>
        <w:rPr>
          <w:color w:val="404040" w:themeColor="text1" w:themeTint="BF"/>
        </w:rPr>
        <w:t xml:space="preserve">Personnel shall not misrepresent their qualifications, certifications, experience, or the scope of work performed, and shall not permit the Company’s work product to be represented in a misleading manner.  </w:t>
      </w:r>
      <w:r>
        <w:rPr>
          <w:rFonts w:ascii="Calibri Light" w:eastAsia="Calibri Light" w:hAnsi="Calibri Light" w:cs="Calibri Light"/>
          <w:color w:val="404040" w:themeColor="text1" w:themeTint="BF"/>
          <w:sz w:val="18"/>
        </w:rPr>
        <w:t>[SOC 2: CC1.1]</w:t>
      </w:r>
    </w:p>
    <w:p w14:paraId="249ED8C0" w14:textId="77777777" w:rsidR="00AC4A83" w:rsidRDefault="00000000">
      <w:pPr>
        <w:pStyle w:val="Emphasis-Normal"/>
        <w:numPr>
          <w:ilvl w:val="0"/>
          <w:numId w:val="26"/>
        </w:numPr>
        <w:spacing w:after="120"/>
        <w:jc w:val="both"/>
      </w:pPr>
      <w:r>
        <w:rPr>
          <w:color w:val="404040" w:themeColor="text1" w:themeTint="BF"/>
        </w:rPr>
        <w:t xml:space="preserve">Assessment findings, control test results, audit evidence, and advisory opinions shall accurately reflect the work performed. Personnel shall not alter, omit, or overstate findings to satisfy a client, a deadline, or a commercial objective.  </w:t>
      </w:r>
      <w:r>
        <w:rPr>
          <w:rFonts w:ascii="Calibri Light" w:eastAsia="Calibri Light" w:hAnsi="Calibri Light" w:cs="Calibri Light"/>
          <w:color w:val="404040" w:themeColor="text1" w:themeTint="BF"/>
          <w:sz w:val="18"/>
        </w:rPr>
        <w:t>[SOC 2: CC1.1]</w:t>
      </w:r>
    </w:p>
    <w:p w14:paraId="7CEDFE69" w14:textId="77777777" w:rsidR="00AC4A83" w:rsidRDefault="00000000">
      <w:pPr>
        <w:pStyle w:val="Emphasis-Normal"/>
        <w:numPr>
          <w:ilvl w:val="0"/>
          <w:numId w:val="27"/>
        </w:numPr>
        <w:spacing w:after="120"/>
        <w:jc w:val="both"/>
      </w:pPr>
      <w:r>
        <w:rPr>
          <w:color w:val="404040" w:themeColor="text1" w:themeTint="BF"/>
        </w:rPr>
        <w:t xml:space="preserve">Company records, timesheets, invoices, and expense claims shall be complete and accurate.  </w:t>
      </w:r>
      <w:r>
        <w:rPr>
          <w:rFonts w:ascii="Calibri Light" w:eastAsia="Calibri Light" w:hAnsi="Calibri Light" w:cs="Calibri Light"/>
          <w:color w:val="404040" w:themeColor="text1" w:themeTint="BF"/>
          <w:sz w:val="18"/>
        </w:rPr>
        <w:t>[SOC 2: CC1.1]</w:t>
      </w:r>
    </w:p>
    <w:p w14:paraId="5145F8FB" w14:textId="77777777" w:rsidR="00AC4A83" w:rsidRDefault="00000000">
      <w:pPr>
        <w:pStyle w:val="Emphasis-Normal"/>
        <w:numPr>
          <w:ilvl w:val="0"/>
          <w:numId w:val="28"/>
        </w:numPr>
        <w:spacing w:after="120"/>
        <w:jc w:val="both"/>
      </w:pPr>
      <w:r>
        <w:rPr>
          <w:color w:val="404040" w:themeColor="text1" w:themeTint="BF"/>
        </w:rPr>
        <w:t xml:space="preserve">Personnel shall not knowingly make commitments on behalf of the Company that the Company cannot fulfill.  </w:t>
      </w:r>
      <w:r>
        <w:rPr>
          <w:rFonts w:ascii="Calibri Light" w:eastAsia="Calibri Light" w:hAnsi="Calibri Light" w:cs="Calibri Light"/>
          <w:color w:val="404040" w:themeColor="text1" w:themeTint="BF"/>
          <w:sz w:val="18"/>
        </w:rPr>
        <w:t>[SOC 2: CC1.1]</w:t>
      </w:r>
    </w:p>
    <w:p w14:paraId="046D922C" w14:textId="77777777" w:rsidR="00AC4A83" w:rsidRDefault="00000000">
      <w:pPr>
        <w:pStyle w:val="Heading1"/>
        <w:keepNext/>
        <w:numPr>
          <w:ilvl w:val="0"/>
          <w:numId w:val="29"/>
        </w:numPr>
        <w:spacing w:before="240" w:after="80"/>
      </w:pPr>
      <w:bookmarkStart w:id="6" w:name="_Toc237800931"/>
      <w:r>
        <w:lastRenderedPageBreak/>
        <w:t>Professional Conduct in the Workplace</w:t>
      </w:r>
      <w:bookmarkEnd w:id="6"/>
    </w:p>
    <w:p w14:paraId="7A8D656B" w14:textId="77777777" w:rsidR="00AC4A83" w:rsidRDefault="00000000">
      <w:pPr>
        <w:pStyle w:val="Emphasis-Normal"/>
        <w:numPr>
          <w:ilvl w:val="0"/>
          <w:numId w:val="30"/>
        </w:numPr>
        <w:spacing w:after="120"/>
        <w:jc w:val="both"/>
      </w:pPr>
      <w:r>
        <w:rPr>
          <w:color w:val="404040" w:themeColor="text1" w:themeTint="BF"/>
        </w:rPr>
        <w:t xml:space="preserve">The Company is committed to a workplace free from harassment, discrimination, bullying, intimidation, and violence. Such conduct is prohibited without exception.  </w:t>
      </w:r>
      <w:r>
        <w:rPr>
          <w:rFonts w:ascii="Calibri Light" w:eastAsia="Calibri Light" w:hAnsi="Calibri Light" w:cs="Calibri Light"/>
          <w:color w:val="404040" w:themeColor="text1" w:themeTint="BF"/>
          <w:sz w:val="18"/>
        </w:rPr>
        <w:t>[SOC 2: CC1.1]</w:t>
      </w:r>
    </w:p>
    <w:p w14:paraId="1D78A5FF" w14:textId="77777777" w:rsidR="00AC4A83" w:rsidRDefault="00000000">
      <w:pPr>
        <w:pStyle w:val="Emphasis-Normal"/>
        <w:numPr>
          <w:ilvl w:val="0"/>
          <w:numId w:val="31"/>
        </w:numPr>
        <w:spacing w:after="120"/>
        <w:jc w:val="both"/>
      </w:pPr>
      <w:r>
        <w:rPr>
          <w:color w:val="404040" w:themeColor="text1" w:themeTint="BF"/>
        </w:rPr>
        <w:t xml:space="preserve">Personnel shall treat colleagues, clients, and vendors with respect and shall not discriminate based on race, color, religion, national origin, sex, sexual orientation, gender identity, age, disability, veteran status, genetic information, or any other characteristic protected by applicable law.  </w:t>
      </w:r>
      <w:r>
        <w:rPr>
          <w:rFonts w:ascii="Calibri Light" w:eastAsia="Calibri Light" w:hAnsi="Calibri Light" w:cs="Calibri Light"/>
          <w:color w:val="404040" w:themeColor="text1" w:themeTint="BF"/>
          <w:sz w:val="18"/>
        </w:rPr>
        <w:t>[SOC 2: CC1.1]</w:t>
      </w:r>
    </w:p>
    <w:p w14:paraId="3884DF4F" w14:textId="77777777" w:rsidR="00AC4A83" w:rsidRDefault="00000000">
      <w:pPr>
        <w:pStyle w:val="Emphasis-Normal"/>
        <w:numPr>
          <w:ilvl w:val="0"/>
          <w:numId w:val="32"/>
        </w:numPr>
        <w:spacing w:after="120"/>
        <w:jc w:val="both"/>
      </w:pPr>
      <w:r>
        <w:rPr>
          <w:color w:val="404040" w:themeColor="text1" w:themeTint="BF"/>
        </w:rPr>
        <w:t xml:space="preserve">Personnel shall not be under the influence of alcohol or unlawful substances while performing Company work or while present at Company or client premises.  </w:t>
      </w:r>
      <w:r>
        <w:rPr>
          <w:rFonts w:ascii="Calibri Light" w:eastAsia="Calibri Light" w:hAnsi="Calibri Light" w:cs="Calibri Light"/>
          <w:color w:val="404040" w:themeColor="text1" w:themeTint="BF"/>
          <w:sz w:val="18"/>
        </w:rPr>
        <w:t>[SOC 2: CC1.1]</w:t>
      </w:r>
    </w:p>
    <w:p w14:paraId="5C77B1F7" w14:textId="77777777" w:rsidR="00AC4A83" w:rsidRDefault="00000000">
      <w:pPr>
        <w:pStyle w:val="Emphasis-Normal"/>
        <w:numPr>
          <w:ilvl w:val="0"/>
          <w:numId w:val="33"/>
        </w:numPr>
        <w:spacing w:after="120"/>
        <w:jc w:val="both"/>
      </w:pPr>
      <w:r>
        <w:rPr>
          <w:color w:val="404040" w:themeColor="text1" w:themeTint="BF"/>
        </w:rPr>
        <w:t xml:space="preserve">Personnel shall comply with client site rules, safety requirements, and access conditions when working at client locations.  </w:t>
      </w:r>
      <w:r>
        <w:rPr>
          <w:rFonts w:ascii="Calibri Light" w:eastAsia="Calibri Light" w:hAnsi="Calibri Light" w:cs="Calibri Light"/>
          <w:color w:val="404040" w:themeColor="text1" w:themeTint="BF"/>
          <w:sz w:val="18"/>
        </w:rPr>
        <w:t>[SOC 2: CC1.1]</w:t>
      </w:r>
    </w:p>
    <w:p w14:paraId="76F32984" w14:textId="77777777" w:rsidR="00AC4A83" w:rsidRDefault="00000000">
      <w:pPr>
        <w:pStyle w:val="Heading1"/>
        <w:keepNext/>
        <w:numPr>
          <w:ilvl w:val="0"/>
          <w:numId w:val="34"/>
        </w:numPr>
        <w:spacing w:before="240" w:after="80"/>
      </w:pPr>
      <w:bookmarkStart w:id="7" w:name="_Toc237800932"/>
      <w:r>
        <w:t>Conflicts of Interest</w:t>
      </w:r>
      <w:bookmarkEnd w:id="7"/>
    </w:p>
    <w:p w14:paraId="698CB685" w14:textId="1D1A50D2" w:rsidR="00AC4A83" w:rsidRDefault="00000000">
      <w:pPr>
        <w:pStyle w:val="Emphasis-Normal"/>
        <w:numPr>
          <w:ilvl w:val="0"/>
          <w:numId w:val="35"/>
        </w:numPr>
        <w:spacing w:after="120"/>
        <w:jc w:val="both"/>
      </w:pPr>
      <w:r>
        <w:rPr>
          <w:color w:val="404040" w:themeColor="text1" w:themeTint="BF"/>
        </w:rPr>
        <w:t xml:space="preserve">Personnel shall avoid situations in which their personal </w:t>
      </w:r>
      <w:r w:rsidR="0035294F">
        <w:rPr>
          <w:color w:val="404040" w:themeColor="text1" w:themeTint="BF"/>
        </w:rPr>
        <w:t xml:space="preserve">interests, </w:t>
      </w:r>
      <w:r>
        <w:rPr>
          <w:color w:val="404040" w:themeColor="text1" w:themeTint="BF"/>
        </w:rPr>
        <w:t xml:space="preserve">conflict, or appear to conflict, with the interests of the Company or its clients.  </w:t>
      </w:r>
      <w:r>
        <w:rPr>
          <w:rFonts w:ascii="Calibri Light" w:eastAsia="Calibri Light" w:hAnsi="Calibri Light" w:cs="Calibri Light"/>
          <w:color w:val="404040" w:themeColor="text1" w:themeTint="BF"/>
          <w:sz w:val="18"/>
        </w:rPr>
        <w:t>[SOC 2: CC1.1, CC3.3]</w:t>
      </w:r>
    </w:p>
    <w:p w14:paraId="5642F909" w14:textId="77777777" w:rsidR="00AC4A83" w:rsidRDefault="00000000">
      <w:pPr>
        <w:pStyle w:val="Emphasis-Normal"/>
        <w:numPr>
          <w:ilvl w:val="0"/>
          <w:numId w:val="36"/>
        </w:numPr>
        <w:spacing w:after="120"/>
        <w:jc w:val="both"/>
      </w:pPr>
      <w:r>
        <w:rPr>
          <w:color w:val="404040" w:themeColor="text1" w:themeTint="BF"/>
        </w:rPr>
        <w:t xml:space="preserve">Personnel shall promptly disclose in writing to the Security Officer any financial or business interest in, or relationship with, a vendor, competitor, or client of the Company. This includes ownership interests, board or advisory positions, paid engagements, and close personal relationships with vendor or client personnel involved in Company engagements. Personnel work part-time and routine outside employment unconnected to the Company's vendors, competitors and clients need not be disclosed; where such employment later comes to involve one of them, it shall be disclosed at that point.  </w:t>
      </w:r>
      <w:r>
        <w:rPr>
          <w:rFonts w:ascii="Calibri Light" w:eastAsia="Calibri Light" w:hAnsi="Calibri Light" w:cs="Calibri Light"/>
          <w:color w:val="404040" w:themeColor="text1" w:themeTint="BF"/>
          <w:sz w:val="18"/>
        </w:rPr>
        <w:t>[SOC 2: CC1.1, CC3.3]</w:t>
      </w:r>
    </w:p>
    <w:p w14:paraId="6258BD9C" w14:textId="0CC7DF7E" w:rsidR="00AC4A83" w:rsidRDefault="00000000">
      <w:pPr>
        <w:pStyle w:val="Emphasis-Normal"/>
        <w:numPr>
          <w:ilvl w:val="0"/>
          <w:numId w:val="37"/>
        </w:numPr>
        <w:spacing w:after="120"/>
        <w:jc w:val="both"/>
      </w:pPr>
      <w:r>
        <w:rPr>
          <w:color w:val="404040" w:themeColor="text1" w:themeTint="BF"/>
        </w:rPr>
        <w:t xml:space="preserve">Personnel shall not simultaneously advise clients whose interests are directly </w:t>
      </w:r>
      <w:r w:rsidR="0035294F">
        <w:rPr>
          <w:color w:val="404040" w:themeColor="text1" w:themeTint="BF"/>
        </w:rPr>
        <w:t>averse</w:t>
      </w:r>
      <w:r>
        <w:rPr>
          <w:color w:val="404040" w:themeColor="text1" w:themeTint="BF"/>
        </w:rPr>
        <w:t xml:space="preserve"> to one another without written disclosure to, and consent from, the affected clients.  </w:t>
      </w:r>
      <w:r>
        <w:rPr>
          <w:rFonts w:ascii="Calibri Light" w:eastAsia="Calibri Light" w:hAnsi="Calibri Light" w:cs="Calibri Light"/>
          <w:color w:val="404040" w:themeColor="text1" w:themeTint="BF"/>
          <w:sz w:val="18"/>
        </w:rPr>
        <w:t>[SOC 2: CC1.1, CC3.3]</w:t>
      </w:r>
    </w:p>
    <w:p w14:paraId="016F06BB" w14:textId="77777777" w:rsidR="00AC4A83" w:rsidRDefault="00000000">
      <w:pPr>
        <w:pStyle w:val="Emphasis-Normal"/>
        <w:numPr>
          <w:ilvl w:val="0"/>
          <w:numId w:val="38"/>
        </w:numPr>
        <w:spacing w:after="120"/>
        <w:jc w:val="both"/>
      </w:pPr>
      <w:r>
        <w:rPr>
          <w:color w:val="404040" w:themeColor="text1" w:themeTint="BF"/>
        </w:rPr>
        <w:t xml:space="preserve">Personnel shall not use Company or client information, resources, or business opportunities for personal gain.  </w:t>
      </w:r>
      <w:r>
        <w:rPr>
          <w:rFonts w:ascii="Calibri Light" w:eastAsia="Calibri Light" w:hAnsi="Calibri Light" w:cs="Calibri Light"/>
          <w:color w:val="404040" w:themeColor="text1" w:themeTint="BF"/>
          <w:sz w:val="18"/>
        </w:rPr>
        <w:t>[SOC 2: CC1.1, CC3.3]</w:t>
      </w:r>
    </w:p>
    <w:p w14:paraId="1B61ED7B" w14:textId="77777777" w:rsidR="00AC4A83" w:rsidRDefault="00000000">
      <w:pPr>
        <w:pStyle w:val="Emphasis-Normal"/>
        <w:numPr>
          <w:ilvl w:val="0"/>
          <w:numId w:val="39"/>
        </w:numPr>
        <w:spacing w:after="120"/>
        <w:jc w:val="both"/>
      </w:pPr>
      <w:r>
        <w:rPr>
          <w:color w:val="404040" w:themeColor="text1" w:themeTint="BF"/>
        </w:rPr>
        <w:t xml:space="preserve">Disclosed conflicts shall be recorded, assessed, and managed through documented mitigation, reassignment, or recusal, and reviewed at least annually.  </w:t>
      </w:r>
      <w:r>
        <w:rPr>
          <w:rFonts w:ascii="Calibri Light" w:eastAsia="Calibri Light" w:hAnsi="Calibri Light" w:cs="Calibri Light"/>
          <w:color w:val="404040" w:themeColor="text1" w:themeTint="BF"/>
          <w:sz w:val="18"/>
        </w:rPr>
        <w:t>[SOC 2: CC1.1, CC3.3]</w:t>
      </w:r>
    </w:p>
    <w:p w14:paraId="16E04E58" w14:textId="77777777" w:rsidR="00AC4A83" w:rsidRDefault="00000000">
      <w:pPr>
        <w:pStyle w:val="Emphasis-Normal"/>
        <w:numPr>
          <w:ilvl w:val="0"/>
          <w:numId w:val="40"/>
        </w:numPr>
        <w:spacing w:after="120"/>
        <w:jc w:val="both"/>
      </w:pPr>
      <w:r>
        <w:rPr>
          <w:color w:val="404040" w:themeColor="text1" w:themeTint="BF"/>
        </w:rPr>
        <w:t xml:space="preserve">Every person shall complete a conflict-of-interest declaration at least annually and before a new client engagement is accepted. A declaration confirming that no conflict exists is a valid and complete declaration, and the annual declaration may be given as a single line within the annual Code acknowledgment rather than as a separate return.  </w:t>
      </w:r>
      <w:r>
        <w:rPr>
          <w:rFonts w:ascii="Calibri Light" w:eastAsia="Calibri Light" w:hAnsi="Calibri Light" w:cs="Calibri Light"/>
          <w:color w:val="404040" w:themeColor="text1" w:themeTint="BF"/>
          <w:sz w:val="18"/>
        </w:rPr>
        <w:t>[SOC 2: CC1.1, CC3.3]</w:t>
      </w:r>
    </w:p>
    <w:p w14:paraId="362A4FF6" w14:textId="77777777" w:rsidR="00AC4A83" w:rsidRDefault="00000000">
      <w:pPr>
        <w:pStyle w:val="Emphasis-Normal"/>
        <w:numPr>
          <w:ilvl w:val="0"/>
          <w:numId w:val="41"/>
        </w:numPr>
        <w:spacing w:after="120"/>
        <w:jc w:val="both"/>
      </w:pPr>
      <w:r>
        <w:rPr>
          <w:color w:val="404040" w:themeColor="text1" w:themeTint="BF"/>
        </w:rPr>
        <w:t xml:space="preserve">This section is the Company's conflict of interest policy. No separate conflict of interest document is required, and any reference elsewhere in the Company's documentation to a conflict-of-interest policy is a reference to this section.  </w:t>
      </w:r>
      <w:r>
        <w:rPr>
          <w:rFonts w:ascii="Calibri Light" w:eastAsia="Calibri Light" w:hAnsi="Calibri Light" w:cs="Calibri Light"/>
          <w:color w:val="404040" w:themeColor="text1" w:themeTint="BF"/>
          <w:sz w:val="18"/>
        </w:rPr>
        <w:t>[SOC 2: CC1.1, CC5.3]</w:t>
      </w:r>
    </w:p>
    <w:p w14:paraId="104A653A" w14:textId="77777777" w:rsidR="00AC4A83" w:rsidRDefault="00000000">
      <w:pPr>
        <w:pStyle w:val="Heading1"/>
        <w:keepNext/>
        <w:numPr>
          <w:ilvl w:val="0"/>
          <w:numId w:val="42"/>
        </w:numPr>
        <w:spacing w:before="240" w:after="80"/>
      </w:pPr>
      <w:bookmarkStart w:id="8" w:name="_Toc237800933"/>
      <w:r>
        <w:lastRenderedPageBreak/>
        <w:t>Independence and Objectivity</w:t>
      </w:r>
      <w:bookmarkEnd w:id="8"/>
    </w:p>
    <w:p w14:paraId="111A1D91" w14:textId="77777777" w:rsidR="00AC4A83" w:rsidRDefault="00000000">
      <w:pPr>
        <w:pStyle w:val="Emphasis-Normal"/>
        <w:numPr>
          <w:ilvl w:val="0"/>
          <w:numId w:val="43"/>
        </w:numPr>
        <w:spacing w:after="120"/>
        <w:jc w:val="both"/>
      </w:pPr>
      <w:r>
        <w:rPr>
          <w:color w:val="404040" w:themeColor="text1" w:themeTint="BF"/>
        </w:rPr>
        <w:t xml:space="preserve">Personnel shall form assessment findings, control conclusions, and advisory opinions on the evidence obtained, and shall not allow a commercial relationship, a fee arrangement, or a client’s preference to influence them.  </w:t>
      </w:r>
      <w:r>
        <w:rPr>
          <w:rFonts w:ascii="Calibri Light" w:eastAsia="Calibri Light" w:hAnsi="Calibri Light" w:cs="Calibri Light"/>
          <w:color w:val="404040" w:themeColor="text1" w:themeTint="BF"/>
          <w:sz w:val="18"/>
        </w:rPr>
        <w:t>[SOC 2: CC1.1]</w:t>
      </w:r>
    </w:p>
    <w:p w14:paraId="31ECFFB2" w14:textId="77777777" w:rsidR="00AC4A83" w:rsidRDefault="00000000">
      <w:pPr>
        <w:pStyle w:val="Emphasis-Normal"/>
        <w:numPr>
          <w:ilvl w:val="0"/>
          <w:numId w:val="44"/>
        </w:numPr>
        <w:spacing w:after="120"/>
        <w:jc w:val="both"/>
      </w:pPr>
      <w:r>
        <w:rPr>
          <w:color w:val="404040" w:themeColor="text1" w:themeTint="BF"/>
        </w:rPr>
        <w:t xml:space="preserve">Where the Company has designed, implemented, or operated a control, personnel shall disclose that fact in writing before the Company assesses, tests, or opines on that control, and the disclosure shall be recorded in the engagement file.  </w:t>
      </w:r>
      <w:r>
        <w:rPr>
          <w:rFonts w:ascii="Calibri Light" w:eastAsia="Calibri Light" w:hAnsi="Calibri Light" w:cs="Calibri Light"/>
          <w:color w:val="404040" w:themeColor="text1" w:themeTint="BF"/>
          <w:sz w:val="18"/>
        </w:rPr>
        <w:t>[SOC 2: CC1.1, CC4.1]</w:t>
      </w:r>
    </w:p>
    <w:p w14:paraId="6C1A1618" w14:textId="77777777" w:rsidR="00AC4A83" w:rsidRDefault="00000000">
      <w:pPr>
        <w:pStyle w:val="Heading1"/>
        <w:keepNext/>
        <w:numPr>
          <w:ilvl w:val="0"/>
          <w:numId w:val="45"/>
        </w:numPr>
        <w:spacing w:before="240" w:after="80"/>
      </w:pPr>
      <w:bookmarkStart w:id="9" w:name="_Toc237800934"/>
      <w:r>
        <w:t>Confidentiality and Client Information</w:t>
      </w:r>
      <w:bookmarkEnd w:id="9"/>
    </w:p>
    <w:p w14:paraId="3FCE8D08" w14:textId="77777777" w:rsidR="00AC4A83" w:rsidRDefault="00000000">
      <w:pPr>
        <w:pStyle w:val="Emphasis-Normal"/>
        <w:numPr>
          <w:ilvl w:val="0"/>
          <w:numId w:val="46"/>
        </w:numPr>
        <w:spacing w:after="120"/>
        <w:jc w:val="both"/>
      </w:pPr>
      <w:r>
        <w:rPr>
          <w:color w:val="404040" w:themeColor="text1" w:themeTint="BF"/>
        </w:rPr>
        <w:t xml:space="preserve">Personnel shall protect the confidentiality of all Company and client information, including client vulnerabilities, assessment results, security architecture, incident details, business plans, and personal data, and shall access such information only as required to perform assigned duties.  </w:t>
      </w:r>
      <w:r>
        <w:rPr>
          <w:rFonts w:ascii="Calibri Light" w:eastAsia="Calibri Light" w:hAnsi="Calibri Light" w:cs="Calibri Light"/>
          <w:color w:val="404040" w:themeColor="text1" w:themeTint="BF"/>
          <w:sz w:val="18"/>
        </w:rPr>
        <w:t>[SOC 2: CC1.1, C1.1]</w:t>
      </w:r>
    </w:p>
    <w:p w14:paraId="72053E8D" w14:textId="77777777" w:rsidR="00AC4A83" w:rsidRDefault="00000000">
      <w:pPr>
        <w:pStyle w:val="Emphasis-Normal"/>
        <w:numPr>
          <w:ilvl w:val="0"/>
          <w:numId w:val="47"/>
        </w:numPr>
        <w:spacing w:after="120"/>
        <w:jc w:val="both"/>
      </w:pPr>
      <w:r>
        <w:rPr>
          <w:color w:val="404040" w:themeColor="text1" w:themeTint="BF"/>
        </w:rPr>
        <w:t xml:space="preserve">Client information shall not be disclosed to other clients, prospective clients, or third parties, and shall not be used in marketing, case studies, or public commentary without prior written client authorization.  </w:t>
      </w:r>
      <w:r>
        <w:rPr>
          <w:rFonts w:ascii="Calibri Light" w:eastAsia="Calibri Light" w:hAnsi="Calibri Light" w:cs="Calibri Light"/>
          <w:color w:val="404040" w:themeColor="text1" w:themeTint="BF"/>
          <w:sz w:val="18"/>
        </w:rPr>
        <w:t>[SOC 2: CC1.1, C1.1]</w:t>
      </w:r>
    </w:p>
    <w:p w14:paraId="4E3D8E79" w14:textId="77777777" w:rsidR="00AC4A83" w:rsidRDefault="00000000">
      <w:pPr>
        <w:pStyle w:val="Emphasis-Normal"/>
        <w:numPr>
          <w:ilvl w:val="0"/>
          <w:numId w:val="48"/>
        </w:numPr>
        <w:spacing w:after="120"/>
        <w:jc w:val="both"/>
      </w:pPr>
      <w:r>
        <w:rPr>
          <w:color w:val="404040" w:themeColor="text1" w:themeTint="BF"/>
        </w:rPr>
        <w:t xml:space="preserve">Knowledge of a client’s security weaknesses shall never be used for personal advantage, for competitive advantage, or in any manner adverse to that client.  </w:t>
      </w:r>
      <w:r>
        <w:rPr>
          <w:rFonts w:ascii="Calibri Light" w:eastAsia="Calibri Light" w:hAnsi="Calibri Light" w:cs="Calibri Light"/>
          <w:color w:val="404040" w:themeColor="text1" w:themeTint="BF"/>
          <w:sz w:val="18"/>
        </w:rPr>
        <w:t>[SOC 2: CC1.1, C1.1]</w:t>
      </w:r>
    </w:p>
    <w:p w14:paraId="2A8F9D56" w14:textId="77777777" w:rsidR="00AC4A83" w:rsidRDefault="00000000">
      <w:pPr>
        <w:pStyle w:val="Emphasis-Normal"/>
        <w:numPr>
          <w:ilvl w:val="0"/>
          <w:numId w:val="49"/>
        </w:numPr>
        <w:spacing w:after="120"/>
        <w:jc w:val="both"/>
      </w:pPr>
      <w:r>
        <w:rPr>
          <w:color w:val="404040" w:themeColor="text1" w:themeTint="BF"/>
        </w:rPr>
        <w:t xml:space="preserve">Confidentiality obligations survive termination of employment or engagement and shall be reaffirmed in the departure process in accordance with the Human Resources Security Policy.  </w:t>
      </w:r>
      <w:r>
        <w:rPr>
          <w:rFonts w:ascii="Calibri Light" w:eastAsia="Calibri Light" w:hAnsi="Calibri Light" w:cs="Calibri Light"/>
          <w:color w:val="404040" w:themeColor="text1" w:themeTint="BF"/>
          <w:sz w:val="18"/>
        </w:rPr>
        <w:t>[SOC 2: CC1.1, C1.1]</w:t>
      </w:r>
    </w:p>
    <w:p w14:paraId="6293BCDD" w14:textId="77777777" w:rsidR="00AC4A83" w:rsidRDefault="00000000">
      <w:pPr>
        <w:pStyle w:val="Emphasis-Normal"/>
        <w:numPr>
          <w:ilvl w:val="0"/>
          <w:numId w:val="50"/>
        </w:numPr>
        <w:spacing w:after="120"/>
        <w:jc w:val="both"/>
      </w:pPr>
      <w:r>
        <w:rPr>
          <w:color w:val="404040" w:themeColor="text1" w:themeTint="BF"/>
        </w:rPr>
        <w:t xml:space="preserve">Handling, classification, retention, and disposal of information shall follow the Data Classification Policy and the Data Retention and Disposal Policy.  </w:t>
      </w:r>
      <w:r>
        <w:rPr>
          <w:rFonts w:ascii="Calibri Light" w:eastAsia="Calibri Light" w:hAnsi="Calibri Light" w:cs="Calibri Light"/>
          <w:color w:val="404040" w:themeColor="text1" w:themeTint="BF"/>
          <w:sz w:val="18"/>
        </w:rPr>
        <w:t>[SOC 2: CC1.1, C1.1]</w:t>
      </w:r>
    </w:p>
    <w:p w14:paraId="58C15535" w14:textId="77777777" w:rsidR="00AC4A83" w:rsidRDefault="00000000">
      <w:pPr>
        <w:pStyle w:val="Heading1"/>
        <w:keepNext/>
        <w:numPr>
          <w:ilvl w:val="0"/>
          <w:numId w:val="51"/>
        </w:numPr>
        <w:spacing w:before="240" w:after="80"/>
      </w:pPr>
      <w:bookmarkStart w:id="10" w:name="_Toc237800935"/>
      <w:r>
        <w:t>Protection of Assets and Misuse of Access</w:t>
      </w:r>
      <w:bookmarkEnd w:id="10"/>
    </w:p>
    <w:p w14:paraId="0BEEB3D0" w14:textId="77777777" w:rsidR="00AC4A83" w:rsidRDefault="00000000">
      <w:pPr>
        <w:pStyle w:val="Emphasis-Normal"/>
        <w:numPr>
          <w:ilvl w:val="0"/>
          <w:numId w:val="52"/>
        </w:numPr>
        <w:spacing w:after="120"/>
        <w:jc w:val="both"/>
      </w:pPr>
      <w:r>
        <w:rPr>
          <w:color w:val="404040" w:themeColor="text1" w:themeTint="BF"/>
        </w:rPr>
        <w:t xml:space="preserve">Personnel shall access Company and client systems and data only to the extent required to perform assigned duties, and shall not browse, search, or retrieve information out of curiosity, for personal interest, or for any purpose outside the engagement.  </w:t>
      </w:r>
      <w:r>
        <w:rPr>
          <w:rFonts w:ascii="Calibri Light" w:eastAsia="Calibri Light" w:hAnsi="Calibri Light" w:cs="Calibri Light"/>
          <w:color w:val="404040" w:themeColor="text1" w:themeTint="BF"/>
          <w:sz w:val="18"/>
        </w:rPr>
        <w:t>[SOC 2: CC3.3, CC6.3]</w:t>
      </w:r>
    </w:p>
    <w:p w14:paraId="5F74F912" w14:textId="77777777" w:rsidR="00AC4A83" w:rsidRDefault="00000000">
      <w:pPr>
        <w:pStyle w:val="Emphasis-Normal"/>
        <w:numPr>
          <w:ilvl w:val="0"/>
          <w:numId w:val="53"/>
        </w:numPr>
        <w:spacing w:after="120"/>
        <w:jc w:val="both"/>
      </w:pPr>
      <w:r>
        <w:rPr>
          <w:color w:val="404040" w:themeColor="text1" w:themeTint="BF"/>
        </w:rPr>
        <w:t xml:space="preserve">Personnel shall not use privileged or administrative access to obtain a personal, financial, or competitive advantage, to conceal an error or an incident, or to bypass an approval that would otherwise be required.  </w:t>
      </w:r>
      <w:r>
        <w:rPr>
          <w:rFonts w:ascii="Calibri Light" w:eastAsia="Calibri Light" w:hAnsi="Calibri Light" w:cs="Calibri Light"/>
          <w:color w:val="404040" w:themeColor="text1" w:themeTint="BF"/>
          <w:sz w:val="18"/>
        </w:rPr>
        <w:t>[SOC 2: CC3.3, CC6.3]</w:t>
      </w:r>
    </w:p>
    <w:p w14:paraId="2583FE75" w14:textId="77777777" w:rsidR="00AC4A83" w:rsidRDefault="00000000">
      <w:pPr>
        <w:pStyle w:val="Emphasis-Normal"/>
        <w:numPr>
          <w:ilvl w:val="0"/>
          <w:numId w:val="54"/>
        </w:numPr>
        <w:spacing w:after="120"/>
        <w:jc w:val="both"/>
      </w:pPr>
      <w:r>
        <w:rPr>
          <w:color w:val="404040" w:themeColor="text1" w:themeTint="BF"/>
        </w:rPr>
        <w:t xml:space="preserve">Personnel shall not retain client data, credentials, assessment evidence, or tooling output after an engagement ends, other than in Company systems under the Data Retention and Disposal Policy, and shall not hold personal copies on personal accounts or devices.  </w:t>
      </w:r>
      <w:r>
        <w:rPr>
          <w:rFonts w:ascii="Calibri Light" w:eastAsia="Calibri Light" w:hAnsi="Calibri Light" w:cs="Calibri Light"/>
          <w:color w:val="404040" w:themeColor="text1" w:themeTint="BF"/>
          <w:sz w:val="18"/>
        </w:rPr>
        <w:t>[SOC 2: CC3.3, C1.2]</w:t>
      </w:r>
    </w:p>
    <w:p w14:paraId="53C59CF4" w14:textId="77777777" w:rsidR="00AC4A83" w:rsidRDefault="00000000">
      <w:pPr>
        <w:pStyle w:val="Emphasis-Normal"/>
        <w:numPr>
          <w:ilvl w:val="0"/>
          <w:numId w:val="55"/>
        </w:numPr>
        <w:spacing w:after="120"/>
        <w:jc w:val="both"/>
      </w:pPr>
      <w:r>
        <w:rPr>
          <w:color w:val="404040" w:themeColor="text1" w:themeTint="BF"/>
        </w:rPr>
        <w:t xml:space="preserve">Company funds, equipment, software, and time shall be used for Company purposes. Expense claims, timesheets, and invoices shall reflect work performed.  </w:t>
      </w:r>
      <w:r>
        <w:rPr>
          <w:rFonts w:ascii="Calibri Light" w:eastAsia="Calibri Light" w:hAnsi="Calibri Light" w:cs="Calibri Light"/>
          <w:color w:val="404040" w:themeColor="text1" w:themeTint="BF"/>
          <w:sz w:val="18"/>
        </w:rPr>
        <w:t>[SOC 2: CC3.3]</w:t>
      </w:r>
    </w:p>
    <w:p w14:paraId="5F231D4C" w14:textId="77777777" w:rsidR="00AC4A83" w:rsidRDefault="00000000">
      <w:pPr>
        <w:pStyle w:val="Emphasis-Normal"/>
        <w:numPr>
          <w:ilvl w:val="0"/>
          <w:numId w:val="56"/>
        </w:numPr>
        <w:spacing w:after="120"/>
        <w:jc w:val="both"/>
      </w:pPr>
      <w:r>
        <w:rPr>
          <w:color w:val="404040" w:themeColor="text1" w:themeTint="BF"/>
        </w:rPr>
        <w:lastRenderedPageBreak/>
        <w:t xml:space="preserve">Personnel who become aware of misuse of access, falsification of records, or circumvention of a control shall report it under Section 13. Failure to report known misuse is itself a violation of this Code.  </w:t>
      </w:r>
      <w:r>
        <w:rPr>
          <w:rFonts w:ascii="Calibri Light" w:eastAsia="Calibri Light" w:hAnsi="Calibri Light" w:cs="Calibri Light"/>
          <w:color w:val="404040" w:themeColor="text1" w:themeTint="BF"/>
          <w:sz w:val="18"/>
        </w:rPr>
        <w:t>[SOC 2: CC3.3, CC4.2]</w:t>
      </w:r>
    </w:p>
    <w:p w14:paraId="6127D296" w14:textId="77777777" w:rsidR="00AC4A83" w:rsidRDefault="00000000">
      <w:pPr>
        <w:pStyle w:val="Heading1"/>
        <w:keepNext/>
        <w:numPr>
          <w:ilvl w:val="0"/>
          <w:numId w:val="57"/>
        </w:numPr>
        <w:spacing w:before="240" w:after="80"/>
      </w:pPr>
      <w:bookmarkStart w:id="11" w:name="_Toc237800936"/>
      <w:r>
        <w:t>Use of Company Systems and Artificial Intelligence Tools</w:t>
      </w:r>
      <w:bookmarkEnd w:id="11"/>
    </w:p>
    <w:p w14:paraId="4FC6A67F" w14:textId="77777777" w:rsidR="00AC4A83" w:rsidRDefault="00000000">
      <w:pPr>
        <w:pStyle w:val="Emphasis-Normal"/>
        <w:numPr>
          <w:ilvl w:val="0"/>
          <w:numId w:val="58"/>
        </w:numPr>
        <w:spacing w:after="120"/>
        <w:jc w:val="both"/>
      </w:pPr>
      <w:r>
        <w:rPr>
          <w:color w:val="404040" w:themeColor="text1" w:themeTint="BF"/>
        </w:rPr>
        <w:t xml:space="preserve">Company systems, accounts, devices, and networks shall be used in accordance with the Acceptable Use Policy and primarily for Company business.  </w:t>
      </w:r>
      <w:r>
        <w:rPr>
          <w:rFonts w:ascii="Calibri Light" w:eastAsia="Calibri Light" w:hAnsi="Calibri Light" w:cs="Calibri Light"/>
          <w:color w:val="404040" w:themeColor="text1" w:themeTint="BF"/>
          <w:sz w:val="18"/>
        </w:rPr>
        <w:t>[SOC 2: CC1.1, CC6.8, C1.1]</w:t>
      </w:r>
    </w:p>
    <w:p w14:paraId="12EE4675" w14:textId="77777777" w:rsidR="00AC4A83" w:rsidRDefault="00000000">
      <w:pPr>
        <w:pStyle w:val="Emphasis-Normal"/>
        <w:numPr>
          <w:ilvl w:val="0"/>
          <w:numId w:val="59"/>
        </w:numPr>
        <w:spacing w:after="120"/>
        <w:jc w:val="both"/>
      </w:pPr>
      <w:r>
        <w:rPr>
          <w:color w:val="404040" w:themeColor="text1" w:themeTint="BF"/>
        </w:rPr>
        <w:t xml:space="preserve">Personnel shall not attempt to circumvent security controls, share authentication credentials, or install unauthorized software or services.  </w:t>
      </w:r>
      <w:r>
        <w:rPr>
          <w:rFonts w:ascii="Calibri Light" w:eastAsia="Calibri Light" w:hAnsi="Calibri Light" w:cs="Calibri Light"/>
          <w:color w:val="404040" w:themeColor="text1" w:themeTint="BF"/>
          <w:sz w:val="18"/>
        </w:rPr>
        <w:t>[SOC 2: CC1.1, CC6.8, C1.1]</w:t>
      </w:r>
    </w:p>
    <w:p w14:paraId="5A11B4B1" w14:textId="77777777" w:rsidR="00AC4A83" w:rsidRDefault="00000000">
      <w:pPr>
        <w:pStyle w:val="Emphasis-Normal"/>
        <w:numPr>
          <w:ilvl w:val="0"/>
          <w:numId w:val="60"/>
        </w:numPr>
        <w:spacing w:after="120"/>
        <w:jc w:val="both"/>
      </w:pPr>
      <w:r>
        <w:rPr>
          <w:color w:val="404040" w:themeColor="text1" w:themeTint="BF"/>
        </w:rPr>
        <w:t xml:space="preserve">Personnel shall not input client confidential information, personal data, or Company proprietary information into unapproved services. Company approved artificial intelligence tools are encouraged. </w:t>
      </w:r>
      <w:r>
        <w:rPr>
          <w:rFonts w:ascii="Calibri Light" w:eastAsia="Calibri Light" w:hAnsi="Calibri Light" w:cs="Calibri Light"/>
          <w:color w:val="404040" w:themeColor="text1" w:themeTint="BF"/>
          <w:sz w:val="18"/>
        </w:rPr>
        <w:t>[SOC 2: CC1.1, CC6.8, C1.1]</w:t>
      </w:r>
    </w:p>
    <w:p w14:paraId="744DE15C" w14:textId="77777777" w:rsidR="00AC4A83" w:rsidRDefault="00000000">
      <w:pPr>
        <w:pStyle w:val="Emphasis-Normal"/>
        <w:numPr>
          <w:ilvl w:val="0"/>
          <w:numId w:val="61"/>
        </w:numPr>
        <w:spacing w:after="120"/>
        <w:jc w:val="both"/>
      </w:pPr>
      <w:r>
        <w:rPr>
          <w:color w:val="404040" w:themeColor="text1" w:themeTint="BF"/>
        </w:rPr>
        <w:t xml:space="preserve">Output generated with the assistance of artificial intelligence tools remains the responsibility of the individual who submits it; such output shall be reviewed for accuracy before it is delivered to a client or relied upon in Company work.  </w:t>
      </w:r>
      <w:r>
        <w:rPr>
          <w:rFonts w:ascii="Calibri Light" w:eastAsia="Calibri Light" w:hAnsi="Calibri Light" w:cs="Calibri Light"/>
          <w:color w:val="404040" w:themeColor="text1" w:themeTint="BF"/>
          <w:sz w:val="18"/>
        </w:rPr>
        <w:t>[SOC 2: CC1.1, CC6.8, C1.1]</w:t>
      </w:r>
    </w:p>
    <w:p w14:paraId="6ACB7850" w14:textId="77777777" w:rsidR="00AC4A83" w:rsidRDefault="00000000">
      <w:pPr>
        <w:pStyle w:val="Emphasis-Normal"/>
        <w:numPr>
          <w:ilvl w:val="0"/>
          <w:numId w:val="62"/>
        </w:numPr>
        <w:spacing w:after="120"/>
        <w:jc w:val="both"/>
      </w:pPr>
      <w:r>
        <w:rPr>
          <w:color w:val="404040" w:themeColor="text1" w:themeTint="BF"/>
        </w:rPr>
        <w:t xml:space="preserve">Personnel shall not perform security testing, scanning, or exploitation activity against any system without documented client authorization defining the permitted scope.  </w:t>
      </w:r>
      <w:r>
        <w:rPr>
          <w:rFonts w:ascii="Calibri Light" w:eastAsia="Calibri Light" w:hAnsi="Calibri Light" w:cs="Calibri Light"/>
          <w:color w:val="404040" w:themeColor="text1" w:themeTint="BF"/>
          <w:sz w:val="18"/>
        </w:rPr>
        <w:t>[SOC 2: CC1.1, CC6.8, C1.1]</w:t>
      </w:r>
    </w:p>
    <w:p w14:paraId="1AD37280" w14:textId="77777777" w:rsidR="00AC4A83" w:rsidRDefault="00000000">
      <w:pPr>
        <w:pStyle w:val="Heading1"/>
        <w:keepNext/>
        <w:numPr>
          <w:ilvl w:val="0"/>
          <w:numId w:val="63"/>
        </w:numPr>
        <w:spacing w:before="240" w:after="80"/>
      </w:pPr>
      <w:bookmarkStart w:id="12" w:name="_Toc237800937"/>
      <w:r>
        <w:t>Personal Devices and Bring Your Own Device</w:t>
      </w:r>
      <w:bookmarkEnd w:id="12"/>
    </w:p>
    <w:p w14:paraId="3CDC5F75" w14:textId="77777777" w:rsidR="00AC4A83" w:rsidRDefault="00000000">
      <w:pPr>
        <w:spacing w:after="120"/>
        <w:jc w:val="both"/>
        <w:rPr>
          <w:color w:val="262626" w:themeColor="text1" w:themeTint="D9"/>
        </w:rPr>
      </w:pPr>
      <w:r>
        <w:t>The Company is remote-first and personnel may use personally owned devices. The following conditions apply to any personal device used for Company or client work.</w:t>
      </w:r>
    </w:p>
    <w:p w14:paraId="6D46E5DD" w14:textId="29939418" w:rsidR="00AC4A83" w:rsidRDefault="00000000">
      <w:pPr>
        <w:pStyle w:val="Emphasis-Normal"/>
        <w:numPr>
          <w:ilvl w:val="0"/>
          <w:numId w:val="3"/>
        </w:numPr>
        <w:spacing w:after="120"/>
        <w:jc w:val="both"/>
      </w:pPr>
      <w:r>
        <w:rPr>
          <w:color w:val="404040" w:themeColor="text1" w:themeTint="BF"/>
        </w:rPr>
        <w:t>Personnel may use their own laptops, tablets and phones for Company and client work. The Company does not require a personal device to be enrolled in central device management</w:t>
      </w:r>
      <w:r w:rsidR="0035294F">
        <w:rPr>
          <w:color w:val="404040" w:themeColor="text1" w:themeTint="BF"/>
        </w:rPr>
        <w:t xml:space="preserve"> at this stage of the Company</w:t>
      </w:r>
      <w:r>
        <w:rPr>
          <w:color w:val="404040" w:themeColor="text1" w:themeTint="BF"/>
        </w:rPr>
        <w:t xml:space="preserve">.  </w:t>
      </w:r>
      <w:r>
        <w:rPr>
          <w:rFonts w:ascii="Calibri Light" w:eastAsia="Calibri Light" w:hAnsi="Calibri Light" w:cs="Calibri Light"/>
          <w:color w:val="404040" w:themeColor="text1" w:themeTint="BF"/>
          <w:sz w:val="18"/>
        </w:rPr>
        <w:t>[SOC 2: CC6.4]</w:t>
      </w:r>
    </w:p>
    <w:p w14:paraId="53ED51BC" w14:textId="565CECCD" w:rsidR="00AC4A83" w:rsidRDefault="00000000">
      <w:pPr>
        <w:pStyle w:val="Emphasis-Normal"/>
        <w:numPr>
          <w:ilvl w:val="0"/>
          <w:numId w:val="3"/>
        </w:numPr>
        <w:spacing w:after="120"/>
        <w:jc w:val="both"/>
      </w:pPr>
      <w:r>
        <w:rPr>
          <w:color w:val="404040" w:themeColor="text1" w:themeTint="BF"/>
        </w:rPr>
        <w:t xml:space="preserve">Personnel shall keep client information in Company-managed cloud services and </w:t>
      </w:r>
      <w:r w:rsidR="0035294F">
        <w:rPr>
          <w:color w:val="404040" w:themeColor="text1" w:themeTint="BF"/>
        </w:rPr>
        <w:t>minimize</w:t>
      </w:r>
      <w:r>
        <w:rPr>
          <w:color w:val="404040" w:themeColor="text1" w:themeTint="BF"/>
        </w:rPr>
        <w:t xml:space="preserve"> what is stored on a personal device. Where a local copy is genuinely needed to do the work, it shall be deleted once it is no longer required, and in any event at the end of the engagement.  </w:t>
      </w:r>
      <w:r>
        <w:rPr>
          <w:rFonts w:ascii="Calibri Light" w:eastAsia="Calibri Light" w:hAnsi="Calibri Light" w:cs="Calibri Light"/>
          <w:color w:val="404040" w:themeColor="text1" w:themeTint="BF"/>
          <w:sz w:val="18"/>
        </w:rPr>
        <w:t>[SOC 2: CC6.5, CC6.7]</w:t>
      </w:r>
    </w:p>
    <w:p w14:paraId="52657C47" w14:textId="6848241D" w:rsidR="00AC4A83" w:rsidRDefault="00000000">
      <w:pPr>
        <w:pStyle w:val="Emphasis-Normal"/>
        <w:numPr>
          <w:ilvl w:val="0"/>
          <w:numId w:val="3"/>
        </w:numPr>
        <w:spacing w:after="120"/>
        <w:jc w:val="both"/>
      </w:pPr>
      <w:r>
        <w:rPr>
          <w:color w:val="404040" w:themeColor="text1" w:themeTint="BF"/>
        </w:rPr>
        <w:t xml:space="preserve">Personnel shall apply the security measures available to them on the devices they </w:t>
      </w:r>
      <w:r w:rsidR="0035294F">
        <w:rPr>
          <w:color w:val="404040" w:themeColor="text1" w:themeTint="BF"/>
        </w:rPr>
        <w:t>use</w:t>
      </w:r>
      <w:r>
        <w:rPr>
          <w:color w:val="404040" w:themeColor="text1" w:themeTint="BF"/>
        </w:rPr>
        <w:t xml:space="preserve"> </w:t>
      </w:r>
      <w:r w:rsidR="0035294F">
        <w:rPr>
          <w:color w:val="404040" w:themeColor="text1" w:themeTint="BF"/>
        </w:rPr>
        <w:t xml:space="preserve">– such as, </w:t>
      </w:r>
      <w:r>
        <w:rPr>
          <w:color w:val="404040" w:themeColor="text1" w:themeTint="BF"/>
        </w:rPr>
        <w:t xml:space="preserve">full-disk encryption, an automatic screen lock, current operating system updates, and the protection built into the platform. Where the Company provides a security tool or a managed device, personnel shall use it as directed; where it does not, these measures are attested at the annual Code acknowledgment rather than enforced by the Company.  </w:t>
      </w:r>
      <w:r>
        <w:rPr>
          <w:rFonts w:ascii="Calibri Light" w:eastAsia="Calibri Light" w:hAnsi="Calibri Light" w:cs="Calibri Light"/>
          <w:color w:val="404040" w:themeColor="text1" w:themeTint="BF"/>
          <w:sz w:val="18"/>
        </w:rPr>
        <w:t>[SOC 2: CC6.4, CC6.8 · HIPAA §164.310(d)]</w:t>
      </w:r>
    </w:p>
    <w:p w14:paraId="1A5D879D" w14:textId="77777777" w:rsidR="00AC4A83" w:rsidRDefault="00000000">
      <w:pPr>
        <w:pStyle w:val="Emphasis-Normal"/>
        <w:numPr>
          <w:ilvl w:val="0"/>
          <w:numId w:val="3"/>
        </w:numPr>
        <w:spacing w:after="120"/>
        <w:jc w:val="both"/>
      </w:pPr>
      <w:r>
        <w:rPr>
          <w:color w:val="404040" w:themeColor="text1" w:themeTint="BF"/>
        </w:rPr>
        <w:t xml:space="preserve">Information classified Restricted, and any client information the Company holds under an agreement requiring a managed endpoint, shall be accessed only from Company-provided equipment. Where a role needs that access, the Company shall provide the equipment.  </w:t>
      </w:r>
      <w:r>
        <w:rPr>
          <w:rFonts w:ascii="Calibri Light" w:eastAsia="Calibri Light" w:hAnsi="Calibri Light" w:cs="Calibri Light"/>
          <w:color w:val="404040" w:themeColor="text1" w:themeTint="BF"/>
          <w:sz w:val="18"/>
        </w:rPr>
        <w:t>[SOC 2: CC6.1, CC6.4]</w:t>
      </w:r>
    </w:p>
    <w:p w14:paraId="11284105" w14:textId="121EBAA9" w:rsidR="00AC4A83" w:rsidRDefault="00000000">
      <w:pPr>
        <w:pStyle w:val="Emphasis-Normal"/>
        <w:numPr>
          <w:ilvl w:val="0"/>
          <w:numId w:val="3"/>
        </w:numPr>
        <w:spacing w:after="120"/>
        <w:jc w:val="both"/>
      </w:pPr>
      <w:r>
        <w:rPr>
          <w:color w:val="404040" w:themeColor="text1" w:themeTint="BF"/>
        </w:rPr>
        <w:lastRenderedPageBreak/>
        <w:t xml:space="preserve">Personal accounts, personal cloud storage, personal email and personal artificial intelligence tools shall not be used for client information, and Company information shall not be forwarded to a personal account.  </w:t>
      </w:r>
      <w:r>
        <w:rPr>
          <w:rFonts w:ascii="Calibri Light" w:eastAsia="Calibri Light" w:hAnsi="Calibri Light" w:cs="Calibri Light"/>
          <w:color w:val="404040" w:themeColor="text1" w:themeTint="BF"/>
          <w:sz w:val="18"/>
        </w:rPr>
        <w:t>[SOC 2: CC6.7]</w:t>
      </w:r>
    </w:p>
    <w:p w14:paraId="50530C05" w14:textId="77777777" w:rsidR="00AC4A83" w:rsidRDefault="00000000">
      <w:pPr>
        <w:pStyle w:val="Emphasis-Normal"/>
        <w:numPr>
          <w:ilvl w:val="0"/>
          <w:numId w:val="3"/>
        </w:numPr>
        <w:spacing w:after="120"/>
        <w:jc w:val="both"/>
      </w:pPr>
      <w:r>
        <w:rPr>
          <w:color w:val="404040" w:themeColor="text1" w:themeTint="BF"/>
        </w:rPr>
        <w:t xml:space="preserve">A device used for Company work shall not be shared with family members or others for that work, and Company accounts shall not be signed into on a device belonging to another person. Where a device is shared within a household, Company work shall be done in a separate operating system user account with its own credential.  </w:t>
      </w:r>
      <w:r>
        <w:rPr>
          <w:rFonts w:ascii="Calibri Light" w:eastAsia="Calibri Light" w:hAnsi="Calibri Light" w:cs="Calibri Light"/>
          <w:color w:val="404040" w:themeColor="text1" w:themeTint="BF"/>
          <w:sz w:val="18"/>
        </w:rPr>
        <w:t>[SOC 2: CC6.1]</w:t>
      </w:r>
    </w:p>
    <w:p w14:paraId="1D01064B" w14:textId="77777777" w:rsidR="00AC4A83" w:rsidRDefault="00000000">
      <w:pPr>
        <w:pStyle w:val="Emphasis-Normal"/>
        <w:numPr>
          <w:ilvl w:val="0"/>
          <w:numId w:val="3"/>
        </w:numPr>
        <w:spacing w:after="120"/>
        <w:jc w:val="both"/>
      </w:pPr>
      <w:r>
        <w:rPr>
          <w:color w:val="404040" w:themeColor="text1" w:themeTint="BF"/>
        </w:rPr>
        <w:t xml:space="preserve">Personnel shall report loss or theft of a device used for Company work, or any suspected compromise of their credentials, to the Security Officer immediately and in any event within 24 hours. The Company responds by revoking sessions and disabling access; where the Company provided the device or a management tool is in place, it may also wipe Company data. The Company does not access or erase personal content.  </w:t>
      </w:r>
      <w:r>
        <w:rPr>
          <w:rFonts w:ascii="Calibri Light" w:eastAsia="Calibri Light" w:hAnsi="Calibri Light" w:cs="Calibri Light"/>
          <w:color w:val="404040" w:themeColor="text1" w:themeTint="BF"/>
          <w:sz w:val="18"/>
        </w:rPr>
        <w:t>[SOC 2: CC7.4, CC6.5 · GDPR Art. 33]</w:t>
      </w:r>
    </w:p>
    <w:p w14:paraId="4B5B22FE" w14:textId="77777777" w:rsidR="00AC4A83" w:rsidRDefault="00000000">
      <w:pPr>
        <w:pStyle w:val="Emphasis-Normal"/>
        <w:numPr>
          <w:ilvl w:val="0"/>
          <w:numId w:val="3"/>
        </w:numPr>
        <w:spacing w:after="120"/>
        <w:jc w:val="both"/>
      </w:pPr>
      <w:r>
        <w:rPr>
          <w:color w:val="404040" w:themeColor="text1" w:themeTint="BF"/>
        </w:rPr>
        <w:t xml:space="preserve">On termination or at the end of an engagement, access is revoked and personnel shall confirm that local copies of client information have been deleted from their devices. That confirmation forms part of the offboarding record.  </w:t>
      </w:r>
      <w:r>
        <w:rPr>
          <w:rFonts w:ascii="Calibri Light" w:eastAsia="Calibri Light" w:hAnsi="Calibri Light" w:cs="Calibri Light"/>
          <w:color w:val="404040" w:themeColor="text1" w:themeTint="BF"/>
          <w:sz w:val="18"/>
        </w:rPr>
        <w:t>[SOC 2: CC6.5]</w:t>
      </w:r>
    </w:p>
    <w:p w14:paraId="025A4983" w14:textId="77777777" w:rsidR="00AC4A83" w:rsidRDefault="00000000">
      <w:pPr>
        <w:pStyle w:val="Emphasis-Normal"/>
        <w:numPr>
          <w:ilvl w:val="0"/>
          <w:numId w:val="3"/>
        </w:numPr>
        <w:spacing w:after="120"/>
        <w:jc w:val="both"/>
      </w:pPr>
      <w:r>
        <w:rPr>
          <w:color w:val="404040" w:themeColor="text1" w:themeTint="BF"/>
        </w:rPr>
        <w:t xml:space="preserve">Personnel shall acknowledge the remote working requirements of this Code — the measures in this section, and the handling of screens, conversations and printed material away from a Company location — as part of the annual Code acknowledgment. A separate remote working acknowledgment is not required.  </w:t>
      </w:r>
      <w:r>
        <w:rPr>
          <w:rFonts w:ascii="Calibri Light" w:eastAsia="Calibri Light" w:hAnsi="Calibri Light" w:cs="Calibri Light"/>
          <w:color w:val="404040" w:themeColor="text1" w:themeTint="BF"/>
          <w:sz w:val="18"/>
        </w:rPr>
        <w:t>[SOC 2: CC1.4, CC6.4]</w:t>
      </w:r>
    </w:p>
    <w:p w14:paraId="5CC2D4E5" w14:textId="77777777" w:rsidR="00AC4A83" w:rsidRDefault="00000000">
      <w:pPr>
        <w:pStyle w:val="Heading1"/>
        <w:keepNext/>
        <w:numPr>
          <w:ilvl w:val="0"/>
          <w:numId w:val="64"/>
        </w:numPr>
        <w:spacing w:before="240" w:after="80"/>
      </w:pPr>
      <w:bookmarkStart w:id="13" w:name="_Toc237800938"/>
      <w:r>
        <w:t>Fair Dealing, Gifts, and Anti-Corruption</w:t>
      </w:r>
      <w:bookmarkEnd w:id="13"/>
    </w:p>
    <w:p w14:paraId="396E38C6" w14:textId="77777777" w:rsidR="00AC4A83" w:rsidRDefault="00000000">
      <w:pPr>
        <w:pStyle w:val="Emphasis-Normal"/>
        <w:numPr>
          <w:ilvl w:val="0"/>
          <w:numId w:val="65"/>
        </w:numPr>
        <w:spacing w:after="120"/>
        <w:jc w:val="both"/>
      </w:pPr>
      <w:r>
        <w:rPr>
          <w:color w:val="404040" w:themeColor="text1" w:themeTint="BF"/>
        </w:rPr>
        <w:t xml:space="preserve">Personnel shall deal fairly with clients, vendors, competitors, and colleagues, and shall not take unfair advantage through manipulation, concealment, abuse of privileged information, or misrepresentation of material facts.  </w:t>
      </w:r>
      <w:r>
        <w:rPr>
          <w:rFonts w:ascii="Calibri Light" w:eastAsia="Calibri Light" w:hAnsi="Calibri Light" w:cs="Calibri Light"/>
          <w:color w:val="404040" w:themeColor="text1" w:themeTint="BF"/>
          <w:sz w:val="18"/>
        </w:rPr>
        <w:t>[SOC 2: CC1.1, CC3.3]</w:t>
      </w:r>
    </w:p>
    <w:p w14:paraId="5484DDC5" w14:textId="77777777" w:rsidR="00AC4A83" w:rsidRDefault="00000000">
      <w:pPr>
        <w:pStyle w:val="Emphasis-Normal"/>
        <w:numPr>
          <w:ilvl w:val="0"/>
          <w:numId w:val="66"/>
        </w:numPr>
        <w:spacing w:after="120"/>
        <w:jc w:val="both"/>
      </w:pPr>
      <w:r>
        <w:rPr>
          <w:color w:val="404040" w:themeColor="text1" w:themeTint="BF"/>
        </w:rPr>
        <w:t xml:space="preserve">Personnel shall not offer, promise, give, request, or accept any bribe, kickback, or improper payment, directly or through a third party, to obtain or retain business or secure an improper advantage.  </w:t>
      </w:r>
      <w:r>
        <w:rPr>
          <w:rFonts w:ascii="Calibri Light" w:eastAsia="Calibri Light" w:hAnsi="Calibri Light" w:cs="Calibri Light"/>
          <w:color w:val="404040" w:themeColor="text1" w:themeTint="BF"/>
          <w:sz w:val="18"/>
        </w:rPr>
        <w:t>[SOC 2: CC1.1, CC3.3]</w:t>
      </w:r>
    </w:p>
    <w:p w14:paraId="083CA03E" w14:textId="77777777" w:rsidR="00AC4A83" w:rsidRDefault="00000000">
      <w:pPr>
        <w:pStyle w:val="Emphasis-Normal"/>
        <w:numPr>
          <w:ilvl w:val="0"/>
          <w:numId w:val="67"/>
        </w:numPr>
        <w:spacing w:after="120"/>
        <w:jc w:val="both"/>
      </w:pPr>
      <w:r>
        <w:rPr>
          <w:color w:val="404040" w:themeColor="text1" w:themeTint="BF"/>
        </w:rPr>
        <w:t xml:space="preserve">Gifts, entertainment, and hospitality shall be modest, infrequent, lawful, and never offered or accepted in circumstances that could influence, or appear to influence, a business decision. Anything of more than nominal value shall be disclosed to the Security Officer.  </w:t>
      </w:r>
      <w:r>
        <w:rPr>
          <w:rFonts w:ascii="Calibri Light" w:eastAsia="Calibri Light" w:hAnsi="Calibri Light" w:cs="Calibri Light"/>
          <w:color w:val="404040" w:themeColor="text1" w:themeTint="BF"/>
          <w:sz w:val="18"/>
        </w:rPr>
        <w:t>[SOC 2: CC1.1, CC3.3]</w:t>
      </w:r>
    </w:p>
    <w:p w14:paraId="18DC1D8D" w14:textId="77777777" w:rsidR="00AC4A83" w:rsidRDefault="00000000">
      <w:pPr>
        <w:pStyle w:val="Emphasis-Normal"/>
        <w:numPr>
          <w:ilvl w:val="0"/>
          <w:numId w:val="68"/>
        </w:numPr>
        <w:spacing w:after="120"/>
        <w:jc w:val="both"/>
      </w:pPr>
      <w:r>
        <w:rPr>
          <w:color w:val="404040" w:themeColor="text1" w:themeTint="BF"/>
        </w:rPr>
        <w:t xml:space="preserve">Personnel shall not make political contributions on behalf of the Company without </w:t>
      </w:r>
      <w:proofErr w:type="gramStart"/>
      <w:r>
        <w:rPr>
          <w:color w:val="404040" w:themeColor="text1" w:themeTint="BF"/>
        </w:rPr>
        <w:t>prior-approval</w:t>
      </w:r>
      <w:proofErr w:type="gramEnd"/>
      <w:r>
        <w:rPr>
          <w:color w:val="404040" w:themeColor="text1" w:themeTint="BF"/>
        </w:rPr>
        <w:t xml:space="preserve"> from the CEO.  </w:t>
      </w:r>
      <w:r>
        <w:rPr>
          <w:rFonts w:ascii="Calibri Light" w:eastAsia="Calibri Light" w:hAnsi="Calibri Light" w:cs="Calibri Light"/>
          <w:color w:val="404040" w:themeColor="text1" w:themeTint="BF"/>
          <w:sz w:val="18"/>
        </w:rPr>
        <w:t>[SOC 2: CC1.1, CC3.3]</w:t>
      </w:r>
    </w:p>
    <w:p w14:paraId="4F667872" w14:textId="77777777" w:rsidR="00AC4A83" w:rsidRDefault="00000000">
      <w:pPr>
        <w:pStyle w:val="Heading1"/>
        <w:keepNext/>
        <w:numPr>
          <w:ilvl w:val="0"/>
          <w:numId w:val="69"/>
        </w:numPr>
        <w:spacing w:before="240" w:after="80"/>
      </w:pPr>
      <w:bookmarkStart w:id="14" w:name="_Toc237800939"/>
      <w:r>
        <w:t>Public Communication and Social Media</w:t>
      </w:r>
      <w:bookmarkEnd w:id="14"/>
    </w:p>
    <w:p w14:paraId="29279F88" w14:textId="77777777" w:rsidR="00AC4A83" w:rsidRDefault="00000000">
      <w:pPr>
        <w:pStyle w:val="Emphasis-Normal"/>
        <w:numPr>
          <w:ilvl w:val="0"/>
          <w:numId w:val="70"/>
        </w:numPr>
        <w:spacing w:after="120"/>
        <w:jc w:val="both"/>
      </w:pPr>
      <w:r>
        <w:rPr>
          <w:color w:val="404040" w:themeColor="text1" w:themeTint="BF"/>
        </w:rPr>
        <w:t xml:space="preserve">Personnel shall not identify a client, describe an engagement, or reference a client’s security posture, vulnerabilities, incidents, or tooling in any public forum, including social media, conference material, blog posts, and job histories, without prior written client authorization.  </w:t>
      </w:r>
      <w:r>
        <w:rPr>
          <w:rFonts w:ascii="Calibri Light" w:eastAsia="Calibri Light" w:hAnsi="Calibri Light" w:cs="Calibri Light"/>
          <w:color w:val="404040" w:themeColor="text1" w:themeTint="BF"/>
          <w:sz w:val="18"/>
        </w:rPr>
        <w:t>[SOC 2: C1.1, CC2.3]</w:t>
      </w:r>
    </w:p>
    <w:p w14:paraId="701FF062" w14:textId="77777777" w:rsidR="00AC4A83" w:rsidRDefault="00000000">
      <w:pPr>
        <w:pStyle w:val="Emphasis-Normal"/>
        <w:numPr>
          <w:ilvl w:val="0"/>
          <w:numId w:val="71"/>
        </w:numPr>
        <w:spacing w:after="120"/>
        <w:jc w:val="both"/>
      </w:pPr>
      <w:r>
        <w:rPr>
          <w:color w:val="404040" w:themeColor="text1" w:themeTint="BF"/>
        </w:rPr>
        <w:lastRenderedPageBreak/>
        <w:t xml:space="preserve">Personnel shall not present personal opinions as the position of the Company. Only the CEO, or a person the CEO authorizes in writing, may speak for the Company to media, regulators, or the public.  </w:t>
      </w:r>
      <w:r>
        <w:rPr>
          <w:rFonts w:ascii="Calibri Light" w:eastAsia="Calibri Light" w:hAnsi="Calibri Light" w:cs="Calibri Light"/>
          <w:color w:val="404040" w:themeColor="text1" w:themeTint="BF"/>
          <w:sz w:val="18"/>
        </w:rPr>
        <w:t>[SOC 2: CC2.3]</w:t>
      </w:r>
    </w:p>
    <w:p w14:paraId="1455C07D" w14:textId="77777777" w:rsidR="00AC4A83" w:rsidRDefault="00000000">
      <w:pPr>
        <w:pStyle w:val="Emphasis-Normal"/>
        <w:numPr>
          <w:ilvl w:val="0"/>
          <w:numId w:val="72"/>
        </w:numPr>
        <w:spacing w:after="120"/>
        <w:jc w:val="both"/>
      </w:pPr>
      <w:r>
        <w:rPr>
          <w:color w:val="404040" w:themeColor="text1" w:themeTint="BF"/>
        </w:rPr>
        <w:t xml:space="preserve">Vulnerability research and disclosure conducted in a personal capacity shall not use Company or client information, shall be disclosed in advance to the Security Officer where it relates to a technology a client uses, and shall follow coordinated disclosure practice.  </w:t>
      </w:r>
      <w:r>
        <w:rPr>
          <w:rFonts w:ascii="Calibri Light" w:eastAsia="Calibri Light" w:hAnsi="Calibri Light" w:cs="Calibri Light"/>
          <w:color w:val="404040" w:themeColor="text1" w:themeTint="BF"/>
          <w:sz w:val="18"/>
        </w:rPr>
        <w:t>[SOC 2: CC1.1, CC2.3]</w:t>
      </w:r>
    </w:p>
    <w:p w14:paraId="38C629A4" w14:textId="77777777" w:rsidR="00AC4A83" w:rsidRDefault="00000000">
      <w:pPr>
        <w:pStyle w:val="Emphasis-Normal"/>
        <w:numPr>
          <w:ilvl w:val="0"/>
          <w:numId w:val="73"/>
        </w:numPr>
        <w:spacing w:after="120"/>
        <w:jc w:val="both"/>
      </w:pPr>
      <w:r>
        <w:rPr>
          <w:color w:val="404040" w:themeColor="text1" w:themeTint="BF"/>
        </w:rPr>
        <w:t xml:space="preserve">Personnel shall not disparage clients, former clients, colleagues, or competitors in public forums, and shall exercise the same discretion online as they would in front of a client.  </w:t>
      </w:r>
      <w:r>
        <w:rPr>
          <w:rFonts w:ascii="Calibri Light" w:eastAsia="Calibri Light" w:hAnsi="Calibri Light" w:cs="Calibri Light"/>
          <w:color w:val="404040" w:themeColor="text1" w:themeTint="BF"/>
          <w:sz w:val="18"/>
        </w:rPr>
        <w:t>[SOC 2: CC1.1]</w:t>
      </w:r>
    </w:p>
    <w:p w14:paraId="25385531" w14:textId="77777777" w:rsidR="00AC4A83" w:rsidRDefault="00000000">
      <w:pPr>
        <w:pStyle w:val="Heading1"/>
        <w:keepNext/>
        <w:numPr>
          <w:ilvl w:val="0"/>
          <w:numId w:val="74"/>
        </w:numPr>
        <w:spacing w:before="240" w:after="80"/>
      </w:pPr>
      <w:bookmarkStart w:id="15" w:name="_Toc237800940"/>
      <w:r>
        <w:t>Compliance with Laws and Contractual Obligations</w:t>
      </w:r>
      <w:bookmarkEnd w:id="15"/>
    </w:p>
    <w:p w14:paraId="7D28FFC1" w14:textId="77777777" w:rsidR="00AC4A83" w:rsidRDefault="00000000">
      <w:pPr>
        <w:pStyle w:val="Emphasis-Normal"/>
        <w:numPr>
          <w:ilvl w:val="0"/>
          <w:numId w:val="75"/>
        </w:numPr>
        <w:spacing w:after="120"/>
        <w:jc w:val="both"/>
      </w:pPr>
      <w:r>
        <w:rPr>
          <w:color w:val="404040" w:themeColor="text1" w:themeTint="BF"/>
        </w:rPr>
        <w:t xml:space="preserve">Personnel shall comply with all applicable laws and regulations, including those governing privacy and data protection, export control, intellectual property, employment, and computer misuse.  </w:t>
      </w:r>
      <w:r>
        <w:rPr>
          <w:rFonts w:ascii="Calibri Light" w:eastAsia="Calibri Light" w:hAnsi="Calibri Light" w:cs="Calibri Light"/>
          <w:color w:val="404040" w:themeColor="text1" w:themeTint="BF"/>
          <w:sz w:val="18"/>
        </w:rPr>
        <w:t>[SOC 2: CC1.1, CC2.3]</w:t>
      </w:r>
    </w:p>
    <w:p w14:paraId="28E88FD8" w14:textId="77777777" w:rsidR="00AC4A83" w:rsidRDefault="00000000">
      <w:pPr>
        <w:pStyle w:val="Emphasis-Normal"/>
        <w:numPr>
          <w:ilvl w:val="0"/>
          <w:numId w:val="76"/>
        </w:numPr>
        <w:spacing w:after="120"/>
        <w:jc w:val="both"/>
      </w:pPr>
      <w:r>
        <w:rPr>
          <w:color w:val="404040" w:themeColor="text1" w:themeTint="BF"/>
        </w:rPr>
        <w:t xml:space="preserve">Personnel shall comply with the security, privacy, and confidentiality obligations the Company owes under client agreements, including any flow-down obligations arising from regulated client environments.  </w:t>
      </w:r>
      <w:r>
        <w:rPr>
          <w:rFonts w:ascii="Calibri Light" w:eastAsia="Calibri Light" w:hAnsi="Calibri Light" w:cs="Calibri Light"/>
          <w:color w:val="404040" w:themeColor="text1" w:themeTint="BF"/>
          <w:sz w:val="18"/>
        </w:rPr>
        <w:t>[SOC 2: CC1.1, CC2.3]</w:t>
      </w:r>
    </w:p>
    <w:p w14:paraId="7CE30730" w14:textId="77777777" w:rsidR="00AC4A83" w:rsidRDefault="00000000">
      <w:pPr>
        <w:pStyle w:val="Emphasis-Normal"/>
        <w:numPr>
          <w:ilvl w:val="0"/>
          <w:numId w:val="77"/>
        </w:numPr>
        <w:spacing w:after="120"/>
        <w:jc w:val="both"/>
      </w:pPr>
      <w:r>
        <w:rPr>
          <w:color w:val="404040" w:themeColor="text1" w:themeTint="BF"/>
        </w:rPr>
        <w:t xml:space="preserve">Personnel shall respect the intellectual property rights of others and shall not use unlicensed software, copyrighted material, or third-party proprietary content without authorization.  </w:t>
      </w:r>
      <w:r>
        <w:rPr>
          <w:rFonts w:ascii="Calibri Light" w:eastAsia="Calibri Light" w:hAnsi="Calibri Light" w:cs="Calibri Light"/>
          <w:color w:val="404040" w:themeColor="text1" w:themeTint="BF"/>
          <w:sz w:val="18"/>
        </w:rPr>
        <w:t>[SOC 2: CC1.1, CC2.3]</w:t>
      </w:r>
    </w:p>
    <w:p w14:paraId="2C97C5B5" w14:textId="77777777" w:rsidR="00AC4A83" w:rsidRDefault="00000000">
      <w:pPr>
        <w:pStyle w:val="Emphasis-Normal"/>
        <w:numPr>
          <w:ilvl w:val="0"/>
          <w:numId w:val="78"/>
        </w:numPr>
        <w:spacing w:after="120"/>
        <w:jc w:val="both"/>
      </w:pPr>
      <w:r>
        <w:rPr>
          <w:color w:val="404040" w:themeColor="text1" w:themeTint="BF"/>
        </w:rPr>
        <w:t xml:space="preserve">The legal, regulatory and contractual obligations to which the Company is subject are recorded in the obligations and commitments register maintained under the Information Security Policy. This Code requires compliance with them; the register is where they are listed, and it is not duplicated here.  </w:t>
      </w:r>
      <w:r>
        <w:rPr>
          <w:rFonts w:ascii="Calibri Light" w:eastAsia="Calibri Light" w:hAnsi="Calibri Light" w:cs="Calibri Light"/>
          <w:color w:val="404040" w:themeColor="text1" w:themeTint="BF"/>
          <w:sz w:val="18"/>
        </w:rPr>
        <w:t>[SOC 2: CC1.1, CC2.3, CC3.1]</w:t>
      </w:r>
    </w:p>
    <w:p w14:paraId="5588819A" w14:textId="77777777" w:rsidR="00AC4A83" w:rsidRDefault="00000000">
      <w:pPr>
        <w:pStyle w:val="Heading1"/>
        <w:keepNext/>
        <w:numPr>
          <w:ilvl w:val="0"/>
          <w:numId w:val="79"/>
        </w:numPr>
        <w:spacing w:before="240" w:after="80"/>
      </w:pPr>
      <w:bookmarkStart w:id="16" w:name="_Toc237800941"/>
      <w:r>
        <w:t>Reporting Concerns and Non-Retaliation</w:t>
      </w:r>
      <w:bookmarkEnd w:id="16"/>
    </w:p>
    <w:p w14:paraId="70E0CA68" w14:textId="77777777" w:rsidR="00AC4A83" w:rsidRDefault="00000000">
      <w:pPr>
        <w:pStyle w:val="Emphasis-Normal"/>
        <w:numPr>
          <w:ilvl w:val="0"/>
          <w:numId w:val="80"/>
        </w:numPr>
        <w:spacing w:after="120"/>
        <w:jc w:val="both"/>
      </w:pPr>
      <w:r>
        <w:rPr>
          <w:color w:val="404040" w:themeColor="text1" w:themeTint="BF"/>
        </w:rPr>
        <w:t xml:space="preserve">Personnel shall promptly report suspected violations of this Code and unlawful conduct to the Security Officer or, where the concern involves the Security Officer, directly to the CEO.  </w:t>
      </w:r>
      <w:r>
        <w:rPr>
          <w:rFonts w:ascii="Calibri Light" w:eastAsia="Calibri Light" w:hAnsi="Calibri Light" w:cs="Calibri Light"/>
          <w:color w:val="404040" w:themeColor="text1" w:themeTint="BF"/>
          <w:sz w:val="18"/>
        </w:rPr>
        <w:t>[SOC 2: CC1.1, CC2.2, CC4.2]</w:t>
      </w:r>
    </w:p>
    <w:p w14:paraId="7AC1F356" w14:textId="77777777" w:rsidR="00AC4A83" w:rsidRDefault="00000000">
      <w:pPr>
        <w:pStyle w:val="Emphasis-Normal"/>
        <w:numPr>
          <w:ilvl w:val="0"/>
          <w:numId w:val="81"/>
        </w:numPr>
        <w:spacing w:after="120"/>
        <w:jc w:val="both"/>
      </w:pPr>
      <w:r>
        <w:rPr>
          <w:color w:val="404040" w:themeColor="text1" w:themeTint="BF"/>
        </w:rPr>
        <w:t xml:space="preserve">Concerns regarding the conduct of the Security Officer, or which a person prefers not to raise with the Security Officer, may be reported to ethics@prompthalo.com, which is delivered only to the CEO and is not accessible to the Security Officer. A report may be made without identifying the reporter. This address is the ethics reporting channel referred to in the Information Security Policy.  </w:t>
      </w:r>
      <w:r>
        <w:rPr>
          <w:rFonts w:ascii="Calibri Light" w:eastAsia="Calibri Light" w:hAnsi="Calibri Light" w:cs="Calibri Light"/>
          <w:color w:val="404040" w:themeColor="text1" w:themeTint="BF"/>
          <w:sz w:val="18"/>
        </w:rPr>
        <w:t>[SOC 2: CC1.1, CC2.2]</w:t>
      </w:r>
    </w:p>
    <w:p w14:paraId="7DA1184F" w14:textId="77777777" w:rsidR="00AC4A83" w:rsidRDefault="00000000">
      <w:pPr>
        <w:pStyle w:val="Emphasis-Normal"/>
        <w:numPr>
          <w:ilvl w:val="0"/>
          <w:numId w:val="82"/>
        </w:numPr>
        <w:spacing w:after="120"/>
        <w:jc w:val="both"/>
      </w:pPr>
      <w:r>
        <w:rPr>
          <w:color w:val="404040" w:themeColor="text1" w:themeTint="BF"/>
        </w:rPr>
        <w:t xml:space="preserve">Where a concern involves the conduct of the CEO, it may be raised with the Company's external counsel or accountant, when appointed and when the company grows to 50 employees, whose contact details the CEO shall make available to all personnel. At the Company's size an internal route independent of the CEO does not exist, and naming an external recipient is the compensating measure.  </w:t>
      </w:r>
      <w:r>
        <w:rPr>
          <w:rFonts w:ascii="Calibri Light" w:eastAsia="Calibri Light" w:hAnsi="Calibri Light" w:cs="Calibri Light"/>
          <w:color w:val="404040" w:themeColor="text1" w:themeTint="BF"/>
          <w:sz w:val="18"/>
        </w:rPr>
        <w:t>[SOC 2: CC1.1, CC1.2]</w:t>
      </w:r>
    </w:p>
    <w:p w14:paraId="282E8876" w14:textId="77777777" w:rsidR="00AC4A83" w:rsidRDefault="00000000">
      <w:pPr>
        <w:pStyle w:val="Emphasis-Normal"/>
        <w:numPr>
          <w:ilvl w:val="0"/>
          <w:numId w:val="83"/>
        </w:numPr>
        <w:spacing w:after="120"/>
        <w:jc w:val="both"/>
      </w:pPr>
      <w:r>
        <w:rPr>
          <w:color w:val="404040" w:themeColor="text1" w:themeTint="BF"/>
        </w:rPr>
        <w:lastRenderedPageBreak/>
        <w:t xml:space="preserve">Suspected security incidents and security weaknesses shall additionally be reported in accordance with the Incident Response Plan.  </w:t>
      </w:r>
      <w:r>
        <w:rPr>
          <w:rFonts w:ascii="Calibri Light" w:eastAsia="Calibri Light" w:hAnsi="Calibri Light" w:cs="Calibri Light"/>
          <w:color w:val="404040" w:themeColor="text1" w:themeTint="BF"/>
          <w:sz w:val="18"/>
        </w:rPr>
        <w:t>[SOC 2: CC1.1, CC2.2, CC4.2]</w:t>
      </w:r>
    </w:p>
    <w:p w14:paraId="1C35D0CA" w14:textId="77777777" w:rsidR="00AC4A83" w:rsidRDefault="00000000">
      <w:pPr>
        <w:pStyle w:val="Emphasis-Normal"/>
        <w:numPr>
          <w:ilvl w:val="0"/>
          <w:numId w:val="84"/>
        </w:numPr>
        <w:spacing w:after="120"/>
        <w:jc w:val="both"/>
      </w:pPr>
      <w:r>
        <w:rPr>
          <w:color w:val="404040" w:themeColor="text1" w:themeTint="BF"/>
        </w:rPr>
        <w:t xml:space="preserve">Reports may be made confidentially and, where permitted by applicable law, anonymously.  </w:t>
      </w:r>
      <w:r>
        <w:rPr>
          <w:rFonts w:ascii="Calibri Light" w:eastAsia="Calibri Light" w:hAnsi="Calibri Light" w:cs="Calibri Light"/>
          <w:color w:val="404040" w:themeColor="text1" w:themeTint="BF"/>
          <w:sz w:val="18"/>
        </w:rPr>
        <w:t>[SOC 2: CC1.1, CC2.2, CC4.2]</w:t>
      </w:r>
    </w:p>
    <w:p w14:paraId="57979884" w14:textId="77777777" w:rsidR="00AC4A83" w:rsidRDefault="00000000">
      <w:pPr>
        <w:pStyle w:val="Emphasis-Normal"/>
        <w:numPr>
          <w:ilvl w:val="0"/>
          <w:numId w:val="85"/>
        </w:numPr>
        <w:spacing w:after="120"/>
        <w:jc w:val="both"/>
      </w:pPr>
      <w:r>
        <w:rPr>
          <w:color w:val="404040" w:themeColor="text1" w:themeTint="BF"/>
        </w:rPr>
        <w:t xml:space="preserve">The Company prohibits retaliation against any individual who reports a concern in good faith or participates in an investigation. Retaliation is itself a violation of this Code and is subject to disciplinary action.  </w:t>
      </w:r>
      <w:r>
        <w:rPr>
          <w:rFonts w:ascii="Calibri Light" w:eastAsia="Calibri Light" w:hAnsi="Calibri Light" w:cs="Calibri Light"/>
          <w:color w:val="404040" w:themeColor="text1" w:themeTint="BF"/>
          <w:sz w:val="18"/>
        </w:rPr>
        <w:t>[SOC 2: CC1.1, CC2.2, CC4.2]</w:t>
      </w:r>
    </w:p>
    <w:p w14:paraId="6DC2F690" w14:textId="77777777" w:rsidR="00AC4A83" w:rsidRDefault="00000000">
      <w:pPr>
        <w:pStyle w:val="Emphasis-Normal"/>
        <w:numPr>
          <w:ilvl w:val="0"/>
          <w:numId w:val="86"/>
        </w:numPr>
        <w:spacing w:after="120"/>
        <w:jc w:val="both"/>
      </w:pPr>
      <w:r>
        <w:rPr>
          <w:color w:val="404040" w:themeColor="text1" w:themeTint="BF"/>
        </w:rPr>
        <w:t xml:space="preserve">Reports shall be investigated promptly and proportionately, documented, and handled with confidentiality appropriate to the circumstances.  </w:t>
      </w:r>
      <w:r>
        <w:rPr>
          <w:rFonts w:ascii="Calibri Light" w:eastAsia="Calibri Light" w:hAnsi="Calibri Light" w:cs="Calibri Light"/>
          <w:color w:val="404040" w:themeColor="text1" w:themeTint="BF"/>
          <w:sz w:val="18"/>
        </w:rPr>
        <w:t>[SOC 2: CC1.1, CC2.2, CC4.2]</w:t>
      </w:r>
    </w:p>
    <w:p w14:paraId="6B79E0C1" w14:textId="77777777" w:rsidR="00AC4A83" w:rsidRDefault="00000000">
      <w:pPr>
        <w:pStyle w:val="Emphasis-Normal"/>
        <w:numPr>
          <w:ilvl w:val="0"/>
          <w:numId w:val="87"/>
        </w:numPr>
        <w:spacing w:after="120"/>
        <w:jc w:val="both"/>
      </w:pPr>
      <w:r>
        <w:rPr>
          <w:color w:val="404040" w:themeColor="text1" w:themeTint="BF"/>
        </w:rPr>
        <w:t xml:space="preserve">Suspected fraud, including fraudulent reporting, misappropriation of assets and circumvention of controls, is handled under this Code's reporting and enforcement provisions rather than under a separate process. Where no fraud or conduct case arose in the year, a nil return shall be recorded in the annual risk assessment; the absence of cases is itself the evidence and requires no additional exercise.  </w:t>
      </w:r>
      <w:r>
        <w:rPr>
          <w:rFonts w:ascii="Calibri Light" w:eastAsia="Calibri Light" w:hAnsi="Calibri Light" w:cs="Calibri Light"/>
          <w:color w:val="404040" w:themeColor="text1" w:themeTint="BF"/>
          <w:sz w:val="18"/>
        </w:rPr>
        <w:t>[SOC 2: CC3.3, CC1.1]</w:t>
      </w:r>
    </w:p>
    <w:p w14:paraId="3DB04247" w14:textId="77777777" w:rsidR="00AC4A83" w:rsidRDefault="00000000">
      <w:pPr>
        <w:pStyle w:val="Heading1"/>
        <w:keepNext/>
        <w:numPr>
          <w:ilvl w:val="0"/>
          <w:numId w:val="88"/>
        </w:numPr>
        <w:spacing w:before="240" w:after="80"/>
      </w:pPr>
      <w:bookmarkStart w:id="17" w:name="_Toc237800942"/>
      <w:r>
        <w:t>Acknowledgment and Training</w:t>
      </w:r>
      <w:bookmarkEnd w:id="17"/>
    </w:p>
    <w:p w14:paraId="2DEB6281" w14:textId="77777777" w:rsidR="00AC4A83" w:rsidRDefault="00000000">
      <w:pPr>
        <w:pStyle w:val="Emphasis-Normal"/>
        <w:numPr>
          <w:ilvl w:val="0"/>
          <w:numId w:val="89"/>
        </w:numPr>
        <w:spacing w:after="120"/>
        <w:jc w:val="both"/>
      </w:pPr>
      <w:r>
        <w:rPr>
          <w:color w:val="404040" w:themeColor="text1" w:themeTint="BF"/>
        </w:rPr>
        <w:t xml:space="preserve">All personnel shall acknowledge this Code in writing upon hire or engagement, upon material revision, and at least annually thereafter, as a condition of employment or engagement.  </w:t>
      </w:r>
      <w:r>
        <w:rPr>
          <w:rFonts w:ascii="Calibri Light" w:eastAsia="Calibri Light" w:hAnsi="Calibri Light" w:cs="Calibri Light"/>
          <w:color w:val="404040" w:themeColor="text1" w:themeTint="BF"/>
          <w:sz w:val="18"/>
        </w:rPr>
        <w:t>[SOC 2: CC1.1, CC1.4]</w:t>
      </w:r>
    </w:p>
    <w:p w14:paraId="3A2EB7FE" w14:textId="77777777" w:rsidR="00AC4A83" w:rsidRDefault="00000000">
      <w:pPr>
        <w:pStyle w:val="Emphasis-Normal"/>
        <w:numPr>
          <w:ilvl w:val="0"/>
          <w:numId w:val="90"/>
        </w:numPr>
        <w:spacing w:after="120"/>
        <w:jc w:val="both"/>
      </w:pPr>
      <w:r>
        <w:rPr>
          <w:color w:val="404040" w:themeColor="text1" w:themeTint="BF"/>
        </w:rPr>
        <w:t xml:space="preserve">Acknowledgment records shall be retained by the Security Officer as evidence of the Company’s control environment.  </w:t>
      </w:r>
      <w:r>
        <w:rPr>
          <w:rFonts w:ascii="Calibri Light" w:eastAsia="Calibri Light" w:hAnsi="Calibri Light" w:cs="Calibri Light"/>
          <w:color w:val="404040" w:themeColor="text1" w:themeTint="BF"/>
          <w:sz w:val="18"/>
        </w:rPr>
        <w:t>[SOC 2: CC1.1, CC1.4]</w:t>
      </w:r>
    </w:p>
    <w:p w14:paraId="2D556FE7" w14:textId="77777777" w:rsidR="00AC4A83" w:rsidRDefault="00000000">
      <w:pPr>
        <w:pStyle w:val="Emphasis-Normal"/>
        <w:numPr>
          <w:ilvl w:val="0"/>
          <w:numId w:val="91"/>
        </w:numPr>
        <w:spacing w:after="120"/>
        <w:jc w:val="both"/>
      </w:pPr>
      <w:r>
        <w:rPr>
          <w:color w:val="404040" w:themeColor="text1" w:themeTint="BF"/>
        </w:rPr>
        <w:t xml:space="preserve">The acknowledgment record shall identify the individual, the version of this Code acknowledged and the date. On material revision, outstanding acknowledgments shall be reset so that acceptance is recorded against the current version rather than a superseded one.  </w:t>
      </w:r>
      <w:r>
        <w:rPr>
          <w:rFonts w:ascii="Calibri Light" w:eastAsia="Calibri Light" w:hAnsi="Calibri Light" w:cs="Calibri Light"/>
          <w:color w:val="404040" w:themeColor="text1" w:themeTint="BF"/>
          <w:sz w:val="18"/>
        </w:rPr>
        <w:t>[SOC 2: CC1.1, CC2.2]</w:t>
      </w:r>
    </w:p>
    <w:p w14:paraId="41B2C896" w14:textId="77777777" w:rsidR="00AC4A83" w:rsidRDefault="00000000">
      <w:pPr>
        <w:pStyle w:val="Emphasis-Normal"/>
        <w:numPr>
          <w:ilvl w:val="0"/>
          <w:numId w:val="92"/>
        </w:numPr>
        <w:spacing w:after="120"/>
        <w:jc w:val="both"/>
      </w:pPr>
      <w:r>
        <w:rPr>
          <w:color w:val="404040" w:themeColor="text1" w:themeTint="BF"/>
        </w:rPr>
        <w:t xml:space="preserve">This Code is published by name in the policy repository with its approval date and version recorded, and personnel are notified on issue. The approval date and the approving party are recorded in the Governance Decisions Log maintained under the Information Security Policy.  </w:t>
      </w:r>
      <w:r>
        <w:rPr>
          <w:rFonts w:ascii="Calibri Light" w:eastAsia="Calibri Light" w:hAnsi="Calibri Light" w:cs="Calibri Light"/>
          <w:color w:val="404040" w:themeColor="text1" w:themeTint="BF"/>
          <w:sz w:val="18"/>
        </w:rPr>
        <w:t>[SOC 2: CC1.1, CC2.2, CC5.3]</w:t>
      </w:r>
    </w:p>
    <w:p w14:paraId="02C5E9E7" w14:textId="77777777" w:rsidR="00AC4A83" w:rsidRDefault="00000000">
      <w:pPr>
        <w:pStyle w:val="Emphasis-Normal"/>
        <w:numPr>
          <w:ilvl w:val="0"/>
          <w:numId w:val="93"/>
        </w:numPr>
        <w:spacing w:after="120"/>
        <w:jc w:val="both"/>
      </w:pPr>
      <w:r>
        <w:rPr>
          <w:color w:val="404040" w:themeColor="text1" w:themeTint="BF"/>
        </w:rPr>
        <w:t xml:space="preserve">Ethics and conduct expectations shall be included in the Company’s security awareness and training program and reinforced at least annually in accordance with the Security Awareness and Training Policy.  </w:t>
      </w:r>
      <w:r>
        <w:rPr>
          <w:rFonts w:ascii="Calibri Light" w:eastAsia="Calibri Light" w:hAnsi="Calibri Light" w:cs="Calibri Light"/>
          <w:color w:val="404040" w:themeColor="text1" w:themeTint="BF"/>
          <w:sz w:val="18"/>
        </w:rPr>
        <w:t>[SOC 2: CC1.1, CC1.4]</w:t>
      </w:r>
    </w:p>
    <w:p w14:paraId="7DAAFA5D" w14:textId="77777777" w:rsidR="00AC4A83" w:rsidRDefault="00000000">
      <w:pPr>
        <w:pStyle w:val="Emphasis-Normal"/>
        <w:numPr>
          <w:ilvl w:val="0"/>
          <w:numId w:val="94"/>
        </w:numPr>
        <w:spacing w:after="120"/>
        <w:jc w:val="both"/>
      </w:pPr>
      <w:r>
        <w:rPr>
          <w:color w:val="404040" w:themeColor="text1" w:themeTint="BF"/>
        </w:rPr>
        <w:t xml:space="preserve">Background screening shall be completed in accordance with the Human Resources Security Policy before access to Confidential or Restricted data is granted.  </w:t>
      </w:r>
      <w:r>
        <w:rPr>
          <w:rFonts w:ascii="Calibri Light" w:eastAsia="Calibri Light" w:hAnsi="Calibri Light" w:cs="Calibri Light"/>
          <w:color w:val="404040" w:themeColor="text1" w:themeTint="BF"/>
          <w:sz w:val="18"/>
        </w:rPr>
        <w:t>[SOC 2: CC1.1, CC1.4]</w:t>
      </w:r>
    </w:p>
    <w:p w14:paraId="2353AB83" w14:textId="77777777" w:rsidR="00AC4A83" w:rsidRDefault="00000000">
      <w:pPr>
        <w:pStyle w:val="Heading1"/>
        <w:keepNext/>
        <w:numPr>
          <w:ilvl w:val="0"/>
          <w:numId w:val="95"/>
        </w:numPr>
        <w:spacing w:before="240" w:after="80"/>
      </w:pPr>
      <w:bookmarkStart w:id="18" w:name="_Toc237800943"/>
      <w:r>
        <w:t>Enforcement</w:t>
      </w:r>
      <w:bookmarkEnd w:id="18"/>
    </w:p>
    <w:p w14:paraId="5BE79662" w14:textId="77777777" w:rsidR="00AC4A83" w:rsidRDefault="00000000">
      <w:pPr>
        <w:pStyle w:val="Emphasis-Normal"/>
        <w:numPr>
          <w:ilvl w:val="0"/>
          <w:numId w:val="96"/>
        </w:numPr>
        <w:spacing w:after="120"/>
        <w:jc w:val="both"/>
      </w:pPr>
      <w:r>
        <w:rPr>
          <w:color w:val="404040" w:themeColor="text1" w:themeTint="BF"/>
        </w:rPr>
        <w:t xml:space="preserve">Violations of this policy may result in disciplinary action up to and including termination of employment or engagement, and, where applicable, civil or criminal referral.  </w:t>
      </w:r>
      <w:r>
        <w:rPr>
          <w:rFonts w:ascii="Calibri Light" w:eastAsia="Calibri Light" w:hAnsi="Calibri Light" w:cs="Calibri Light"/>
          <w:color w:val="404040" w:themeColor="text1" w:themeTint="BF"/>
          <w:sz w:val="18"/>
        </w:rPr>
        <w:t>[SOC 2: CC1.5]</w:t>
      </w:r>
    </w:p>
    <w:p w14:paraId="5E81069D" w14:textId="77777777" w:rsidR="00AC4A83" w:rsidRDefault="00000000">
      <w:pPr>
        <w:pStyle w:val="Emphasis-Normal"/>
        <w:numPr>
          <w:ilvl w:val="0"/>
          <w:numId w:val="97"/>
        </w:numPr>
        <w:spacing w:after="120"/>
        <w:jc w:val="both"/>
      </w:pPr>
      <w:r>
        <w:rPr>
          <w:color w:val="404040" w:themeColor="text1" w:themeTint="BF"/>
        </w:rPr>
        <w:lastRenderedPageBreak/>
        <w:t xml:space="preserve">Disciplinary decisions shall be documented by the Security Officer and applied consistently, in accordance with the Company’s personnel sanctions process.  </w:t>
      </w:r>
      <w:r>
        <w:rPr>
          <w:rFonts w:ascii="Calibri Light" w:eastAsia="Calibri Light" w:hAnsi="Calibri Light" w:cs="Calibri Light"/>
          <w:color w:val="404040" w:themeColor="text1" w:themeTint="BF"/>
          <w:sz w:val="18"/>
        </w:rPr>
        <w:t>[SOC 2: CC1.5]</w:t>
      </w:r>
    </w:p>
    <w:p w14:paraId="16E7AD26" w14:textId="77777777" w:rsidR="00AC4A83" w:rsidRDefault="00000000">
      <w:pPr>
        <w:pStyle w:val="Emphasis-Normal"/>
        <w:numPr>
          <w:ilvl w:val="0"/>
          <w:numId w:val="98"/>
        </w:numPr>
        <w:spacing w:after="120"/>
        <w:jc w:val="both"/>
      </w:pPr>
      <w:r>
        <w:rPr>
          <w:color w:val="404040" w:themeColor="text1" w:themeTint="BF"/>
        </w:rPr>
        <w:t xml:space="preserve">The Security Officer documents the finding and recommends action; the CEO determines the outcome, documents it, applies it consistently across comparable cases, and retains the personnel record. Where an outcome departs from that reached in a comparable case, the reason shall be recorded.  </w:t>
      </w:r>
      <w:r>
        <w:rPr>
          <w:rFonts w:ascii="Calibri Light" w:eastAsia="Calibri Light" w:hAnsi="Calibri Light" w:cs="Calibri Light"/>
          <w:color w:val="404040" w:themeColor="text1" w:themeTint="BF"/>
          <w:sz w:val="18"/>
        </w:rPr>
        <w:t>[SOC 2: CC1.5, CC1.1]</w:t>
      </w:r>
    </w:p>
    <w:p w14:paraId="50EA44CC" w14:textId="77777777" w:rsidR="00AC4A83" w:rsidRDefault="00000000">
      <w:pPr>
        <w:pStyle w:val="Emphasis-Normal"/>
        <w:numPr>
          <w:ilvl w:val="0"/>
          <w:numId w:val="99"/>
        </w:numPr>
        <w:spacing w:after="120"/>
        <w:jc w:val="both"/>
      </w:pPr>
      <w:r>
        <w:rPr>
          <w:color w:val="404040" w:themeColor="text1" w:themeTint="BF"/>
        </w:rPr>
        <w:t xml:space="preserve">Each conduct deviation shall be recorded at the time with three elements: the finding, the decision taken, and the rationale for it. A dated note of a few sentences is sufficient, and a record shall be made even where the decision is to take no further action.  </w:t>
      </w:r>
      <w:r>
        <w:rPr>
          <w:rFonts w:ascii="Calibri Light" w:eastAsia="Calibri Light" w:hAnsi="Calibri Light" w:cs="Calibri Light"/>
          <w:color w:val="404040" w:themeColor="text1" w:themeTint="BF"/>
          <w:sz w:val="18"/>
        </w:rPr>
        <w:t>[SOC 2: CC1.1, CC1.5]</w:t>
      </w:r>
    </w:p>
    <w:p w14:paraId="465E3694" w14:textId="77777777" w:rsidR="00AC4A83" w:rsidRDefault="00000000">
      <w:pPr>
        <w:pStyle w:val="Emphasis-Normal"/>
        <w:numPr>
          <w:ilvl w:val="0"/>
          <w:numId w:val="100"/>
        </w:numPr>
        <w:spacing w:after="120"/>
        <w:jc w:val="both"/>
      </w:pPr>
      <w:r>
        <w:rPr>
          <w:color w:val="404040" w:themeColor="text1" w:themeTint="BF"/>
        </w:rPr>
        <w:t xml:space="preserve">Failure to report a known violation, or interference with an investigation, may itself result in disciplinary action.  </w:t>
      </w:r>
      <w:r>
        <w:rPr>
          <w:rFonts w:ascii="Calibri Light" w:eastAsia="Calibri Light" w:hAnsi="Calibri Light" w:cs="Calibri Light"/>
          <w:color w:val="404040" w:themeColor="text1" w:themeTint="BF"/>
          <w:sz w:val="18"/>
        </w:rPr>
        <w:t>[SOC 2: CC1.5]</w:t>
      </w:r>
    </w:p>
    <w:p w14:paraId="276097E5" w14:textId="77777777" w:rsidR="00AC4A83" w:rsidRDefault="00000000">
      <w:pPr>
        <w:pStyle w:val="Heading1"/>
        <w:keepNext/>
        <w:numPr>
          <w:ilvl w:val="0"/>
          <w:numId w:val="101"/>
        </w:numPr>
        <w:spacing w:before="240" w:after="80"/>
      </w:pPr>
      <w:bookmarkStart w:id="19" w:name="_Toc237800944"/>
      <w:r>
        <w:t>Exceptions</w:t>
      </w:r>
      <w:bookmarkEnd w:id="19"/>
    </w:p>
    <w:p w14:paraId="3FAFF4A6" w14:textId="77777777" w:rsidR="00AC4A83" w:rsidRDefault="00000000">
      <w:pPr>
        <w:pStyle w:val="BodyText9"/>
        <w:spacing w:after="120"/>
        <w:jc w:val="both"/>
      </w:pPr>
      <w:r>
        <w:rPr>
          <w:color w:val="404040" w:themeColor="text1" w:themeTint="BF"/>
        </w:rPr>
        <w:t>Exceptions to this policy must be requested in writing to the Security Officer and approved by the Information Security Steering Committee before taking effect. Approved exceptions shall be documented, risk-assessed, time-bound, and reviewed at least annually. No exception may be granted to the prohibitions on harassment, discrimination, retaliation, bribery, or unlawful conduct.</w:t>
      </w:r>
    </w:p>
    <w:p w14:paraId="5C495095" w14:textId="77777777" w:rsidR="00AC4A83" w:rsidRDefault="00000000">
      <w:pPr>
        <w:pStyle w:val="Heading1"/>
        <w:keepNext/>
        <w:numPr>
          <w:ilvl w:val="0"/>
          <w:numId w:val="102"/>
        </w:numPr>
        <w:spacing w:before="240" w:after="80"/>
      </w:pPr>
      <w:bookmarkStart w:id="20" w:name="_Toc237800945"/>
      <w:r>
        <w:t>Reference</w:t>
      </w:r>
      <w:bookmarkEnd w:id="20"/>
    </w:p>
    <w:p w14:paraId="03A53A86" w14:textId="77777777" w:rsidR="00AC4A83" w:rsidRDefault="00000000">
      <w:pPr>
        <w:pStyle w:val="Emphasis-Normal"/>
        <w:numPr>
          <w:ilvl w:val="0"/>
          <w:numId w:val="103"/>
        </w:numPr>
        <w:spacing w:after="120"/>
        <w:jc w:val="both"/>
      </w:pPr>
      <w:r>
        <w:rPr>
          <w:color w:val="404040" w:themeColor="text1" w:themeTint="BF"/>
        </w:rPr>
        <w:t>SOC 2 Trust Services Criteria, Security category [</w:t>
      </w:r>
      <w:r>
        <w:rPr>
          <w:rFonts w:ascii="Calibri Light" w:eastAsia="Calibri Light" w:hAnsi="Calibri Light" w:cs="Calibri Light"/>
          <w:color w:val="404040" w:themeColor="text1" w:themeTint="BF"/>
          <w:sz w:val="18"/>
        </w:rPr>
        <w:t>CC1.1, CC1.4, CC1.5, CC2.2, CC3.1, CC3.3]</w:t>
      </w:r>
    </w:p>
    <w:p w14:paraId="74C2EAB6" w14:textId="77777777" w:rsidR="00AC4A83" w:rsidRDefault="00000000">
      <w:pPr>
        <w:pStyle w:val="Emphasis-Normal"/>
        <w:numPr>
          <w:ilvl w:val="0"/>
          <w:numId w:val="104"/>
        </w:numPr>
        <w:spacing w:after="120"/>
        <w:jc w:val="both"/>
      </w:pPr>
      <w:r>
        <w:rPr>
          <w:color w:val="404040" w:themeColor="text1" w:themeTint="BF"/>
        </w:rPr>
        <w:t>POL-AUP-001 Acceptable Use Policy [</w:t>
      </w:r>
      <w:r>
        <w:rPr>
          <w:rFonts w:ascii="Calibri Light" w:eastAsia="Calibri Light" w:hAnsi="Calibri Light" w:cs="Calibri Light"/>
          <w:color w:val="404040" w:themeColor="text1" w:themeTint="BF"/>
          <w:sz w:val="18"/>
        </w:rPr>
        <w:t>SOC 2: CC1.1, CC1.5]</w:t>
      </w:r>
    </w:p>
    <w:p w14:paraId="74B3459F" w14:textId="77777777" w:rsidR="00AC4A83" w:rsidRDefault="00000000">
      <w:pPr>
        <w:pStyle w:val="Emphasis-Normal"/>
        <w:numPr>
          <w:ilvl w:val="0"/>
          <w:numId w:val="105"/>
        </w:numPr>
        <w:spacing w:after="120"/>
        <w:jc w:val="both"/>
      </w:pPr>
      <w:r>
        <w:rPr>
          <w:color w:val="404040" w:themeColor="text1" w:themeTint="BF"/>
        </w:rPr>
        <w:t>POL-DCL-001 Data Classification Policy [</w:t>
      </w:r>
      <w:r>
        <w:rPr>
          <w:rFonts w:ascii="Calibri Light" w:eastAsia="Calibri Light" w:hAnsi="Calibri Light" w:cs="Calibri Light"/>
          <w:color w:val="404040" w:themeColor="text1" w:themeTint="BF"/>
          <w:sz w:val="18"/>
        </w:rPr>
        <w:t>SOC 2: CC1.1]</w:t>
      </w:r>
    </w:p>
    <w:p w14:paraId="1C82C832" w14:textId="77777777" w:rsidR="00AC4A83" w:rsidRDefault="00000000">
      <w:pPr>
        <w:pStyle w:val="Emphasis-Normal"/>
        <w:numPr>
          <w:ilvl w:val="0"/>
          <w:numId w:val="106"/>
        </w:numPr>
        <w:spacing w:after="120"/>
        <w:jc w:val="both"/>
      </w:pPr>
      <w:r>
        <w:rPr>
          <w:color w:val="404040" w:themeColor="text1" w:themeTint="BF"/>
        </w:rPr>
        <w:t>POL-SAT-001 Security Awareness and Training Policy [</w:t>
      </w:r>
      <w:r>
        <w:rPr>
          <w:rFonts w:ascii="Calibri Light" w:eastAsia="Calibri Light" w:hAnsi="Calibri Light" w:cs="Calibri Light"/>
          <w:color w:val="404040" w:themeColor="text1" w:themeTint="BF"/>
          <w:sz w:val="18"/>
        </w:rPr>
        <w:t>SOC 2: CC1.4, CC2.2]</w:t>
      </w:r>
    </w:p>
    <w:p w14:paraId="6046DB23" w14:textId="77777777" w:rsidR="00AC4A83" w:rsidRDefault="00000000">
      <w:pPr>
        <w:pStyle w:val="Emphasis-Normal"/>
        <w:numPr>
          <w:ilvl w:val="0"/>
          <w:numId w:val="107"/>
        </w:numPr>
        <w:spacing w:after="120"/>
        <w:jc w:val="both"/>
      </w:pPr>
      <w:r>
        <w:rPr>
          <w:color w:val="404040" w:themeColor="text1" w:themeTint="BF"/>
        </w:rPr>
        <w:t>POL-IRP-001 Incident Response Plan [</w:t>
      </w:r>
      <w:r>
        <w:rPr>
          <w:rFonts w:ascii="Calibri Light" w:eastAsia="Calibri Light" w:hAnsi="Calibri Light" w:cs="Calibri Light"/>
          <w:color w:val="404040" w:themeColor="text1" w:themeTint="BF"/>
          <w:sz w:val="18"/>
        </w:rPr>
        <w:t>SOC 2: CC2.2, CC7.3]</w:t>
      </w:r>
    </w:p>
    <w:p w14:paraId="1951B7AB" w14:textId="77777777" w:rsidR="00AC4A83" w:rsidRDefault="00000000">
      <w:pPr>
        <w:pStyle w:val="Emphasis-Normal"/>
        <w:numPr>
          <w:ilvl w:val="0"/>
          <w:numId w:val="108"/>
        </w:numPr>
        <w:spacing w:after="120"/>
        <w:jc w:val="both"/>
      </w:pPr>
      <w:r>
        <w:rPr>
          <w:color w:val="404040" w:themeColor="text1" w:themeTint="BF"/>
        </w:rPr>
        <w:t>POL-VM-001 Vendor Management Policy [</w:t>
      </w:r>
      <w:r>
        <w:rPr>
          <w:rFonts w:ascii="Calibri Light" w:eastAsia="Calibri Light" w:hAnsi="Calibri Light" w:cs="Calibri Light"/>
          <w:color w:val="404040" w:themeColor="text1" w:themeTint="BF"/>
          <w:sz w:val="18"/>
        </w:rPr>
        <w:t>SOC 2: CC9.2]</w:t>
      </w:r>
    </w:p>
    <w:p w14:paraId="6EFFC873" w14:textId="77777777" w:rsidR="00AC4A83" w:rsidRDefault="00000000">
      <w:pPr>
        <w:pStyle w:val="Emphasis-Normal"/>
        <w:numPr>
          <w:ilvl w:val="0"/>
          <w:numId w:val="109"/>
        </w:numPr>
        <w:spacing w:after="120"/>
        <w:jc w:val="both"/>
      </w:pPr>
      <w:r>
        <w:rPr>
          <w:color w:val="404040" w:themeColor="text1" w:themeTint="BF"/>
        </w:rPr>
        <w:t>POL-ISP-001 Information Security Policy [</w:t>
      </w:r>
      <w:r>
        <w:rPr>
          <w:rFonts w:ascii="Calibri Light" w:eastAsia="Calibri Light" w:hAnsi="Calibri Light" w:cs="Calibri Light"/>
          <w:color w:val="404040" w:themeColor="text1" w:themeTint="BF"/>
          <w:sz w:val="18"/>
        </w:rPr>
        <w:t>SOC 2: CC3.1, CC1.2]</w:t>
      </w:r>
    </w:p>
    <w:p w14:paraId="65B9DFDB" w14:textId="77777777" w:rsidR="00AC4A83" w:rsidRDefault="00000000">
      <w:pPr>
        <w:pStyle w:val="Emphasis-Normal"/>
        <w:numPr>
          <w:ilvl w:val="0"/>
          <w:numId w:val="110"/>
        </w:numPr>
        <w:spacing w:after="120"/>
        <w:jc w:val="both"/>
      </w:pPr>
      <w:r>
        <w:rPr>
          <w:color w:val="404040" w:themeColor="text1" w:themeTint="BF"/>
        </w:rPr>
        <w:t>POL-HRS-001 Human Resources Security Policy [</w:t>
      </w:r>
      <w:r>
        <w:rPr>
          <w:rFonts w:ascii="Calibri Light" w:eastAsia="Calibri Light" w:hAnsi="Calibri Light" w:cs="Calibri Light"/>
          <w:color w:val="404040" w:themeColor="text1" w:themeTint="BF"/>
          <w:sz w:val="18"/>
        </w:rPr>
        <w:t>SOC 2: CC1.1, CC1.4]</w:t>
      </w:r>
    </w:p>
    <w:p w14:paraId="26CDCCF8" w14:textId="77777777" w:rsidR="00AC4A83" w:rsidRDefault="00000000">
      <w:pPr>
        <w:pStyle w:val="Emphasis-Normal"/>
        <w:numPr>
          <w:ilvl w:val="0"/>
          <w:numId w:val="111"/>
        </w:numPr>
        <w:spacing w:after="120"/>
        <w:jc w:val="both"/>
      </w:pPr>
      <w:r>
        <w:rPr>
          <w:color w:val="404040" w:themeColor="text1" w:themeTint="BF"/>
        </w:rPr>
        <w:t>POL-RSK-001 Risk Management Policy [</w:t>
      </w:r>
      <w:r>
        <w:rPr>
          <w:rFonts w:ascii="Calibri Light" w:eastAsia="Calibri Light" w:hAnsi="Calibri Light" w:cs="Calibri Light"/>
          <w:color w:val="404040" w:themeColor="text1" w:themeTint="BF"/>
          <w:sz w:val="18"/>
        </w:rPr>
        <w:t>SOC 2: CC3.3]</w:t>
      </w:r>
    </w:p>
    <w:p w14:paraId="403D1BF6" w14:textId="77777777" w:rsidR="00AC4A83" w:rsidRDefault="00000000">
      <w:pPr>
        <w:pStyle w:val="Emphasis-Normal"/>
        <w:numPr>
          <w:ilvl w:val="0"/>
          <w:numId w:val="112"/>
        </w:numPr>
        <w:spacing w:after="120"/>
        <w:jc w:val="both"/>
        <w:rPr>
          <w:color w:val="262626"/>
        </w:rPr>
      </w:pPr>
      <w:r>
        <w:rPr>
          <w:color w:val="404040" w:themeColor="text1" w:themeTint="BF"/>
        </w:rPr>
        <w:t>HIPAA Security Rule, 45 CFR §164.308(a)(3) and §164.308(a)(5)</w:t>
      </w:r>
    </w:p>
    <w:p w14:paraId="03668C5B" w14:textId="77777777" w:rsidR="00AC4A83" w:rsidRDefault="00000000">
      <w:pPr>
        <w:pStyle w:val="Emphasis-Normal"/>
        <w:numPr>
          <w:ilvl w:val="0"/>
          <w:numId w:val="113"/>
        </w:numPr>
        <w:spacing w:after="120"/>
        <w:jc w:val="both"/>
      </w:pPr>
      <w:r>
        <w:rPr>
          <w:color w:val="404040" w:themeColor="text1" w:themeTint="BF"/>
        </w:rPr>
        <w:t>EU General Data Protection Regulation, Articles 5, 32 and 33</w:t>
      </w:r>
    </w:p>
    <w:p w14:paraId="10232653" w14:textId="77777777" w:rsidR="00AC4A83" w:rsidRDefault="00000000">
      <w:pPr>
        <w:pStyle w:val="Heading1"/>
        <w:numPr>
          <w:ilvl w:val="0"/>
          <w:numId w:val="114"/>
        </w:numPr>
        <w:suppressLineNumbers/>
        <w:spacing w:after="160"/>
      </w:pPr>
      <w:bookmarkStart w:id="21" w:name="_Toc237800946"/>
      <w:r>
        <w:rPr>
          <w:caps/>
          <w:sz w:val="32"/>
        </w:rPr>
        <w:t>Document Policy History</w:t>
      </w:r>
      <w:bookmarkEnd w:id="21"/>
    </w:p>
    <w:tbl>
      <w:tblPr>
        <w:tblW w:w="9360" w:type="dxa"/>
        <w:tblLayout w:type="fixed"/>
        <w:tblCellMar>
          <w:top w:w="26" w:type="dxa"/>
          <w:left w:w="92" w:type="dxa"/>
          <w:bottom w:w="26" w:type="dxa"/>
          <w:right w:w="92" w:type="dxa"/>
        </w:tblCellMar>
        <w:tblLook w:val="0000" w:firstRow="0" w:lastRow="0" w:firstColumn="0" w:lastColumn="0" w:noHBand="0" w:noVBand="0"/>
      </w:tblPr>
      <w:tblGrid>
        <w:gridCol w:w="1438"/>
        <w:gridCol w:w="2306"/>
        <w:gridCol w:w="5616"/>
      </w:tblGrid>
      <w:tr w:rsidR="00AC4A83" w14:paraId="2B9C8E67" w14:textId="77777777">
        <w:trPr>
          <w:tblHeader/>
        </w:trPr>
        <w:tc>
          <w:tcPr>
            <w:tcW w:w="1438" w:type="dxa"/>
            <w:tcBorders>
              <w:top w:val="single" w:sz="4" w:space="0" w:color="BFCDD4"/>
              <w:left w:val="single" w:sz="4" w:space="0" w:color="BFCDD4"/>
              <w:bottom w:val="single" w:sz="2" w:space="0" w:color="595959"/>
              <w:right w:val="single" w:sz="4" w:space="0" w:color="BFCDD4"/>
            </w:tcBorders>
            <w:vAlign w:val="center"/>
          </w:tcPr>
          <w:p w14:paraId="2F81F886" w14:textId="77777777" w:rsidR="00AC4A83" w:rsidRDefault="00000000">
            <w:pPr>
              <w:suppressLineNumbers/>
              <w:spacing w:before="40" w:after="40" w:line="240" w:lineRule="auto"/>
            </w:pPr>
            <w:r>
              <w:rPr>
                <w:b/>
                <w:sz w:val="20"/>
              </w:rPr>
              <w:t>Version</w:t>
            </w:r>
          </w:p>
        </w:tc>
        <w:tc>
          <w:tcPr>
            <w:tcW w:w="2306" w:type="dxa"/>
            <w:tcBorders>
              <w:top w:val="single" w:sz="4" w:space="0" w:color="BFCDD4"/>
              <w:left w:val="single" w:sz="4" w:space="0" w:color="BFCDD4"/>
              <w:bottom w:val="single" w:sz="2" w:space="0" w:color="595959"/>
              <w:right w:val="single" w:sz="4" w:space="0" w:color="BFCDD4"/>
            </w:tcBorders>
            <w:vAlign w:val="center"/>
          </w:tcPr>
          <w:p w14:paraId="2827F344" w14:textId="77777777" w:rsidR="00AC4A83" w:rsidRDefault="00000000">
            <w:pPr>
              <w:suppressLineNumbers/>
              <w:spacing w:before="40" w:after="40" w:line="240" w:lineRule="auto"/>
            </w:pPr>
            <w:r>
              <w:rPr>
                <w:b/>
                <w:sz w:val="20"/>
              </w:rPr>
              <w:t>Date</w:t>
            </w:r>
          </w:p>
        </w:tc>
        <w:tc>
          <w:tcPr>
            <w:tcW w:w="5616" w:type="dxa"/>
            <w:tcBorders>
              <w:top w:val="single" w:sz="4" w:space="0" w:color="BFCDD4"/>
              <w:left w:val="single" w:sz="4" w:space="0" w:color="BFCDD4"/>
              <w:bottom w:val="single" w:sz="2" w:space="0" w:color="595959"/>
              <w:right w:val="single" w:sz="4" w:space="0" w:color="BFCDD4"/>
            </w:tcBorders>
            <w:vAlign w:val="center"/>
          </w:tcPr>
          <w:p w14:paraId="1FAC2F3A" w14:textId="77777777" w:rsidR="00AC4A83" w:rsidRDefault="00000000">
            <w:pPr>
              <w:suppressLineNumbers/>
              <w:spacing w:before="40" w:after="40" w:line="240" w:lineRule="auto"/>
            </w:pPr>
            <w:r>
              <w:rPr>
                <w:b/>
                <w:sz w:val="20"/>
              </w:rPr>
              <w:t>Description</w:t>
            </w:r>
          </w:p>
        </w:tc>
      </w:tr>
      <w:tr w:rsidR="00AC4A83" w14:paraId="6C4BD389" w14:textId="77777777">
        <w:tc>
          <w:tcPr>
            <w:tcW w:w="1438" w:type="dxa"/>
            <w:tcBorders>
              <w:top w:val="single" w:sz="2" w:space="0" w:color="595959"/>
              <w:left w:val="single" w:sz="4" w:space="0" w:color="BFCDD4"/>
              <w:bottom w:val="single" w:sz="4" w:space="0" w:color="BFCDD4"/>
              <w:right w:val="single" w:sz="4" w:space="0" w:color="BFCDD4"/>
            </w:tcBorders>
            <w:vAlign w:val="center"/>
          </w:tcPr>
          <w:p w14:paraId="300FC017" w14:textId="77777777" w:rsidR="00AC4A83" w:rsidRDefault="00000000">
            <w:pPr>
              <w:suppressLineNumbers/>
              <w:spacing w:before="40" w:after="40" w:line="240" w:lineRule="auto"/>
            </w:pPr>
            <w:r>
              <w:rPr>
                <w:sz w:val="20"/>
              </w:rPr>
              <w:t>1.0</w:t>
            </w:r>
          </w:p>
        </w:tc>
        <w:tc>
          <w:tcPr>
            <w:tcW w:w="2306" w:type="dxa"/>
            <w:tcBorders>
              <w:top w:val="single" w:sz="2" w:space="0" w:color="595959"/>
              <w:left w:val="single" w:sz="4" w:space="0" w:color="BFCDD4"/>
              <w:bottom w:val="single" w:sz="4" w:space="0" w:color="BFCDD4"/>
              <w:right w:val="single" w:sz="4" w:space="0" w:color="BFCDD4"/>
            </w:tcBorders>
            <w:vAlign w:val="center"/>
          </w:tcPr>
          <w:p w14:paraId="6748EE72" w14:textId="77777777" w:rsidR="00AC4A83" w:rsidRDefault="00000000">
            <w:pPr>
              <w:suppressLineNumbers/>
              <w:spacing w:before="40" w:after="40" w:line="240" w:lineRule="auto"/>
            </w:pPr>
            <w:r>
              <w:rPr>
                <w:sz w:val="20"/>
              </w:rPr>
              <w:t>July 23, 2026</w:t>
            </w:r>
          </w:p>
        </w:tc>
        <w:tc>
          <w:tcPr>
            <w:tcW w:w="5616" w:type="dxa"/>
            <w:tcBorders>
              <w:top w:val="single" w:sz="2" w:space="0" w:color="595959"/>
              <w:left w:val="single" w:sz="4" w:space="0" w:color="BFCDD4"/>
              <w:bottom w:val="single" w:sz="4" w:space="0" w:color="BFCDD4"/>
              <w:right w:val="single" w:sz="4" w:space="0" w:color="BFCDD4"/>
            </w:tcBorders>
            <w:vAlign w:val="center"/>
          </w:tcPr>
          <w:p w14:paraId="73F07F2D" w14:textId="77777777" w:rsidR="00AC4A83" w:rsidRDefault="00000000">
            <w:pPr>
              <w:suppressLineNumbers/>
              <w:spacing w:before="40" w:after="40" w:line="240" w:lineRule="auto"/>
            </w:pPr>
            <w:r>
              <w:rPr>
                <w:sz w:val="20"/>
              </w:rPr>
              <w:t>Initial policy release</w:t>
            </w:r>
          </w:p>
        </w:tc>
      </w:tr>
    </w:tbl>
    <w:p w14:paraId="33FF2814" w14:textId="77777777" w:rsidR="00AC4A83" w:rsidRDefault="00AC4A83">
      <w:pPr>
        <w:suppressLineNumbers/>
      </w:pPr>
    </w:p>
    <w:sectPr w:rsidR="00AC4A83">
      <w:headerReference w:type="default" r:id="rId12"/>
      <w:footerReference w:type="default" r:id="rId13"/>
      <w:headerReference w:type="first" r:id="rId14"/>
      <w:footerReference w:type="first" r:id="rId15"/>
      <w:pgSz w:w="12240" w:h="15840"/>
      <w:pgMar w:top="1440" w:right="1440" w:bottom="1440" w:left="1440" w:header="720" w:footer="720" w:gutter="0"/>
      <w:lnNumType w:countBy="1" w:start="1" w:distance="360" w:restart="newSection"/>
      <w:cols w:space="72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B4D20F" w14:textId="77777777" w:rsidR="00D11072" w:rsidRDefault="00D11072">
      <w:pPr>
        <w:spacing w:after="0" w:line="240" w:lineRule="auto"/>
      </w:pPr>
      <w:r>
        <w:separator/>
      </w:r>
    </w:p>
  </w:endnote>
  <w:endnote w:type="continuationSeparator" w:id="0">
    <w:p w14:paraId="6FE89B19" w14:textId="77777777" w:rsidR="00D11072" w:rsidRDefault="00D11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FreeSans">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A4EAB1" w14:textId="77777777" w:rsidR="00AC4A83" w:rsidRDefault="00000000">
    <w:pPr>
      <w:suppressLineNumbers/>
      <w:pBdr>
        <w:top w:val="single" w:sz="6" w:space="4" w:color="1B4965"/>
      </w:pBdr>
      <w:spacing w:before="160" w:after="0"/>
      <w:jc w:val="center"/>
    </w:pPr>
    <w:r>
      <w:rPr>
        <w:sz w:val="17"/>
      </w:rPr>
      <w:t xml:space="preserve">PromptHalo Technologies   ·   Internal   ·   POL-COC-001   ·   Version 1.0   ·   Page </w:t>
    </w:r>
    <w:r>
      <w:rPr>
        <w:sz w:val="17"/>
      </w:rPr>
      <w:fldChar w:fldCharType="begin"/>
    </w:r>
    <w:r>
      <w:rPr>
        <w:sz w:val="17"/>
      </w:rPr>
      <w:instrText xml:space="preserve"> PAGE </w:instrText>
    </w:r>
    <w:r>
      <w:rPr>
        <w:sz w:val="17"/>
      </w:rPr>
      <w:fldChar w:fldCharType="separate"/>
    </w:r>
    <w:r>
      <w:rPr>
        <w:sz w:val="17"/>
      </w:rPr>
      <w:t>4</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13</w:t>
    </w:r>
    <w:r>
      <w:rPr>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1BA35D" w14:textId="77777777" w:rsidR="00AC4A83" w:rsidRDefault="00AC4A83">
    <w:pPr>
      <w:suppressLineNumber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4ABF57" w14:textId="77777777" w:rsidR="00AC4A83" w:rsidRDefault="00000000">
    <w:pPr>
      <w:suppressLineNumbers/>
      <w:pBdr>
        <w:top w:val="single" w:sz="6" w:space="4" w:color="1B4965"/>
      </w:pBdr>
      <w:spacing w:before="160" w:after="0"/>
      <w:jc w:val="center"/>
    </w:pPr>
    <w:r>
      <w:rPr>
        <w:sz w:val="17"/>
      </w:rPr>
      <w:t xml:space="preserve">PromptHalo Technologies   ·   Internal   ·   POL-COC-001   ·   Version 1.0   ·   Page </w:t>
    </w:r>
    <w:r>
      <w:rPr>
        <w:sz w:val="17"/>
      </w:rPr>
      <w:fldChar w:fldCharType="begin"/>
    </w:r>
    <w:r>
      <w:rPr>
        <w:sz w:val="17"/>
      </w:rPr>
      <w:instrText xml:space="preserve"> PAGE </w:instrText>
    </w:r>
    <w:r>
      <w:rPr>
        <w:sz w:val="17"/>
      </w:rPr>
      <w:fldChar w:fldCharType="separate"/>
    </w:r>
    <w:r>
      <w:rPr>
        <w:sz w:val="17"/>
      </w:rPr>
      <w:t>13</w:t>
    </w:r>
    <w:r>
      <w:rPr>
        <w:sz w:val="17"/>
      </w:rPr>
      <w:fldChar w:fldCharType="end"/>
    </w:r>
    <w:r>
      <w:rPr>
        <w:sz w:val="17"/>
      </w:rPr>
      <w:t xml:space="preserve"> of </w:t>
    </w:r>
    <w:r>
      <w:rPr>
        <w:sz w:val="17"/>
      </w:rPr>
      <w:fldChar w:fldCharType="begin"/>
    </w:r>
    <w:r>
      <w:rPr>
        <w:sz w:val="17"/>
      </w:rPr>
      <w:instrText xml:space="preserve"> NUMPAGES </w:instrText>
    </w:r>
    <w:r>
      <w:rPr>
        <w:sz w:val="17"/>
      </w:rPr>
      <w:fldChar w:fldCharType="separate"/>
    </w:r>
    <w:r>
      <w:rPr>
        <w:sz w:val="17"/>
      </w:rPr>
      <w:t>13</w:t>
    </w:r>
    <w:r>
      <w:rPr>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847A8E" w14:textId="77777777" w:rsidR="00AC4A83" w:rsidRDefault="00AC4A83">
    <w:pP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0F122C" w14:textId="77777777" w:rsidR="00D11072" w:rsidRDefault="00D11072">
      <w:pPr>
        <w:spacing w:after="0" w:line="240" w:lineRule="auto"/>
      </w:pPr>
      <w:r>
        <w:separator/>
      </w:r>
    </w:p>
  </w:footnote>
  <w:footnote w:type="continuationSeparator" w:id="0">
    <w:p w14:paraId="76FFFA6C" w14:textId="77777777" w:rsidR="00D11072" w:rsidRDefault="00D110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C09A87" w14:textId="77777777" w:rsidR="00AC4A83" w:rsidRDefault="00000000">
    <w:pPr>
      <w:suppressLineNumbers/>
      <w:pBdr>
        <w:bottom w:val="single" w:sz="6" w:space="4" w:color="1B4965"/>
      </w:pBdr>
      <w:spacing w:after="160"/>
      <w:jc w:val="center"/>
    </w:pPr>
    <w:r>
      <w:rPr>
        <w:b/>
        <w:caps/>
        <w:spacing w:val="12"/>
        <w:sz w:val="17"/>
      </w:rPr>
      <w:t>CODE OF CONDUCT   ·   INTERNAL   ·   POL-COC-001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3E875F" w14:textId="77777777" w:rsidR="00AC4A83" w:rsidRDefault="00AC4A83">
    <w:pPr>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A2A18F" w14:textId="77777777" w:rsidR="00AC4A83" w:rsidRDefault="00000000">
    <w:pPr>
      <w:suppressLineNumbers/>
      <w:pBdr>
        <w:bottom w:val="single" w:sz="6" w:space="4" w:color="1B4965"/>
      </w:pBdr>
      <w:spacing w:after="160"/>
      <w:jc w:val="center"/>
    </w:pPr>
    <w:r>
      <w:rPr>
        <w:b/>
        <w:caps/>
        <w:spacing w:val="12"/>
        <w:sz w:val="17"/>
      </w:rPr>
      <w:t>CODE OF CONDUCT   ·   INTERNAL   ·   POL-COC-001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EEE443" w14:textId="77777777" w:rsidR="00AC4A83" w:rsidRDefault="00AC4A83">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1463E2"/>
    <w:multiLevelType w:val="multilevel"/>
    <w:tmpl w:val="39B40C08"/>
    <w:lvl w:ilvl="0">
      <w:start w:val="1"/>
      <w:numFmt w:val="deci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1A641AF0"/>
    <w:multiLevelType w:val="multilevel"/>
    <w:tmpl w:val="44FE4934"/>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15:restartNumberingAfterBreak="0">
    <w:nsid w:val="5BA513D1"/>
    <w:multiLevelType w:val="multilevel"/>
    <w:tmpl w:val="F176BCA6"/>
    <w:lvl w:ilvl="0">
      <w:start w:val="1"/>
      <w:numFmt w:val="decimal"/>
      <w:pStyle w:val="Emphasis-Normal"/>
      <w:lvlText w:val="%1."/>
      <w:lvlJc w:val="left"/>
      <w:pPr>
        <w:tabs>
          <w:tab w:val="num" w:pos="0"/>
        </w:tabs>
        <w:ind w:left="6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5D1235A8"/>
    <w:multiLevelType w:val="multilevel"/>
    <w:tmpl w:val="477485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7DA27E4F"/>
    <w:multiLevelType w:val="multilevel"/>
    <w:tmpl w:val="E7BA652E"/>
    <w:lvl w:ilvl="0">
      <w:start w:val="1"/>
      <w:numFmt w:val="decimal"/>
      <w:pStyle w:val="Heading1"/>
      <w:suff w:val="space"/>
      <w:lvlText w:val="%1"/>
      <w:lvlJc w:val="left"/>
      <w:pPr>
        <w:tabs>
          <w:tab w:val="num" w:pos="0"/>
        </w:tabs>
        <w:ind w:left="0" w:firstLine="0"/>
      </w:pPr>
    </w:lvl>
    <w:lvl w:ilvl="1">
      <w:start w:val="1"/>
      <w:numFmt w:val="decimal"/>
      <w:pStyle w:val="Heading2"/>
      <w:suff w:val="space"/>
      <w:lvlText w:val="%1.%2"/>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512915645">
    <w:abstractNumId w:val="4"/>
  </w:num>
  <w:num w:numId="2" w16cid:durableId="839539077">
    <w:abstractNumId w:val="2"/>
  </w:num>
  <w:num w:numId="3" w16cid:durableId="354892802">
    <w:abstractNumId w:val="3"/>
  </w:num>
  <w:num w:numId="4" w16cid:durableId="1277179474">
    <w:abstractNumId w:val="1"/>
    <w:lvlOverride w:ilvl="0">
      <w:startOverride w:val="1"/>
    </w:lvlOverride>
  </w:num>
  <w:num w:numId="5" w16cid:durableId="949245386">
    <w:abstractNumId w:val="1"/>
  </w:num>
  <w:num w:numId="6" w16cid:durableId="167134886">
    <w:abstractNumId w:val="1"/>
  </w:num>
  <w:num w:numId="7" w16cid:durableId="218632159">
    <w:abstractNumId w:val="0"/>
    <w:lvlOverride w:ilvl="0">
      <w:startOverride w:val="1"/>
    </w:lvlOverride>
  </w:num>
  <w:num w:numId="8" w16cid:durableId="2060737016">
    <w:abstractNumId w:val="0"/>
  </w:num>
  <w:num w:numId="9" w16cid:durableId="379130398">
    <w:abstractNumId w:val="0"/>
  </w:num>
  <w:num w:numId="10" w16cid:durableId="1042631158">
    <w:abstractNumId w:val="1"/>
  </w:num>
  <w:num w:numId="11" w16cid:durableId="1587957761">
    <w:abstractNumId w:val="0"/>
  </w:num>
  <w:num w:numId="12" w16cid:durableId="1136752200">
    <w:abstractNumId w:val="0"/>
  </w:num>
  <w:num w:numId="13" w16cid:durableId="14036413">
    <w:abstractNumId w:val="0"/>
  </w:num>
  <w:num w:numId="14" w16cid:durableId="92629682">
    <w:abstractNumId w:val="0"/>
  </w:num>
  <w:num w:numId="15" w16cid:durableId="1765151672">
    <w:abstractNumId w:val="0"/>
  </w:num>
  <w:num w:numId="16" w16cid:durableId="1642953395">
    <w:abstractNumId w:val="0"/>
  </w:num>
  <w:num w:numId="17" w16cid:durableId="521011773">
    <w:abstractNumId w:val="0"/>
    <w:lvlOverride w:ilvl="0">
      <w:startOverride w:val="1"/>
    </w:lvlOverride>
  </w:num>
  <w:num w:numId="18" w16cid:durableId="1449423882">
    <w:abstractNumId w:val="0"/>
  </w:num>
  <w:num w:numId="19" w16cid:durableId="1635066853">
    <w:abstractNumId w:val="0"/>
  </w:num>
  <w:num w:numId="20" w16cid:durableId="1522861474">
    <w:abstractNumId w:val="0"/>
  </w:num>
  <w:num w:numId="21" w16cid:durableId="150296040">
    <w:abstractNumId w:val="0"/>
  </w:num>
  <w:num w:numId="22" w16cid:durableId="514467912">
    <w:abstractNumId w:val="0"/>
  </w:num>
  <w:num w:numId="23" w16cid:durableId="565653984">
    <w:abstractNumId w:val="1"/>
  </w:num>
  <w:num w:numId="24" w16cid:durableId="657853790">
    <w:abstractNumId w:val="0"/>
    <w:lvlOverride w:ilvl="0">
      <w:startOverride w:val="1"/>
    </w:lvlOverride>
  </w:num>
  <w:num w:numId="25" w16cid:durableId="660735187">
    <w:abstractNumId w:val="0"/>
  </w:num>
  <w:num w:numId="26" w16cid:durableId="2116317008">
    <w:abstractNumId w:val="0"/>
  </w:num>
  <w:num w:numId="27" w16cid:durableId="778371723">
    <w:abstractNumId w:val="0"/>
  </w:num>
  <w:num w:numId="28" w16cid:durableId="1823423984">
    <w:abstractNumId w:val="0"/>
  </w:num>
  <w:num w:numId="29" w16cid:durableId="349065161">
    <w:abstractNumId w:val="1"/>
  </w:num>
  <w:num w:numId="30" w16cid:durableId="1063069068">
    <w:abstractNumId w:val="0"/>
    <w:lvlOverride w:ilvl="0">
      <w:startOverride w:val="1"/>
    </w:lvlOverride>
  </w:num>
  <w:num w:numId="31" w16cid:durableId="1344358296">
    <w:abstractNumId w:val="0"/>
  </w:num>
  <w:num w:numId="32" w16cid:durableId="1364480270">
    <w:abstractNumId w:val="0"/>
  </w:num>
  <w:num w:numId="33" w16cid:durableId="461195338">
    <w:abstractNumId w:val="0"/>
  </w:num>
  <w:num w:numId="34" w16cid:durableId="539365621">
    <w:abstractNumId w:val="1"/>
  </w:num>
  <w:num w:numId="35" w16cid:durableId="1004940003">
    <w:abstractNumId w:val="0"/>
    <w:lvlOverride w:ilvl="0">
      <w:startOverride w:val="1"/>
    </w:lvlOverride>
  </w:num>
  <w:num w:numId="36" w16cid:durableId="2130931187">
    <w:abstractNumId w:val="0"/>
  </w:num>
  <w:num w:numId="37" w16cid:durableId="644942068">
    <w:abstractNumId w:val="0"/>
  </w:num>
  <w:num w:numId="38" w16cid:durableId="2058387237">
    <w:abstractNumId w:val="0"/>
  </w:num>
  <w:num w:numId="39" w16cid:durableId="608700118">
    <w:abstractNumId w:val="0"/>
  </w:num>
  <w:num w:numId="40" w16cid:durableId="921331369">
    <w:abstractNumId w:val="0"/>
  </w:num>
  <w:num w:numId="41" w16cid:durableId="1868709975">
    <w:abstractNumId w:val="0"/>
  </w:num>
  <w:num w:numId="42" w16cid:durableId="841090935">
    <w:abstractNumId w:val="1"/>
  </w:num>
  <w:num w:numId="43" w16cid:durableId="1199246462">
    <w:abstractNumId w:val="0"/>
    <w:lvlOverride w:ilvl="0">
      <w:startOverride w:val="1"/>
    </w:lvlOverride>
  </w:num>
  <w:num w:numId="44" w16cid:durableId="1128161136">
    <w:abstractNumId w:val="0"/>
  </w:num>
  <w:num w:numId="45" w16cid:durableId="476341590">
    <w:abstractNumId w:val="1"/>
  </w:num>
  <w:num w:numId="46" w16cid:durableId="1092966911">
    <w:abstractNumId w:val="0"/>
    <w:lvlOverride w:ilvl="0">
      <w:startOverride w:val="1"/>
    </w:lvlOverride>
  </w:num>
  <w:num w:numId="47" w16cid:durableId="14427450">
    <w:abstractNumId w:val="0"/>
  </w:num>
  <w:num w:numId="48" w16cid:durableId="1763603854">
    <w:abstractNumId w:val="0"/>
  </w:num>
  <w:num w:numId="49" w16cid:durableId="936866036">
    <w:abstractNumId w:val="0"/>
  </w:num>
  <w:num w:numId="50" w16cid:durableId="247229609">
    <w:abstractNumId w:val="0"/>
  </w:num>
  <w:num w:numId="51" w16cid:durableId="1382901542">
    <w:abstractNumId w:val="1"/>
  </w:num>
  <w:num w:numId="52" w16cid:durableId="1806269873">
    <w:abstractNumId w:val="0"/>
    <w:lvlOverride w:ilvl="0">
      <w:startOverride w:val="1"/>
    </w:lvlOverride>
  </w:num>
  <w:num w:numId="53" w16cid:durableId="2024164972">
    <w:abstractNumId w:val="0"/>
  </w:num>
  <w:num w:numId="54" w16cid:durableId="227228725">
    <w:abstractNumId w:val="0"/>
  </w:num>
  <w:num w:numId="55" w16cid:durableId="594748022">
    <w:abstractNumId w:val="0"/>
  </w:num>
  <w:num w:numId="56" w16cid:durableId="1756049606">
    <w:abstractNumId w:val="0"/>
  </w:num>
  <w:num w:numId="57" w16cid:durableId="1204564159">
    <w:abstractNumId w:val="1"/>
  </w:num>
  <w:num w:numId="58" w16cid:durableId="2039743228">
    <w:abstractNumId w:val="0"/>
    <w:lvlOverride w:ilvl="0">
      <w:startOverride w:val="1"/>
    </w:lvlOverride>
  </w:num>
  <w:num w:numId="59" w16cid:durableId="1702053318">
    <w:abstractNumId w:val="0"/>
  </w:num>
  <w:num w:numId="60" w16cid:durableId="1793281223">
    <w:abstractNumId w:val="0"/>
  </w:num>
  <w:num w:numId="61" w16cid:durableId="604582113">
    <w:abstractNumId w:val="0"/>
  </w:num>
  <w:num w:numId="62" w16cid:durableId="1680698029">
    <w:abstractNumId w:val="0"/>
  </w:num>
  <w:num w:numId="63" w16cid:durableId="748118227">
    <w:abstractNumId w:val="1"/>
  </w:num>
  <w:num w:numId="64" w16cid:durableId="282809302">
    <w:abstractNumId w:val="1"/>
  </w:num>
  <w:num w:numId="65" w16cid:durableId="789084550">
    <w:abstractNumId w:val="0"/>
    <w:lvlOverride w:ilvl="0">
      <w:startOverride w:val="1"/>
    </w:lvlOverride>
  </w:num>
  <w:num w:numId="66" w16cid:durableId="1757088643">
    <w:abstractNumId w:val="0"/>
  </w:num>
  <w:num w:numId="67" w16cid:durableId="1667439021">
    <w:abstractNumId w:val="0"/>
  </w:num>
  <w:num w:numId="68" w16cid:durableId="500320891">
    <w:abstractNumId w:val="0"/>
  </w:num>
  <w:num w:numId="69" w16cid:durableId="977687883">
    <w:abstractNumId w:val="1"/>
  </w:num>
  <w:num w:numId="70" w16cid:durableId="295138114">
    <w:abstractNumId w:val="0"/>
    <w:lvlOverride w:ilvl="0">
      <w:startOverride w:val="1"/>
    </w:lvlOverride>
  </w:num>
  <w:num w:numId="71" w16cid:durableId="671106477">
    <w:abstractNumId w:val="0"/>
  </w:num>
  <w:num w:numId="72" w16cid:durableId="1692948698">
    <w:abstractNumId w:val="0"/>
  </w:num>
  <w:num w:numId="73" w16cid:durableId="551230326">
    <w:abstractNumId w:val="0"/>
  </w:num>
  <w:num w:numId="74" w16cid:durableId="1203519226">
    <w:abstractNumId w:val="1"/>
  </w:num>
  <w:num w:numId="75" w16cid:durableId="433286098">
    <w:abstractNumId w:val="0"/>
    <w:lvlOverride w:ilvl="0">
      <w:startOverride w:val="1"/>
    </w:lvlOverride>
  </w:num>
  <w:num w:numId="76" w16cid:durableId="1033111104">
    <w:abstractNumId w:val="0"/>
  </w:num>
  <w:num w:numId="77" w16cid:durableId="1509521448">
    <w:abstractNumId w:val="0"/>
  </w:num>
  <w:num w:numId="78" w16cid:durableId="257254100">
    <w:abstractNumId w:val="0"/>
  </w:num>
  <w:num w:numId="79" w16cid:durableId="1421873589">
    <w:abstractNumId w:val="1"/>
  </w:num>
  <w:num w:numId="80" w16cid:durableId="1520119187">
    <w:abstractNumId w:val="0"/>
    <w:lvlOverride w:ilvl="0">
      <w:startOverride w:val="1"/>
    </w:lvlOverride>
  </w:num>
  <w:num w:numId="81" w16cid:durableId="465851070">
    <w:abstractNumId w:val="0"/>
  </w:num>
  <w:num w:numId="82" w16cid:durableId="1628469466">
    <w:abstractNumId w:val="0"/>
  </w:num>
  <w:num w:numId="83" w16cid:durableId="1861550333">
    <w:abstractNumId w:val="0"/>
  </w:num>
  <w:num w:numId="84" w16cid:durableId="286087973">
    <w:abstractNumId w:val="0"/>
  </w:num>
  <w:num w:numId="85" w16cid:durableId="1265840287">
    <w:abstractNumId w:val="0"/>
  </w:num>
  <w:num w:numId="86" w16cid:durableId="208613691">
    <w:abstractNumId w:val="0"/>
  </w:num>
  <w:num w:numId="87" w16cid:durableId="1849173857">
    <w:abstractNumId w:val="0"/>
  </w:num>
  <w:num w:numId="88" w16cid:durableId="1360162736">
    <w:abstractNumId w:val="1"/>
  </w:num>
  <w:num w:numId="89" w16cid:durableId="989748319">
    <w:abstractNumId w:val="0"/>
    <w:lvlOverride w:ilvl="0">
      <w:startOverride w:val="1"/>
    </w:lvlOverride>
  </w:num>
  <w:num w:numId="90" w16cid:durableId="126896724">
    <w:abstractNumId w:val="0"/>
  </w:num>
  <w:num w:numId="91" w16cid:durableId="437987677">
    <w:abstractNumId w:val="0"/>
  </w:num>
  <w:num w:numId="92" w16cid:durableId="902640316">
    <w:abstractNumId w:val="0"/>
  </w:num>
  <w:num w:numId="93" w16cid:durableId="1287269943">
    <w:abstractNumId w:val="0"/>
  </w:num>
  <w:num w:numId="94" w16cid:durableId="845048718">
    <w:abstractNumId w:val="0"/>
  </w:num>
  <w:num w:numId="95" w16cid:durableId="1866406974">
    <w:abstractNumId w:val="1"/>
  </w:num>
  <w:num w:numId="96" w16cid:durableId="1586498389">
    <w:abstractNumId w:val="0"/>
    <w:lvlOverride w:ilvl="0">
      <w:startOverride w:val="1"/>
    </w:lvlOverride>
  </w:num>
  <w:num w:numId="97" w16cid:durableId="315456839">
    <w:abstractNumId w:val="0"/>
  </w:num>
  <w:num w:numId="98" w16cid:durableId="329798384">
    <w:abstractNumId w:val="0"/>
  </w:num>
  <w:num w:numId="99" w16cid:durableId="723679993">
    <w:abstractNumId w:val="0"/>
  </w:num>
  <w:num w:numId="100" w16cid:durableId="424151154">
    <w:abstractNumId w:val="0"/>
  </w:num>
  <w:num w:numId="101" w16cid:durableId="1286616503">
    <w:abstractNumId w:val="1"/>
  </w:num>
  <w:num w:numId="102" w16cid:durableId="1737893885">
    <w:abstractNumId w:val="1"/>
  </w:num>
  <w:num w:numId="103" w16cid:durableId="900093171">
    <w:abstractNumId w:val="0"/>
    <w:lvlOverride w:ilvl="0">
      <w:startOverride w:val="1"/>
    </w:lvlOverride>
  </w:num>
  <w:num w:numId="104" w16cid:durableId="454642267">
    <w:abstractNumId w:val="0"/>
  </w:num>
  <w:num w:numId="105" w16cid:durableId="950015745">
    <w:abstractNumId w:val="0"/>
  </w:num>
  <w:num w:numId="106" w16cid:durableId="240024878">
    <w:abstractNumId w:val="0"/>
  </w:num>
  <w:num w:numId="107" w16cid:durableId="2025204289">
    <w:abstractNumId w:val="0"/>
  </w:num>
  <w:num w:numId="108" w16cid:durableId="624625894">
    <w:abstractNumId w:val="0"/>
  </w:num>
  <w:num w:numId="109" w16cid:durableId="1061756482">
    <w:abstractNumId w:val="0"/>
  </w:num>
  <w:num w:numId="110" w16cid:durableId="867836993">
    <w:abstractNumId w:val="0"/>
  </w:num>
  <w:num w:numId="111" w16cid:durableId="152111106">
    <w:abstractNumId w:val="0"/>
  </w:num>
  <w:num w:numId="112" w16cid:durableId="1383019985">
    <w:abstractNumId w:val="0"/>
  </w:num>
  <w:num w:numId="113" w16cid:durableId="1924876934">
    <w:abstractNumId w:val="0"/>
  </w:num>
  <w:num w:numId="114" w16cid:durableId="1482768130">
    <w:abstractNumId w:val="1"/>
  </w:num>
  <w:numIdMacAtCleanup w:val="11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A83"/>
    <w:rsid w:val="0035294F"/>
    <w:rsid w:val="00AC4A83"/>
    <w:rsid w:val="00C60300"/>
    <w:rsid w:val="00D11072"/>
    <w:rsid w:val="00D232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DAF4FB3"/>
  <w15:docId w15:val="{91EC0AE3-BA99-3349-88BA-3EC75CD1A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F1F1F"/>
        <w:sz w:val="22"/>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835"/>
    <w:pPr>
      <w:spacing w:after="140" w:line="276" w:lineRule="auto"/>
    </w:pPr>
    <w:rPr>
      <w:color w:val="404040" w:themeColor="text1" w:themeTint="BF"/>
      <w:szCs w:val="24"/>
    </w:rPr>
  </w:style>
  <w:style w:type="paragraph" w:styleId="Heading1">
    <w:name w:val="heading 1"/>
    <w:next w:val="BodyText9"/>
    <w:uiPriority w:val="9"/>
    <w:qFormat/>
    <w:rsid w:val="00BF0F18"/>
    <w:pPr>
      <w:numPr>
        <w:numId w:val="1"/>
      </w:numPr>
      <w:pBdr>
        <w:bottom w:val="single" w:sz="8" w:space="0" w:color="2A9D8F"/>
      </w:pBdr>
      <w:spacing w:before="360" w:after="180"/>
      <w:outlineLvl w:val="0"/>
    </w:pPr>
    <w:rPr>
      <w:b/>
      <w:bCs/>
      <w:color w:val="1B4965"/>
      <w:sz w:val="28"/>
      <w:szCs w:val="32"/>
    </w:rPr>
  </w:style>
  <w:style w:type="paragraph" w:styleId="Heading2">
    <w:name w:val="heading 2"/>
    <w:next w:val="BodyText9"/>
    <w:uiPriority w:val="9"/>
    <w:unhideWhenUsed/>
    <w:qFormat/>
    <w:rsid w:val="006A3C41"/>
    <w:pPr>
      <w:numPr>
        <w:ilvl w:val="1"/>
        <w:numId w:val="1"/>
      </w:numPr>
      <w:spacing w:before="280" w:after="140"/>
      <w:outlineLvl w:val="1"/>
    </w:pPr>
    <w:rPr>
      <w:b/>
      <w:bCs/>
      <w:color w:val="1B4965"/>
      <w:sz w:val="25"/>
      <w:szCs w:val="25"/>
    </w:rPr>
  </w:style>
  <w:style w:type="paragraph" w:styleId="Heading3">
    <w:name w:val="heading 3"/>
    <w:uiPriority w:val="9"/>
    <w:semiHidden/>
    <w:unhideWhenUsed/>
    <w:qFormat/>
    <w:pPr>
      <w:outlineLvl w:val="2"/>
    </w:pPr>
    <w:rPr>
      <w:b/>
      <w:color w:val="1B4965"/>
      <w:sz w:val="23"/>
      <w:szCs w:val="24"/>
    </w:rPr>
  </w:style>
  <w:style w:type="paragraph" w:styleId="Heading4">
    <w:name w:val="heading 4"/>
    <w:uiPriority w:val="9"/>
    <w:semiHidden/>
    <w:unhideWhenUsed/>
    <w:qFormat/>
    <w:pPr>
      <w:outlineLvl w:val="3"/>
    </w:pPr>
    <w:rPr>
      <w:b/>
      <w:i/>
      <w:iCs/>
      <w:color w:val="1B496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UnresolvedMention">
    <w:name w:val="Unresolved Mention"/>
    <w:basedOn w:val="DefaultParagraphFont"/>
    <w:uiPriority w:val="99"/>
    <w:semiHidden/>
    <w:unhideWhenUsed/>
    <w:qFormat/>
    <w:rsid w:val="004A4835"/>
    <w:rPr>
      <w:color w:val="605E5C"/>
      <w:shd w:val="clear" w:color="auto" w:fill="E1DFDD"/>
    </w:rPr>
  </w:style>
  <w:style w:type="character" w:customStyle="1" w:styleId="HeaderChar">
    <w:name w:val="Header Char"/>
    <w:basedOn w:val="DefaultParagraphFont"/>
    <w:link w:val="Header"/>
    <w:uiPriority w:val="99"/>
    <w:qFormat/>
    <w:rsid w:val="004A4835"/>
    <w:rPr>
      <w:color w:val="404040" w:themeColor="text1" w:themeTint="BF"/>
    </w:rPr>
  </w:style>
  <w:style w:type="character" w:customStyle="1" w:styleId="FooterChar">
    <w:name w:val="Footer Char"/>
    <w:basedOn w:val="DefaultParagraphFont"/>
    <w:link w:val="Footer"/>
    <w:uiPriority w:val="99"/>
    <w:qFormat/>
    <w:rsid w:val="004A4835"/>
    <w:rPr>
      <w:color w:val="404040" w:themeColor="text1" w:themeTint="BF"/>
    </w:rPr>
  </w:style>
  <w:style w:type="character" w:styleId="Strong">
    <w:name w:val="Strong"/>
    <w:basedOn w:val="DefaultParagraphFont"/>
    <w:uiPriority w:val="22"/>
    <w:qFormat/>
    <w:rsid w:val="00BF0F18"/>
    <w:rPr>
      <w:b/>
      <w:bCs/>
      <w:sz w:val="32"/>
      <w:szCs w:val="32"/>
    </w:rPr>
  </w:style>
  <w:style w:type="character" w:styleId="Emphasis">
    <w:name w:val="Emphasis"/>
    <w:uiPriority w:val="20"/>
    <w:qFormat/>
    <w:rsid w:val="009B6824"/>
    <w:rPr>
      <w:b/>
      <w:i/>
      <w:spacing w:val="10"/>
    </w:rPr>
  </w:style>
  <w:style w:type="character" w:styleId="LineNumber">
    <w:name w:val="line number"/>
    <w:basedOn w:val="DefaultParagraphFont"/>
    <w:uiPriority w:val="99"/>
    <w:semiHidden/>
    <w:unhideWhenUsed/>
    <w:rPr>
      <w:rFonts w:ascii="Calibri Light" w:hAnsi="Calibri Light"/>
      <w:color w:val="C9CFD4"/>
      <w:sz w:val="13"/>
      <w:szCs w:val="13"/>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customStyle="1" w:styleId="BodyText9">
    <w:name w:val="Body Text 9"/>
    <w:basedOn w:val="Normal"/>
    <w:qFormat/>
    <w:rsid w:val="0026559D"/>
    <w:rPr>
      <w:color w:val="262626" w:themeColor="text1" w:themeTint="D9"/>
      <w:szCs w:val="22"/>
    </w:rPr>
  </w:style>
  <w:style w:type="paragraph" w:styleId="TOC1">
    <w:name w:val="toc 1"/>
    <w:basedOn w:val="Normal"/>
    <w:next w:val="Normal"/>
    <w:autoRedefine/>
    <w:uiPriority w:val="39"/>
    <w:unhideWhenUsed/>
    <w:rsid w:val="006A3C41"/>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6A3C41"/>
    <w:pPr>
      <w:spacing w:after="0"/>
      <w:ind w:left="240"/>
    </w:pPr>
    <w:rPr>
      <w:rFonts w:asciiTheme="minorHAnsi" w:hAnsiTheme="minorHAnsi"/>
      <w:smallCaps/>
      <w:sz w:val="20"/>
      <w:szCs w:val="20"/>
    </w:rPr>
  </w:style>
  <w:style w:type="paragraph" w:customStyle="1" w:styleId="HeaderandFooter">
    <w:name w:val="Header and Footer"/>
    <w:basedOn w:val="Normal"/>
    <w:qFormat/>
  </w:style>
  <w:style w:type="paragraph" w:styleId="Header">
    <w:name w:val="header"/>
    <w:basedOn w:val="Normal"/>
    <w:link w:val="HeaderChar"/>
    <w:uiPriority w:val="99"/>
    <w:unhideWhenUsed/>
    <w:rsid w:val="004A4835"/>
    <w:pPr>
      <w:suppressLineNumbers/>
      <w:tabs>
        <w:tab w:val="center" w:pos="4680"/>
        <w:tab w:val="right" w:pos="9360"/>
      </w:tabs>
      <w:spacing w:after="0" w:line="240" w:lineRule="auto"/>
    </w:pPr>
  </w:style>
  <w:style w:type="paragraph" w:styleId="Footer">
    <w:name w:val="footer"/>
    <w:basedOn w:val="Normal"/>
    <w:link w:val="FooterChar"/>
    <w:uiPriority w:val="99"/>
    <w:unhideWhenUsed/>
    <w:rsid w:val="004A4835"/>
    <w:pPr>
      <w:suppressLineNumbers/>
      <w:tabs>
        <w:tab w:val="center" w:pos="4680"/>
        <w:tab w:val="right" w:pos="9360"/>
      </w:tabs>
      <w:spacing w:after="0" w:line="240" w:lineRule="auto"/>
    </w:pPr>
  </w:style>
  <w:style w:type="paragraph" w:styleId="TOC3">
    <w:name w:val="toc 3"/>
    <w:basedOn w:val="Normal"/>
    <w:next w:val="Normal"/>
    <w:autoRedefine/>
    <w:uiPriority w:val="39"/>
    <w:unhideWhenUsed/>
    <w:rsid w:val="004A4835"/>
    <w:pPr>
      <w:spacing w:after="0"/>
      <w:ind w:left="480"/>
    </w:pPr>
    <w:rPr>
      <w:rFonts w:asciiTheme="minorHAnsi" w:hAnsiTheme="minorHAnsi"/>
      <w:i/>
      <w:iCs/>
      <w:sz w:val="20"/>
      <w:szCs w:val="20"/>
    </w:rPr>
  </w:style>
  <w:style w:type="paragraph" w:styleId="TOC4">
    <w:name w:val="toc 4"/>
    <w:basedOn w:val="Normal"/>
    <w:next w:val="Normal"/>
    <w:autoRedefine/>
    <w:uiPriority w:val="39"/>
    <w:unhideWhenUsed/>
    <w:rsid w:val="004A4835"/>
    <w:pPr>
      <w:spacing w:after="0"/>
      <w:ind w:left="720"/>
    </w:pPr>
    <w:rPr>
      <w:rFonts w:asciiTheme="minorHAnsi" w:hAnsiTheme="minorHAnsi"/>
      <w:sz w:val="18"/>
      <w:szCs w:val="18"/>
    </w:rPr>
  </w:style>
  <w:style w:type="paragraph" w:styleId="TOC5">
    <w:name w:val="toc 5"/>
    <w:basedOn w:val="Normal"/>
    <w:next w:val="Normal"/>
    <w:autoRedefine/>
    <w:uiPriority w:val="39"/>
    <w:unhideWhenUsed/>
    <w:rsid w:val="004A4835"/>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4A4835"/>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4A4835"/>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4A4835"/>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4A4835"/>
    <w:pPr>
      <w:spacing w:after="0"/>
      <w:ind w:left="1920"/>
    </w:pPr>
    <w:rPr>
      <w:rFonts w:asciiTheme="minorHAnsi" w:hAnsiTheme="minorHAnsi"/>
      <w:sz w:val="18"/>
      <w:szCs w:val="18"/>
    </w:rPr>
  </w:style>
  <w:style w:type="paragraph" w:customStyle="1" w:styleId="Emphasis-Normal">
    <w:name w:val="Emphasis-Normal"/>
    <w:basedOn w:val="BodyText9"/>
    <w:qFormat/>
    <w:rsid w:val="0026559D"/>
    <w:pPr>
      <w:numPr>
        <w:numId w:val="2"/>
      </w:numPr>
    </w:pPr>
  </w:style>
  <w:style w:type="table" w:styleId="TableGrid">
    <w:name w:val="Table Grid"/>
    <w:basedOn w:val="TableNormal"/>
    <w:uiPriority w:val="39"/>
    <w:rsid w:val="00BF0F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4109</Words>
  <Characters>23425</Characters>
  <Application>Microsoft Office Word</Application>
  <DocSecurity>0</DocSecurity>
  <Lines>195</Lines>
  <Paragraphs>54</Paragraphs>
  <ScaleCrop>false</ScaleCrop>
  <Company/>
  <LinksUpToDate>false</LinksUpToDate>
  <CharactersWithSpaces>27480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POL-COC-001 — Code of Conduct</dc:title>
  <dc:subject>PromptHalo Information Security Program</dc:subject>
  <dc:creator>PromptHalo Security Officer</dc:creator>
  <dc:description>Version 1.0</dc:description>
  <cp:lastModifiedBy>Praveen Sharma</cp:lastModifiedBy>
  <cp:revision>3</cp:revision>
  <cp:lastPrinted>2026-08-16T23:29:00Z</cp:lastPrinted>
  <dcterms:created xsi:type="dcterms:W3CDTF">2026-08-16T23:29:00Z</dcterms:created>
  <dcterms:modified xsi:type="dcterms:W3CDTF">2026-08-16T23:29:00Z</dcterms:modified>
  <cp:category>Internal</cp:category>
  <dc:language>en-US</dc:language>
  <cp:version>1.0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dience">
    <vt:lpwstr>All personnel, including employees, contractors, consultants and interns</vt:lpwstr>
  </property>
  <property fmtid="{D5CDD505-2E9C-101B-9397-08002B2CF9AE}" pid="3" name="CompanyName">
    <vt:lpwstr>PromptHalo</vt:lpwstr>
  </property>
  <property fmtid="{D5CDD505-2E9C-101B-9397-08002B2CF9AE}" pid="4" name="Contact">
    <vt:lpwstr>security@prompthalo.com</vt:lpwstr>
  </property>
  <property fmtid="{D5CDD505-2E9C-101B-9397-08002B2CF9AE}" pid="5" name="DocAuthor">
    <vt:lpwstr>Security Officer</vt:lpwstr>
  </property>
  <property fmtid="{D5CDD505-2E9C-101B-9397-08002B2CF9AE}" pid="6" name="DocId">
    <vt:lpwstr>POL-COC-001</vt:lpwstr>
  </property>
  <property fmtid="{D5CDD505-2E9C-101B-9397-08002B2CF9AE}" pid="7" name="DocOwner">
    <vt:lpwstr>Chief Executive Officer — Accountable Party</vt:lpwstr>
  </property>
  <property fmtid="{D5CDD505-2E9C-101B-9397-08002B2CF9AE}" pid="8" name="DocTitle">
    <vt:lpwstr>Code of Conduct</vt:lpwstr>
  </property>
  <property fmtid="{D5CDD505-2E9C-101B-9397-08002B2CF9AE}" pid="9" name="PolicyDate">
    <vt:lpwstr>July 22, 2026</vt:lpwstr>
  </property>
  <property fmtid="{D5CDD505-2E9C-101B-9397-08002B2CF9AE}" pid="10" name="PolicyExpiry">
    <vt:lpwstr>July 22, 2027</vt:lpwstr>
  </property>
  <property fmtid="{D5CDD505-2E9C-101B-9397-08002B2CF9AE}" pid="11" name="PolicyVersion">
    <vt:lpwstr>1.1</vt:lpwstr>
  </property>
  <property fmtid="{D5CDD505-2E9C-101B-9397-08002B2CF9AE}" pid="12" name="ReviewCycle">
    <vt:lpwstr>Annual, or upon material change</vt:lpwstr>
  </property>
  <property fmtid="{D5CDD505-2E9C-101B-9397-08002B2CF9AE}" pid="13" name="SecurityOfficer">
    <vt:lpwstr>Praveen Sharma</vt:lpwstr>
  </property>
  <property fmtid="{D5CDD505-2E9C-101B-9397-08002B2CF9AE}" pid="14" name="Supersedes">
    <vt:lpwstr>POL-COC-001 v1.0, approved July 22, 2026</vt:lpwstr>
  </property>
</Properties>
</file>