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883850" w14:textId="230B4C00" w:rsidR="007E1ECA" w:rsidRPr="00162F1C" w:rsidRDefault="007E1ECA" w:rsidP="00162F1C">
      <w:pPr>
        <w:spacing w:line="360" w:lineRule="auto"/>
        <w:jc w:val="center"/>
        <w:rPr>
          <w:rFonts w:ascii="Times New Roman" w:hAnsi="Times New Roman" w:cs="Times New Roman"/>
          <w:b/>
          <w:color w:val="000000" w:themeColor="text1"/>
          <w:sz w:val="32"/>
          <w:szCs w:val="32"/>
          <w:lang w:val="en-US"/>
        </w:rPr>
      </w:pPr>
      <w:r w:rsidRPr="00162F1C">
        <w:rPr>
          <w:rFonts w:ascii="Times New Roman" w:hAnsi="Times New Roman" w:cs="Times New Roman"/>
          <w:b/>
          <w:color w:val="000000" w:themeColor="text1"/>
          <w:sz w:val="32"/>
          <w:szCs w:val="32"/>
          <w:lang w:val="en-US"/>
        </w:rPr>
        <w:t>Technical Notes</w:t>
      </w:r>
    </w:p>
    <w:p w14:paraId="02E509F7" w14:textId="77777777" w:rsidR="007E1ECA" w:rsidRPr="00162F1C" w:rsidRDefault="007E1ECA" w:rsidP="00162F1C">
      <w:pPr>
        <w:pStyle w:val="Heading2"/>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t>Sources</w:t>
      </w:r>
    </w:p>
    <w:p w14:paraId="27BC0559"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t>The indicators in the tables come from a variety of authoritative sources, including the World Bank, other international organizations such as the United Nations and International Monetary Fund, government agencies, member country statistical publications, research institutes, and peer-reviewed academic papers. The source for each indicator is identified in the Technical Notes.</w:t>
      </w:r>
    </w:p>
    <w:p w14:paraId="7325FF26" w14:textId="7FFCD591" w:rsidR="007E1ECA" w:rsidRPr="00162F1C"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t xml:space="preserve">Many of the indicators in this section have been included in the World Bank’s Open Data catalog and are available for download.  The World Bank’s Open Data terms of use allow users to use these data freely, subject to a limited set of conditions. We encourage readers to access the data at </w:t>
      </w:r>
      <w:hyperlink r:id="rId7" w:history="1">
        <w:r w:rsidR="00162F1C" w:rsidRPr="00162F1C">
          <w:rPr>
            <w:rStyle w:val="Hyperlink"/>
            <w:rFonts w:ascii="Times New Roman" w:hAnsi="Times New Roman" w:cs="Times New Roman"/>
            <w:sz w:val="22"/>
            <w:szCs w:val="22"/>
          </w:rPr>
          <w:t>link</w:t>
        </w:r>
      </w:hyperlink>
      <w:r w:rsidR="00162F1C">
        <w:rPr>
          <w:rFonts w:ascii="Times New Roman" w:hAnsi="Times New Roman" w:cs="Times New Roman"/>
          <w:color w:val="000000" w:themeColor="text1"/>
          <w:sz w:val="22"/>
          <w:szCs w:val="22"/>
        </w:rPr>
        <w:t xml:space="preserve"> </w:t>
      </w:r>
      <w:r w:rsidRPr="00162F1C">
        <w:rPr>
          <w:rFonts w:ascii="Times New Roman" w:hAnsi="Times New Roman" w:cs="Times New Roman"/>
          <w:color w:val="000000" w:themeColor="text1"/>
          <w:sz w:val="22"/>
          <w:szCs w:val="22"/>
        </w:rPr>
        <w:t>and to review the Terms of Use at</w:t>
      </w:r>
      <w:r w:rsidR="00162F1C">
        <w:rPr>
          <w:rFonts w:ascii="Times New Roman" w:hAnsi="Times New Roman" w:cs="Times New Roman"/>
          <w:color w:val="000000" w:themeColor="text1"/>
          <w:sz w:val="22"/>
          <w:szCs w:val="22"/>
        </w:rPr>
        <w:t xml:space="preserve"> </w:t>
      </w:r>
      <w:hyperlink r:id="rId8" w:history="1">
        <w:r w:rsidR="00162F1C" w:rsidRPr="00162F1C">
          <w:rPr>
            <w:rStyle w:val="Hyperlink"/>
            <w:rFonts w:ascii="Times New Roman" w:hAnsi="Times New Roman" w:cs="Times New Roman"/>
            <w:sz w:val="22"/>
            <w:szCs w:val="22"/>
          </w:rPr>
          <w:t>link</w:t>
        </w:r>
      </w:hyperlink>
      <w:r w:rsidRPr="00162F1C">
        <w:rPr>
          <w:rFonts w:ascii="Times New Roman" w:hAnsi="Times New Roman" w:cs="Times New Roman"/>
          <w:color w:val="000000" w:themeColor="text1"/>
          <w:sz w:val="22"/>
          <w:szCs w:val="22"/>
        </w:rPr>
        <w:t>. Several of the indicators available in the data catalog were obtained from research papers with the permission of the authors. These indicators in particular were developed for specific research studies and may not be suitable for other purposes. Neither the authors nor any institutions with which they are affiliated make any warranties with respect to the data and shall not be liable in connection with the data’s use under any circumstances.</w:t>
      </w:r>
    </w:p>
    <w:p w14:paraId="13BA4127" w14:textId="77777777" w:rsidR="007E1ECA" w:rsidRPr="00162F1C" w:rsidRDefault="007E1ECA" w:rsidP="00162F1C">
      <w:pPr>
        <w:pStyle w:val="Heading2"/>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t>Country coverage</w:t>
      </w:r>
    </w:p>
    <w:p w14:paraId="6B6241D1"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t xml:space="preserve">Tables 1 to 7 include data for 133 countries. Table 8 includes key development indicators for 81 economies with sparse data or with populations of less than 3 million.  The term </w:t>
      </w:r>
      <w:r w:rsidRPr="00162F1C">
        <w:rPr>
          <w:rFonts w:ascii="Times New Roman" w:hAnsi="Times New Roman" w:cs="Times New Roman"/>
          <w:i/>
          <w:color w:val="000000" w:themeColor="text1"/>
          <w:sz w:val="22"/>
          <w:szCs w:val="22"/>
        </w:rPr>
        <w:t>country</w:t>
      </w:r>
      <w:r w:rsidRPr="00162F1C">
        <w:rPr>
          <w:rFonts w:ascii="Times New Roman" w:hAnsi="Times New Roman" w:cs="Times New Roman"/>
          <w:color w:val="000000" w:themeColor="text1"/>
          <w:sz w:val="22"/>
          <w:szCs w:val="22"/>
        </w:rPr>
        <w:t>, used interchangeably with economy, does not imply political independence but refers to any territory for which authorities report separate social or economic statistics. Data are shown for economies as they were constituted in 2012. Unless otherwise noted, data for China do not include data for Hong Kong SAR, China; Macao SAR, China; or Taiwan, China. Data for Indonesia include Timor-Leste through 1999. Data for Serbia include Montenegro through 2005 and exclude Kosovo from 1999 onward. Data for Sudan include South Sudan unless otherwise noted.</w:t>
      </w:r>
    </w:p>
    <w:p w14:paraId="3383E829" w14:textId="77777777" w:rsidR="007E1ECA" w:rsidRPr="00162F1C" w:rsidRDefault="007E1ECA" w:rsidP="00162F1C">
      <w:pPr>
        <w:pStyle w:val="Heading2"/>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t>Classification of economies and summary measures</w:t>
      </w:r>
    </w:p>
    <w:p w14:paraId="666E42D6"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shd w:val="clear" w:color="auto" w:fill="FFFFFF"/>
        </w:rPr>
        <w:t xml:space="preserve">For operational and analytical purposes, the World Bank’s main criterion for classifying economies is gross national income (GNI) per capita. Based on its GNI per capita, every economy is classified as low income, middle income (subdivided into lower-middle and upper-middle), or high income. </w:t>
      </w:r>
      <w:r w:rsidRPr="00162F1C">
        <w:rPr>
          <w:rFonts w:ascii="Times New Roman" w:hAnsi="Times New Roman" w:cs="Times New Roman"/>
          <w:color w:val="000000" w:themeColor="text1"/>
          <w:sz w:val="22"/>
          <w:szCs w:val="22"/>
        </w:rPr>
        <w:t xml:space="preserve">Income classifications are set each year on July 1. These official analytical classifications are fixed during the World Bank's fiscal year (ending on June 30); thus countries remain in the categories in which they are classified irrespective of any revisions to their per capita income data. Low-income economies are those with a GNI per capita of $1,035 or less in 2012. Middle-income economies are those with a GNI per capita of more than $1,035 but less than $12,616. Lower-middle-income and upper-middle-income economies are separated at a GNI per capita of $4,086. High-income economies are those with a GNI per capita of $12,616 or more. When changes in classification are made, </w:t>
      </w:r>
      <w:r w:rsidRPr="00162F1C">
        <w:rPr>
          <w:rFonts w:ascii="Times New Roman" w:hAnsi="Times New Roman" w:cs="Times New Roman"/>
          <w:color w:val="000000" w:themeColor="text1"/>
          <w:sz w:val="22"/>
          <w:szCs w:val="22"/>
        </w:rPr>
        <w:lastRenderedPageBreak/>
        <w:t>aggregates based on the new income classifications are recalculated for all past periods to ensure that a consistent time series is maintained.</w:t>
      </w:r>
    </w:p>
    <w:p w14:paraId="3899602B" w14:textId="1C4D9BEA" w:rsidR="007E1ECA"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t xml:space="preserve">Summary measures are either totals (indicated by a </w:t>
      </w:r>
      <w:r w:rsidRPr="00162F1C">
        <w:rPr>
          <w:rFonts w:ascii="Times New Roman" w:hAnsi="Times New Roman" w:cs="Times New Roman"/>
          <w:b/>
          <w:color w:val="000000" w:themeColor="text1"/>
          <w:sz w:val="22"/>
          <w:szCs w:val="22"/>
        </w:rPr>
        <w:t>t</w:t>
      </w:r>
      <w:r w:rsidRPr="00162F1C">
        <w:rPr>
          <w:rFonts w:ascii="Times New Roman" w:hAnsi="Times New Roman" w:cs="Times New Roman"/>
          <w:color w:val="000000" w:themeColor="text1"/>
          <w:sz w:val="22"/>
          <w:szCs w:val="22"/>
        </w:rPr>
        <w:t xml:space="preserve"> if the aggregates include estimates for missing data and </w:t>
      </w:r>
      <w:r w:rsidR="00025C14" w:rsidRPr="00162F1C">
        <w:rPr>
          <w:rFonts w:ascii="Times New Roman" w:hAnsi="Times New Roman" w:cs="Times New Roman"/>
          <w:color w:val="000000" w:themeColor="text1"/>
          <w:sz w:val="22"/>
          <w:szCs w:val="22"/>
        </w:rPr>
        <w:t>no reporting</w:t>
      </w:r>
      <w:r w:rsidRPr="00162F1C">
        <w:rPr>
          <w:rFonts w:ascii="Times New Roman" w:hAnsi="Times New Roman" w:cs="Times New Roman"/>
          <w:color w:val="000000" w:themeColor="text1"/>
          <w:sz w:val="22"/>
          <w:szCs w:val="22"/>
        </w:rPr>
        <w:t xml:space="preserve"> countries, or by an </w:t>
      </w:r>
      <w:r w:rsidRPr="00162F1C">
        <w:rPr>
          <w:rFonts w:ascii="Times New Roman" w:hAnsi="Times New Roman" w:cs="Times New Roman"/>
          <w:b/>
          <w:color w:val="000000" w:themeColor="text1"/>
          <w:sz w:val="22"/>
          <w:szCs w:val="22"/>
        </w:rPr>
        <w:t>s</w:t>
      </w:r>
      <w:r w:rsidRPr="00162F1C">
        <w:rPr>
          <w:rFonts w:ascii="Times New Roman" w:hAnsi="Times New Roman" w:cs="Times New Roman"/>
          <w:color w:val="000000" w:themeColor="text1"/>
          <w:sz w:val="22"/>
          <w:szCs w:val="22"/>
        </w:rPr>
        <w:t xml:space="preserve"> for simple sums of the data available), weighted averages (</w:t>
      </w:r>
      <w:r w:rsidRPr="00162F1C">
        <w:rPr>
          <w:rFonts w:ascii="Times New Roman" w:hAnsi="Times New Roman" w:cs="Times New Roman"/>
          <w:b/>
          <w:color w:val="000000" w:themeColor="text1"/>
          <w:sz w:val="22"/>
          <w:szCs w:val="22"/>
        </w:rPr>
        <w:t>w</w:t>
      </w:r>
      <w:r w:rsidRPr="00162F1C">
        <w:rPr>
          <w:rFonts w:ascii="Times New Roman" w:hAnsi="Times New Roman" w:cs="Times New Roman"/>
          <w:color w:val="000000" w:themeColor="text1"/>
          <w:sz w:val="22"/>
          <w:szCs w:val="22"/>
        </w:rPr>
        <w:t>), or median values (</w:t>
      </w:r>
      <w:r w:rsidRPr="00162F1C">
        <w:rPr>
          <w:rFonts w:ascii="Times New Roman" w:hAnsi="Times New Roman" w:cs="Times New Roman"/>
          <w:b/>
          <w:color w:val="000000" w:themeColor="text1"/>
          <w:sz w:val="22"/>
          <w:szCs w:val="22"/>
        </w:rPr>
        <w:t>m</w:t>
      </w:r>
      <w:r w:rsidRPr="00162F1C">
        <w:rPr>
          <w:rFonts w:ascii="Times New Roman" w:hAnsi="Times New Roman" w:cs="Times New Roman"/>
          <w:color w:val="000000" w:themeColor="text1"/>
          <w:sz w:val="22"/>
          <w:szCs w:val="22"/>
        </w:rPr>
        <w:t>) calculated for groups of economies. Data for economies not appearing in the tables have been included in the summary measures, where data are available; otherwise it is assumed they follow the trend of reporting economies. Where missing data accounts for a third or more of the overall estimate, however, the group measure is reported as not available.</w:t>
      </w:r>
    </w:p>
    <w:p w14:paraId="68631953" w14:textId="77777777" w:rsidR="00162F1C" w:rsidRPr="00162F1C" w:rsidRDefault="00162F1C" w:rsidP="00162F1C">
      <w:pPr>
        <w:spacing w:line="360" w:lineRule="auto"/>
        <w:jc w:val="both"/>
        <w:rPr>
          <w:rFonts w:ascii="Times New Roman" w:hAnsi="Times New Roman" w:cs="Times New Roman"/>
          <w:color w:val="000000" w:themeColor="text1"/>
          <w:sz w:val="22"/>
          <w:szCs w:val="22"/>
        </w:rPr>
      </w:pPr>
    </w:p>
    <w:p w14:paraId="6F0B32BA" w14:textId="77777777" w:rsidR="007E1ECA" w:rsidRPr="00162F1C" w:rsidRDefault="007E1ECA" w:rsidP="00162F1C">
      <w:pPr>
        <w:spacing w:line="360" w:lineRule="auto"/>
        <w:jc w:val="both"/>
        <w:rPr>
          <w:rFonts w:ascii="Times New Roman" w:hAnsi="Times New Roman" w:cs="Times New Roman"/>
          <w:b/>
          <w:color w:val="000000" w:themeColor="text1"/>
          <w:sz w:val="22"/>
          <w:szCs w:val="22"/>
          <w:u w:val="single"/>
        </w:rPr>
      </w:pPr>
      <w:r w:rsidRPr="00162F1C">
        <w:rPr>
          <w:rFonts w:ascii="Times New Roman" w:hAnsi="Times New Roman" w:cs="Times New Roman"/>
          <w:b/>
          <w:color w:val="000000" w:themeColor="text1"/>
          <w:sz w:val="22"/>
          <w:szCs w:val="22"/>
          <w:u w:val="single"/>
        </w:rPr>
        <w:t>Code Book</w:t>
      </w:r>
    </w:p>
    <w:p w14:paraId="1BA5F2FF" w14:textId="77777777" w:rsidR="007E1ECA" w:rsidRPr="00162F1C" w:rsidRDefault="007E1ECA" w:rsidP="00162F1C">
      <w:pPr>
        <w:spacing w:line="360" w:lineRule="auto"/>
        <w:jc w:val="both"/>
        <w:rPr>
          <w:rFonts w:ascii="Times New Roman" w:hAnsi="Times New Roman" w:cs="Times New Roman"/>
          <w:b/>
          <w:color w:val="000000" w:themeColor="text1"/>
          <w:sz w:val="22"/>
          <w:szCs w:val="22"/>
          <w:lang w:val="en-US"/>
        </w:rPr>
      </w:pPr>
    </w:p>
    <w:p w14:paraId="4867E9FE" w14:textId="77777777" w:rsidR="009E0DFE" w:rsidRPr="00162F1C" w:rsidRDefault="000E4996" w:rsidP="00162F1C">
      <w:pPr>
        <w:spacing w:line="360" w:lineRule="auto"/>
        <w:jc w:val="both"/>
        <w:rPr>
          <w:rFonts w:ascii="Times New Roman" w:hAnsi="Times New Roman" w:cs="Times New Roman"/>
          <w:b/>
          <w:color w:val="000000" w:themeColor="text1"/>
          <w:sz w:val="22"/>
          <w:szCs w:val="22"/>
          <w:lang w:val="en-US"/>
        </w:rPr>
      </w:pPr>
      <w:r w:rsidRPr="00162F1C">
        <w:rPr>
          <w:rFonts w:ascii="Times New Roman" w:hAnsi="Times New Roman" w:cs="Times New Roman"/>
          <w:b/>
          <w:color w:val="000000" w:themeColor="text1"/>
          <w:sz w:val="22"/>
          <w:szCs w:val="22"/>
          <w:lang w:val="en-US"/>
        </w:rPr>
        <w:t>Key Development Indicators</w:t>
      </w:r>
    </w:p>
    <w:p w14:paraId="55888871" w14:textId="77777777" w:rsidR="009E0DFE" w:rsidRPr="00162F1C" w:rsidRDefault="009E0DF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 xml:space="preserve">KDI_Pop_2012: </w:t>
      </w:r>
      <w:r w:rsidR="00AF6A0F" w:rsidRPr="00162F1C">
        <w:rPr>
          <w:rFonts w:ascii="Times New Roman" w:hAnsi="Times New Roman" w:cs="Times New Roman"/>
          <w:color w:val="000000" w:themeColor="text1"/>
          <w:sz w:val="22"/>
          <w:szCs w:val="22"/>
        </w:rPr>
        <w:t xml:space="preserve">This column contains the total population of a country </w:t>
      </w:r>
      <w:r w:rsidR="00A46E79" w:rsidRPr="00162F1C">
        <w:rPr>
          <w:rFonts w:ascii="Times New Roman" w:hAnsi="Times New Roman" w:cs="Times New Roman"/>
          <w:color w:val="000000" w:themeColor="text1"/>
          <w:sz w:val="22"/>
          <w:szCs w:val="22"/>
        </w:rPr>
        <w:t xml:space="preserve">in millions for the year 2012. </w:t>
      </w:r>
      <w:r w:rsidR="00AF6A0F" w:rsidRPr="00162F1C">
        <w:rPr>
          <w:rFonts w:ascii="Times New Roman" w:hAnsi="Times New Roman" w:cs="Times New Roman"/>
          <w:color w:val="000000" w:themeColor="text1"/>
          <w:sz w:val="22"/>
          <w:szCs w:val="22"/>
        </w:rPr>
        <w:t>Total population is based on the de facto definition of population, which counts all residents regardless of legal status or citizenship—except for refugees not permanently settled in the country of asylum, who are generally considered part of the population of their country of origin. The values shown are midyear estimates.</w:t>
      </w:r>
      <w:r w:rsidR="00A46E79" w:rsidRPr="00162F1C">
        <w:rPr>
          <w:rFonts w:ascii="Times New Roman" w:hAnsi="Times New Roman" w:cs="Times New Roman"/>
          <w:color w:val="000000" w:themeColor="text1"/>
          <w:sz w:val="22"/>
          <w:szCs w:val="22"/>
        </w:rPr>
        <w:t xml:space="preserve"> </w:t>
      </w:r>
      <w:r w:rsidR="00A46E79" w:rsidRPr="00162F1C">
        <w:rPr>
          <w:rFonts w:ascii="Times New Roman" w:hAnsi="Times New Roman" w:cs="Times New Roman"/>
          <w:b/>
          <w:bCs/>
          <w:color w:val="000000" w:themeColor="text1"/>
          <w:sz w:val="22"/>
          <w:szCs w:val="22"/>
        </w:rPr>
        <w:t xml:space="preserve">Data sources: </w:t>
      </w:r>
      <w:r w:rsidR="00A46E79" w:rsidRPr="00162F1C">
        <w:rPr>
          <w:rFonts w:ascii="Times New Roman" w:hAnsi="Times New Roman" w:cs="Times New Roman"/>
          <w:color w:val="000000" w:themeColor="text1"/>
          <w:sz w:val="22"/>
          <w:szCs w:val="22"/>
        </w:rPr>
        <w:t>United Nations Population Division, World Population Prospects; United Nations Statistical Division, Population and Vital Statistics Report (various years); Census reports and other statistical publications from national statistical offices; Eurostat: Demographic Statistics; Secretariat of the Pacific Community: Statistics and Demography Programme; U.S. Census Bureau: International Database</w:t>
      </w:r>
      <w:r w:rsidR="00A46E79" w:rsidRPr="00162F1C">
        <w:rPr>
          <w:rFonts w:ascii="Times New Roman" w:hAnsi="Times New Roman" w:cs="Times New Roman"/>
          <w:bCs/>
          <w:color w:val="000000" w:themeColor="text1"/>
          <w:sz w:val="22"/>
          <w:szCs w:val="22"/>
        </w:rPr>
        <w:t>.</w:t>
      </w:r>
    </w:p>
    <w:p w14:paraId="71E748B7" w14:textId="77777777" w:rsidR="00A46E79" w:rsidRPr="00162F1C" w:rsidRDefault="00A46E79" w:rsidP="00162F1C">
      <w:pPr>
        <w:spacing w:line="360" w:lineRule="auto"/>
        <w:jc w:val="both"/>
        <w:rPr>
          <w:rFonts w:ascii="Times New Roman" w:hAnsi="Times New Roman" w:cs="Times New Roman"/>
          <w:color w:val="000000" w:themeColor="text1"/>
          <w:sz w:val="22"/>
          <w:szCs w:val="22"/>
        </w:rPr>
      </w:pPr>
    </w:p>
    <w:p w14:paraId="50DD8360" w14:textId="77777777" w:rsidR="00A46E79" w:rsidRPr="00162F1C" w:rsidRDefault="00A46E79" w:rsidP="00162F1C">
      <w:pPr>
        <w:spacing w:line="360" w:lineRule="auto"/>
        <w:jc w:val="both"/>
        <w:rPr>
          <w:rFonts w:ascii="Times New Roman" w:hAnsi="Times New Roman" w:cs="Times New Roman"/>
          <w:b/>
          <w:bCs/>
          <w:color w:val="000000" w:themeColor="text1"/>
          <w:sz w:val="22"/>
          <w:szCs w:val="22"/>
        </w:rPr>
      </w:pPr>
      <w:r w:rsidRPr="00162F1C">
        <w:rPr>
          <w:rFonts w:ascii="Times New Roman" w:hAnsi="Times New Roman" w:cs="Times New Roman"/>
          <w:b/>
          <w:color w:val="000000" w:themeColor="text1"/>
          <w:sz w:val="22"/>
          <w:szCs w:val="22"/>
        </w:rPr>
        <w:t>KDI_GNIT_2012:</w:t>
      </w:r>
      <w:r w:rsidRPr="00162F1C">
        <w:rPr>
          <w:rFonts w:ascii="Times New Roman" w:hAnsi="Times New Roman" w:cs="Times New Roman"/>
          <w:color w:val="000000" w:themeColor="text1"/>
          <w:sz w:val="22"/>
          <w:szCs w:val="22"/>
        </w:rPr>
        <w:t xml:space="preserve"> Total value of the Gross National Income in $billions for the year 2012. GNI (formerly GNP) is the sum of value added by all resident producers plus any product taxes (less subsidies) not included in the valuation of output plus net receipts of primary income (compensation of employees and property income) from abroad. </w:t>
      </w:r>
      <w:r w:rsidRPr="00162F1C">
        <w:rPr>
          <w:rFonts w:ascii="Times New Roman" w:hAnsi="Times New Roman" w:cs="Times New Roman"/>
          <w:b/>
          <w:bCs/>
          <w:color w:val="000000" w:themeColor="text1"/>
          <w:sz w:val="22"/>
          <w:szCs w:val="22"/>
        </w:rPr>
        <w:t>Data sources:</w:t>
      </w:r>
      <w:r w:rsidRPr="00162F1C">
        <w:rPr>
          <w:rFonts w:ascii="Times New Roman" w:hAnsi="Times New Roman" w:cs="Times New Roman"/>
          <w:color w:val="000000" w:themeColor="text1"/>
          <w:sz w:val="22"/>
          <w:szCs w:val="22"/>
        </w:rPr>
        <w:t xml:space="preserve"> World Bank national accounts data, at </w:t>
      </w:r>
      <w:r w:rsidRPr="00162F1C">
        <w:rPr>
          <w:rFonts w:ascii="Times New Roman" w:hAnsi="Times New Roman" w:cs="Times New Roman"/>
          <w:bCs/>
          <w:color w:val="000000" w:themeColor="text1"/>
          <w:sz w:val="22"/>
          <w:szCs w:val="22"/>
        </w:rPr>
        <w:t>http://data.worldbank.org</w:t>
      </w:r>
      <w:r w:rsidRPr="00162F1C">
        <w:rPr>
          <w:rFonts w:ascii="Times New Roman" w:hAnsi="Times New Roman" w:cs="Times New Roman"/>
          <w:color w:val="000000" w:themeColor="text1"/>
          <w:sz w:val="22"/>
          <w:szCs w:val="22"/>
        </w:rPr>
        <w:t>; OECD National Accounts data files,</w:t>
      </w:r>
      <w:r w:rsidRPr="00162F1C">
        <w:rPr>
          <w:rFonts w:ascii="Times New Roman" w:hAnsi="Times New Roman" w:cs="Times New Roman"/>
          <w:bCs/>
          <w:color w:val="000000" w:themeColor="text1"/>
          <w:sz w:val="22"/>
          <w:szCs w:val="22"/>
        </w:rPr>
        <w:t xml:space="preserve"> at </w:t>
      </w:r>
      <w:hyperlink r:id="rId9" w:history="1">
        <w:r w:rsidRPr="00162F1C">
          <w:rPr>
            <w:rStyle w:val="Hyperlink"/>
            <w:rFonts w:ascii="Times New Roman" w:hAnsi="Times New Roman" w:cs="Times New Roman"/>
            <w:bCs/>
            <w:color w:val="000000" w:themeColor="text1"/>
            <w:sz w:val="22"/>
            <w:szCs w:val="22"/>
            <w:u w:val="none"/>
          </w:rPr>
          <w:t>http://stats.oecd.org/</w:t>
        </w:r>
      </w:hyperlink>
      <w:r w:rsidRPr="00162F1C">
        <w:rPr>
          <w:rFonts w:ascii="Times New Roman" w:hAnsi="Times New Roman" w:cs="Times New Roman"/>
          <w:b/>
          <w:bCs/>
          <w:color w:val="000000" w:themeColor="text1"/>
          <w:sz w:val="22"/>
          <w:szCs w:val="22"/>
        </w:rPr>
        <w:t>.</w:t>
      </w:r>
    </w:p>
    <w:p w14:paraId="5D05CD1E" w14:textId="77777777" w:rsidR="00A46E79" w:rsidRPr="00162F1C" w:rsidRDefault="00A46E79" w:rsidP="00162F1C">
      <w:pPr>
        <w:spacing w:line="360" w:lineRule="auto"/>
        <w:jc w:val="both"/>
        <w:rPr>
          <w:rFonts w:ascii="Times New Roman" w:hAnsi="Times New Roman" w:cs="Times New Roman"/>
          <w:b/>
          <w:bCs/>
          <w:color w:val="000000" w:themeColor="text1"/>
          <w:sz w:val="22"/>
          <w:szCs w:val="22"/>
        </w:rPr>
      </w:pPr>
    </w:p>
    <w:p w14:paraId="429AF088" w14:textId="77777777" w:rsidR="00A46E79" w:rsidRPr="00162F1C" w:rsidRDefault="00A46E79"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KDI_GNIP_2012:</w:t>
      </w:r>
      <w:r w:rsidRPr="00162F1C">
        <w:rPr>
          <w:rFonts w:ascii="Times New Roman" w:hAnsi="Times New Roman" w:cs="Times New Roman"/>
          <w:color w:val="000000" w:themeColor="text1"/>
          <w:sz w:val="22"/>
          <w:szCs w:val="22"/>
        </w:rPr>
        <w:t xml:space="preserve"> The per capita Gross Nation Income calculated based on the total population. GNI per capita is gross national income divided by midyear population. GNI (formerly GNP) is the sum of value added by all resident producers plus any product taxes (less subsidies) not included in the valuation of output plus net receipts of primary income (compensation of employees and property income) from abroad. </w:t>
      </w:r>
      <w:r w:rsidRPr="00162F1C">
        <w:rPr>
          <w:rFonts w:ascii="Times New Roman" w:hAnsi="Times New Roman" w:cs="Times New Roman"/>
          <w:b/>
          <w:bCs/>
          <w:color w:val="000000" w:themeColor="text1"/>
          <w:sz w:val="22"/>
          <w:szCs w:val="22"/>
        </w:rPr>
        <w:t xml:space="preserve">Data source: </w:t>
      </w:r>
      <w:r w:rsidRPr="00162F1C">
        <w:rPr>
          <w:rFonts w:ascii="Times New Roman" w:hAnsi="Times New Roman" w:cs="Times New Roman"/>
          <w:bCs/>
          <w:color w:val="000000" w:themeColor="text1"/>
          <w:sz w:val="22"/>
          <w:szCs w:val="22"/>
        </w:rPr>
        <w:t>World Bank, World</w:t>
      </w:r>
      <w:r w:rsidRPr="00162F1C">
        <w:rPr>
          <w:rFonts w:ascii="Times New Roman" w:hAnsi="Times New Roman" w:cs="Times New Roman"/>
          <w:color w:val="000000" w:themeColor="text1"/>
          <w:sz w:val="22"/>
          <w:szCs w:val="22"/>
        </w:rPr>
        <w:t xml:space="preserve"> </w:t>
      </w:r>
      <w:r w:rsidRPr="00162F1C">
        <w:rPr>
          <w:rFonts w:ascii="Times New Roman" w:hAnsi="Times New Roman" w:cs="Times New Roman"/>
          <w:bCs/>
          <w:color w:val="000000" w:themeColor="text1"/>
          <w:sz w:val="22"/>
          <w:szCs w:val="22"/>
        </w:rPr>
        <w:t>Development Indicators, at http://data.worldbank.org.</w:t>
      </w:r>
    </w:p>
    <w:p w14:paraId="4D0A7C2E" w14:textId="77777777" w:rsidR="00A46E79" w:rsidRPr="00162F1C" w:rsidRDefault="00A46E79" w:rsidP="00162F1C">
      <w:pPr>
        <w:spacing w:line="360" w:lineRule="auto"/>
        <w:jc w:val="both"/>
        <w:rPr>
          <w:rFonts w:ascii="Times New Roman" w:hAnsi="Times New Roman" w:cs="Times New Roman"/>
          <w:color w:val="000000" w:themeColor="text1"/>
          <w:sz w:val="22"/>
          <w:szCs w:val="22"/>
        </w:rPr>
      </w:pPr>
    </w:p>
    <w:p w14:paraId="264AC455" w14:textId="77777777" w:rsidR="000E4996" w:rsidRPr="00162F1C" w:rsidRDefault="000E4996"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KDI_PPPT_2012:</w:t>
      </w:r>
      <w:r w:rsidRPr="00162F1C">
        <w:rPr>
          <w:rFonts w:ascii="Times New Roman" w:hAnsi="Times New Roman" w:cs="Times New Roman"/>
          <w:color w:val="000000" w:themeColor="text1"/>
          <w:sz w:val="22"/>
          <w:szCs w:val="22"/>
        </w:rPr>
        <w:t xml:space="preserve"> Contains data with regards to the total Gross National Income that has been adjusted against purchasing power parity rates. It displays values in $billions.</w:t>
      </w:r>
    </w:p>
    <w:p w14:paraId="1D5ABFA2" w14:textId="77777777" w:rsidR="000E4996" w:rsidRPr="00162F1C" w:rsidRDefault="000E4996"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lastRenderedPageBreak/>
        <w:t xml:space="preserve">PPP GNI (formerly PPP GNP) is gross national income (GNI) converted to international dollars using purchasing power parity rates. An international dollar has the same purchasing power over GNI as a U.S. dollar has in the United States. Gross national income is the sum of value added by all resident producers plus any product taxes (less subsidies) not included in the valuation of output plus net receipts of primary income (compensation of employees and property income) from abroad. Data are in current international dollars. </w:t>
      </w:r>
      <w:r w:rsidRPr="00162F1C">
        <w:rPr>
          <w:rFonts w:ascii="Times New Roman" w:hAnsi="Times New Roman" w:cs="Times New Roman"/>
          <w:b/>
          <w:bCs/>
          <w:color w:val="000000" w:themeColor="text1"/>
          <w:sz w:val="22"/>
          <w:szCs w:val="22"/>
        </w:rPr>
        <w:t>Data sources:</w:t>
      </w:r>
      <w:r w:rsidRPr="00162F1C">
        <w:rPr>
          <w:rFonts w:ascii="Times New Roman" w:hAnsi="Times New Roman" w:cs="Times New Roman"/>
          <w:color w:val="000000" w:themeColor="text1"/>
          <w:sz w:val="22"/>
          <w:szCs w:val="22"/>
        </w:rPr>
        <w:t xml:space="preserve"> World Bank national accounts data, at </w:t>
      </w:r>
      <w:r w:rsidRPr="00162F1C">
        <w:rPr>
          <w:rFonts w:ascii="Times New Roman" w:hAnsi="Times New Roman" w:cs="Times New Roman"/>
          <w:bCs/>
          <w:color w:val="000000" w:themeColor="text1"/>
          <w:sz w:val="22"/>
          <w:szCs w:val="22"/>
        </w:rPr>
        <w:t>http://data.worldbank.org</w:t>
      </w:r>
      <w:r w:rsidRPr="00162F1C">
        <w:rPr>
          <w:rFonts w:ascii="Times New Roman" w:hAnsi="Times New Roman" w:cs="Times New Roman"/>
          <w:color w:val="000000" w:themeColor="text1"/>
          <w:sz w:val="22"/>
          <w:szCs w:val="22"/>
        </w:rPr>
        <w:t>; OECD National Accounts data files,</w:t>
      </w:r>
      <w:r w:rsidRPr="00162F1C">
        <w:rPr>
          <w:rFonts w:ascii="Times New Roman" w:hAnsi="Times New Roman" w:cs="Times New Roman"/>
          <w:bCs/>
          <w:color w:val="000000" w:themeColor="text1"/>
          <w:sz w:val="22"/>
          <w:szCs w:val="22"/>
        </w:rPr>
        <w:t xml:space="preserve"> at http://stats.oecd.org</w:t>
      </w:r>
      <w:r w:rsidRPr="00162F1C">
        <w:rPr>
          <w:rFonts w:ascii="Times New Roman" w:hAnsi="Times New Roman" w:cs="Times New Roman"/>
          <w:b/>
          <w:bCs/>
          <w:color w:val="000000" w:themeColor="text1"/>
          <w:sz w:val="22"/>
          <w:szCs w:val="22"/>
        </w:rPr>
        <w:t>.</w:t>
      </w:r>
    </w:p>
    <w:p w14:paraId="3D7659A8" w14:textId="77777777" w:rsidR="00A46E79" w:rsidRPr="00162F1C" w:rsidRDefault="00A46E79" w:rsidP="00162F1C">
      <w:pPr>
        <w:spacing w:line="360" w:lineRule="auto"/>
        <w:jc w:val="both"/>
        <w:rPr>
          <w:rFonts w:ascii="Times New Roman" w:hAnsi="Times New Roman" w:cs="Times New Roman"/>
          <w:b/>
          <w:color w:val="000000" w:themeColor="text1"/>
          <w:sz w:val="22"/>
          <w:szCs w:val="22"/>
          <w:lang w:val="en-US"/>
        </w:rPr>
      </w:pPr>
    </w:p>
    <w:p w14:paraId="005A5787" w14:textId="77777777" w:rsidR="000E4996" w:rsidRPr="00162F1C" w:rsidRDefault="000E4996" w:rsidP="00162F1C">
      <w:pPr>
        <w:spacing w:line="360" w:lineRule="auto"/>
        <w:jc w:val="both"/>
        <w:rPr>
          <w:rFonts w:ascii="Times New Roman" w:hAnsi="Times New Roman" w:cs="Times New Roman"/>
          <w:bCs/>
          <w:color w:val="000000" w:themeColor="text1"/>
          <w:sz w:val="22"/>
          <w:szCs w:val="22"/>
        </w:rPr>
      </w:pPr>
      <w:r w:rsidRPr="00162F1C">
        <w:rPr>
          <w:rFonts w:ascii="Times New Roman" w:hAnsi="Times New Roman" w:cs="Times New Roman"/>
          <w:b/>
          <w:color w:val="000000" w:themeColor="text1"/>
          <w:sz w:val="22"/>
          <w:szCs w:val="22"/>
        </w:rPr>
        <w:t xml:space="preserve">KDI_PPPP_2012: </w:t>
      </w:r>
      <w:r w:rsidRPr="00162F1C">
        <w:rPr>
          <w:rFonts w:ascii="Times New Roman" w:hAnsi="Times New Roman" w:cs="Times New Roman"/>
          <w:color w:val="000000" w:themeColor="text1"/>
          <w:sz w:val="22"/>
          <w:szCs w:val="22"/>
        </w:rPr>
        <w:t>Contains data with regards to the per capita Gross Nation Income that has been adjusted against purchasing power parity rates.</w:t>
      </w:r>
      <w:r w:rsidR="00707E2E" w:rsidRPr="00162F1C">
        <w:rPr>
          <w:rFonts w:ascii="Times New Roman" w:hAnsi="Times New Roman" w:cs="Times New Roman"/>
          <w:color w:val="000000" w:themeColor="text1"/>
          <w:sz w:val="22"/>
          <w:szCs w:val="22"/>
        </w:rPr>
        <w:t xml:space="preserve"> GNI per capita based on purchasing power parity (PPP). PPP GNI is gross national income (GNI) converted to international dollars using purchasing power parity rates. An international dollar has the same purchasing power over GNI as a U.S. dollar has in the United States. GNI is the sum of value added by all resident producers plus any product taxes (less subsidies) not included in the valuation of output plus net receipts of primary income (compensation of employees and property income) from abroad. Data are in current international dollars. </w:t>
      </w:r>
      <w:r w:rsidR="00707E2E" w:rsidRPr="00162F1C">
        <w:rPr>
          <w:rFonts w:ascii="Times New Roman" w:hAnsi="Times New Roman" w:cs="Times New Roman"/>
          <w:b/>
          <w:bCs/>
          <w:color w:val="000000" w:themeColor="text1"/>
          <w:sz w:val="22"/>
          <w:szCs w:val="22"/>
        </w:rPr>
        <w:t xml:space="preserve">Data source: </w:t>
      </w:r>
      <w:r w:rsidR="00707E2E" w:rsidRPr="00162F1C">
        <w:rPr>
          <w:rFonts w:ascii="Times New Roman" w:hAnsi="Times New Roman" w:cs="Times New Roman"/>
          <w:color w:val="000000" w:themeColor="text1"/>
          <w:sz w:val="22"/>
          <w:szCs w:val="22"/>
        </w:rPr>
        <w:t>World Bank, International Comparison Program database</w:t>
      </w:r>
      <w:r w:rsidR="00707E2E" w:rsidRPr="00162F1C">
        <w:rPr>
          <w:rFonts w:ascii="Times New Roman" w:hAnsi="Times New Roman" w:cs="Times New Roman"/>
          <w:bCs/>
          <w:color w:val="000000" w:themeColor="text1"/>
          <w:sz w:val="22"/>
          <w:szCs w:val="22"/>
        </w:rPr>
        <w:t xml:space="preserve">, at </w:t>
      </w:r>
      <w:hyperlink r:id="rId10" w:history="1">
        <w:r w:rsidR="00707E2E" w:rsidRPr="00162F1C">
          <w:rPr>
            <w:rStyle w:val="Hyperlink"/>
            <w:rFonts w:ascii="Times New Roman" w:hAnsi="Times New Roman" w:cs="Times New Roman"/>
            <w:bCs/>
            <w:color w:val="000000" w:themeColor="text1"/>
            <w:sz w:val="22"/>
            <w:szCs w:val="22"/>
            <w:u w:val="none"/>
          </w:rPr>
          <w:t>http://www.worldbank.org/data/icp</w:t>
        </w:r>
      </w:hyperlink>
      <w:r w:rsidR="00707E2E" w:rsidRPr="00162F1C">
        <w:rPr>
          <w:rFonts w:ascii="Times New Roman" w:hAnsi="Times New Roman" w:cs="Times New Roman"/>
          <w:bCs/>
          <w:color w:val="000000" w:themeColor="text1"/>
          <w:sz w:val="22"/>
          <w:szCs w:val="22"/>
        </w:rPr>
        <w:t>.</w:t>
      </w:r>
    </w:p>
    <w:p w14:paraId="24DC9330" w14:textId="77777777" w:rsidR="00707E2E" w:rsidRPr="00162F1C" w:rsidRDefault="00707E2E" w:rsidP="00162F1C">
      <w:pPr>
        <w:spacing w:line="360" w:lineRule="auto"/>
        <w:jc w:val="both"/>
        <w:rPr>
          <w:rFonts w:ascii="Times New Roman" w:hAnsi="Times New Roman" w:cs="Times New Roman"/>
          <w:bCs/>
          <w:color w:val="000000" w:themeColor="text1"/>
          <w:sz w:val="22"/>
          <w:szCs w:val="22"/>
        </w:rPr>
      </w:pPr>
    </w:p>
    <w:p w14:paraId="3D07544F" w14:textId="77777777" w:rsidR="00707E2E" w:rsidRPr="00162F1C" w:rsidRDefault="00707E2E" w:rsidP="00162F1C">
      <w:pPr>
        <w:spacing w:line="360" w:lineRule="auto"/>
        <w:jc w:val="both"/>
        <w:rPr>
          <w:rFonts w:ascii="Times New Roman" w:hAnsi="Times New Roman" w:cs="Times New Roman"/>
          <w:color w:val="000000" w:themeColor="text1"/>
          <w:sz w:val="22"/>
          <w:szCs w:val="22"/>
        </w:rPr>
      </w:pPr>
      <w:r w:rsidRPr="00162F1C">
        <w:rPr>
          <w:rFonts w:ascii="Times New Roman" w:eastAsia="Times New Roman" w:hAnsi="Times New Roman" w:cs="Times New Roman"/>
          <w:b/>
          <w:color w:val="000000" w:themeColor="text1"/>
          <w:sz w:val="22"/>
          <w:szCs w:val="22"/>
          <w:lang w:eastAsia="en-GB"/>
        </w:rPr>
        <w:t>KDI_GDP_2012:</w:t>
      </w:r>
      <w:r w:rsidRPr="00162F1C">
        <w:rPr>
          <w:rFonts w:ascii="Times New Roman" w:eastAsia="Times New Roman" w:hAnsi="Times New Roman" w:cs="Times New Roman"/>
          <w:color w:val="000000" w:themeColor="text1"/>
          <w:sz w:val="22"/>
          <w:szCs w:val="22"/>
          <w:lang w:eastAsia="en-GB"/>
        </w:rPr>
        <w:t xml:space="preserve"> Contains data with respect to the </w:t>
      </w:r>
      <w:r w:rsidRPr="00162F1C">
        <w:rPr>
          <w:rFonts w:ascii="Times New Roman" w:hAnsi="Times New Roman" w:cs="Times New Roman"/>
          <w:color w:val="000000" w:themeColor="text1"/>
          <w:sz w:val="22"/>
          <w:szCs w:val="22"/>
        </w:rPr>
        <w:t xml:space="preserve">GDP as a percent of growth per capita in the </w:t>
      </w:r>
      <w:proofErr w:type="gramStart"/>
      <w:r w:rsidRPr="00162F1C">
        <w:rPr>
          <w:rFonts w:ascii="Times New Roman" w:hAnsi="Times New Roman" w:cs="Times New Roman"/>
          <w:color w:val="000000" w:themeColor="text1"/>
          <w:sz w:val="22"/>
          <w:szCs w:val="22"/>
        </w:rPr>
        <w:t>country</w:t>
      </w:r>
      <w:r w:rsidR="00025C14" w:rsidRPr="00162F1C">
        <w:rPr>
          <w:rFonts w:ascii="Times New Roman" w:hAnsi="Times New Roman" w:cs="Times New Roman"/>
          <w:color w:val="000000" w:themeColor="text1"/>
          <w:sz w:val="22"/>
          <w:szCs w:val="22"/>
        </w:rPr>
        <w:t>.:</w:t>
      </w:r>
      <w:proofErr w:type="gramEnd"/>
      <w:r w:rsidRPr="00162F1C">
        <w:rPr>
          <w:rFonts w:ascii="Times New Roman" w:hAnsi="Times New Roman" w:cs="Times New Roman"/>
          <w:color w:val="000000" w:themeColor="text1"/>
          <w:sz w:val="22"/>
          <w:szCs w:val="22"/>
        </w:rPr>
        <w:t xml:space="preserve"> Annual percentage growth rate of GDP per capita based on constant local currency. Aggregates are based on constant 2005 U.S. dollars. GDP per capita is gross domestic product divided by midyear population.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w:t>
      </w:r>
      <w:r w:rsidRPr="00162F1C">
        <w:rPr>
          <w:rFonts w:ascii="Times New Roman" w:hAnsi="Times New Roman" w:cs="Times New Roman"/>
          <w:b/>
          <w:bCs/>
          <w:color w:val="000000" w:themeColor="text1"/>
          <w:sz w:val="22"/>
          <w:szCs w:val="22"/>
        </w:rPr>
        <w:t>Data sources:</w:t>
      </w:r>
      <w:r w:rsidRPr="00162F1C">
        <w:rPr>
          <w:rFonts w:ascii="Times New Roman" w:hAnsi="Times New Roman" w:cs="Times New Roman"/>
          <w:color w:val="000000" w:themeColor="text1"/>
          <w:sz w:val="22"/>
          <w:szCs w:val="22"/>
        </w:rPr>
        <w:t xml:space="preserve"> World Bank national accounts data, at http://data.worldbank.org; OECD National Accounts data files,</w:t>
      </w:r>
      <w:r w:rsidRPr="00162F1C">
        <w:rPr>
          <w:rFonts w:ascii="Times New Roman" w:hAnsi="Times New Roman" w:cs="Times New Roman"/>
          <w:bCs/>
          <w:color w:val="000000" w:themeColor="text1"/>
          <w:sz w:val="22"/>
          <w:szCs w:val="22"/>
        </w:rPr>
        <w:t xml:space="preserve"> at http://stats.oecd.org/</w:t>
      </w:r>
      <w:r w:rsidRPr="00162F1C">
        <w:rPr>
          <w:rFonts w:ascii="Times New Roman" w:hAnsi="Times New Roman" w:cs="Times New Roman"/>
          <w:b/>
          <w:bCs/>
          <w:color w:val="000000" w:themeColor="text1"/>
          <w:sz w:val="22"/>
          <w:szCs w:val="22"/>
        </w:rPr>
        <w:t>.</w:t>
      </w:r>
    </w:p>
    <w:p w14:paraId="5D3A2194" w14:textId="77777777" w:rsidR="00707E2E" w:rsidRPr="00162F1C" w:rsidRDefault="00707E2E" w:rsidP="00162F1C">
      <w:pPr>
        <w:spacing w:line="360" w:lineRule="auto"/>
        <w:jc w:val="both"/>
        <w:rPr>
          <w:rFonts w:ascii="Times New Roman" w:eastAsia="Times New Roman" w:hAnsi="Times New Roman" w:cs="Times New Roman"/>
          <w:color w:val="000000" w:themeColor="text1"/>
          <w:sz w:val="22"/>
          <w:szCs w:val="22"/>
          <w:lang w:eastAsia="en-GB"/>
        </w:rPr>
      </w:pPr>
    </w:p>
    <w:p w14:paraId="1A272487" w14:textId="77777777" w:rsidR="00707E2E" w:rsidRPr="00162F1C" w:rsidRDefault="00707E2E" w:rsidP="00162F1C">
      <w:pPr>
        <w:spacing w:line="360" w:lineRule="auto"/>
        <w:jc w:val="both"/>
        <w:rPr>
          <w:rFonts w:ascii="Times New Roman" w:eastAsia="Times New Roman" w:hAnsi="Times New Roman" w:cs="Times New Roman"/>
          <w:b/>
          <w:color w:val="000000" w:themeColor="text1"/>
          <w:sz w:val="22"/>
          <w:szCs w:val="22"/>
          <w:lang w:eastAsia="en-GB"/>
        </w:rPr>
      </w:pPr>
      <w:r w:rsidRPr="00162F1C">
        <w:rPr>
          <w:rFonts w:ascii="Times New Roman" w:eastAsia="Times New Roman" w:hAnsi="Times New Roman" w:cs="Times New Roman"/>
          <w:b/>
          <w:color w:val="000000" w:themeColor="text1"/>
          <w:sz w:val="22"/>
          <w:szCs w:val="22"/>
          <w:lang w:eastAsia="en-GB"/>
        </w:rPr>
        <w:t>Selected Risk Indicators:</w:t>
      </w:r>
    </w:p>
    <w:p w14:paraId="6AB108E3" w14:textId="77777777" w:rsidR="00707E2E" w:rsidRPr="00162F1C" w:rsidRDefault="00707E2E" w:rsidP="00162F1C">
      <w:pPr>
        <w:spacing w:line="360" w:lineRule="auto"/>
        <w:jc w:val="both"/>
        <w:rPr>
          <w:rFonts w:ascii="Times New Roman" w:eastAsia="Times New Roman" w:hAnsi="Times New Roman" w:cs="Times New Roman"/>
          <w:color w:val="000000" w:themeColor="text1"/>
          <w:sz w:val="22"/>
          <w:szCs w:val="22"/>
          <w:lang w:eastAsia="en-GB"/>
        </w:rPr>
      </w:pPr>
    </w:p>
    <w:p w14:paraId="24AECEFF" w14:textId="77777777" w:rsidR="00707E2E" w:rsidRPr="00162F1C" w:rsidRDefault="00707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SR_NH_1993_2002 and SR_NH_2003_2012:</w:t>
      </w:r>
      <w:r w:rsidRPr="00162F1C">
        <w:rPr>
          <w:rFonts w:ascii="Times New Roman" w:hAnsi="Times New Roman" w:cs="Times New Roman"/>
          <w:color w:val="000000" w:themeColor="text1"/>
          <w:sz w:val="22"/>
          <w:szCs w:val="22"/>
        </w:rPr>
        <w:t xml:space="preserve"> The columns contain data with respect to the incidences of natural hazards for the corresponding time frame. </w:t>
      </w:r>
      <w:proofErr w:type="gramStart"/>
      <w:r w:rsidRPr="00162F1C">
        <w:rPr>
          <w:rFonts w:ascii="Times New Roman" w:hAnsi="Times New Roman" w:cs="Times New Roman"/>
          <w:color w:val="000000" w:themeColor="text1"/>
          <w:sz w:val="22"/>
          <w:szCs w:val="22"/>
        </w:rPr>
        <w:t>The number of droughts, earthquakes, floods, and storms (as defined by the EM-DAT database) that occurred in the specified time period.</w:t>
      </w:r>
      <w:proofErr w:type="gramEnd"/>
      <w:r w:rsidRPr="00162F1C">
        <w:rPr>
          <w:rFonts w:ascii="Times New Roman" w:hAnsi="Times New Roman" w:cs="Times New Roman"/>
          <w:color w:val="000000" w:themeColor="text1"/>
          <w:sz w:val="22"/>
          <w:szCs w:val="22"/>
        </w:rPr>
        <w:t xml:space="preserve">  Disasters that affect multiple countries are considered to be separate events for the purpose of calculating summary groups. </w:t>
      </w:r>
      <w:r w:rsidRPr="00162F1C">
        <w:rPr>
          <w:rFonts w:ascii="Times New Roman" w:hAnsi="Times New Roman" w:cs="Times New Roman"/>
          <w:b/>
          <w:color w:val="000000" w:themeColor="text1"/>
          <w:sz w:val="22"/>
          <w:szCs w:val="22"/>
        </w:rPr>
        <w:t>Data sources:</w:t>
      </w:r>
      <w:r w:rsidRPr="00162F1C">
        <w:rPr>
          <w:rFonts w:ascii="Times New Roman" w:hAnsi="Times New Roman" w:cs="Times New Roman"/>
          <w:color w:val="000000" w:themeColor="text1"/>
          <w:sz w:val="22"/>
          <w:szCs w:val="22"/>
        </w:rPr>
        <w:t xml:space="preserve"> Guha-Sapir, D., and P. Heudtlass</w:t>
      </w:r>
      <w:proofErr w:type="gramStart"/>
      <w:r w:rsidRPr="00162F1C">
        <w:rPr>
          <w:rFonts w:ascii="Times New Roman" w:hAnsi="Times New Roman" w:cs="Times New Roman"/>
          <w:color w:val="000000" w:themeColor="text1"/>
          <w:sz w:val="22"/>
          <w:szCs w:val="22"/>
        </w:rPr>
        <w:t>,  2013</w:t>
      </w:r>
      <w:proofErr w:type="gramEnd"/>
      <w:r w:rsidRPr="00162F1C">
        <w:rPr>
          <w:rFonts w:ascii="Times New Roman" w:hAnsi="Times New Roman" w:cs="Times New Roman"/>
          <w:color w:val="000000" w:themeColor="text1"/>
          <w:sz w:val="22"/>
          <w:szCs w:val="22"/>
        </w:rPr>
        <w:t>, “Standardized Indicators of Human and Economic Loss from Natural Disasters,” CRED working paper, IRSS, University of Louvain, Brussels; EM-DAT: The OFDA/CRED International Disaster Database, at http://www.emdat.be.</w:t>
      </w:r>
    </w:p>
    <w:p w14:paraId="6147E101" w14:textId="77777777" w:rsidR="00707E2E" w:rsidRPr="00162F1C" w:rsidRDefault="00707E2E" w:rsidP="00162F1C">
      <w:pPr>
        <w:spacing w:line="360" w:lineRule="auto"/>
        <w:jc w:val="both"/>
        <w:rPr>
          <w:rFonts w:ascii="Times New Roman" w:eastAsia="Times New Roman" w:hAnsi="Times New Roman" w:cs="Times New Roman"/>
          <w:color w:val="000000" w:themeColor="text1"/>
          <w:sz w:val="22"/>
          <w:szCs w:val="22"/>
          <w:lang w:eastAsia="en-GB"/>
        </w:rPr>
      </w:pPr>
    </w:p>
    <w:p w14:paraId="1D8FD16F" w14:textId="77777777" w:rsidR="00707E2E" w:rsidRPr="00162F1C" w:rsidRDefault="00707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SR_EPI_1993_2002 and SR_EPI_2003_2012:</w:t>
      </w:r>
      <w:r w:rsidRPr="00162F1C">
        <w:rPr>
          <w:rFonts w:ascii="Times New Roman" w:hAnsi="Times New Roman" w:cs="Times New Roman"/>
          <w:color w:val="000000" w:themeColor="text1"/>
          <w:sz w:val="22"/>
          <w:szCs w:val="22"/>
        </w:rPr>
        <w:t xml:space="preserve"> The number of epidemics that were recorded in the specified time period. An epidemic is either an unusual increase in the number of cases of an infectious disease that already exists in the region or population concerned or the appearance of an infection previously absent from a region. Disasters that affect multiple countries are considered to be separate events for the purpose of calculating summary groups. </w:t>
      </w:r>
      <w:r w:rsidRPr="00162F1C">
        <w:rPr>
          <w:rFonts w:ascii="Times New Roman" w:hAnsi="Times New Roman" w:cs="Times New Roman"/>
          <w:b/>
          <w:color w:val="000000" w:themeColor="text1"/>
          <w:sz w:val="22"/>
          <w:szCs w:val="22"/>
        </w:rPr>
        <w:t xml:space="preserve">Data sources: </w:t>
      </w:r>
      <w:r w:rsidRPr="00162F1C">
        <w:rPr>
          <w:rFonts w:ascii="Times New Roman" w:hAnsi="Times New Roman" w:cs="Times New Roman"/>
          <w:color w:val="000000" w:themeColor="text1"/>
          <w:sz w:val="22"/>
          <w:szCs w:val="22"/>
        </w:rPr>
        <w:t>Guha-Sapir, D.</w:t>
      </w:r>
      <w:proofErr w:type="gramStart"/>
      <w:r w:rsidRPr="00162F1C">
        <w:rPr>
          <w:rFonts w:ascii="Times New Roman" w:hAnsi="Times New Roman" w:cs="Times New Roman"/>
          <w:color w:val="000000" w:themeColor="text1"/>
          <w:sz w:val="22"/>
          <w:szCs w:val="22"/>
        </w:rPr>
        <w:t>,and</w:t>
      </w:r>
      <w:proofErr w:type="gramEnd"/>
      <w:r w:rsidRPr="00162F1C">
        <w:rPr>
          <w:rFonts w:ascii="Times New Roman" w:hAnsi="Times New Roman" w:cs="Times New Roman"/>
          <w:color w:val="000000" w:themeColor="text1"/>
          <w:sz w:val="22"/>
          <w:szCs w:val="22"/>
        </w:rPr>
        <w:t xml:space="preserve"> P. Heudtlass,   2013,“Standardized Indicators of Human and Economic Loss from Natural Disasters,” CRED working paper, IRSS, University of Louvain, Brussels; EM-DAT: The OFDA/CRED International Disaster Database, at </w:t>
      </w:r>
      <w:hyperlink r:id="rId11" w:history="1">
        <w:r w:rsidRPr="00162F1C">
          <w:rPr>
            <w:rStyle w:val="Hyperlink"/>
            <w:rFonts w:ascii="Times New Roman" w:hAnsi="Times New Roman" w:cs="Times New Roman"/>
            <w:color w:val="000000" w:themeColor="text1"/>
            <w:sz w:val="22"/>
            <w:szCs w:val="22"/>
            <w:u w:val="none"/>
          </w:rPr>
          <w:t>http://www.emdat.be</w:t>
        </w:r>
      </w:hyperlink>
    </w:p>
    <w:p w14:paraId="316262A5" w14:textId="77777777" w:rsidR="00707E2E" w:rsidRPr="00162F1C" w:rsidRDefault="00707E2E" w:rsidP="00162F1C">
      <w:pPr>
        <w:spacing w:line="360" w:lineRule="auto"/>
        <w:jc w:val="both"/>
        <w:rPr>
          <w:rFonts w:ascii="Times New Roman" w:hAnsi="Times New Roman" w:cs="Times New Roman"/>
          <w:color w:val="000000" w:themeColor="text1"/>
          <w:sz w:val="22"/>
          <w:szCs w:val="22"/>
        </w:rPr>
      </w:pPr>
    </w:p>
    <w:p w14:paraId="266F2D2F" w14:textId="77777777" w:rsidR="00707E2E" w:rsidRPr="00162F1C" w:rsidRDefault="00707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SR_AMM_2007_2011:</w:t>
      </w:r>
      <w:r w:rsidRPr="00162F1C">
        <w:rPr>
          <w:rFonts w:ascii="Times New Roman" w:hAnsi="Times New Roman" w:cs="Times New Roman"/>
          <w:color w:val="000000" w:themeColor="text1"/>
          <w:sz w:val="22"/>
          <w:szCs w:val="22"/>
        </w:rPr>
        <w:t xml:space="preserve"> Adult mortality rate per 1,000 males. The probability per </w:t>
      </w:r>
      <w:r w:rsidR="00025C14" w:rsidRPr="00162F1C">
        <w:rPr>
          <w:rFonts w:ascii="Times New Roman" w:hAnsi="Times New Roman" w:cs="Times New Roman"/>
          <w:color w:val="000000" w:themeColor="text1"/>
          <w:sz w:val="22"/>
          <w:szCs w:val="22"/>
        </w:rPr>
        <w:t>1,000 of</w:t>
      </w:r>
      <w:r w:rsidRPr="00162F1C">
        <w:rPr>
          <w:rFonts w:ascii="Times New Roman" w:hAnsi="Times New Roman" w:cs="Times New Roman"/>
          <w:color w:val="000000" w:themeColor="text1"/>
          <w:sz w:val="22"/>
          <w:szCs w:val="22"/>
        </w:rPr>
        <w:t xml:space="preserve"> dying between </w:t>
      </w:r>
      <w:r w:rsidR="00875E2E" w:rsidRPr="00162F1C">
        <w:rPr>
          <w:rFonts w:ascii="Times New Roman" w:hAnsi="Times New Roman" w:cs="Times New Roman"/>
          <w:color w:val="000000" w:themeColor="text1"/>
          <w:sz w:val="22"/>
          <w:szCs w:val="22"/>
        </w:rPr>
        <w:t xml:space="preserve">men of </w:t>
      </w:r>
      <w:r w:rsidRPr="00162F1C">
        <w:rPr>
          <w:rFonts w:ascii="Times New Roman" w:hAnsi="Times New Roman" w:cs="Times New Roman"/>
          <w:color w:val="000000" w:themeColor="text1"/>
          <w:sz w:val="22"/>
          <w:szCs w:val="22"/>
        </w:rPr>
        <w:t xml:space="preserve">15 and 60 years of age if subject to the age-specific mortality rates of that year between those ages.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 xml:space="preserve">United Nations Population Division, World Population Prospects, at http://esa.un.org/wpp; University of California, Berkeley; Max Planck institute for Demographic Research, Human Mortality Database, at </w:t>
      </w:r>
      <w:hyperlink r:id="rId12" w:history="1">
        <w:r w:rsidR="00875E2E" w:rsidRPr="00162F1C">
          <w:rPr>
            <w:rStyle w:val="Hyperlink"/>
            <w:rFonts w:ascii="Times New Roman" w:hAnsi="Times New Roman" w:cs="Times New Roman"/>
            <w:color w:val="000000" w:themeColor="text1"/>
            <w:sz w:val="22"/>
            <w:szCs w:val="22"/>
            <w:u w:val="none"/>
          </w:rPr>
          <w:t>http://www.mortality.org</w:t>
        </w:r>
      </w:hyperlink>
      <w:r w:rsidRPr="00162F1C">
        <w:rPr>
          <w:rFonts w:ascii="Times New Roman" w:hAnsi="Times New Roman" w:cs="Times New Roman"/>
          <w:color w:val="000000" w:themeColor="text1"/>
          <w:sz w:val="22"/>
          <w:szCs w:val="22"/>
        </w:rPr>
        <w:t>.</w:t>
      </w:r>
    </w:p>
    <w:p w14:paraId="1225245E"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p>
    <w:p w14:paraId="35F0D7C8"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SR_AMF_2007_2011:</w:t>
      </w:r>
      <w:r w:rsidRPr="00162F1C">
        <w:rPr>
          <w:rFonts w:ascii="Times New Roman" w:hAnsi="Times New Roman" w:cs="Times New Roman"/>
          <w:color w:val="000000" w:themeColor="text1"/>
          <w:sz w:val="22"/>
          <w:szCs w:val="22"/>
        </w:rPr>
        <w:t xml:space="preserve"> Adult mortality rate per 1,000 females. The probability per </w:t>
      </w:r>
      <w:r w:rsidR="00025C14" w:rsidRPr="00162F1C">
        <w:rPr>
          <w:rFonts w:ascii="Times New Roman" w:hAnsi="Times New Roman" w:cs="Times New Roman"/>
          <w:color w:val="000000" w:themeColor="text1"/>
          <w:sz w:val="22"/>
          <w:szCs w:val="22"/>
        </w:rPr>
        <w:t>1,000 of</w:t>
      </w:r>
      <w:r w:rsidRPr="00162F1C">
        <w:rPr>
          <w:rFonts w:ascii="Times New Roman" w:hAnsi="Times New Roman" w:cs="Times New Roman"/>
          <w:color w:val="000000" w:themeColor="text1"/>
          <w:sz w:val="22"/>
          <w:szCs w:val="22"/>
        </w:rPr>
        <w:t xml:space="preserve"> dying between females of 15 and 60 years of age if subject to the age-specific mortality rates of that year between those ages.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 xml:space="preserve">United Nations Population Division, World Population Prospects, at http://esa.un.org/wpp; University of California, Berkeley; Max Planck institute for Demographic Research, Human Mortality Database, at </w:t>
      </w:r>
      <w:hyperlink r:id="rId13" w:history="1">
        <w:r w:rsidRPr="00162F1C">
          <w:rPr>
            <w:rStyle w:val="Hyperlink"/>
            <w:rFonts w:ascii="Times New Roman" w:hAnsi="Times New Roman" w:cs="Times New Roman"/>
            <w:color w:val="000000" w:themeColor="text1"/>
            <w:sz w:val="22"/>
            <w:szCs w:val="22"/>
            <w:u w:val="none"/>
          </w:rPr>
          <w:t>http://www.mortality.org</w:t>
        </w:r>
      </w:hyperlink>
      <w:r w:rsidRPr="00162F1C">
        <w:rPr>
          <w:rFonts w:ascii="Times New Roman" w:hAnsi="Times New Roman" w:cs="Times New Roman"/>
          <w:color w:val="000000" w:themeColor="text1"/>
          <w:sz w:val="22"/>
          <w:szCs w:val="22"/>
        </w:rPr>
        <w:t>.</w:t>
      </w:r>
    </w:p>
    <w:p w14:paraId="7392DEE2" w14:textId="77777777" w:rsidR="00875E2E" w:rsidRPr="00162F1C" w:rsidRDefault="00875E2E" w:rsidP="00162F1C">
      <w:pPr>
        <w:widowControl w:val="0"/>
        <w:autoSpaceDE w:val="0"/>
        <w:autoSpaceDN w:val="0"/>
        <w:adjustRightInd w:val="0"/>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SR_RPI_2013:</w:t>
      </w:r>
      <w:r w:rsidRPr="00162F1C">
        <w:rPr>
          <w:rFonts w:ascii="Times New Roman" w:hAnsi="Times New Roman" w:cs="Times New Roman"/>
          <w:color w:val="000000" w:themeColor="text1"/>
          <w:sz w:val="22"/>
          <w:szCs w:val="22"/>
        </w:rPr>
        <w:t xml:space="preserve"> Risk preparation index on a 0–100 scale. </w:t>
      </w:r>
      <w:proofErr w:type="gramStart"/>
      <w:r w:rsidRPr="00162F1C">
        <w:rPr>
          <w:rFonts w:ascii="Times New Roman" w:hAnsi="Times New Roman" w:cs="Times New Roman"/>
          <w:color w:val="000000" w:themeColor="text1"/>
          <w:sz w:val="22"/>
          <w:szCs w:val="22"/>
        </w:rPr>
        <w:t>A composite index that estimates the cross-country preparedness of households to face generic risk events.</w:t>
      </w:r>
      <w:proofErr w:type="gramEnd"/>
      <w:r w:rsidRPr="00162F1C">
        <w:rPr>
          <w:rFonts w:ascii="Times New Roman" w:hAnsi="Times New Roman" w:cs="Times New Roman"/>
          <w:color w:val="000000" w:themeColor="text1"/>
          <w:sz w:val="22"/>
          <w:szCs w:val="22"/>
        </w:rPr>
        <w:t xml:space="preserve">  The components of the index are average years of schooling; immunization rate (measles); proportion of households with less than $1,000 in net assets; access to finance index; contributors to a pension scheme (% of </w:t>
      </w:r>
      <w:r w:rsidR="00025C14" w:rsidRPr="00162F1C">
        <w:rPr>
          <w:rFonts w:ascii="Times New Roman" w:hAnsi="Times New Roman" w:cs="Times New Roman"/>
          <w:color w:val="000000" w:themeColor="text1"/>
          <w:sz w:val="22"/>
          <w:szCs w:val="22"/>
        </w:rPr>
        <w:t>labour</w:t>
      </w:r>
      <w:r w:rsidRPr="00162F1C">
        <w:rPr>
          <w:rFonts w:ascii="Times New Roman" w:hAnsi="Times New Roman" w:cs="Times New Roman"/>
          <w:color w:val="000000" w:themeColor="text1"/>
          <w:sz w:val="22"/>
          <w:szCs w:val="22"/>
        </w:rPr>
        <w:t xml:space="preserve"> force); proportion of respondents stating that "in general, people can be trusted"; access to improved sanitation facilities (% of population); and gross public debt (% of revenues). The Risk Preparation Index follows the methodology suggested in Foa, R, 2013, “Household Risk Preparation Indices: Construction and Diagnostics,” Background Paper for the World Development Report 2014.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calculations by WDR staff</w:t>
      </w:r>
    </w:p>
    <w:p w14:paraId="647D6C06" w14:textId="77777777" w:rsidR="00875E2E" w:rsidRPr="00162F1C" w:rsidRDefault="00875E2E" w:rsidP="00162F1C">
      <w:pPr>
        <w:widowControl w:val="0"/>
        <w:autoSpaceDE w:val="0"/>
        <w:autoSpaceDN w:val="0"/>
        <w:adjustRightInd w:val="0"/>
        <w:spacing w:line="360" w:lineRule="auto"/>
        <w:jc w:val="both"/>
        <w:rPr>
          <w:rFonts w:ascii="Times New Roman" w:hAnsi="Times New Roman" w:cs="Times New Roman"/>
          <w:color w:val="000000" w:themeColor="text1"/>
          <w:sz w:val="22"/>
          <w:szCs w:val="22"/>
        </w:rPr>
      </w:pPr>
    </w:p>
    <w:p w14:paraId="3AA61FFC" w14:textId="77777777" w:rsidR="00875E2E" w:rsidRPr="00162F1C" w:rsidRDefault="00875E2E" w:rsidP="00162F1C">
      <w:pPr>
        <w:widowControl w:val="0"/>
        <w:autoSpaceDE w:val="0"/>
        <w:autoSpaceDN w:val="0"/>
        <w:adjustRightInd w:val="0"/>
        <w:spacing w:line="360" w:lineRule="auto"/>
        <w:jc w:val="both"/>
        <w:rPr>
          <w:rFonts w:ascii="Times New Roman" w:hAnsi="Times New Roman" w:cs="Times New Roman"/>
          <w:b/>
          <w:color w:val="000000" w:themeColor="text1"/>
          <w:sz w:val="22"/>
          <w:szCs w:val="22"/>
        </w:rPr>
      </w:pPr>
      <w:r w:rsidRPr="00162F1C">
        <w:rPr>
          <w:rFonts w:ascii="Times New Roman" w:hAnsi="Times New Roman" w:cs="Times New Roman"/>
          <w:b/>
          <w:color w:val="000000" w:themeColor="text1"/>
          <w:sz w:val="22"/>
          <w:szCs w:val="22"/>
        </w:rPr>
        <w:t>Selected Indicators Related to Risk Management at the Household Level</w:t>
      </w:r>
    </w:p>
    <w:p w14:paraId="1225DF6A" w14:textId="77777777" w:rsidR="00875E2E" w:rsidRPr="00162F1C" w:rsidRDefault="00875E2E" w:rsidP="00162F1C">
      <w:pPr>
        <w:spacing w:line="360" w:lineRule="auto"/>
        <w:jc w:val="both"/>
        <w:rPr>
          <w:rFonts w:ascii="Times New Roman" w:eastAsia="Times New Roman" w:hAnsi="Times New Roman" w:cs="Times New Roman"/>
          <w:color w:val="000000" w:themeColor="text1"/>
          <w:sz w:val="22"/>
          <w:szCs w:val="22"/>
          <w:lang w:eastAsia="en-GB"/>
        </w:rPr>
      </w:pPr>
    </w:p>
    <w:p w14:paraId="51F8A951" w14:textId="77777777" w:rsidR="00875E2E" w:rsidRPr="00162F1C" w:rsidRDefault="00875E2E" w:rsidP="00162F1C">
      <w:pPr>
        <w:spacing w:line="360" w:lineRule="auto"/>
        <w:jc w:val="both"/>
        <w:rPr>
          <w:rFonts w:ascii="Times New Roman" w:hAnsi="Times New Roman" w:cs="Times New Roman"/>
          <w:b/>
          <w:color w:val="000000" w:themeColor="text1"/>
          <w:sz w:val="22"/>
          <w:szCs w:val="22"/>
        </w:rPr>
      </w:pPr>
      <w:r w:rsidRPr="00162F1C">
        <w:rPr>
          <w:rFonts w:ascii="Times New Roman" w:hAnsi="Times New Roman" w:cs="Times New Roman"/>
          <w:b/>
          <w:color w:val="000000" w:themeColor="text1"/>
          <w:sz w:val="22"/>
          <w:szCs w:val="22"/>
        </w:rPr>
        <w:t>RMH_EP_2010:</w:t>
      </w:r>
      <w:r w:rsidRPr="00162F1C">
        <w:rPr>
          <w:rFonts w:ascii="Times New Roman" w:hAnsi="Times New Roman" w:cs="Times New Roman"/>
          <w:color w:val="000000" w:themeColor="text1"/>
          <w:sz w:val="22"/>
          <w:szCs w:val="22"/>
        </w:rPr>
        <w:t xml:space="preserve"> The percent of adults that are over and above the age 25 and have completed their primary education. Observations are estimates based on population censuses. </w:t>
      </w:r>
      <w:r w:rsidRPr="00162F1C">
        <w:rPr>
          <w:rFonts w:ascii="Times New Roman" w:hAnsi="Times New Roman" w:cs="Times New Roman"/>
          <w:b/>
          <w:color w:val="000000" w:themeColor="text1"/>
          <w:sz w:val="22"/>
          <w:szCs w:val="22"/>
        </w:rPr>
        <w:t>Data Source:</w:t>
      </w:r>
      <w:r w:rsidRPr="00162F1C">
        <w:rPr>
          <w:rFonts w:ascii="Times New Roman" w:hAnsi="Times New Roman" w:cs="Times New Roman"/>
          <w:color w:val="000000" w:themeColor="text1"/>
          <w:sz w:val="22"/>
          <w:szCs w:val="22"/>
        </w:rPr>
        <w:t xml:space="preserve"> Robert J. Barro </w:t>
      </w:r>
      <w:proofErr w:type="gramStart"/>
      <w:r w:rsidRPr="00162F1C">
        <w:rPr>
          <w:rFonts w:ascii="Times New Roman" w:hAnsi="Times New Roman" w:cs="Times New Roman"/>
          <w:color w:val="000000" w:themeColor="text1"/>
          <w:sz w:val="22"/>
          <w:szCs w:val="22"/>
        </w:rPr>
        <w:t>and  Jong</w:t>
      </w:r>
      <w:proofErr w:type="gramEnd"/>
      <w:r w:rsidRPr="00162F1C">
        <w:rPr>
          <w:rFonts w:ascii="Times New Roman" w:hAnsi="Times New Roman" w:cs="Times New Roman"/>
          <w:color w:val="000000" w:themeColor="text1"/>
          <w:sz w:val="22"/>
          <w:szCs w:val="22"/>
        </w:rPr>
        <w:t>-Wha Lee, at http://www.barrolee.com.</w:t>
      </w:r>
    </w:p>
    <w:p w14:paraId="4B847106" w14:textId="77777777" w:rsidR="00875E2E" w:rsidRPr="00162F1C" w:rsidRDefault="00875E2E" w:rsidP="00162F1C">
      <w:pPr>
        <w:spacing w:line="360" w:lineRule="auto"/>
        <w:jc w:val="both"/>
        <w:rPr>
          <w:rFonts w:ascii="Times New Roman" w:eastAsia="Times New Roman" w:hAnsi="Times New Roman" w:cs="Times New Roman"/>
          <w:color w:val="000000" w:themeColor="text1"/>
          <w:sz w:val="22"/>
          <w:szCs w:val="22"/>
          <w:lang w:eastAsia="en-GB"/>
        </w:rPr>
      </w:pPr>
    </w:p>
    <w:p w14:paraId="32F0E2E6"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lastRenderedPageBreak/>
        <w:t>RMH_ES_2010:</w:t>
      </w:r>
      <w:r w:rsidRPr="00162F1C">
        <w:rPr>
          <w:rFonts w:ascii="Times New Roman" w:hAnsi="Times New Roman" w:cs="Times New Roman"/>
          <w:color w:val="000000" w:themeColor="text1"/>
          <w:sz w:val="22"/>
          <w:szCs w:val="22"/>
        </w:rPr>
        <w:t xml:space="preserve"> The percent of adults that are over and above the age 25 and have completed their secondary education. Observations are estimates based on population censuses. </w:t>
      </w:r>
      <w:r w:rsidRPr="00162F1C">
        <w:rPr>
          <w:rFonts w:ascii="Times New Roman" w:hAnsi="Times New Roman" w:cs="Times New Roman"/>
          <w:b/>
          <w:color w:val="000000" w:themeColor="text1"/>
          <w:sz w:val="22"/>
          <w:szCs w:val="22"/>
        </w:rPr>
        <w:t>Data Source:</w:t>
      </w:r>
      <w:r w:rsidRPr="00162F1C">
        <w:rPr>
          <w:rFonts w:ascii="Times New Roman" w:hAnsi="Times New Roman" w:cs="Times New Roman"/>
          <w:color w:val="000000" w:themeColor="text1"/>
          <w:sz w:val="22"/>
          <w:szCs w:val="22"/>
        </w:rPr>
        <w:t xml:space="preserve"> Robert J. Barro </w:t>
      </w:r>
      <w:proofErr w:type="gramStart"/>
      <w:r w:rsidRPr="00162F1C">
        <w:rPr>
          <w:rFonts w:ascii="Times New Roman" w:hAnsi="Times New Roman" w:cs="Times New Roman"/>
          <w:color w:val="000000" w:themeColor="text1"/>
          <w:sz w:val="22"/>
          <w:szCs w:val="22"/>
        </w:rPr>
        <w:t>and  Jong</w:t>
      </w:r>
      <w:proofErr w:type="gramEnd"/>
      <w:r w:rsidRPr="00162F1C">
        <w:rPr>
          <w:rFonts w:ascii="Times New Roman" w:hAnsi="Times New Roman" w:cs="Times New Roman"/>
          <w:color w:val="000000" w:themeColor="text1"/>
          <w:sz w:val="22"/>
          <w:szCs w:val="22"/>
        </w:rPr>
        <w:t xml:space="preserve">-Wha Lee, at </w:t>
      </w:r>
      <w:hyperlink r:id="rId14" w:history="1">
        <w:r w:rsidRPr="00162F1C">
          <w:rPr>
            <w:rStyle w:val="Hyperlink"/>
            <w:rFonts w:ascii="Times New Roman" w:hAnsi="Times New Roman" w:cs="Times New Roman"/>
            <w:color w:val="000000" w:themeColor="text1"/>
            <w:sz w:val="22"/>
            <w:szCs w:val="22"/>
            <w:u w:val="none"/>
          </w:rPr>
          <w:t>http://www.barrolee.com</w:t>
        </w:r>
      </w:hyperlink>
      <w:r w:rsidRPr="00162F1C">
        <w:rPr>
          <w:rFonts w:ascii="Times New Roman" w:hAnsi="Times New Roman" w:cs="Times New Roman"/>
          <w:color w:val="000000" w:themeColor="text1"/>
          <w:sz w:val="22"/>
          <w:szCs w:val="22"/>
        </w:rPr>
        <w:t>.</w:t>
      </w:r>
    </w:p>
    <w:p w14:paraId="5E3D64B9"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p>
    <w:p w14:paraId="744DFEDF"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RMH_ET_2010:</w:t>
      </w:r>
      <w:r w:rsidRPr="00162F1C">
        <w:rPr>
          <w:rFonts w:ascii="Times New Roman" w:hAnsi="Times New Roman" w:cs="Times New Roman"/>
          <w:color w:val="000000" w:themeColor="text1"/>
          <w:sz w:val="22"/>
          <w:szCs w:val="22"/>
        </w:rPr>
        <w:t xml:space="preserve"> The percent of adults that are over and above the age 25 and have completed their tertiary education. Observations are estimates based on population censuses. </w:t>
      </w:r>
      <w:r w:rsidRPr="00162F1C">
        <w:rPr>
          <w:rFonts w:ascii="Times New Roman" w:hAnsi="Times New Roman" w:cs="Times New Roman"/>
          <w:b/>
          <w:color w:val="000000" w:themeColor="text1"/>
          <w:sz w:val="22"/>
          <w:szCs w:val="22"/>
        </w:rPr>
        <w:t>Data Source:</w:t>
      </w:r>
      <w:r w:rsidRPr="00162F1C">
        <w:rPr>
          <w:rFonts w:ascii="Times New Roman" w:hAnsi="Times New Roman" w:cs="Times New Roman"/>
          <w:color w:val="000000" w:themeColor="text1"/>
          <w:sz w:val="22"/>
          <w:szCs w:val="22"/>
        </w:rPr>
        <w:t xml:space="preserve"> Robert J. Barro </w:t>
      </w:r>
      <w:proofErr w:type="gramStart"/>
      <w:r w:rsidRPr="00162F1C">
        <w:rPr>
          <w:rFonts w:ascii="Times New Roman" w:hAnsi="Times New Roman" w:cs="Times New Roman"/>
          <w:color w:val="000000" w:themeColor="text1"/>
          <w:sz w:val="22"/>
          <w:szCs w:val="22"/>
        </w:rPr>
        <w:t>and  Jong</w:t>
      </w:r>
      <w:proofErr w:type="gramEnd"/>
      <w:r w:rsidRPr="00162F1C">
        <w:rPr>
          <w:rFonts w:ascii="Times New Roman" w:hAnsi="Times New Roman" w:cs="Times New Roman"/>
          <w:color w:val="000000" w:themeColor="text1"/>
          <w:sz w:val="22"/>
          <w:szCs w:val="22"/>
        </w:rPr>
        <w:t xml:space="preserve">-Wha Lee, at </w:t>
      </w:r>
      <w:hyperlink r:id="rId15" w:history="1">
        <w:r w:rsidRPr="00162F1C">
          <w:rPr>
            <w:rStyle w:val="Hyperlink"/>
            <w:rFonts w:ascii="Times New Roman" w:hAnsi="Times New Roman" w:cs="Times New Roman"/>
            <w:color w:val="000000" w:themeColor="text1"/>
            <w:sz w:val="22"/>
            <w:szCs w:val="22"/>
            <w:u w:val="none"/>
          </w:rPr>
          <w:t>http://www.barrolee.com</w:t>
        </w:r>
      </w:hyperlink>
      <w:r w:rsidRPr="00162F1C">
        <w:rPr>
          <w:rFonts w:ascii="Times New Roman" w:hAnsi="Times New Roman" w:cs="Times New Roman"/>
          <w:color w:val="000000" w:themeColor="text1"/>
          <w:sz w:val="22"/>
          <w:szCs w:val="22"/>
        </w:rPr>
        <w:t>.</w:t>
      </w:r>
    </w:p>
    <w:p w14:paraId="6F379FE7"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p>
    <w:p w14:paraId="43FE5A87"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RMH_S_2011:</w:t>
      </w:r>
      <w:r w:rsidRPr="00162F1C">
        <w:rPr>
          <w:rFonts w:ascii="Times New Roman" w:hAnsi="Times New Roman" w:cs="Times New Roman"/>
          <w:color w:val="000000" w:themeColor="text1"/>
          <w:sz w:val="22"/>
          <w:szCs w:val="22"/>
        </w:rPr>
        <w:t xml:space="preserve"> Denotes the percentage of respondents (age 15+) who report saving or setting aside any money in the past 12 months.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 xml:space="preserve">World Bank, Global Financial Inclusion Database, at </w:t>
      </w:r>
      <w:hyperlink r:id="rId16" w:history="1">
        <w:r w:rsidRPr="00162F1C">
          <w:rPr>
            <w:rStyle w:val="Hyperlink"/>
            <w:rFonts w:ascii="Times New Roman" w:hAnsi="Times New Roman" w:cs="Times New Roman"/>
            <w:color w:val="000000" w:themeColor="text1"/>
            <w:sz w:val="22"/>
            <w:szCs w:val="22"/>
            <w:u w:val="none"/>
          </w:rPr>
          <w:t>http://data.worldbank.org/data-catalog/financial_inclusion</w:t>
        </w:r>
      </w:hyperlink>
      <w:r w:rsidRPr="00162F1C">
        <w:rPr>
          <w:rFonts w:ascii="Times New Roman" w:hAnsi="Times New Roman" w:cs="Times New Roman"/>
          <w:color w:val="000000" w:themeColor="text1"/>
          <w:sz w:val="22"/>
          <w:szCs w:val="22"/>
        </w:rPr>
        <w:t>.</w:t>
      </w:r>
    </w:p>
    <w:p w14:paraId="0FE3BF64"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p>
    <w:p w14:paraId="2F322AB5" w14:textId="77777777" w:rsidR="00875E2E" w:rsidRPr="00162F1C" w:rsidRDefault="00875E2E" w:rsidP="00162F1C">
      <w:pPr>
        <w:spacing w:line="360" w:lineRule="auto"/>
        <w:jc w:val="both"/>
        <w:rPr>
          <w:rFonts w:ascii="Times New Roman" w:hAnsi="Times New Roman" w:cs="Times New Roman"/>
          <w:b/>
          <w:color w:val="000000" w:themeColor="text1"/>
          <w:sz w:val="22"/>
          <w:szCs w:val="22"/>
        </w:rPr>
      </w:pPr>
      <w:r w:rsidRPr="00162F1C">
        <w:rPr>
          <w:rFonts w:ascii="Times New Roman" w:hAnsi="Times New Roman" w:cs="Times New Roman"/>
          <w:b/>
          <w:color w:val="000000" w:themeColor="text1"/>
          <w:sz w:val="22"/>
          <w:szCs w:val="22"/>
        </w:rPr>
        <w:t xml:space="preserve">Selected </w:t>
      </w:r>
      <w:r w:rsidRPr="00162F1C">
        <w:rPr>
          <w:rFonts w:ascii="Times New Roman" w:hAnsi="Times New Roman" w:cs="Times New Roman"/>
          <w:color w:val="000000" w:themeColor="text1"/>
          <w:sz w:val="22"/>
          <w:szCs w:val="22"/>
        </w:rPr>
        <w:t>Indicators Related to Risk Management at the Financial Sector Level</w:t>
      </w:r>
    </w:p>
    <w:p w14:paraId="329D3141" w14:textId="77777777" w:rsidR="00875E2E" w:rsidRPr="00162F1C" w:rsidRDefault="00875E2E" w:rsidP="00162F1C">
      <w:pPr>
        <w:spacing w:line="360" w:lineRule="auto"/>
        <w:jc w:val="both"/>
        <w:rPr>
          <w:rFonts w:ascii="Times New Roman" w:hAnsi="Times New Roman" w:cs="Times New Roman"/>
          <w:b/>
          <w:color w:val="000000" w:themeColor="text1"/>
          <w:sz w:val="22"/>
          <w:szCs w:val="22"/>
        </w:rPr>
      </w:pPr>
    </w:p>
    <w:p w14:paraId="537759BD"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RMF_PHI_2011:</w:t>
      </w:r>
      <w:r w:rsidRPr="00162F1C">
        <w:rPr>
          <w:rFonts w:ascii="Times New Roman" w:hAnsi="Times New Roman" w:cs="Times New Roman"/>
          <w:color w:val="000000" w:themeColor="text1"/>
          <w:sz w:val="22"/>
          <w:szCs w:val="22"/>
        </w:rPr>
        <w:t xml:space="preserve"> The percentage of respondents (aged 15+) who currently have health or medical insurance (in addition to national health insurance) and who personally purchased this insurance.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World Bank, Global Financial Inclusion Database, at http://data.worldbank.org/data-catalog/financial_inclusion.</w:t>
      </w:r>
    </w:p>
    <w:p w14:paraId="24BA7A4F"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p>
    <w:p w14:paraId="20F2E997"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 xml:space="preserve">RMF_PAI_2011: </w:t>
      </w:r>
      <w:r w:rsidRPr="00162F1C">
        <w:rPr>
          <w:rFonts w:ascii="Times New Roman" w:hAnsi="Times New Roman" w:cs="Times New Roman"/>
          <w:color w:val="000000" w:themeColor="text1"/>
          <w:sz w:val="22"/>
          <w:szCs w:val="22"/>
        </w:rPr>
        <w:t xml:space="preserve">The percentage of respondents (aged 15+) who are farming, fishing, or forestry workers and in the past 12 months have personally paid for crop, rainfall, or livestock insurance.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World Bank, Global Financial Inclusion Database, at http://data.worldbank.org/data-catalog/financial_inclusion.</w:t>
      </w:r>
    </w:p>
    <w:p w14:paraId="21F804DF"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p>
    <w:p w14:paraId="42DFAFA2"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RMF_IA_2005_2010:</w:t>
      </w:r>
      <w:r w:rsidRPr="00162F1C">
        <w:rPr>
          <w:rFonts w:ascii="Times New Roman" w:hAnsi="Times New Roman" w:cs="Times New Roman"/>
          <w:color w:val="000000" w:themeColor="text1"/>
          <w:sz w:val="22"/>
          <w:szCs w:val="22"/>
        </w:rPr>
        <w:t xml:space="preserve"> The ratio of assets of insurance companies to GDP.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World Bank, Global Financial Development Database, at http://data.worldbank.org/data-catalog/global-financial-development.</w:t>
      </w:r>
    </w:p>
    <w:p w14:paraId="1A61C4C7" w14:textId="77777777" w:rsidR="00875E2E" w:rsidRPr="00162F1C" w:rsidRDefault="00875E2E" w:rsidP="00162F1C">
      <w:pPr>
        <w:spacing w:line="360" w:lineRule="auto"/>
        <w:jc w:val="both"/>
        <w:rPr>
          <w:rFonts w:ascii="Times New Roman" w:hAnsi="Times New Roman" w:cs="Times New Roman"/>
          <w:b/>
          <w:color w:val="000000" w:themeColor="text1"/>
          <w:sz w:val="22"/>
          <w:szCs w:val="22"/>
        </w:rPr>
      </w:pPr>
    </w:p>
    <w:p w14:paraId="33C6C17D" w14:textId="77777777" w:rsidR="00875E2E" w:rsidRPr="00162F1C" w:rsidRDefault="00875E2E"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RMF_BS_2000</w:t>
      </w:r>
      <w:r w:rsidR="007E1ECA" w:rsidRPr="00162F1C">
        <w:rPr>
          <w:rFonts w:ascii="Times New Roman" w:hAnsi="Times New Roman" w:cs="Times New Roman"/>
          <w:b/>
          <w:color w:val="000000" w:themeColor="text1"/>
          <w:sz w:val="22"/>
          <w:szCs w:val="22"/>
        </w:rPr>
        <w:t xml:space="preserve"> and RMF_BS_2011</w:t>
      </w:r>
      <w:r w:rsidRPr="00162F1C">
        <w:rPr>
          <w:rFonts w:ascii="Times New Roman" w:hAnsi="Times New Roman" w:cs="Times New Roman"/>
          <w:b/>
          <w:color w:val="000000" w:themeColor="text1"/>
          <w:sz w:val="22"/>
          <w:szCs w:val="22"/>
        </w:rPr>
        <w:t>:</w:t>
      </w:r>
      <w:r w:rsidRPr="00162F1C">
        <w:rPr>
          <w:rFonts w:ascii="Times New Roman" w:hAnsi="Times New Roman" w:cs="Times New Roman"/>
          <w:color w:val="000000" w:themeColor="text1"/>
          <w:sz w:val="22"/>
          <w:szCs w:val="22"/>
        </w:rPr>
        <w:t xml:space="preserve"> Ratio of domestic demand, time, and savings deposits in deposit money banks to GDP. </w:t>
      </w:r>
      <w:r w:rsidRPr="00162F1C">
        <w:rPr>
          <w:rFonts w:ascii="Times New Roman" w:hAnsi="Times New Roman" w:cs="Times New Roman"/>
          <w:b/>
          <w:color w:val="000000" w:themeColor="text1"/>
          <w:sz w:val="22"/>
          <w:szCs w:val="22"/>
        </w:rPr>
        <w:t>Data Source:</w:t>
      </w:r>
      <w:r w:rsidRPr="00162F1C">
        <w:rPr>
          <w:rFonts w:ascii="Times New Roman" w:hAnsi="Times New Roman" w:cs="Times New Roman"/>
          <w:color w:val="000000" w:themeColor="text1"/>
          <w:sz w:val="22"/>
          <w:szCs w:val="22"/>
        </w:rPr>
        <w:t xml:space="preserve"> World Bank.</w:t>
      </w:r>
    </w:p>
    <w:p w14:paraId="6AF99EEA" w14:textId="77777777" w:rsidR="00875E2E" w:rsidRPr="00162F1C" w:rsidRDefault="007E1ECA" w:rsidP="00162F1C">
      <w:pPr>
        <w:spacing w:line="360" w:lineRule="auto"/>
        <w:jc w:val="both"/>
        <w:rPr>
          <w:rFonts w:ascii="Times New Roman" w:hAnsi="Times New Roman" w:cs="Times New Roman"/>
          <w:b/>
          <w:color w:val="000000" w:themeColor="text1"/>
          <w:sz w:val="22"/>
          <w:szCs w:val="22"/>
        </w:rPr>
      </w:pPr>
      <w:r w:rsidRPr="00162F1C">
        <w:rPr>
          <w:rFonts w:ascii="Times New Roman" w:hAnsi="Times New Roman" w:cs="Times New Roman"/>
          <w:b/>
          <w:color w:val="000000" w:themeColor="text1"/>
          <w:sz w:val="22"/>
          <w:szCs w:val="22"/>
        </w:rPr>
        <w:t>RMF_C_2000 and RMF_C_2011</w:t>
      </w:r>
      <w:r w:rsidR="00875E2E" w:rsidRPr="00162F1C">
        <w:rPr>
          <w:rFonts w:ascii="Times New Roman" w:hAnsi="Times New Roman" w:cs="Times New Roman"/>
          <w:b/>
          <w:color w:val="000000" w:themeColor="text1"/>
          <w:sz w:val="22"/>
          <w:szCs w:val="22"/>
        </w:rPr>
        <w:t>:</w:t>
      </w:r>
      <w:r w:rsidR="00875E2E" w:rsidRPr="00162F1C">
        <w:rPr>
          <w:rFonts w:ascii="Times New Roman" w:hAnsi="Times New Roman" w:cs="Times New Roman"/>
          <w:color w:val="000000" w:themeColor="text1"/>
          <w:sz w:val="22"/>
          <w:szCs w:val="22"/>
        </w:rPr>
        <w:t xml:space="preserve"> Ratio of domestic private credit to the real sector by deposit money banks to GDP. </w:t>
      </w:r>
      <w:r w:rsidR="00875E2E" w:rsidRPr="00162F1C">
        <w:rPr>
          <w:rFonts w:ascii="Times New Roman" w:hAnsi="Times New Roman" w:cs="Times New Roman"/>
          <w:b/>
          <w:color w:val="000000" w:themeColor="text1"/>
          <w:sz w:val="22"/>
          <w:szCs w:val="22"/>
        </w:rPr>
        <w:t>Data Source:</w:t>
      </w:r>
      <w:r w:rsidR="00875E2E" w:rsidRPr="00162F1C">
        <w:rPr>
          <w:rFonts w:ascii="Times New Roman" w:hAnsi="Times New Roman" w:cs="Times New Roman"/>
          <w:color w:val="000000" w:themeColor="text1"/>
          <w:sz w:val="22"/>
          <w:szCs w:val="22"/>
        </w:rPr>
        <w:t xml:space="preserve"> World Bank.</w:t>
      </w:r>
    </w:p>
    <w:p w14:paraId="0552744B" w14:textId="77777777" w:rsidR="00875E2E" w:rsidRPr="00162F1C" w:rsidRDefault="00875E2E" w:rsidP="00162F1C">
      <w:pPr>
        <w:spacing w:line="360" w:lineRule="auto"/>
        <w:jc w:val="both"/>
        <w:rPr>
          <w:rFonts w:ascii="Times New Roman" w:eastAsia="Times New Roman" w:hAnsi="Times New Roman" w:cs="Times New Roman"/>
          <w:color w:val="000000" w:themeColor="text1"/>
          <w:sz w:val="22"/>
          <w:szCs w:val="22"/>
          <w:lang w:eastAsia="en-GB"/>
        </w:rPr>
      </w:pPr>
    </w:p>
    <w:p w14:paraId="47440955"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RMF_IP_2000 and RMF_IP_2011:</w:t>
      </w:r>
      <w:r w:rsidRPr="00162F1C">
        <w:rPr>
          <w:rFonts w:ascii="Times New Roman" w:hAnsi="Times New Roman" w:cs="Times New Roman"/>
          <w:color w:val="000000" w:themeColor="text1"/>
          <w:sz w:val="22"/>
          <w:szCs w:val="22"/>
        </w:rPr>
        <w:t xml:space="preserve"> Ratio of insurance premiums (life and nonlife) to GDP. </w:t>
      </w:r>
      <w:r w:rsidRPr="00162F1C">
        <w:rPr>
          <w:rFonts w:ascii="Times New Roman" w:hAnsi="Times New Roman" w:cs="Times New Roman"/>
          <w:b/>
          <w:color w:val="000000" w:themeColor="text1"/>
          <w:sz w:val="22"/>
          <w:szCs w:val="22"/>
        </w:rPr>
        <w:t>Data Source:</w:t>
      </w:r>
      <w:r w:rsidRPr="00162F1C">
        <w:rPr>
          <w:rFonts w:ascii="Times New Roman" w:hAnsi="Times New Roman" w:cs="Times New Roman"/>
          <w:color w:val="000000" w:themeColor="text1"/>
          <w:sz w:val="22"/>
          <w:szCs w:val="22"/>
        </w:rPr>
        <w:t xml:space="preserve"> World Bank.</w:t>
      </w:r>
    </w:p>
    <w:p w14:paraId="1826E28A" w14:textId="77777777" w:rsidR="00875E2E" w:rsidRPr="00162F1C" w:rsidRDefault="00875E2E" w:rsidP="00162F1C">
      <w:pPr>
        <w:spacing w:line="360" w:lineRule="auto"/>
        <w:jc w:val="both"/>
        <w:rPr>
          <w:rFonts w:ascii="Times New Roman" w:eastAsia="Times New Roman" w:hAnsi="Times New Roman" w:cs="Times New Roman"/>
          <w:color w:val="000000" w:themeColor="text1"/>
          <w:sz w:val="22"/>
          <w:szCs w:val="22"/>
          <w:lang w:eastAsia="en-GB"/>
        </w:rPr>
      </w:pPr>
    </w:p>
    <w:p w14:paraId="26CD87C0"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lastRenderedPageBreak/>
        <w:t>RMF_DR_2000 and RMF_DR_2011:</w:t>
      </w:r>
      <w:r w:rsidRPr="00162F1C">
        <w:rPr>
          <w:rFonts w:ascii="Times New Roman" w:hAnsi="Times New Roman" w:cs="Times New Roman"/>
          <w:color w:val="000000" w:themeColor="text1"/>
          <w:sz w:val="22"/>
          <w:szCs w:val="22"/>
        </w:rPr>
        <w:t xml:space="preserve"> Private credit by deposit money banks as a share of domestic demand, time, and saving deposits in deposit money banks.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World Bank.</w:t>
      </w:r>
    </w:p>
    <w:p w14:paraId="35DD8C65" w14:textId="77777777" w:rsidR="007E1ECA" w:rsidRPr="00162F1C" w:rsidRDefault="007E1ECA" w:rsidP="00162F1C">
      <w:pPr>
        <w:spacing w:line="360" w:lineRule="auto"/>
        <w:jc w:val="both"/>
        <w:rPr>
          <w:rFonts w:ascii="Times New Roman" w:eastAsia="Times New Roman" w:hAnsi="Times New Roman" w:cs="Times New Roman"/>
          <w:color w:val="000000" w:themeColor="text1"/>
          <w:sz w:val="22"/>
          <w:szCs w:val="22"/>
          <w:lang w:eastAsia="en-GB"/>
        </w:rPr>
      </w:pPr>
    </w:p>
    <w:p w14:paraId="0F5FC8A6" w14:textId="77777777" w:rsidR="007E1ECA" w:rsidRPr="00162F1C" w:rsidRDefault="007E1ECA" w:rsidP="00162F1C">
      <w:pPr>
        <w:spacing w:line="360" w:lineRule="auto"/>
        <w:jc w:val="both"/>
        <w:rPr>
          <w:rFonts w:ascii="Times New Roman" w:hAnsi="Times New Roman" w:cs="Times New Roman"/>
          <w:b/>
          <w:color w:val="000000" w:themeColor="text1"/>
          <w:sz w:val="22"/>
          <w:szCs w:val="22"/>
        </w:rPr>
      </w:pPr>
      <w:r w:rsidRPr="00162F1C">
        <w:rPr>
          <w:rFonts w:ascii="Times New Roman" w:hAnsi="Times New Roman" w:cs="Times New Roman"/>
          <w:b/>
          <w:color w:val="000000" w:themeColor="text1"/>
          <w:sz w:val="22"/>
          <w:szCs w:val="22"/>
        </w:rPr>
        <w:t xml:space="preserve">Selected Indicators Related to Risk Management at the </w:t>
      </w:r>
      <w:r w:rsidR="00025C14" w:rsidRPr="00162F1C">
        <w:rPr>
          <w:rFonts w:ascii="Times New Roman" w:hAnsi="Times New Roman" w:cs="Times New Roman"/>
          <w:b/>
          <w:color w:val="000000" w:themeColor="text1"/>
          <w:sz w:val="22"/>
          <w:szCs w:val="22"/>
        </w:rPr>
        <w:t>Macro Economy</w:t>
      </w:r>
      <w:r w:rsidRPr="00162F1C">
        <w:rPr>
          <w:rFonts w:ascii="Times New Roman" w:hAnsi="Times New Roman" w:cs="Times New Roman"/>
          <w:b/>
          <w:color w:val="000000" w:themeColor="text1"/>
          <w:sz w:val="22"/>
          <w:szCs w:val="22"/>
        </w:rPr>
        <w:t xml:space="preserve"> Level</w:t>
      </w:r>
    </w:p>
    <w:p w14:paraId="68A1467E"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p>
    <w:p w14:paraId="0E1A46D6"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bCs/>
          <w:color w:val="000000" w:themeColor="text1"/>
          <w:sz w:val="22"/>
          <w:szCs w:val="22"/>
        </w:rPr>
        <w:t xml:space="preserve">RME_IR_2005_2007 and </w:t>
      </w:r>
      <w:r w:rsidRPr="00162F1C">
        <w:rPr>
          <w:rFonts w:ascii="Times New Roman" w:hAnsi="Times New Roman" w:cs="Times New Roman"/>
          <w:b/>
          <w:color w:val="000000" w:themeColor="text1"/>
          <w:sz w:val="22"/>
          <w:szCs w:val="22"/>
        </w:rPr>
        <w:t xml:space="preserve">RME_IR_2010_2012: </w:t>
      </w:r>
      <w:r w:rsidRPr="00162F1C">
        <w:rPr>
          <w:rFonts w:ascii="Times New Roman" w:hAnsi="Times New Roman" w:cs="Times New Roman"/>
          <w:color w:val="000000" w:themeColor="text1"/>
          <w:sz w:val="22"/>
          <w:szCs w:val="22"/>
        </w:rPr>
        <w:t xml:space="preserve">Holdings of monetary gold, special drawing rights, reserves of IMF members held by the IMF, and holdings of foreign exchange under the control of monetary authorities. The gold component of these reserves is valued at year-end (December 31) London prices. Data are in current U.S. dollars. </w:t>
      </w:r>
      <w:r w:rsidRPr="00162F1C">
        <w:rPr>
          <w:rFonts w:ascii="Times New Roman" w:hAnsi="Times New Roman" w:cs="Times New Roman"/>
          <w:b/>
          <w:color w:val="000000" w:themeColor="text1"/>
          <w:sz w:val="22"/>
          <w:szCs w:val="22"/>
        </w:rPr>
        <w:t xml:space="preserve">Data source: </w:t>
      </w:r>
      <w:r w:rsidRPr="00162F1C">
        <w:rPr>
          <w:rFonts w:ascii="Times New Roman" w:hAnsi="Times New Roman" w:cs="Times New Roman"/>
          <w:color w:val="000000" w:themeColor="text1"/>
          <w:sz w:val="22"/>
          <w:szCs w:val="22"/>
        </w:rPr>
        <w:t xml:space="preserve">IMF International Financial Statistics and data files, at </w:t>
      </w:r>
      <w:hyperlink r:id="rId17" w:history="1">
        <w:r w:rsidRPr="00162F1C">
          <w:rPr>
            <w:rStyle w:val="Hyperlink"/>
            <w:rFonts w:ascii="Times New Roman" w:hAnsi="Times New Roman" w:cs="Times New Roman"/>
            <w:color w:val="000000" w:themeColor="text1"/>
            <w:sz w:val="22"/>
            <w:szCs w:val="22"/>
            <w:u w:val="none"/>
          </w:rPr>
          <w:t>http://elibrary-data.imf.org/FindDataReports.aspx?d=33061&amp;e=169393</w:t>
        </w:r>
      </w:hyperlink>
      <w:r w:rsidRPr="00162F1C">
        <w:rPr>
          <w:rFonts w:ascii="Times New Roman" w:hAnsi="Times New Roman" w:cs="Times New Roman"/>
          <w:color w:val="000000" w:themeColor="text1"/>
          <w:sz w:val="22"/>
          <w:szCs w:val="22"/>
        </w:rPr>
        <w:t>.</w:t>
      </w:r>
    </w:p>
    <w:p w14:paraId="211C4B46"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p>
    <w:p w14:paraId="55807380" w14:textId="77777777" w:rsidR="007E1ECA" w:rsidRPr="00162F1C" w:rsidRDefault="007E1ECA" w:rsidP="00162F1C">
      <w:pPr>
        <w:spacing w:line="360" w:lineRule="auto"/>
        <w:jc w:val="both"/>
        <w:rPr>
          <w:rFonts w:ascii="Times New Roman" w:hAnsi="Times New Roman" w:cs="Times New Roman"/>
          <w:b/>
          <w:color w:val="000000" w:themeColor="text1"/>
          <w:sz w:val="22"/>
          <w:szCs w:val="22"/>
        </w:rPr>
      </w:pPr>
      <w:r w:rsidRPr="00162F1C">
        <w:rPr>
          <w:rFonts w:ascii="Times New Roman" w:hAnsi="Times New Roman" w:cs="Times New Roman"/>
          <w:b/>
          <w:color w:val="000000" w:themeColor="text1"/>
          <w:sz w:val="22"/>
          <w:szCs w:val="22"/>
        </w:rPr>
        <w:t>Disasters and Climate Indicators</w:t>
      </w:r>
    </w:p>
    <w:p w14:paraId="3BDBE2BF" w14:textId="77777777" w:rsidR="007E1ECA" w:rsidRPr="00162F1C" w:rsidRDefault="007E1ECA" w:rsidP="00162F1C">
      <w:pPr>
        <w:tabs>
          <w:tab w:val="left" w:pos="1300"/>
        </w:tabs>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color w:val="000000" w:themeColor="text1"/>
          <w:sz w:val="22"/>
          <w:szCs w:val="22"/>
        </w:rPr>
        <w:tab/>
      </w:r>
    </w:p>
    <w:p w14:paraId="7D968CC7"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 xml:space="preserve">DCI_DE_1993_2002 and DCI_DE_2003_2012: </w:t>
      </w:r>
      <w:r w:rsidRPr="00162F1C">
        <w:rPr>
          <w:rFonts w:ascii="Times New Roman" w:hAnsi="Times New Roman" w:cs="Times New Roman"/>
          <w:color w:val="000000" w:themeColor="text1"/>
          <w:sz w:val="22"/>
          <w:szCs w:val="22"/>
        </w:rPr>
        <w:t xml:space="preserve">Deaths from natural disasters (total, per million). The number of persons reported as dead or missing and presumed dead as a consequence of a drought, earthquake, flood, or storm (as defined by the EM-DAT database) during  the specified time period. </w:t>
      </w:r>
      <w:proofErr w:type="gramStart"/>
      <w:r w:rsidRPr="00162F1C">
        <w:rPr>
          <w:rFonts w:ascii="Times New Roman" w:hAnsi="Times New Roman" w:cs="Times New Roman"/>
          <w:color w:val="000000" w:themeColor="text1"/>
          <w:sz w:val="22"/>
          <w:szCs w:val="22"/>
        </w:rPr>
        <w:t xml:space="preserve">Deaths per million </w:t>
      </w:r>
      <w:r w:rsidR="00025C14" w:rsidRPr="00162F1C">
        <w:rPr>
          <w:rFonts w:ascii="Times New Roman" w:hAnsi="Times New Roman" w:cs="Times New Roman"/>
          <w:color w:val="000000" w:themeColor="text1"/>
          <w:sz w:val="22"/>
          <w:szCs w:val="22"/>
        </w:rPr>
        <w:t>populations</w:t>
      </w:r>
      <w:r w:rsidRPr="00162F1C">
        <w:rPr>
          <w:rFonts w:ascii="Times New Roman" w:hAnsi="Times New Roman" w:cs="Times New Roman"/>
          <w:color w:val="000000" w:themeColor="text1"/>
          <w:sz w:val="22"/>
          <w:szCs w:val="22"/>
        </w:rPr>
        <w:t xml:space="preserve"> is</w:t>
      </w:r>
      <w:proofErr w:type="gramEnd"/>
      <w:r w:rsidRPr="00162F1C">
        <w:rPr>
          <w:rFonts w:ascii="Times New Roman" w:hAnsi="Times New Roman" w:cs="Times New Roman"/>
          <w:color w:val="000000" w:themeColor="text1"/>
          <w:sz w:val="22"/>
          <w:szCs w:val="22"/>
        </w:rPr>
        <w:t xml:space="preserve"> the number of deaths divided by the mid-period population for the same time period. </w:t>
      </w:r>
      <w:r w:rsidRPr="00162F1C">
        <w:rPr>
          <w:rFonts w:ascii="Times New Roman" w:hAnsi="Times New Roman" w:cs="Times New Roman"/>
          <w:b/>
          <w:color w:val="000000" w:themeColor="text1"/>
          <w:sz w:val="22"/>
          <w:szCs w:val="22"/>
        </w:rPr>
        <w:t xml:space="preserve">Data sources: </w:t>
      </w:r>
      <w:r w:rsidRPr="00162F1C">
        <w:rPr>
          <w:rFonts w:ascii="Times New Roman" w:hAnsi="Times New Roman" w:cs="Times New Roman"/>
          <w:color w:val="000000" w:themeColor="text1"/>
          <w:sz w:val="22"/>
          <w:szCs w:val="22"/>
        </w:rPr>
        <w:t xml:space="preserve">Guha-Sapir, D., and P. Heudtlass, 2013, “Standardized Indicators of Human and Economic Loss from Natural Disasters,” CRED working paper, IRSS, University of Louvain, Brussels; EM-DAT: The OFDA/CRED International Disaster Database, at </w:t>
      </w:r>
      <w:hyperlink r:id="rId18" w:history="1">
        <w:r w:rsidRPr="00162F1C">
          <w:rPr>
            <w:rStyle w:val="Hyperlink"/>
            <w:rFonts w:ascii="Times New Roman" w:hAnsi="Times New Roman" w:cs="Times New Roman"/>
            <w:color w:val="000000" w:themeColor="text1"/>
            <w:sz w:val="22"/>
            <w:szCs w:val="22"/>
            <w:u w:val="none"/>
          </w:rPr>
          <w:t>http://www.emdat.be</w:t>
        </w:r>
      </w:hyperlink>
      <w:r w:rsidRPr="00162F1C">
        <w:rPr>
          <w:rFonts w:ascii="Times New Roman" w:hAnsi="Times New Roman" w:cs="Times New Roman"/>
          <w:color w:val="000000" w:themeColor="text1"/>
          <w:sz w:val="22"/>
          <w:szCs w:val="22"/>
        </w:rPr>
        <w:t>.</w:t>
      </w:r>
    </w:p>
    <w:p w14:paraId="13A3B4DE" w14:textId="77777777" w:rsidR="007E1ECA" w:rsidRPr="00162F1C" w:rsidRDefault="007E1ECA" w:rsidP="00162F1C">
      <w:pPr>
        <w:spacing w:line="360" w:lineRule="auto"/>
        <w:jc w:val="both"/>
        <w:rPr>
          <w:rFonts w:ascii="Times New Roman" w:hAnsi="Times New Roman" w:cs="Times New Roman"/>
          <w:color w:val="000000" w:themeColor="text1"/>
          <w:sz w:val="22"/>
          <w:szCs w:val="22"/>
        </w:rPr>
      </w:pPr>
    </w:p>
    <w:p w14:paraId="0A5E64D2" w14:textId="04CE2CE5" w:rsidR="007E1ECA" w:rsidRDefault="007E1ECA" w:rsidP="00162F1C">
      <w:pPr>
        <w:spacing w:line="360" w:lineRule="auto"/>
        <w:jc w:val="both"/>
        <w:rPr>
          <w:rFonts w:ascii="Times New Roman" w:hAnsi="Times New Roman" w:cs="Times New Roman"/>
          <w:color w:val="000000" w:themeColor="text1"/>
          <w:sz w:val="22"/>
          <w:szCs w:val="22"/>
        </w:rPr>
      </w:pPr>
      <w:r w:rsidRPr="00162F1C">
        <w:rPr>
          <w:rFonts w:ascii="Times New Roman" w:hAnsi="Times New Roman" w:cs="Times New Roman"/>
          <w:b/>
          <w:color w:val="000000" w:themeColor="text1"/>
          <w:sz w:val="22"/>
          <w:szCs w:val="22"/>
        </w:rPr>
        <w:t xml:space="preserve">DCI_DA_1993_2002 and DCI_DA_2003_2012: </w:t>
      </w:r>
      <w:r w:rsidRPr="00162F1C">
        <w:rPr>
          <w:rFonts w:ascii="Times New Roman" w:hAnsi="Times New Roman" w:cs="Times New Roman"/>
          <w:color w:val="000000" w:themeColor="text1"/>
          <w:sz w:val="22"/>
          <w:szCs w:val="22"/>
        </w:rPr>
        <w:t xml:space="preserve">Damages from natural disasters (total, % GDP). </w:t>
      </w:r>
      <w:proofErr w:type="gramStart"/>
      <w:r w:rsidRPr="00162F1C">
        <w:rPr>
          <w:rFonts w:ascii="Times New Roman" w:hAnsi="Times New Roman" w:cs="Times New Roman"/>
          <w:color w:val="000000" w:themeColor="text1"/>
          <w:sz w:val="22"/>
          <w:szCs w:val="22"/>
        </w:rPr>
        <w:t>The reported economic impact as a consequence of droughts, earthquakes, floods, and storms (as defined by the EM-DAT database) during the specified time period.</w:t>
      </w:r>
      <w:proofErr w:type="gramEnd"/>
      <w:r w:rsidRPr="00162F1C">
        <w:rPr>
          <w:rFonts w:ascii="Times New Roman" w:hAnsi="Times New Roman" w:cs="Times New Roman"/>
          <w:color w:val="000000" w:themeColor="text1"/>
          <w:sz w:val="22"/>
          <w:szCs w:val="22"/>
        </w:rPr>
        <w:t xml:space="preserve"> Economic impact usually consists of direct (such as damage to infrastructure, crops, </w:t>
      </w:r>
      <w:proofErr w:type="gramStart"/>
      <w:r w:rsidRPr="00162F1C">
        <w:rPr>
          <w:rFonts w:ascii="Times New Roman" w:hAnsi="Times New Roman" w:cs="Times New Roman"/>
          <w:color w:val="000000" w:themeColor="text1"/>
          <w:sz w:val="22"/>
          <w:szCs w:val="22"/>
        </w:rPr>
        <w:t>housing</w:t>
      </w:r>
      <w:proofErr w:type="gramEnd"/>
      <w:r w:rsidRPr="00162F1C">
        <w:rPr>
          <w:rFonts w:ascii="Times New Roman" w:hAnsi="Times New Roman" w:cs="Times New Roman"/>
          <w:color w:val="000000" w:themeColor="text1"/>
          <w:sz w:val="22"/>
          <w:szCs w:val="22"/>
        </w:rPr>
        <w:t xml:space="preserve">) and indirect (such as loss of revenues, unemployment, market destabilization) consequences on the local economy. Total damages are in current US dollars, according to when the events occurred. Damages as a percent of GDP is total reported damages divided by the mid-period GDP for the same time period. </w:t>
      </w:r>
      <w:r w:rsidRPr="00162F1C">
        <w:rPr>
          <w:rFonts w:ascii="Times New Roman" w:hAnsi="Times New Roman" w:cs="Times New Roman"/>
          <w:b/>
          <w:color w:val="000000" w:themeColor="text1"/>
          <w:sz w:val="22"/>
          <w:szCs w:val="22"/>
        </w:rPr>
        <w:t xml:space="preserve">Data sources: </w:t>
      </w:r>
      <w:r w:rsidRPr="00162F1C">
        <w:rPr>
          <w:rFonts w:ascii="Times New Roman" w:hAnsi="Times New Roman" w:cs="Times New Roman"/>
          <w:color w:val="000000" w:themeColor="text1"/>
          <w:sz w:val="22"/>
          <w:szCs w:val="22"/>
        </w:rPr>
        <w:t xml:space="preserve">Guha-Sapir, D., and P. Heudtlass, 2013, “Standardized Indicators of Human and Economic Loss from Natural Disasters,” CRED working paper, IRSS, University of Louvain, Brussels; EM-DAT: The OFDA/CRED International Disaster Database, at </w:t>
      </w:r>
      <w:hyperlink r:id="rId19" w:history="1">
        <w:r w:rsidR="00162F1C" w:rsidRPr="00B26F55">
          <w:rPr>
            <w:rStyle w:val="Hyperlink"/>
            <w:rFonts w:ascii="Times New Roman" w:hAnsi="Times New Roman" w:cs="Times New Roman"/>
            <w:sz w:val="22"/>
            <w:szCs w:val="22"/>
          </w:rPr>
          <w:t>http://www.emdat.be</w:t>
        </w:r>
      </w:hyperlink>
      <w:r w:rsidRPr="00162F1C">
        <w:rPr>
          <w:rFonts w:ascii="Times New Roman" w:hAnsi="Times New Roman" w:cs="Times New Roman"/>
          <w:color w:val="000000" w:themeColor="text1"/>
          <w:sz w:val="22"/>
          <w:szCs w:val="22"/>
        </w:rPr>
        <w:t>.</w:t>
      </w:r>
    </w:p>
    <w:p w14:paraId="0381D65E" w14:textId="77777777" w:rsidR="00162F1C" w:rsidRDefault="00162F1C" w:rsidP="00162F1C">
      <w:pPr>
        <w:spacing w:line="360" w:lineRule="auto"/>
        <w:jc w:val="both"/>
        <w:rPr>
          <w:rFonts w:ascii="Times New Roman" w:hAnsi="Times New Roman" w:cs="Times New Roman"/>
          <w:color w:val="000000" w:themeColor="text1"/>
          <w:sz w:val="22"/>
          <w:szCs w:val="22"/>
        </w:rPr>
      </w:pPr>
    </w:p>
    <w:p w14:paraId="032A02A2" w14:textId="747D3C5E" w:rsidR="00162F1C" w:rsidRPr="00162F1C" w:rsidRDefault="00162F1C" w:rsidP="00162F1C">
      <w:pPr>
        <w:spacing w:line="360" w:lineRule="auto"/>
        <w:jc w:val="right"/>
        <w:rPr>
          <w:rFonts w:ascii="Times New Roman" w:hAnsi="Times New Roman" w:cs="Times New Roman"/>
          <w:b/>
          <w:color w:val="000000" w:themeColor="text1"/>
          <w:sz w:val="22"/>
          <w:szCs w:val="22"/>
        </w:rPr>
      </w:pPr>
      <w:bookmarkStart w:id="0" w:name="_GoBack"/>
      <w:bookmarkEnd w:id="0"/>
      <w:r w:rsidRPr="00162F1C">
        <w:rPr>
          <w:rFonts w:ascii="Times New Roman" w:hAnsi="Times New Roman" w:cs="Times New Roman"/>
          <w:b/>
          <w:color w:val="000000" w:themeColor="text1"/>
          <w:sz w:val="22"/>
          <w:szCs w:val="22"/>
        </w:rPr>
        <w:t>WORD COUNT: 2286</w:t>
      </w:r>
    </w:p>
    <w:sectPr w:rsidR="00162F1C" w:rsidRPr="00162F1C" w:rsidSect="00162F1C">
      <w:headerReference w:type="default" r:id="rId20"/>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5CD56" w14:textId="77777777" w:rsidR="00B6379A" w:rsidRDefault="00B6379A" w:rsidP="007E1ECA">
      <w:r>
        <w:separator/>
      </w:r>
    </w:p>
  </w:endnote>
  <w:endnote w:type="continuationSeparator" w:id="0">
    <w:p w14:paraId="39D4D5C0" w14:textId="77777777" w:rsidR="00B6379A" w:rsidRDefault="00B6379A" w:rsidP="007E1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A3165" w14:textId="77777777" w:rsidR="00B6379A" w:rsidRDefault="00B6379A" w:rsidP="007E1ECA">
      <w:r>
        <w:separator/>
      </w:r>
    </w:p>
  </w:footnote>
  <w:footnote w:type="continuationSeparator" w:id="0">
    <w:p w14:paraId="15D73823" w14:textId="77777777" w:rsidR="00B6379A" w:rsidRDefault="00B6379A" w:rsidP="007E1E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54A49" w14:textId="53A6FD4D" w:rsidR="00162F1C" w:rsidRDefault="00162F1C">
    <w:pPr>
      <w:pStyle w:val="Header"/>
      <w:jc w:val="right"/>
    </w:pPr>
    <w:r>
      <w:t>Team HIP</w:t>
    </w:r>
    <w:r>
      <w:tab/>
    </w:r>
    <w:r>
      <w:tab/>
    </w:r>
    <w:sdt>
      <w:sdtPr>
        <w:id w:val="5464964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p>
  <w:p w14:paraId="64C9E699" w14:textId="77777777" w:rsidR="00162F1C" w:rsidRDefault="00162F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DFE"/>
    <w:rsid w:val="00025C14"/>
    <w:rsid w:val="000E4996"/>
    <w:rsid w:val="00162F1C"/>
    <w:rsid w:val="00304BF3"/>
    <w:rsid w:val="00530931"/>
    <w:rsid w:val="00707E2E"/>
    <w:rsid w:val="007E1ECA"/>
    <w:rsid w:val="008178BB"/>
    <w:rsid w:val="00875E2E"/>
    <w:rsid w:val="009E0DFE"/>
    <w:rsid w:val="00A46E79"/>
    <w:rsid w:val="00AF6A0F"/>
    <w:rsid w:val="00B6379A"/>
    <w:rsid w:val="00E541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70B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1ECA"/>
    <w:pPr>
      <w:keepNext/>
      <w:keepLines/>
      <w:spacing w:before="200" w:after="12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E79"/>
    <w:rPr>
      <w:color w:val="0563C1" w:themeColor="hyperlink"/>
      <w:u w:val="single"/>
    </w:rPr>
  </w:style>
  <w:style w:type="character" w:customStyle="1" w:styleId="Heading2Char">
    <w:name w:val="Heading 2 Char"/>
    <w:basedOn w:val="DefaultParagraphFont"/>
    <w:link w:val="Heading2"/>
    <w:uiPriority w:val="9"/>
    <w:rsid w:val="007E1ECA"/>
    <w:rPr>
      <w:rFonts w:asciiTheme="majorHAnsi" w:eastAsiaTheme="majorEastAsia" w:hAnsiTheme="majorHAnsi" w:cstheme="majorBidi"/>
      <w:b/>
      <w:bCs/>
      <w:color w:val="5B9BD5" w:themeColor="accent1"/>
      <w:sz w:val="26"/>
      <w:szCs w:val="26"/>
      <w:lang w:val="en-US"/>
    </w:rPr>
  </w:style>
  <w:style w:type="paragraph" w:styleId="Header">
    <w:name w:val="header"/>
    <w:basedOn w:val="Normal"/>
    <w:link w:val="HeaderChar"/>
    <w:uiPriority w:val="99"/>
    <w:unhideWhenUsed/>
    <w:rsid w:val="007E1ECA"/>
    <w:pPr>
      <w:tabs>
        <w:tab w:val="center" w:pos="4513"/>
        <w:tab w:val="right" w:pos="9026"/>
      </w:tabs>
    </w:pPr>
  </w:style>
  <w:style w:type="character" w:customStyle="1" w:styleId="HeaderChar">
    <w:name w:val="Header Char"/>
    <w:basedOn w:val="DefaultParagraphFont"/>
    <w:link w:val="Header"/>
    <w:uiPriority w:val="99"/>
    <w:rsid w:val="007E1ECA"/>
  </w:style>
  <w:style w:type="paragraph" w:styleId="Footer">
    <w:name w:val="footer"/>
    <w:basedOn w:val="Normal"/>
    <w:link w:val="FooterChar"/>
    <w:uiPriority w:val="99"/>
    <w:unhideWhenUsed/>
    <w:rsid w:val="007E1ECA"/>
    <w:pPr>
      <w:tabs>
        <w:tab w:val="center" w:pos="4513"/>
        <w:tab w:val="right" w:pos="9026"/>
      </w:tabs>
    </w:pPr>
  </w:style>
  <w:style w:type="character" w:customStyle="1" w:styleId="FooterChar">
    <w:name w:val="Footer Char"/>
    <w:basedOn w:val="DefaultParagraphFont"/>
    <w:link w:val="Footer"/>
    <w:uiPriority w:val="99"/>
    <w:rsid w:val="007E1E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E1ECA"/>
    <w:pPr>
      <w:keepNext/>
      <w:keepLines/>
      <w:spacing w:before="200" w:after="12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E79"/>
    <w:rPr>
      <w:color w:val="0563C1" w:themeColor="hyperlink"/>
      <w:u w:val="single"/>
    </w:rPr>
  </w:style>
  <w:style w:type="character" w:customStyle="1" w:styleId="Heading2Char">
    <w:name w:val="Heading 2 Char"/>
    <w:basedOn w:val="DefaultParagraphFont"/>
    <w:link w:val="Heading2"/>
    <w:uiPriority w:val="9"/>
    <w:rsid w:val="007E1ECA"/>
    <w:rPr>
      <w:rFonts w:asciiTheme="majorHAnsi" w:eastAsiaTheme="majorEastAsia" w:hAnsiTheme="majorHAnsi" w:cstheme="majorBidi"/>
      <w:b/>
      <w:bCs/>
      <w:color w:val="5B9BD5" w:themeColor="accent1"/>
      <w:sz w:val="26"/>
      <w:szCs w:val="26"/>
      <w:lang w:val="en-US"/>
    </w:rPr>
  </w:style>
  <w:style w:type="paragraph" w:styleId="Header">
    <w:name w:val="header"/>
    <w:basedOn w:val="Normal"/>
    <w:link w:val="HeaderChar"/>
    <w:uiPriority w:val="99"/>
    <w:unhideWhenUsed/>
    <w:rsid w:val="007E1ECA"/>
    <w:pPr>
      <w:tabs>
        <w:tab w:val="center" w:pos="4513"/>
        <w:tab w:val="right" w:pos="9026"/>
      </w:tabs>
    </w:pPr>
  </w:style>
  <w:style w:type="character" w:customStyle="1" w:styleId="HeaderChar">
    <w:name w:val="Header Char"/>
    <w:basedOn w:val="DefaultParagraphFont"/>
    <w:link w:val="Header"/>
    <w:uiPriority w:val="99"/>
    <w:rsid w:val="007E1ECA"/>
  </w:style>
  <w:style w:type="paragraph" w:styleId="Footer">
    <w:name w:val="footer"/>
    <w:basedOn w:val="Normal"/>
    <w:link w:val="FooterChar"/>
    <w:uiPriority w:val="99"/>
    <w:unhideWhenUsed/>
    <w:rsid w:val="007E1ECA"/>
    <w:pPr>
      <w:tabs>
        <w:tab w:val="center" w:pos="4513"/>
        <w:tab w:val="right" w:pos="9026"/>
      </w:tabs>
    </w:pPr>
  </w:style>
  <w:style w:type="character" w:customStyle="1" w:styleId="FooterChar">
    <w:name w:val="Footer Char"/>
    <w:basedOn w:val="DefaultParagraphFont"/>
    <w:link w:val="Footer"/>
    <w:uiPriority w:val="99"/>
    <w:rsid w:val="007E1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5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summary-terms-of-use" TargetMode="External"/><Relationship Id="rId13" Type="http://schemas.openxmlformats.org/officeDocument/2006/relationships/hyperlink" Target="http://www.mortality.org" TargetMode="External"/><Relationship Id="rId18" Type="http://schemas.openxmlformats.org/officeDocument/2006/relationships/hyperlink" Target="http://www.emdat.b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atacatalog.worldbank.org" TargetMode="External"/><Relationship Id="rId12" Type="http://schemas.openxmlformats.org/officeDocument/2006/relationships/hyperlink" Target="http://www.mortality.org" TargetMode="External"/><Relationship Id="rId17" Type="http://schemas.openxmlformats.org/officeDocument/2006/relationships/hyperlink" Target="http://elibrary-data.imf.org/FindDataReports.aspx?d=33061&amp;e=169393" TargetMode="External"/><Relationship Id="rId2" Type="http://schemas.microsoft.com/office/2007/relationships/stylesWithEffects" Target="stylesWithEffects.xml"/><Relationship Id="rId16" Type="http://schemas.openxmlformats.org/officeDocument/2006/relationships/hyperlink" Target="http://data.worldbank.org/data-catalog/financial_inclusion"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mdat.be" TargetMode="External"/><Relationship Id="rId5" Type="http://schemas.openxmlformats.org/officeDocument/2006/relationships/footnotes" Target="footnotes.xml"/><Relationship Id="rId15" Type="http://schemas.openxmlformats.org/officeDocument/2006/relationships/hyperlink" Target="http://www.barrolee.com" TargetMode="External"/><Relationship Id="rId10" Type="http://schemas.openxmlformats.org/officeDocument/2006/relationships/hyperlink" Target="http://www.worldbank.org/data/icp" TargetMode="External"/><Relationship Id="rId19" Type="http://schemas.openxmlformats.org/officeDocument/2006/relationships/hyperlink" Target="http://www.emdat.be" TargetMode="External"/><Relationship Id="rId4" Type="http://schemas.openxmlformats.org/officeDocument/2006/relationships/webSettings" Target="webSettings.xml"/><Relationship Id="rId9" Type="http://schemas.openxmlformats.org/officeDocument/2006/relationships/hyperlink" Target="http://stats.oecd.org/" TargetMode="External"/><Relationship Id="rId14" Type="http://schemas.openxmlformats.org/officeDocument/2006/relationships/hyperlink" Target="http://www.barrole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2458</Words>
  <Characters>14017</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Sources</vt:lpstr>
      <vt:lpstr>    Country coverage</vt:lpstr>
      <vt:lpstr>    Classification of economies and summary measures</vt:lpstr>
    </vt:vector>
  </TitlesOfParts>
  <Company/>
  <LinksUpToDate>false</LinksUpToDate>
  <CharactersWithSpaces>16443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Jency .</dc:creator>
  <cp:keywords/>
  <dc:description/>
  <cp:lastModifiedBy>DELL</cp:lastModifiedBy>
  <cp:revision>2</cp:revision>
  <dcterms:created xsi:type="dcterms:W3CDTF">2016-11-16T09:20:00Z</dcterms:created>
  <dcterms:modified xsi:type="dcterms:W3CDTF">2016-12-14T08:52:00Z</dcterms:modified>
</cp:coreProperties>
</file>