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37D5" w:rsidRDefault="00000000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Министерство образования Республики Беларусь</w:t>
      </w:r>
    </w:p>
    <w:p w:rsidR="009837D5" w:rsidRDefault="00000000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Учреждение образования</w:t>
      </w:r>
    </w:p>
    <w:p w:rsidR="009837D5" w:rsidRDefault="00000000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«Белорусский государственный университет информатики и радиоэлектроники»</w:t>
      </w:r>
    </w:p>
    <w:p w:rsidR="009837D5" w:rsidRDefault="009837D5">
      <w:pPr>
        <w:jc w:val="center"/>
        <w:rPr>
          <w:sz w:val="28"/>
          <w:lang w:val="ru-RU"/>
        </w:rPr>
      </w:pPr>
    </w:p>
    <w:p w:rsidR="009837D5" w:rsidRDefault="00000000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Кафедра электронных вычислительных машин</w:t>
      </w:r>
    </w:p>
    <w:p w:rsidR="009837D5" w:rsidRDefault="00000000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Структурная и функциональная организация </w:t>
      </w:r>
    </w:p>
    <w:p w:rsidR="009837D5" w:rsidRDefault="00000000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вычислительных машин</w:t>
      </w:r>
    </w:p>
    <w:p w:rsidR="009837D5" w:rsidRDefault="009837D5">
      <w:pPr>
        <w:jc w:val="center"/>
        <w:rPr>
          <w:lang w:val="ru-RU"/>
        </w:rPr>
      </w:pPr>
    </w:p>
    <w:p w:rsidR="009837D5" w:rsidRDefault="009837D5">
      <w:pPr>
        <w:jc w:val="center"/>
        <w:rPr>
          <w:lang w:val="ru-RU"/>
        </w:rPr>
      </w:pPr>
    </w:p>
    <w:p w:rsidR="009837D5" w:rsidRDefault="009837D5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right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№1</w:t>
      </w:r>
    </w:p>
    <w:p w:rsidR="009837D5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«Арбитраж шин»</w:t>
      </w:r>
    </w:p>
    <w:p w:rsidR="009837D5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Вариант 4</w:t>
      </w: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32"/>
          <w:szCs w:val="24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tabs>
          <w:tab w:val="left" w:pos="2292"/>
        </w:tabs>
        <w:spacing w:after="0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Выполнил</w:t>
      </w:r>
      <w:proofErr w:type="gramStart"/>
      <w:r>
        <w:rPr>
          <w:rFonts w:ascii="Times New Roman" w:hAnsi="Times New Roman" w:cs="Times New Roman"/>
          <w:sz w:val="28"/>
          <w:lang w:val="ru-RU"/>
        </w:rPr>
        <w:t>:</w:t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  <w:t xml:space="preserve"> Проверил</w:t>
      </w:r>
      <w:proofErr w:type="gramEnd"/>
      <w:r>
        <w:rPr>
          <w:rFonts w:ascii="Times New Roman" w:hAnsi="Times New Roman" w:cs="Times New Roman"/>
          <w:sz w:val="28"/>
          <w:lang w:val="ru-RU"/>
        </w:rPr>
        <w:t>:</w:t>
      </w:r>
    </w:p>
    <w:p w:rsidR="009837D5" w:rsidRDefault="00000000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Студент группы 150503</w:t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sz w:val="28"/>
          <w:lang w:val="ru-RU"/>
        </w:rPr>
        <w:tab/>
        <w:t xml:space="preserve"> Воронов А.А.</w:t>
      </w:r>
    </w:p>
    <w:p w:rsidR="009837D5" w:rsidRDefault="000F6CE9">
      <w:pPr>
        <w:spacing w:after="0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Шарай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</w:t>
      </w:r>
      <w:r w:rsidR="00000000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Ю</w:t>
      </w:r>
      <w:r w:rsidR="00000000">
        <w:rPr>
          <w:rFonts w:ascii="Times New Roman" w:hAnsi="Times New Roman" w:cs="Times New Roman"/>
          <w:sz w:val="28"/>
          <w:lang w:val="ru-RU"/>
        </w:rPr>
        <w:t>.</w:t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</w:r>
      <w:r w:rsidR="00000000">
        <w:rPr>
          <w:rFonts w:ascii="Times New Roman" w:hAnsi="Times New Roman" w:cs="Times New Roman"/>
          <w:sz w:val="28"/>
          <w:lang w:val="ru-RU"/>
        </w:rPr>
        <w:tab/>
        <w:t xml:space="preserve">    </w:t>
      </w:r>
    </w:p>
    <w:p w:rsidR="009837D5" w:rsidRDefault="009837D5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Минск 2024</w:t>
      </w:r>
    </w:p>
    <w:p w:rsidR="009837D5" w:rsidRDefault="0000000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lastRenderedPageBreak/>
        <w:t>1 Цель работы</w:t>
      </w:r>
    </w:p>
    <w:p w:rsidR="009837D5" w:rsidRDefault="009837D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Лабораторную работу рекомендуется выполнять в новом проекте, не используя предыдущих наработок.</w:t>
      </w: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Задача состоит в создании нескольких модулей ведущих устройств, количество которых задано в таблице вариантов 1, центрального арбитра (если он задан по варианту), логики арбитража и одного ведомого модуля.</w:t>
      </w: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качестве разделяемого ресурса используется шина данных заданной ширины. Каждое из ведущих устройств пытается выставить для ведомого устройства на эту шину свои уникальные данные (например, порядковый или уникальный номер). В соответствии с вариантом задания необходимо обеспечить арбитраж этой шины данных и прием данных ведомым. Для тех случаев, когда это необходимо можно использовать дополнительно шину управления.</w:t>
      </w: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Снятие данных с шины ведомым устройством следует обеспечивать синхронно либо асинхронно в зависимости от значения в поле «Тип шины» таблицы вариантов.</w:t>
      </w: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Разрешается использовать функциональное моделирование (без учета задержек). Для этого в диалоге Processing</w:t>
      </w:r>
      <w:proofErr w:type="gramStart"/>
      <w:r>
        <w:rPr>
          <w:rFonts w:ascii="Times New Roman" w:hAnsi="Times New Roman" w:cs="Times New Roman"/>
          <w:sz w:val="28"/>
          <w:lang w:val="ru-RU"/>
        </w:rPr>
        <w:t>-&gt;</w:t>
      </w:r>
      <w:proofErr w:type="spellStart"/>
      <w:r>
        <w:rPr>
          <w:rFonts w:ascii="Times New Roman" w:hAnsi="Times New Roman" w:cs="Times New Roman"/>
          <w:sz w:val="28"/>
          <w:lang w:val="ru-RU"/>
        </w:rPr>
        <w:t>Simulator</w:t>
      </w:r>
      <w:proofErr w:type="spellEnd"/>
      <w:proofErr w:type="gramEnd"/>
      <w:r>
        <w:rPr>
          <w:rFonts w:ascii="Times New Roman" w:hAnsi="Times New Roman" w:cs="Times New Roman"/>
          <w:sz w:val="28"/>
          <w:lang w:val="ru-RU"/>
        </w:rPr>
        <w:t xml:space="preserve"> Tool необходимо переключить тип моделирования (</w:t>
      </w:r>
      <w:proofErr w:type="spellStart"/>
      <w:r>
        <w:rPr>
          <w:rFonts w:ascii="Times New Roman" w:hAnsi="Times New Roman" w:cs="Times New Roman"/>
          <w:sz w:val="28"/>
          <w:lang w:val="ru-RU"/>
        </w:rPr>
        <w:t>Simulation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Mode) на функциональное моделирование (</w:t>
      </w:r>
      <w:proofErr w:type="spellStart"/>
      <w:r>
        <w:rPr>
          <w:rFonts w:ascii="Times New Roman" w:hAnsi="Times New Roman" w:cs="Times New Roman"/>
          <w:sz w:val="28"/>
          <w:lang w:val="ru-RU"/>
        </w:rPr>
        <w:t>Functional</w:t>
      </w:r>
      <w:proofErr w:type="spellEnd"/>
      <w:r>
        <w:rPr>
          <w:rFonts w:ascii="Times New Roman" w:hAnsi="Times New Roman" w:cs="Times New Roman"/>
          <w:sz w:val="28"/>
          <w:lang w:val="ru-RU"/>
        </w:rPr>
        <w:t>). Перед запуском функционального моделирования необходимо сгенерировать таблицу соединений с помощью кнопки «</w:t>
      </w:r>
      <w:proofErr w:type="spellStart"/>
      <w:r>
        <w:rPr>
          <w:rFonts w:ascii="Times New Roman" w:hAnsi="Times New Roman" w:cs="Times New Roman"/>
          <w:sz w:val="28"/>
          <w:lang w:val="ru-RU"/>
        </w:rPr>
        <w:t>Generate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functional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simulation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netlist</w:t>
      </w:r>
      <w:proofErr w:type="spellEnd"/>
      <w:r>
        <w:rPr>
          <w:rFonts w:ascii="Times New Roman" w:hAnsi="Times New Roman" w:cs="Times New Roman"/>
          <w:sz w:val="28"/>
          <w:lang w:val="ru-RU"/>
        </w:rPr>
        <w:t>».</w:t>
      </w:r>
    </w:p>
    <w:p w:rsidR="009837D5" w:rsidRDefault="009837D5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>
            <wp:extent cx="4825365" cy="3867150"/>
            <wp:effectExtent l="0" t="0" r="635" b="6350"/>
            <wp:docPr id="990924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4265" name="Рисунок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744" cy="38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Рабочий вариант: 4</w:t>
      </w:r>
    </w:p>
    <w:p w:rsidR="009837D5" w:rsidRDefault="0000000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lastRenderedPageBreak/>
        <w:t>2 Ход работы</w:t>
      </w:r>
    </w:p>
    <w:p w:rsidR="009837D5" w:rsidRDefault="009837D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lang w:val="ru-RU"/>
        </w:rPr>
        <w:t>2.1 Структурная схема</w:t>
      </w:r>
    </w:p>
    <w:p w:rsidR="009837D5" w:rsidRDefault="009837D5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Структурная схема реализованного устройства представлена на рисунке 2.1.1.</w:t>
      </w:r>
    </w:p>
    <w:p w:rsidR="009837D5" w:rsidRDefault="00983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  <w:lang w:val="ru-RU"/>
        </w:rPr>
        <w:drawing>
          <wp:inline distT="0" distB="0" distL="0" distR="0">
            <wp:extent cx="5441950" cy="1278890"/>
            <wp:effectExtent l="0" t="0" r="0" b="3810"/>
            <wp:docPr id="203003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8080" name="Рисунок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277" cy="12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2.1.1 – Структурная схема устройства</w:t>
      </w:r>
    </w:p>
    <w:p w:rsidR="009837D5" w:rsidRDefault="00983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Схема содержит 4 ведущих и </w:t>
      </w:r>
      <w:r w:rsidRPr="000F6CE9">
        <w:rPr>
          <w:rFonts w:ascii="Times New Roman" w:hAnsi="Times New Roman" w:cs="Times New Roman"/>
          <w:sz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lang w:val="ru-RU"/>
        </w:rPr>
        <w:t>ведомых устройств. Они соединены из шины, состоящей из линий:</w:t>
      </w:r>
    </w:p>
    <w:p w:rsidR="009837D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</w:rPr>
        <w:t>Address</w:t>
      </w:r>
      <w:r w:rsidRPr="000F6CE9">
        <w:rPr>
          <w:rFonts w:ascii="Times New Roman" w:hAnsi="Times New Roman" w:cs="Times New Roman"/>
          <w:sz w:val="28"/>
          <w:lang w:val="ru-RU"/>
        </w:rPr>
        <w:t>[</w:t>
      </w:r>
      <w:proofErr w:type="gramEnd"/>
      <w:r w:rsidRPr="000F6CE9">
        <w:rPr>
          <w:rFonts w:ascii="Times New Roman" w:hAnsi="Times New Roman" w:cs="Times New Roman"/>
          <w:sz w:val="28"/>
          <w:lang w:val="ru-RU"/>
        </w:rPr>
        <w:t xml:space="preserve">2..0] -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адресс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ведомого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устройста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, где 000 соответствует 1 устройству, 001 - 2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устройсту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и т.д.</w:t>
      </w:r>
    </w:p>
    <w:p w:rsidR="009837D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</w:rPr>
        <w:t>Data</w:t>
      </w:r>
      <w:r w:rsidRPr="000F6CE9">
        <w:rPr>
          <w:rFonts w:ascii="Times New Roman" w:hAnsi="Times New Roman" w:cs="Times New Roman"/>
          <w:sz w:val="28"/>
          <w:lang w:val="ru-RU"/>
        </w:rPr>
        <w:t>[</w:t>
      </w:r>
      <w:proofErr w:type="gramEnd"/>
      <w:r w:rsidRPr="000F6CE9">
        <w:rPr>
          <w:rFonts w:ascii="Times New Roman" w:hAnsi="Times New Roman" w:cs="Times New Roman"/>
          <w:sz w:val="28"/>
          <w:lang w:val="ru-RU"/>
        </w:rPr>
        <w:t>7..0]</w:t>
      </w:r>
      <w:r>
        <w:rPr>
          <w:rFonts w:ascii="Times New Roman" w:hAnsi="Times New Roman" w:cs="Times New Roman"/>
          <w:sz w:val="28"/>
          <w:lang w:val="ru-RU"/>
        </w:rPr>
        <w:t xml:space="preserve"> - данные, получаемые из ведущего устройства и отправляемые</w:t>
      </w:r>
      <w:r>
        <w:rPr>
          <w:rFonts w:ascii="Times New Roman" w:hAnsi="Times New Roman" w:cs="Times New Roman"/>
          <w:sz w:val="28"/>
          <w:shd w:val="clear" w:color="auto" w:fill="DDD8C2" w:themeFill="background2" w:themeFillShade="E5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ведомому устройству.</w:t>
      </w:r>
    </w:p>
    <w:p w:rsidR="009837D5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</w:rPr>
        <w:t>MSYN</w:t>
      </w:r>
      <w:r w:rsidRPr="000F6CE9">
        <w:rPr>
          <w:rFonts w:ascii="Times New Roman" w:hAnsi="Times New Roman" w:cs="Times New Roman"/>
          <w:sz w:val="28"/>
          <w:lang w:val="ru-RU"/>
        </w:rPr>
        <w:t>[</w:t>
      </w:r>
      <w:proofErr w:type="gramEnd"/>
      <w:r w:rsidRPr="000F6CE9">
        <w:rPr>
          <w:rFonts w:ascii="Times New Roman" w:hAnsi="Times New Roman" w:cs="Times New Roman"/>
          <w:sz w:val="28"/>
          <w:lang w:val="ru-RU"/>
        </w:rPr>
        <w:t>3..0]</w:t>
      </w:r>
      <w:r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SSYN</w:t>
      </w:r>
      <w:r w:rsidRPr="000F6CE9">
        <w:rPr>
          <w:rFonts w:ascii="Times New Roman" w:hAnsi="Times New Roman" w:cs="Times New Roman"/>
          <w:sz w:val="28"/>
          <w:lang w:val="ru-RU"/>
        </w:rPr>
        <w:t>[3..0]</w:t>
      </w:r>
      <w:r>
        <w:rPr>
          <w:rFonts w:ascii="Times New Roman" w:hAnsi="Times New Roman" w:cs="Times New Roman"/>
          <w:sz w:val="28"/>
          <w:lang w:val="ru-RU"/>
        </w:rPr>
        <w:t xml:space="preserve"> - поля, необходимые для синхронизации ведущих и ведомых устройств.</w:t>
      </w:r>
    </w:p>
    <w:p w:rsidR="009837D5" w:rsidRPr="000F6C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Ведующие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устройства контролируют шину поочередно, в соответствии с приходящим</w:t>
      </w:r>
      <w:r w:rsidRPr="000F6C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</w:t>
      </w:r>
      <w:r w:rsidRPr="000F6C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арбитра сигналом </w:t>
      </w:r>
      <w:proofErr w:type="gramStart"/>
      <w:r>
        <w:rPr>
          <w:rFonts w:ascii="Times New Roman" w:hAnsi="Times New Roman" w:cs="Times New Roman"/>
          <w:sz w:val="28"/>
        </w:rPr>
        <w:t>grant</w:t>
      </w:r>
      <w:r w:rsidRPr="000F6CE9">
        <w:rPr>
          <w:rFonts w:ascii="Times New Roman" w:hAnsi="Times New Roman" w:cs="Times New Roman"/>
          <w:sz w:val="28"/>
          <w:lang w:val="ru-RU"/>
        </w:rPr>
        <w:t>[</w:t>
      </w:r>
      <w:proofErr w:type="gramEnd"/>
      <w:r w:rsidRPr="000F6CE9">
        <w:rPr>
          <w:rFonts w:ascii="Times New Roman" w:hAnsi="Times New Roman" w:cs="Times New Roman"/>
          <w:sz w:val="28"/>
          <w:lang w:val="ru-RU"/>
        </w:rPr>
        <w:t>3..0].</w:t>
      </w:r>
    </w:p>
    <w:p w:rsidR="009837D5" w:rsidRPr="000F6CE9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Центральный арбитр получает от ведущих устройств сигнал </w:t>
      </w:r>
      <w:r>
        <w:rPr>
          <w:rFonts w:ascii="Times New Roman" w:hAnsi="Times New Roman" w:cs="Times New Roman"/>
          <w:sz w:val="28"/>
        </w:rPr>
        <w:t>req</w:t>
      </w:r>
      <w:r w:rsidRPr="000F6CE9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X</w:t>
      </w:r>
      <w:r w:rsidRPr="000F6CE9">
        <w:rPr>
          <w:rFonts w:ascii="Times New Roman" w:hAnsi="Times New Roman" w:cs="Times New Roman"/>
          <w:sz w:val="28"/>
          <w:lang w:val="ru-RU"/>
        </w:rPr>
        <w:t>.</w:t>
      </w:r>
    </w:p>
    <w:p w:rsidR="009837D5" w:rsidRPr="000F6CE9" w:rsidRDefault="00983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Pr="000F6CE9" w:rsidRDefault="00000000">
      <w:pPr>
        <w:spacing w:after="0" w:line="240" w:lineRule="auto"/>
        <w:ind w:leftChars="322" w:left="708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2.2 Центральный арбитр</w:t>
      </w:r>
    </w:p>
    <w:p w:rsidR="009837D5" w:rsidRPr="000F6CE9" w:rsidRDefault="009837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Схема центрального арбитра представлена на рисунке 2.2.1</w:t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noProof/>
        </w:rPr>
        <w:lastRenderedPageBreak/>
        <w:drawing>
          <wp:inline distT="0" distB="0" distL="114300" distR="114300">
            <wp:extent cx="3413760" cy="4404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2.2.1 – Схема центрального арбитра</w:t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 xml:space="preserve">Фиксированный квант времени реализуется в блоке на рисунке 2.2.2. Каждое определенное количество тактов подается сигнал </w:t>
      </w:r>
      <w:proofErr w:type="spellStart"/>
      <w:r>
        <w:rPr>
          <w:rFonts w:ascii="Times New Roman" w:hAnsi="Times New Roman" w:cs="Times New Roman"/>
          <w:sz w:val="28"/>
        </w:rPr>
        <w:t>next_device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837D5" w:rsidRDefault="00000000">
      <w:pPr>
        <w:spacing w:after="0" w:line="240" w:lineRule="auto"/>
        <w:ind w:firstLine="709"/>
        <w:jc w:val="center"/>
      </w:pPr>
      <w:r>
        <w:rPr>
          <w:noProof/>
        </w:rPr>
        <w:drawing>
          <wp:inline distT="0" distB="0" distL="114300" distR="114300">
            <wp:extent cx="3253740" cy="9372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2.2.2 – Схема, реализующая фиксированный квант времени</w:t>
      </w:r>
    </w:p>
    <w:p w:rsidR="009837D5" w:rsidRPr="000F6CE9" w:rsidRDefault="009837D5">
      <w:pPr>
        <w:spacing w:after="0" w:line="240" w:lineRule="auto"/>
        <w:jc w:val="both"/>
        <w:rPr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Особенности фиксированного кванта времени:</w:t>
      </w: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• Все устройства </w:t>
      </w:r>
      <w:proofErr w:type="spellStart"/>
      <w:r>
        <w:rPr>
          <w:sz w:val="28"/>
          <w:szCs w:val="28"/>
          <w:lang w:val="ru-RU"/>
        </w:rPr>
        <w:t>имееют</w:t>
      </w:r>
      <w:proofErr w:type="spellEnd"/>
      <w:r>
        <w:rPr>
          <w:sz w:val="28"/>
          <w:szCs w:val="28"/>
          <w:lang w:val="ru-RU"/>
        </w:rPr>
        <w:t xml:space="preserve"> одинаковый приоритет</w:t>
      </w: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• Каждому устройству предоставляется квант времени, в течение</w:t>
      </w: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которого устройство получает право на управление шиной</w:t>
      </w: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• Если устройство не нуждается в шине, выделенный квант времени</w:t>
      </w: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остается неиспользованным</w:t>
      </w:r>
    </w:p>
    <w:p w:rsidR="009837D5" w:rsidRDefault="00000000">
      <w:pPr>
        <w:spacing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• Наиболее подходит для синхронных шин</w:t>
      </w:r>
    </w:p>
    <w:p w:rsidR="009837D5" w:rsidRDefault="009837D5">
      <w:pPr>
        <w:spacing w:after="0" w:line="240" w:lineRule="auto"/>
        <w:ind w:firstLine="709"/>
        <w:jc w:val="both"/>
        <w:rPr>
          <w:lang w:val="ru-RU"/>
        </w:rPr>
      </w:pPr>
    </w:p>
    <w:p w:rsidR="009837D5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Далее при поступлении сигнала </w:t>
      </w:r>
      <w:r>
        <w:rPr>
          <w:rFonts w:ascii="Times New Roman" w:hAnsi="Times New Roman" w:cs="Times New Roman"/>
          <w:sz w:val="28"/>
        </w:rPr>
        <w:t>next</w:t>
      </w:r>
      <w:r w:rsidRPr="000F6CE9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device</w:t>
      </w:r>
      <w:r>
        <w:rPr>
          <w:rFonts w:ascii="Times New Roman" w:hAnsi="Times New Roman" w:cs="Times New Roman"/>
          <w:sz w:val="28"/>
          <w:lang w:val="ru-RU"/>
        </w:rPr>
        <w:t xml:space="preserve"> поочередно выдается очередь каждому из 4 ведущих устройств (см. рисунок 2.2.3).</w:t>
      </w:r>
    </w:p>
    <w:p w:rsidR="009837D5" w:rsidRDefault="00000000">
      <w:pPr>
        <w:spacing w:after="0" w:line="240" w:lineRule="auto"/>
        <w:ind w:firstLine="709"/>
        <w:jc w:val="center"/>
      </w:pPr>
      <w:r>
        <w:rPr>
          <w:noProof/>
        </w:rPr>
        <w:lastRenderedPageBreak/>
        <w:drawing>
          <wp:inline distT="0" distB="0" distL="114300" distR="114300">
            <wp:extent cx="3108960" cy="96012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hd w:val="clear" w:color="auto" w:fill="DDD8C2" w:themeFill="background2" w:themeFillShade="E5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2.2.3 – Часть устройства центрального арбитра</w:t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ab/>
        <w:t xml:space="preserve">После чего, если с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соотвутствующего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ведущего устройства поступал запрос о занятии шины, то ему выдается грант (см. рисунок 2.2.4). </w:t>
      </w:r>
    </w:p>
    <w:p w:rsidR="009837D5" w:rsidRDefault="009837D5">
      <w:pPr>
        <w:spacing w:after="0" w:line="24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114300" distR="114300">
            <wp:extent cx="1524000" cy="184404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both"/>
        <w:rPr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hd w:val="clear" w:color="auto" w:fill="DDD8C2" w:themeFill="background2" w:themeFillShade="E5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2.2.4 – Часть устройства центрального арбитра</w:t>
      </w:r>
    </w:p>
    <w:p w:rsidR="009837D5" w:rsidRDefault="009837D5">
      <w:pPr>
        <w:spacing w:after="0" w:line="240" w:lineRule="auto"/>
        <w:jc w:val="both"/>
        <w:rPr>
          <w:lang w:val="ru-RU"/>
        </w:rPr>
      </w:pPr>
    </w:p>
    <w:p w:rsidR="009837D5" w:rsidRPr="000F6C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2.3 Ведущее устройство</w:t>
      </w:r>
    </w:p>
    <w:p w:rsidR="009837D5" w:rsidRDefault="009837D5">
      <w:pPr>
        <w:spacing w:after="0" w:line="240" w:lineRule="auto"/>
        <w:jc w:val="both"/>
        <w:rPr>
          <w:lang w:val="ru-RU"/>
        </w:rPr>
      </w:pPr>
    </w:p>
    <w:p w:rsidR="009837D5" w:rsidRDefault="00000000">
      <w:pPr>
        <w:tabs>
          <w:tab w:val="left" w:pos="4270"/>
        </w:tabs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Схема ведущего устройства представлена на рисунке 2.3.1.</w:t>
      </w:r>
    </w:p>
    <w:p w:rsidR="009837D5" w:rsidRDefault="009837D5">
      <w:pPr>
        <w:tabs>
          <w:tab w:val="left" w:pos="4270"/>
        </w:tabs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>
            <wp:extent cx="5177790" cy="3284855"/>
            <wp:effectExtent l="0" t="0" r="3810" b="4445"/>
            <wp:docPr id="2430063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6393" name="Рисунок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08" cy="331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2.3.1 – Схема ведущего устройства</w:t>
      </w:r>
    </w:p>
    <w:p w:rsidR="009837D5" w:rsidRPr="000F6CE9" w:rsidRDefault="009837D5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9837D5" w:rsidRDefault="009837D5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9837D5" w:rsidRPr="000F6CE9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2.4 Ведомое устройство</w:t>
      </w:r>
    </w:p>
    <w:p w:rsidR="009837D5" w:rsidRDefault="009837D5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Схема ведомого устройства представлена на рисунке 2.4.1.</w:t>
      </w:r>
    </w:p>
    <w:p w:rsidR="009837D5" w:rsidRDefault="009837D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noProof/>
        </w:rPr>
        <w:drawing>
          <wp:inline distT="0" distB="0" distL="114300" distR="114300">
            <wp:extent cx="5193665" cy="4000500"/>
            <wp:effectExtent l="0" t="0" r="3175" b="762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2.4.1 – Схема ведомого устройства</w:t>
      </w:r>
    </w:p>
    <w:p w:rsidR="009837D5" w:rsidRDefault="009837D5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9837D5" w:rsidRDefault="0000000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lang w:val="ru-RU"/>
        </w:rPr>
        <w:t>2.</w:t>
      </w:r>
      <w:r w:rsidRPr="000F6CE9">
        <w:rPr>
          <w:rFonts w:ascii="Times New Roman" w:hAnsi="Times New Roman" w:cs="Times New Roman"/>
          <w:b/>
          <w:bCs/>
          <w:sz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lang w:val="ru-RU"/>
        </w:rPr>
        <w:t xml:space="preserve"> Результаты моделирования</w:t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Результаты моделирования представлены на рисунке 2.6.</w:t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lang w:val="ru-RU"/>
        </w:rPr>
        <w:drawing>
          <wp:inline distT="0" distB="0" distL="0" distR="0">
            <wp:extent cx="5636895" cy="1228725"/>
            <wp:effectExtent l="0" t="0" r="1905" b="3175"/>
            <wp:docPr id="14660312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1220" name="Рисунок 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204" cy="12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D5" w:rsidRDefault="009837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:rsidR="009837D5" w:rsidRDefault="000000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2.6 – Результаты моделирования</w:t>
      </w:r>
    </w:p>
    <w:sectPr w:rsidR="009837D5">
      <w:footerReference w:type="default" r:id="rId17"/>
      <w:type w:val="continuous"/>
      <w:pgSz w:w="11906" w:h="16838"/>
      <w:pgMar w:top="1134" w:right="851" w:bottom="1531" w:left="1701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454E" w:rsidRDefault="005C454E">
      <w:pPr>
        <w:spacing w:line="240" w:lineRule="auto"/>
      </w:pPr>
      <w:r>
        <w:separator/>
      </w:r>
    </w:p>
  </w:endnote>
  <w:endnote w:type="continuationSeparator" w:id="0">
    <w:p w:rsidR="005C454E" w:rsidRDefault="005C45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imHei">
    <w:altName w:val="黑体"/>
    <w:panose1 w:val="0201060906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6178724"/>
    </w:sdtPr>
    <w:sdtContent>
      <w:p w:rsidR="009837D5" w:rsidRDefault="00000000">
        <w:pPr>
          <w:pStyle w:val="Footer"/>
          <w:jc w:val="right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  <w:lang w:val="ru-RU"/>
          </w:rPr>
          <w:t>2</w:t>
        </w:r>
        <w:r>
          <w:rPr>
            <w:sz w:val="28"/>
            <w:szCs w:val="28"/>
          </w:rPr>
          <w:fldChar w:fldCharType="end"/>
        </w:r>
      </w:p>
      <w:p w:rsidR="009837D5" w:rsidRDefault="00000000">
        <w:pPr>
          <w:pStyle w:val="Footer"/>
          <w:jc w:val="right"/>
        </w:pPr>
      </w:p>
    </w:sdtContent>
  </w:sdt>
  <w:p w:rsidR="009837D5" w:rsidRDefault="00983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454E" w:rsidRDefault="005C454E">
      <w:pPr>
        <w:spacing w:after="0"/>
      </w:pPr>
      <w:r>
        <w:separator/>
      </w:r>
    </w:p>
  </w:footnote>
  <w:footnote w:type="continuationSeparator" w:id="0">
    <w:p w:rsidR="005C454E" w:rsidRDefault="005C45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AD335"/>
    <w:multiLevelType w:val="singleLevel"/>
    <w:tmpl w:val="56AAD3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92868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1FD"/>
    <w:rsid w:val="0001561F"/>
    <w:rsid w:val="000317B4"/>
    <w:rsid w:val="000436B9"/>
    <w:rsid w:val="00045983"/>
    <w:rsid w:val="0004762F"/>
    <w:rsid w:val="00067C47"/>
    <w:rsid w:val="00076FD8"/>
    <w:rsid w:val="000A1399"/>
    <w:rsid w:val="000A5174"/>
    <w:rsid w:val="000B0C92"/>
    <w:rsid w:val="000B2502"/>
    <w:rsid w:val="000B6659"/>
    <w:rsid w:val="000C66EC"/>
    <w:rsid w:val="000D1D7A"/>
    <w:rsid w:val="000D2ABB"/>
    <w:rsid w:val="000D337B"/>
    <w:rsid w:val="000E0EDD"/>
    <w:rsid w:val="000E17B1"/>
    <w:rsid w:val="000E3259"/>
    <w:rsid w:val="000E3424"/>
    <w:rsid w:val="000F44E0"/>
    <w:rsid w:val="000F64BC"/>
    <w:rsid w:val="000F6CE9"/>
    <w:rsid w:val="00101EDD"/>
    <w:rsid w:val="001061AE"/>
    <w:rsid w:val="00110626"/>
    <w:rsid w:val="0011135D"/>
    <w:rsid w:val="00135776"/>
    <w:rsid w:val="001401E3"/>
    <w:rsid w:val="00144919"/>
    <w:rsid w:val="00151DB0"/>
    <w:rsid w:val="00163EDD"/>
    <w:rsid w:val="00164FD1"/>
    <w:rsid w:val="00175443"/>
    <w:rsid w:val="00193475"/>
    <w:rsid w:val="001C2B54"/>
    <w:rsid w:val="001C42C3"/>
    <w:rsid w:val="001C7630"/>
    <w:rsid w:val="001D2B60"/>
    <w:rsid w:val="00201EE9"/>
    <w:rsid w:val="00202481"/>
    <w:rsid w:val="00203111"/>
    <w:rsid w:val="0021117E"/>
    <w:rsid w:val="00221D51"/>
    <w:rsid w:val="0023438C"/>
    <w:rsid w:val="00237CB2"/>
    <w:rsid w:val="00247887"/>
    <w:rsid w:val="00280A4F"/>
    <w:rsid w:val="00297EE0"/>
    <w:rsid w:val="002A0AAD"/>
    <w:rsid w:val="002A54DB"/>
    <w:rsid w:val="002B1C3F"/>
    <w:rsid w:val="002B3ADE"/>
    <w:rsid w:val="002C2DCB"/>
    <w:rsid w:val="002C41F1"/>
    <w:rsid w:val="002C4B76"/>
    <w:rsid w:val="002C5164"/>
    <w:rsid w:val="002D50C3"/>
    <w:rsid w:val="002E1DED"/>
    <w:rsid w:val="002E2539"/>
    <w:rsid w:val="002F12B9"/>
    <w:rsid w:val="002F4DA8"/>
    <w:rsid w:val="00310BFF"/>
    <w:rsid w:val="00325E68"/>
    <w:rsid w:val="00336417"/>
    <w:rsid w:val="00343026"/>
    <w:rsid w:val="00351AAF"/>
    <w:rsid w:val="0035624B"/>
    <w:rsid w:val="00356AD1"/>
    <w:rsid w:val="0036572C"/>
    <w:rsid w:val="0036720E"/>
    <w:rsid w:val="003733A2"/>
    <w:rsid w:val="00383C0D"/>
    <w:rsid w:val="00390B6A"/>
    <w:rsid w:val="003B7F3E"/>
    <w:rsid w:val="003D2E5F"/>
    <w:rsid w:val="003D37F1"/>
    <w:rsid w:val="003D63CF"/>
    <w:rsid w:val="003E043D"/>
    <w:rsid w:val="003E468B"/>
    <w:rsid w:val="003F43C9"/>
    <w:rsid w:val="00402D73"/>
    <w:rsid w:val="004031DE"/>
    <w:rsid w:val="004114A8"/>
    <w:rsid w:val="00417869"/>
    <w:rsid w:val="00425BE2"/>
    <w:rsid w:val="004356CC"/>
    <w:rsid w:val="00436DC3"/>
    <w:rsid w:val="00453C3A"/>
    <w:rsid w:val="004622B3"/>
    <w:rsid w:val="004733D6"/>
    <w:rsid w:val="00490842"/>
    <w:rsid w:val="00495460"/>
    <w:rsid w:val="0049558D"/>
    <w:rsid w:val="004A1017"/>
    <w:rsid w:val="004B6144"/>
    <w:rsid w:val="004C11F9"/>
    <w:rsid w:val="004C1DCE"/>
    <w:rsid w:val="004C3566"/>
    <w:rsid w:val="004C7844"/>
    <w:rsid w:val="004D6F7E"/>
    <w:rsid w:val="004D6FE5"/>
    <w:rsid w:val="004E7A94"/>
    <w:rsid w:val="004F2730"/>
    <w:rsid w:val="004F3C6C"/>
    <w:rsid w:val="00501187"/>
    <w:rsid w:val="00513314"/>
    <w:rsid w:val="00521F7F"/>
    <w:rsid w:val="00531FE6"/>
    <w:rsid w:val="0056070C"/>
    <w:rsid w:val="00567851"/>
    <w:rsid w:val="00573A6B"/>
    <w:rsid w:val="005767BA"/>
    <w:rsid w:val="005A2889"/>
    <w:rsid w:val="005A36C7"/>
    <w:rsid w:val="005B3BDB"/>
    <w:rsid w:val="005C454E"/>
    <w:rsid w:val="005D67A7"/>
    <w:rsid w:val="005E15A7"/>
    <w:rsid w:val="005E3226"/>
    <w:rsid w:val="005E388D"/>
    <w:rsid w:val="005F633D"/>
    <w:rsid w:val="00617ED2"/>
    <w:rsid w:val="0063159B"/>
    <w:rsid w:val="0064125D"/>
    <w:rsid w:val="00647982"/>
    <w:rsid w:val="00650A11"/>
    <w:rsid w:val="00652EFB"/>
    <w:rsid w:val="006537C8"/>
    <w:rsid w:val="006634E6"/>
    <w:rsid w:val="006861D4"/>
    <w:rsid w:val="006872B3"/>
    <w:rsid w:val="00693757"/>
    <w:rsid w:val="006A21CC"/>
    <w:rsid w:val="006D5936"/>
    <w:rsid w:val="006E12E2"/>
    <w:rsid w:val="006F3AE8"/>
    <w:rsid w:val="006F655E"/>
    <w:rsid w:val="00700CBF"/>
    <w:rsid w:val="00703A7C"/>
    <w:rsid w:val="00704A16"/>
    <w:rsid w:val="00724C64"/>
    <w:rsid w:val="00747234"/>
    <w:rsid w:val="00755F67"/>
    <w:rsid w:val="00761A39"/>
    <w:rsid w:val="0076224D"/>
    <w:rsid w:val="00762C6B"/>
    <w:rsid w:val="00765298"/>
    <w:rsid w:val="00774C9B"/>
    <w:rsid w:val="007A582D"/>
    <w:rsid w:val="007B18B5"/>
    <w:rsid w:val="007B2590"/>
    <w:rsid w:val="007B37E7"/>
    <w:rsid w:val="007B57BF"/>
    <w:rsid w:val="007B5F1E"/>
    <w:rsid w:val="007D1606"/>
    <w:rsid w:val="007D6B4A"/>
    <w:rsid w:val="00802618"/>
    <w:rsid w:val="00802F23"/>
    <w:rsid w:val="008042B4"/>
    <w:rsid w:val="0080478B"/>
    <w:rsid w:val="008146B0"/>
    <w:rsid w:val="008147B1"/>
    <w:rsid w:val="00827D6C"/>
    <w:rsid w:val="008361B9"/>
    <w:rsid w:val="0084067C"/>
    <w:rsid w:val="00851904"/>
    <w:rsid w:val="00852B4D"/>
    <w:rsid w:val="00855E07"/>
    <w:rsid w:val="00880CD6"/>
    <w:rsid w:val="008841FA"/>
    <w:rsid w:val="008A103F"/>
    <w:rsid w:val="008A397F"/>
    <w:rsid w:val="008A6385"/>
    <w:rsid w:val="008C4D52"/>
    <w:rsid w:val="008D169D"/>
    <w:rsid w:val="008E2DDB"/>
    <w:rsid w:val="008E46D3"/>
    <w:rsid w:val="008F7155"/>
    <w:rsid w:val="008F7385"/>
    <w:rsid w:val="00903379"/>
    <w:rsid w:val="00913102"/>
    <w:rsid w:val="00920FA3"/>
    <w:rsid w:val="0092437A"/>
    <w:rsid w:val="009407DB"/>
    <w:rsid w:val="00940AD5"/>
    <w:rsid w:val="009432A3"/>
    <w:rsid w:val="00943C54"/>
    <w:rsid w:val="00962A3B"/>
    <w:rsid w:val="00966749"/>
    <w:rsid w:val="009837D5"/>
    <w:rsid w:val="00985BC4"/>
    <w:rsid w:val="00987759"/>
    <w:rsid w:val="00996993"/>
    <w:rsid w:val="009A7CF9"/>
    <w:rsid w:val="009B2201"/>
    <w:rsid w:val="00A06356"/>
    <w:rsid w:val="00A22F98"/>
    <w:rsid w:val="00A2378F"/>
    <w:rsid w:val="00A31213"/>
    <w:rsid w:val="00A31243"/>
    <w:rsid w:val="00A365C3"/>
    <w:rsid w:val="00A43DEF"/>
    <w:rsid w:val="00A44008"/>
    <w:rsid w:val="00A44A00"/>
    <w:rsid w:val="00A4548E"/>
    <w:rsid w:val="00A53A08"/>
    <w:rsid w:val="00A54EC6"/>
    <w:rsid w:val="00A61EC5"/>
    <w:rsid w:val="00A65949"/>
    <w:rsid w:val="00A66A54"/>
    <w:rsid w:val="00A85D64"/>
    <w:rsid w:val="00A87D2E"/>
    <w:rsid w:val="00AA02ED"/>
    <w:rsid w:val="00AB031C"/>
    <w:rsid w:val="00AB1558"/>
    <w:rsid w:val="00AB2899"/>
    <w:rsid w:val="00AC79B4"/>
    <w:rsid w:val="00AD54D0"/>
    <w:rsid w:val="00AE1536"/>
    <w:rsid w:val="00AE31FD"/>
    <w:rsid w:val="00AE5AF4"/>
    <w:rsid w:val="00AE5C39"/>
    <w:rsid w:val="00AF28FE"/>
    <w:rsid w:val="00AF3015"/>
    <w:rsid w:val="00B07100"/>
    <w:rsid w:val="00B12155"/>
    <w:rsid w:val="00B1378C"/>
    <w:rsid w:val="00B2515F"/>
    <w:rsid w:val="00B30A19"/>
    <w:rsid w:val="00B366FA"/>
    <w:rsid w:val="00B367E6"/>
    <w:rsid w:val="00B377CA"/>
    <w:rsid w:val="00B418C9"/>
    <w:rsid w:val="00B42228"/>
    <w:rsid w:val="00B43A89"/>
    <w:rsid w:val="00B535F3"/>
    <w:rsid w:val="00B5772E"/>
    <w:rsid w:val="00B71AC3"/>
    <w:rsid w:val="00B76A8E"/>
    <w:rsid w:val="00B82DA0"/>
    <w:rsid w:val="00B85CD9"/>
    <w:rsid w:val="00B87416"/>
    <w:rsid w:val="00B95BDA"/>
    <w:rsid w:val="00BB46AA"/>
    <w:rsid w:val="00BB7208"/>
    <w:rsid w:val="00BD05BB"/>
    <w:rsid w:val="00BE3F7F"/>
    <w:rsid w:val="00C037A4"/>
    <w:rsid w:val="00C10E1E"/>
    <w:rsid w:val="00C2000A"/>
    <w:rsid w:val="00C36BB0"/>
    <w:rsid w:val="00C80624"/>
    <w:rsid w:val="00C82CD0"/>
    <w:rsid w:val="00C833EB"/>
    <w:rsid w:val="00C95ACC"/>
    <w:rsid w:val="00C964DB"/>
    <w:rsid w:val="00CA5137"/>
    <w:rsid w:val="00CC1FBE"/>
    <w:rsid w:val="00CD0815"/>
    <w:rsid w:val="00CD6B5E"/>
    <w:rsid w:val="00CE41CA"/>
    <w:rsid w:val="00CF0544"/>
    <w:rsid w:val="00CF51B1"/>
    <w:rsid w:val="00D0159F"/>
    <w:rsid w:val="00D059F4"/>
    <w:rsid w:val="00D10699"/>
    <w:rsid w:val="00D129A0"/>
    <w:rsid w:val="00D20CB5"/>
    <w:rsid w:val="00D24E2C"/>
    <w:rsid w:val="00D411D5"/>
    <w:rsid w:val="00D458E4"/>
    <w:rsid w:val="00D52796"/>
    <w:rsid w:val="00D71612"/>
    <w:rsid w:val="00D72B0D"/>
    <w:rsid w:val="00D732AC"/>
    <w:rsid w:val="00D75F8A"/>
    <w:rsid w:val="00D76286"/>
    <w:rsid w:val="00D94236"/>
    <w:rsid w:val="00D948D0"/>
    <w:rsid w:val="00D951CC"/>
    <w:rsid w:val="00DA2DEE"/>
    <w:rsid w:val="00DB454A"/>
    <w:rsid w:val="00DE426B"/>
    <w:rsid w:val="00DE431B"/>
    <w:rsid w:val="00E003B1"/>
    <w:rsid w:val="00E071C4"/>
    <w:rsid w:val="00E16344"/>
    <w:rsid w:val="00E4098B"/>
    <w:rsid w:val="00E6296C"/>
    <w:rsid w:val="00E62D3B"/>
    <w:rsid w:val="00E75EA6"/>
    <w:rsid w:val="00E979BB"/>
    <w:rsid w:val="00EA2D3E"/>
    <w:rsid w:val="00EB5286"/>
    <w:rsid w:val="00EB75AE"/>
    <w:rsid w:val="00EC3CDB"/>
    <w:rsid w:val="00EC477D"/>
    <w:rsid w:val="00EE2D39"/>
    <w:rsid w:val="00EE7D81"/>
    <w:rsid w:val="00F21820"/>
    <w:rsid w:val="00F21FEF"/>
    <w:rsid w:val="00F309EB"/>
    <w:rsid w:val="00F3461C"/>
    <w:rsid w:val="00F368E5"/>
    <w:rsid w:val="00F44103"/>
    <w:rsid w:val="00F5428E"/>
    <w:rsid w:val="00F84B02"/>
    <w:rsid w:val="00F906FC"/>
    <w:rsid w:val="00F90D6E"/>
    <w:rsid w:val="00F960DA"/>
    <w:rsid w:val="00FC6011"/>
    <w:rsid w:val="00FD2D82"/>
    <w:rsid w:val="00FE3008"/>
    <w:rsid w:val="00FE5E4A"/>
    <w:rsid w:val="00FE7910"/>
    <w:rsid w:val="00FF50F0"/>
    <w:rsid w:val="04CC773D"/>
    <w:rsid w:val="1BEF61C9"/>
    <w:rsid w:val="1D4B2ADA"/>
    <w:rsid w:val="2E8856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605445"/>
  <w15:docId w15:val="{BA7A0951-7F3A-2048-BFF6-651A6C9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nowrap">
    <w:name w:val="nowrap"/>
    <w:basedOn w:val="DefaultParagraphFont"/>
    <w:qFormat/>
  </w:style>
  <w:style w:type="character" w:customStyle="1" w:styleId="mwe-math-mathml-inline">
    <w:name w:val="mwe-math-mathml-inlin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НР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787B7-8127-42A7-9EE6-53D25E5D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15050102@study.bsuir.by</dc:creator>
  <cp:lastModifiedBy>Шарай Пётр Юрьевич</cp:lastModifiedBy>
  <cp:revision>18</cp:revision>
  <cp:lastPrinted>2021-05-05T10:01:00Z</cp:lastPrinted>
  <dcterms:created xsi:type="dcterms:W3CDTF">2023-10-23T12:47:00Z</dcterms:created>
  <dcterms:modified xsi:type="dcterms:W3CDTF">2024-03-30T09:35:00Z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6A232A703E9C419C87488D7A448607C1_13</vt:lpwstr>
  </property>
</Properties>
</file>