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913" w:rsidRDefault="00EE7913" w:rsidP="00EE7913">
      <w:pPr>
        <w:rPr>
          <w:b/>
          <w:sz w:val="20"/>
          <w:szCs w:val="20"/>
          <w:highlight w:val="white"/>
        </w:rPr>
      </w:pPr>
    </w:p>
    <w:p w:rsidR="00EE7913" w:rsidRDefault="00EE7913" w:rsidP="00EE7913">
      <w:pPr>
        <w:numPr>
          <w:ilvl w:val="0"/>
          <w:numId w:val="1"/>
        </w:numPr>
        <w:rPr>
          <w:b/>
          <w:highlight w:val="white"/>
        </w:rPr>
      </w:pPr>
      <w:r>
        <w:rPr>
          <w:b/>
          <w:highlight w:val="white"/>
        </w:rPr>
        <w:t>Линейные коды (кодирование) +</w:t>
      </w:r>
    </w:p>
    <w:p w:rsidR="00EE7913" w:rsidRDefault="00EE7913" w:rsidP="00EE7913">
      <w:pPr>
        <w:ind w:left="720"/>
        <w:rPr>
          <w:b/>
          <w:highlight w:val="white"/>
        </w:rPr>
      </w:pPr>
    </w:p>
    <w:p w:rsidR="00E05D11" w:rsidRPr="00E05D11" w:rsidRDefault="00E05D11" w:rsidP="00E05D11">
      <w:pPr>
        <w:jc w:val="center"/>
        <w:rPr>
          <w:b/>
          <w:highlight w:val="white"/>
          <w:lang w:val="en-US"/>
        </w:rPr>
      </w:pPr>
      <w:r>
        <w:rPr>
          <w:b/>
          <w:highlight w:val="white"/>
          <w:lang w:val="en-US"/>
        </w:rPr>
        <w:t>NRZ</w:t>
      </w:r>
    </w:p>
    <w:p w:rsidR="00B823D1" w:rsidRPr="00B823D1" w:rsidRDefault="00721812" w:rsidP="00721812">
      <w:pPr>
        <w:rPr>
          <w:lang w:val="ru-RU"/>
        </w:rPr>
      </w:pPr>
      <w:r>
        <w:t xml:space="preserve">NRZ-коды выражаются изменением уровней между </w:t>
      </w:r>
      <w:r w:rsidRPr="00721812">
        <w:rPr>
          <w:b/>
        </w:rPr>
        <w:t>тактами</w:t>
      </w:r>
      <w:r>
        <w:t>. В простых случаях, логические уровни или не преобразуются вообще или инвертируются. В более сложных – уровень инвертируется при приходе нуля (</w:t>
      </w:r>
      <w:proofErr w:type="spellStart"/>
      <w:r>
        <w:t>space</w:t>
      </w:r>
      <w:proofErr w:type="spellEnd"/>
      <w:r>
        <w:t>) или единицы (</w:t>
      </w:r>
      <w:proofErr w:type="spellStart"/>
      <w:r>
        <w:t>mark</w:t>
      </w:r>
      <w:proofErr w:type="spellEnd"/>
      <w:r>
        <w:t xml:space="preserve">). </w:t>
      </w:r>
    </w:p>
    <w:p w:rsidR="00EE7913" w:rsidRDefault="00721812" w:rsidP="00721812">
      <w:r>
        <w:t>Область применения: RS-232, RS-485, USB</w:t>
      </w:r>
    </w:p>
    <w:p w:rsidR="00721812" w:rsidRDefault="00721812" w:rsidP="00721812"/>
    <w:p w:rsidR="00E05D11" w:rsidRPr="00E05D11" w:rsidRDefault="00E05D11" w:rsidP="00E05D11">
      <w:pPr>
        <w:jc w:val="center"/>
        <w:rPr>
          <w:b/>
          <w:lang w:val="en-US"/>
        </w:rPr>
      </w:pPr>
      <w:r w:rsidRPr="00E05D11">
        <w:rPr>
          <w:b/>
          <w:lang w:val="en-US"/>
        </w:rPr>
        <w:t>RZ</w:t>
      </w:r>
    </w:p>
    <w:p w:rsidR="00721812" w:rsidRDefault="00721812" w:rsidP="00721812">
      <w:r>
        <w:t>RZ-коды выражаются переходом к нулю (</w:t>
      </w:r>
      <w:proofErr w:type="spellStart"/>
      <w:r>
        <w:t>gnd</w:t>
      </w:r>
      <w:proofErr w:type="spellEnd"/>
      <w:r>
        <w:t xml:space="preserve">) на каждой </w:t>
      </w:r>
      <w:r w:rsidRPr="00721812">
        <w:rPr>
          <w:b/>
        </w:rPr>
        <w:t>половине такта</w:t>
      </w:r>
      <w:r>
        <w:t xml:space="preserve">. </w:t>
      </w:r>
      <w:proofErr w:type="spellStart"/>
      <w:r>
        <w:t>Двухполярные</w:t>
      </w:r>
      <w:proofErr w:type="spellEnd"/>
      <w:r>
        <w:t xml:space="preserve"> RZ-коды обладают самосинхронизацией (0 в них выражается как -1, и после перехода в логический уровень нуля (-1В) сигнал переходит в землю (0В)). Область применения: </w:t>
      </w:r>
      <w:proofErr w:type="spellStart"/>
      <w:r>
        <w:t>IrDA</w:t>
      </w:r>
      <w:proofErr w:type="spellEnd"/>
    </w:p>
    <w:p w:rsidR="00721812" w:rsidRDefault="00721812" w:rsidP="00721812">
      <w:pPr>
        <w:rPr>
          <w:b/>
          <w:highlight w:val="white"/>
        </w:rPr>
      </w:pPr>
    </w:p>
    <w:p w:rsidR="00E05D11" w:rsidRPr="00E05D11" w:rsidRDefault="00E05D11" w:rsidP="00E05D11">
      <w:pPr>
        <w:jc w:val="center"/>
        <w:rPr>
          <w:b/>
          <w:highlight w:val="white"/>
          <w:lang w:val="ru-RU"/>
        </w:rPr>
      </w:pPr>
      <w:r>
        <w:rPr>
          <w:b/>
          <w:highlight w:val="white"/>
          <w:lang w:val="ru-RU"/>
        </w:rPr>
        <w:t>Манчестерские</w:t>
      </w:r>
    </w:p>
    <w:p w:rsidR="00CA6791" w:rsidRDefault="00CA6791" w:rsidP="00721812">
      <w:pPr>
        <w:rPr>
          <w:b/>
          <w:highlight w:val="white"/>
        </w:rPr>
      </w:pPr>
      <w:r w:rsidRPr="00CA6791">
        <w:rPr>
          <w:b/>
        </w:rPr>
        <w:drawing>
          <wp:inline distT="0" distB="0" distL="0" distR="0" wp14:anchorId="6AEAD5C3" wp14:editId="3A3B5D3F">
            <wp:extent cx="5940425" cy="13271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791" w:rsidRPr="0074302E" w:rsidRDefault="0074302E" w:rsidP="00721812">
      <w:pPr>
        <w:rPr>
          <w:highlight w:val="white"/>
          <w:lang w:val="ru-RU"/>
        </w:rPr>
      </w:pPr>
      <w:r>
        <w:rPr>
          <w:highlight w:val="white"/>
          <w:lang w:val="ru-RU"/>
        </w:rPr>
        <w:t>На каждой половине такта ставим палочку, и направление 0-</w:t>
      </w:r>
      <w:r w:rsidR="001D4488">
        <w:rPr>
          <w:highlight w:val="white"/>
          <w:lang w:val="ru-RU"/>
        </w:rPr>
        <w:t>вниз, 1-вверх. Потом все соединяем согласно направлениям.</w:t>
      </w:r>
    </w:p>
    <w:p w:rsidR="00CA6791" w:rsidRDefault="00CA6791" w:rsidP="00721812">
      <w:pPr>
        <w:rPr>
          <w:b/>
          <w:highlight w:val="white"/>
        </w:rPr>
      </w:pPr>
    </w:p>
    <w:p w:rsidR="00E05D11" w:rsidRPr="00E05D11" w:rsidRDefault="00E05D11" w:rsidP="00E05D11">
      <w:pPr>
        <w:jc w:val="center"/>
        <w:rPr>
          <w:b/>
          <w:highlight w:val="white"/>
          <w:lang w:val="ru-RU"/>
        </w:rPr>
      </w:pPr>
      <w:r>
        <w:rPr>
          <w:b/>
          <w:highlight w:val="white"/>
          <w:lang w:val="ru-RU"/>
        </w:rPr>
        <w:t>Миллер</w:t>
      </w:r>
    </w:p>
    <w:p w:rsidR="001D4488" w:rsidRDefault="00E05D11" w:rsidP="00721812">
      <w:r>
        <w:t>Согласно коду Миллера (</w:t>
      </w:r>
      <w:proofErr w:type="spellStart"/>
      <w:r>
        <w:t>Miller</w:t>
      </w:r>
      <w:proofErr w:type="spellEnd"/>
      <w:r>
        <w:t>), ноль соответствует отсутствию перехода во время такта, единица соответствует переходу во время такта. Между двумя нулями всегда выполняется смена уровня. Переход происходит во время такта, а смена уровня – на границе двух</w:t>
      </w:r>
    </w:p>
    <w:p w:rsidR="00E05D11" w:rsidRPr="00DF56E6" w:rsidRDefault="00E05D11" w:rsidP="00721812">
      <w:pPr>
        <w:rPr>
          <w:b/>
        </w:rPr>
      </w:pPr>
    </w:p>
    <w:p w:rsidR="00DF56E6" w:rsidRPr="00DF56E6" w:rsidRDefault="00DF56E6" w:rsidP="00DF56E6">
      <w:pPr>
        <w:jc w:val="center"/>
        <w:rPr>
          <w:b/>
          <w:lang w:val="en-US"/>
        </w:rPr>
      </w:pPr>
      <w:proofErr w:type="spellStart"/>
      <w:r w:rsidRPr="00DF56E6">
        <w:rPr>
          <w:b/>
        </w:rPr>
        <w:t>Split</w:t>
      </w:r>
      <w:proofErr w:type="spellEnd"/>
      <w:r w:rsidRPr="00DF56E6">
        <w:rPr>
          <w:b/>
        </w:rPr>
        <w:t xml:space="preserve"> </w:t>
      </w:r>
      <w:proofErr w:type="spellStart"/>
      <w:r w:rsidRPr="00DF56E6">
        <w:rPr>
          <w:b/>
        </w:rPr>
        <w:t>Phase</w:t>
      </w:r>
      <w:proofErr w:type="spellEnd"/>
    </w:p>
    <w:p w:rsidR="00E05D11" w:rsidRDefault="00DF56E6" w:rsidP="00721812">
      <w:r>
        <w:t xml:space="preserve">При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учитывается направление предыдущего перехода. При </w:t>
      </w:r>
      <w:proofErr w:type="spellStart"/>
      <w:r>
        <w:t>space</w:t>
      </w:r>
      <w:proofErr w:type="spellEnd"/>
      <w:r>
        <w:t xml:space="preserve">-варианте ноль соответствует переходу во время такта в направлении, противоположном направлению предыдущего перехода, единица соответствуют переходу во время такта в направлении, совпадающем с направлением предыдущего перехода. При </w:t>
      </w:r>
      <w:proofErr w:type="spellStart"/>
      <w:r>
        <w:t>mark</w:t>
      </w:r>
      <w:proofErr w:type="spellEnd"/>
      <w:r>
        <w:t>-варианте «роли» нулей и единиц из входной последовательности инвертируются.</w:t>
      </w:r>
    </w:p>
    <w:p w:rsidR="00DF56E6" w:rsidRDefault="00DF56E6" w:rsidP="00721812"/>
    <w:p w:rsidR="00DF56E6" w:rsidRPr="00DF56E6" w:rsidRDefault="00DF56E6" w:rsidP="00DF56E6">
      <w:pPr>
        <w:jc w:val="center"/>
        <w:rPr>
          <w:b/>
          <w:lang w:val="ru-RU"/>
        </w:rPr>
      </w:pPr>
      <w:proofErr w:type="spellStart"/>
      <w:r w:rsidRPr="00DF56E6">
        <w:rPr>
          <w:b/>
          <w:lang w:val="en-US"/>
        </w:rPr>
        <w:t>Biphase</w:t>
      </w:r>
      <w:proofErr w:type="spellEnd"/>
    </w:p>
    <w:p w:rsidR="00DF56E6" w:rsidRDefault="00DF56E6" w:rsidP="00721812">
      <w:r>
        <w:t xml:space="preserve">Согласно коду </w:t>
      </w:r>
      <w:proofErr w:type="spellStart"/>
      <w:r>
        <w:t>Biphase</w:t>
      </w:r>
      <w:proofErr w:type="spellEnd"/>
      <w:r>
        <w:t xml:space="preserve">, кроме возможных переходов во время тактов, всегда выполняется смена уровня между тактами. При </w:t>
      </w:r>
      <w:proofErr w:type="spellStart"/>
      <w:r>
        <w:t>space</w:t>
      </w:r>
      <w:proofErr w:type="spellEnd"/>
      <w:r>
        <w:t xml:space="preserve">-варианте ноль соответствуют переходу во время такта, единица соответствуют отсутствию перехода во время такта. При </w:t>
      </w:r>
      <w:proofErr w:type="spellStart"/>
      <w:r>
        <w:t>mark</w:t>
      </w:r>
      <w:proofErr w:type="spellEnd"/>
      <w:r>
        <w:t>-варианте «роли» нулей и единиц из входной последовательности инвертируются.</w:t>
      </w:r>
    </w:p>
    <w:p w:rsidR="00DF56E6" w:rsidRDefault="00DF56E6" w:rsidP="00721812"/>
    <w:p w:rsidR="005E3156" w:rsidRPr="005E3156" w:rsidRDefault="005E3156" w:rsidP="005E3156">
      <w:pPr>
        <w:jc w:val="center"/>
        <w:rPr>
          <w:b/>
          <w:lang w:val="en-US"/>
        </w:rPr>
      </w:pPr>
      <w:r w:rsidRPr="005E3156">
        <w:rPr>
          <w:b/>
          <w:lang w:val="en-US"/>
        </w:rPr>
        <w:t>MLT</w:t>
      </w:r>
    </w:p>
    <w:p w:rsidR="005E3156" w:rsidRDefault="005E3156" w:rsidP="00721812">
      <w:r>
        <w:t xml:space="preserve">Многоуровневые коды выражаются в переключении между несколькими уровнями между тактами. Например, MLT-3 имеет три уровня: 1, 0, -1. Переключение происходит по единице, что означает переход на соседний уровень. </w:t>
      </w:r>
    </w:p>
    <w:p w:rsidR="005E3156" w:rsidRPr="005E3156" w:rsidRDefault="005E3156" w:rsidP="00721812">
      <w:pPr>
        <w:rPr>
          <w:highlight w:val="white"/>
          <w:lang w:val="en-US"/>
        </w:rPr>
      </w:pPr>
      <w:r>
        <w:t xml:space="preserve">Используется в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Ethernet</w:t>
      </w:r>
      <w:proofErr w:type="spellEnd"/>
      <w:r>
        <w:t>.</w:t>
      </w:r>
    </w:p>
    <w:p w:rsidR="00EE7913" w:rsidRDefault="00EE7913" w:rsidP="00EE7913">
      <w:pPr>
        <w:rPr>
          <w:b/>
          <w:sz w:val="20"/>
          <w:szCs w:val="20"/>
          <w:highlight w:val="white"/>
        </w:rPr>
      </w:pPr>
      <w:r>
        <w:rPr>
          <w:b/>
          <w:noProof/>
          <w:sz w:val="20"/>
          <w:szCs w:val="20"/>
          <w:highlight w:val="white"/>
          <w:lang w:val="ru-RU"/>
        </w:rPr>
        <w:lastRenderedPageBreak/>
        <w:drawing>
          <wp:inline distT="114300" distB="114300" distL="114300" distR="114300" wp14:anchorId="33872048" wp14:editId="61EE2892">
            <wp:extent cx="5731200" cy="7645400"/>
            <wp:effectExtent l="0" t="0" r="0" b="0"/>
            <wp:docPr id="84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7913" w:rsidRDefault="00EE7913" w:rsidP="00EE7913">
      <w:pPr>
        <w:rPr>
          <w:b/>
          <w:sz w:val="20"/>
          <w:szCs w:val="20"/>
          <w:highlight w:val="white"/>
        </w:rPr>
      </w:pPr>
    </w:p>
    <w:p w:rsidR="00EE7913" w:rsidRDefault="00EE7913" w:rsidP="00EE7913">
      <w:pPr>
        <w:rPr>
          <w:b/>
          <w:sz w:val="20"/>
          <w:szCs w:val="20"/>
          <w:highlight w:val="white"/>
        </w:rPr>
      </w:pPr>
    </w:p>
    <w:p w:rsidR="00EE7913" w:rsidRDefault="00EE7913" w:rsidP="00EE7913">
      <w:pPr>
        <w:rPr>
          <w:b/>
          <w:sz w:val="20"/>
          <w:szCs w:val="20"/>
          <w:highlight w:val="white"/>
        </w:rPr>
      </w:pPr>
    </w:p>
    <w:p w:rsidR="00EE7913" w:rsidRDefault="00EE7913" w:rsidP="00EE7913">
      <w:pPr>
        <w:rPr>
          <w:b/>
          <w:sz w:val="20"/>
          <w:szCs w:val="20"/>
          <w:highlight w:val="white"/>
        </w:rPr>
      </w:pPr>
    </w:p>
    <w:p w:rsidR="00EE7913" w:rsidRDefault="00EE7913" w:rsidP="00EE7913">
      <w:pPr>
        <w:rPr>
          <w:b/>
          <w:sz w:val="20"/>
          <w:szCs w:val="20"/>
          <w:highlight w:val="white"/>
        </w:rPr>
      </w:pPr>
    </w:p>
    <w:p w:rsidR="00EE7913" w:rsidRDefault="00EE7913" w:rsidP="00EE7913">
      <w:pPr>
        <w:rPr>
          <w:b/>
          <w:sz w:val="20"/>
          <w:szCs w:val="20"/>
          <w:highlight w:val="white"/>
        </w:rPr>
      </w:pPr>
      <w:r>
        <w:rPr>
          <w:b/>
          <w:noProof/>
          <w:sz w:val="20"/>
          <w:szCs w:val="20"/>
          <w:highlight w:val="white"/>
          <w:lang w:val="ru-RU"/>
        </w:rPr>
        <w:lastRenderedPageBreak/>
        <w:drawing>
          <wp:inline distT="114300" distB="114300" distL="114300" distR="114300" wp14:anchorId="08974EA5" wp14:editId="2FB0CF1B">
            <wp:extent cx="5731200" cy="7645400"/>
            <wp:effectExtent l="0" t="0" r="0" b="0"/>
            <wp:docPr id="3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7913" w:rsidRDefault="00EE7913" w:rsidP="00EE7913">
      <w:pPr>
        <w:rPr>
          <w:b/>
          <w:sz w:val="20"/>
          <w:szCs w:val="20"/>
          <w:highlight w:val="white"/>
        </w:rPr>
      </w:pPr>
    </w:p>
    <w:p w:rsidR="00EE7913" w:rsidRDefault="00EE7913" w:rsidP="00EE7913">
      <w:pPr>
        <w:rPr>
          <w:b/>
          <w:sz w:val="20"/>
          <w:szCs w:val="20"/>
          <w:highlight w:val="white"/>
        </w:rPr>
      </w:pPr>
    </w:p>
    <w:p w:rsidR="00EE7913" w:rsidRDefault="00EE7913" w:rsidP="00EE7913">
      <w:pPr>
        <w:rPr>
          <w:b/>
          <w:sz w:val="20"/>
          <w:szCs w:val="20"/>
          <w:highlight w:val="white"/>
        </w:rPr>
      </w:pPr>
    </w:p>
    <w:p w:rsidR="00EE7913" w:rsidRDefault="00EE7913" w:rsidP="00EE7913">
      <w:pPr>
        <w:rPr>
          <w:b/>
          <w:sz w:val="20"/>
          <w:szCs w:val="20"/>
          <w:highlight w:val="white"/>
        </w:rPr>
      </w:pPr>
    </w:p>
    <w:p w:rsidR="00EE7913" w:rsidRDefault="00EE7913" w:rsidP="00EE7913">
      <w:pPr>
        <w:rPr>
          <w:b/>
          <w:sz w:val="20"/>
          <w:szCs w:val="20"/>
          <w:highlight w:val="white"/>
        </w:rPr>
      </w:pPr>
    </w:p>
    <w:p w:rsidR="00EE7913" w:rsidRDefault="00EE7913" w:rsidP="00EE7913">
      <w:pPr>
        <w:rPr>
          <w:b/>
          <w:sz w:val="20"/>
          <w:szCs w:val="20"/>
          <w:highlight w:val="white"/>
        </w:rPr>
      </w:pPr>
    </w:p>
    <w:p w:rsidR="00EE7913" w:rsidRDefault="00EE7913" w:rsidP="00EE7913">
      <w:pPr>
        <w:rPr>
          <w:b/>
          <w:sz w:val="20"/>
          <w:szCs w:val="20"/>
          <w:highlight w:val="white"/>
        </w:rPr>
      </w:pPr>
      <w:r>
        <w:rPr>
          <w:b/>
          <w:noProof/>
          <w:sz w:val="20"/>
          <w:szCs w:val="20"/>
          <w:highlight w:val="white"/>
          <w:lang w:val="ru-RU"/>
        </w:rPr>
        <w:lastRenderedPageBreak/>
        <w:drawing>
          <wp:inline distT="114300" distB="114300" distL="114300" distR="114300" wp14:anchorId="2D061D5F" wp14:editId="5EA181D4">
            <wp:extent cx="5731200" cy="7645400"/>
            <wp:effectExtent l="0" t="0" r="0" b="0"/>
            <wp:docPr id="4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7913" w:rsidRDefault="00EE7913" w:rsidP="00EE7913">
      <w:pPr>
        <w:rPr>
          <w:b/>
          <w:sz w:val="20"/>
          <w:szCs w:val="20"/>
          <w:highlight w:val="white"/>
        </w:rPr>
      </w:pPr>
    </w:p>
    <w:p w:rsidR="00EE7913" w:rsidRDefault="00EE7913" w:rsidP="00EE7913">
      <w:pPr>
        <w:rPr>
          <w:b/>
          <w:sz w:val="20"/>
          <w:szCs w:val="20"/>
          <w:highlight w:val="white"/>
        </w:rPr>
      </w:pPr>
    </w:p>
    <w:p w:rsidR="00EE7913" w:rsidRDefault="00EE7913" w:rsidP="00EE7913">
      <w:pPr>
        <w:rPr>
          <w:b/>
          <w:sz w:val="20"/>
          <w:szCs w:val="20"/>
          <w:highlight w:val="white"/>
        </w:rPr>
      </w:pPr>
    </w:p>
    <w:p w:rsidR="00EE7913" w:rsidRDefault="00EE7913" w:rsidP="00EE7913">
      <w:pPr>
        <w:rPr>
          <w:b/>
          <w:sz w:val="20"/>
          <w:szCs w:val="20"/>
          <w:highlight w:val="white"/>
        </w:rPr>
      </w:pPr>
    </w:p>
    <w:p w:rsidR="00EE7913" w:rsidRDefault="00EE7913" w:rsidP="00EE7913">
      <w:pPr>
        <w:rPr>
          <w:b/>
          <w:sz w:val="20"/>
          <w:szCs w:val="20"/>
          <w:highlight w:val="white"/>
        </w:rPr>
      </w:pPr>
    </w:p>
    <w:p w:rsidR="00EE7913" w:rsidRDefault="00EE7913" w:rsidP="00EE7913">
      <w:pPr>
        <w:rPr>
          <w:b/>
          <w:sz w:val="20"/>
          <w:szCs w:val="20"/>
          <w:highlight w:val="white"/>
        </w:rPr>
      </w:pPr>
      <w:r>
        <w:rPr>
          <w:b/>
          <w:sz w:val="20"/>
          <w:szCs w:val="20"/>
          <w:highlight w:val="white"/>
        </w:rPr>
        <w:t>MLT-3</w:t>
      </w:r>
    </w:p>
    <w:p w:rsidR="00EE7913" w:rsidRDefault="00EE7913" w:rsidP="00EE7913">
      <w:pPr>
        <w:rPr>
          <w:b/>
          <w:sz w:val="20"/>
          <w:szCs w:val="20"/>
          <w:highlight w:val="white"/>
        </w:rPr>
      </w:pPr>
      <w:r>
        <w:rPr>
          <w:b/>
          <w:noProof/>
          <w:sz w:val="20"/>
          <w:szCs w:val="20"/>
          <w:highlight w:val="white"/>
          <w:lang w:val="ru-RU"/>
        </w:rPr>
        <w:lastRenderedPageBreak/>
        <w:drawing>
          <wp:inline distT="114300" distB="114300" distL="114300" distR="114300" wp14:anchorId="74FE8452" wp14:editId="6327239D">
            <wp:extent cx="5731200" cy="2743200"/>
            <wp:effectExtent l="0" t="0" r="0" b="0"/>
            <wp:docPr id="50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7913" w:rsidRDefault="00EE7913" w:rsidP="00EE7913">
      <w:pPr>
        <w:rPr>
          <w:b/>
          <w:sz w:val="20"/>
          <w:szCs w:val="20"/>
          <w:highlight w:val="white"/>
        </w:rPr>
      </w:pPr>
    </w:p>
    <w:p w:rsidR="00D17FFD" w:rsidRDefault="00A57C33">
      <w:r w:rsidRPr="00A57C33">
        <w:drawing>
          <wp:inline distT="0" distB="0" distL="0" distR="0" wp14:anchorId="7D2BC75B" wp14:editId="28C0076C">
            <wp:extent cx="3648584" cy="2810267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C33" w:rsidRDefault="00A57C33">
      <w:r w:rsidRPr="00A57C33">
        <w:drawing>
          <wp:inline distT="0" distB="0" distL="0" distR="0" wp14:anchorId="698AF17B" wp14:editId="7CF0B55E">
            <wp:extent cx="3896269" cy="234347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37A" w:rsidRDefault="006A537A">
      <w:r w:rsidRPr="006A537A">
        <w:lastRenderedPageBreak/>
        <w:drawing>
          <wp:inline distT="0" distB="0" distL="0" distR="0" wp14:anchorId="22636B45" wp14:editId="4455E139">
            <wp:extent cx="3762900" cy="6144482"/>
            <wp:effectExtent l="0" t="0" r="952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53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74DF5"/>
    <w:multiLevelType w:val="multilevel"/>
    <w:tmpl w:val="E0CEE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913"/>
    <w:rsid w:val="00027286"/>
    <w:rsid w:val="001D4488"/>
    <w:rsid w:val="005E3156"/>
    <w:rsid w:val="006A537A"/>
    <w:rsid w:val="00721812"/>
    <w:rsid w:val="0074302E"/>
    <w:rsid w:val="00777C63"/>
    <w:rsid w:val="00A57C33"/>
    <w:rsid w:val="00B823D1"/>
    <w:rsid w:val="00CA6791"/>
    <w:rsid w:val="00D17FFD"/>
    <w:rsid w:val="00DF56E6"/>
    <w:rsid w:val="00E05D11"/>
    <w:rsid w:val="00EE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7EC240-5AC9-4632-9FAF-CC5AA226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E7913"/>
    <w:pPr>
      <w:spacing w:after="0" w:line="276" w:lineRule="auto"/>
    </w:pPr>
    <w:rPr>
      <w:rFonts w:ascii="Arial" w:eastAsia="Arial" w:hAnsi="Arial" w:cs="Arial"/>
      <w:sz w:val="22"/>
      <w:szCs w:val="22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2023-12-23T07:46:00Z</dcterms:created>
  <dcterms:modified xsi:type="dcterms:W3CDTF">2023-12-23T08:27:00Z</dcterms:modified>
</cp:coreProperties>
</file>