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6245" w14:textId="1625B910" w:rsidR="00F66EBF" w:rsidRDefault="001101D0" w:rsidP="00F66EBF">
      <w:pPr>
        <w:spacing w:line="360" w:lineRule="auto"/>
        <w:jc w:val="center"/>
        <w:rPr>
          <w:b/>
          <w:bCs/>
          <w:sz w:val="48"/>
          <w:szCs w:val="48"/>
          <w:lang w:val="en-MX"/>
        </w:rPr>
      </w:pPr>
      <w:r>
        <w:rPr>
          <w:b/>
          <w:bCs/>
          <w:sz w:val="44"/>
          <w:szCs w:val="44"/>
          <w:lang w:val="en-MX"/>
        </w:rPr>
        <w:t xml:space="preserve">CONCLUSIONES Y APORTES ESPERADOS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Esta investigación partió de un problema concreto: en Guadalupe, Nuevo León, hay muchos perros y gatos en situación de calle y muy pocos espacios dignos para atenderlos, mientras que los refugios que existen suelen ser lugares cerrados, saturados y alejados de la comunidad. Frente a esto, se planteó el diseño de un Centro de Bienestar Animal y Cultural que, además de rescatar y cuidar animales, fuera un lugar abierto a la gente, con actividades educativas, culturales y turísticas que ayudaran a promover la adopción responsable y a sostener económicamente el proyecto.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A lo largo de los capítulos se analizó el contexto del municipio y del terreno, se revisaron teorías sobre el bienestar animal, el diseño biofílico y la relación entre personas y animales, se estudiaron casos análogos y, con toda esa información, se definieron el programa arquitectónico, los criterios de diseño y el anteproyecto. En este capítulo se presentan las conclusiones del trabajo, los aportes que se esperan y algunas recomendaciones para investigaciones futuras.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Para empezar, la Tabla 8.1 revisa cómo se cumplió cada uno de los objetivos específicos que se plantearon en el capítulo 1.</w:t>
      </w:r>
    </w:p>
    <w:tbl>
      <w:tblPr>
        <w:tblStyle w:val="TableGrid"/>
        <w:tblW w:type="auto" w:w="0"/>
        <w:tblLook w:firstColumn="1" w:firstRow="1" w:lastColumn="0" w:lastRow="0" w:noHBand="0" w:noVBand="1" w:val="04A0"/>
      </w:tblPr>
      <w:tblGrid>
        <w:gridCol w:w="2937"/>
        <w:gridCol w:w="2937"/>
        <w:gridCol w:w="2937"/>
      </w:tblGrid>
      <w:tr>
        <w:tc>
          <w:tcPr>
            <w:tcW w:type="dxa" w:w="2937"/>
            <w:shd w:val="clear" w:fill="E7D9C4"/>
          </w:tcPr>
          <w:p>
            <w:pPr>
              <w:keepNext/>
              <w:jc w:val="left"/>
            </w:pPr>
            <w:r>
              <w:rPr>
                <w:rFonts w:ascii="Arial" w:hAnsi="Arial"/>
                <w:b/>
                <w:sz w:val="18"/>
              </w:rPr>
              <w:t>Objetivo específico</w:t>
            </w:r>
          </w:p>
        </w:tc>
        <w:tc>
          <w:tcPr>
            <w:tcW w:type="dxa" w:w="2937"/>
            <w:shd w:val="clear" w:fill="E7D9C4"/>
          </w:tcPr>
          <w:p>
            <w:pPr>
              <w:keepNext/>
              <w:jc w:val="left"/>
            </w:pPr>
            <w:r>
              <w:rPr>
                <w:rFonts w:ascii="Arial" w:hAnsi="Arial"/>
                <w:b/>
                <w:sz w:val="18"/>
              </w:rPr>
              <w:t>Cómo se atendió</w:t>
            </w:r>
          </w:p>
        </w:tc>
        <w:tc>
          <w:tcPr>
            <w:tcW w:type="dxa" w:w="2937"/>
            <w:shd w:val="clear" w:fill="E7D9C4"/>
          </w:tcPr>
          <w:p>
            <w:pPr>
              <w:keepNext/>
              <w:jc w:val="left"/>
            </w:pPr>
            <w:r>
              <w:rPr>
                <w:rFonts w:ascii="Arial" w:hAnsi="Arial"/>
                <w:b/>
                <w:sz w:val="18"/>
              </w:rPr>
              <w:t>Capítulos</w:t>
            </w:r>
          </w:p>
        </w:tc>
      </w:tr>
      <w:tr>
        <w:tc>
          <w:tcPr>
            <w:tcW w:type="dxa" w:w="2937"/>
          </w:tcPr>
          <w:p>
            <w:pPr>
              <w:keepNext/>
              <w:jc w:val="left"/>
            </w:pPr>
            <w:r>
              <w:rPr>
                <w:rFonts w:ascii="Arial" w:hAnsi="Arial"/>
                <w:b w:val="0"/>
                <w:sz w:val="18"/>
              </w:rPr>
              <w:t>1. Analizar el contexto urbano, ambiental, social y económico de Guadalupe para hacer un diagnóstico</w:t>
            </w:r>
          </w:p>
        </w:tc>
        <w:tc>
          <w:tcPr>
            <w:tcW w:type="dxa" w:w="2937"/>
          </w:tcPr>
          <w:p>
            <w:pPr>
              <w:keepNext/>
              <w:jc w:val="left"/>
            </w:pPr>
            <w:r>
              <w:rPr>
                <w:rFonts w:ascii="Arial" w:hAnsi="Arial"/>
                <w:b w:val="0"/>
                <w:sz w:val="18"/>
              </w:rPr>
              <w:t>Se estudiaron el municipio, la matriz de localización y el terreno de la avenida Benito Juárez: clima, suelo, asoleamiento, riesgo de inundación, equipamiento y normativa</w:t>
            </w:r>
          </w:p>
        </w:tc>
        <w:tc>
          <w:tcPr>
            <w:tcW w:type="dxa" w:w="2937"/>
          </w:tcPr>
          <w:p>
            <w:pPr>
              <w:keepNext/>
              <w:jc w:val="left"/>
            </w:pPr>
            <w:r>
              <w:rPr>
                <w:rFonts w:ascii="Arial" w:hAnsi="Arial"/>
                <w:b w:val="0"/>
                <w:sz w:val="18"/>
              </w:rPr>
              <w:t>2 y 3</w:t>
            </w:r>
          </w:p>
        </w:tc>
      </w:tr>
      <w:tr>
        <w:tc>
          <w:tcPr>
            <w:tcW w:type="dxa" w:w="2937"/>
          </w:tcPr>
          <w:p>
            <w:pPr>
              <w:keepNext/>
              <w:jc w:val="left"/>
            </w:pPr>
            <w:r>
              <w:rPr>
                <w:rFonts w:ascii="Arial" w:hAnsi="Arial"/>
                <w:b w:val="0"/>
                <w:sz w:val="18"/>
              </w:rPr>
              <w:t>2. Establecer los criterios funcionales, estéticos y tecnológicos del proyecto</w:t>
            </w:r>
          </w:p>
        </w:tc>
        <w:tc>
          <w:tcPr>
            <w:tcW w:type="dxa" w:w="2937"/>
          </w:tcPr>
          <w:p>
            <w:pPr>
              <w:keepNext/>
              <w:jc w:val="left"/>
            </w:pPr>
            <w:r>
              <w:rPr>
                <w:rFonts w:ascii="Arial" w:hAnsi="Arial"/>
                <w:b w:val="0"/>
                <w:sz w:val="18"/>
              </w:rPr>
              <w:t>Se definieron con base en el bienestar animal, el diseño biofílico y los casos análogos, y se aplicaron en la zonificación y las plantas</w:t>
            </w:r>
          </w:p>
        </w:tc>
        <w:tc>
          <w:tcPr>
            <w:tcW w:type="dxa" w:w="2937"/>
          </w:tcPr>
          <w:p>
            <w:pPr>
              <w:keepNext/>
              <w:jc w:val="left"/>
            </w:pPr>
            <w:r>
              <w:rPr>
                <w:rFonts w:ascii="Arial" w:hAnsi="Arial"/>
                <w:b w:val="0"/>
                <w:sz w:val="18"/>
              </w:rPr>
              <w:t>4, 5, 6 y 7</w:t>
            </w:r>
          </w:p>
        </w:tc>
      </w:tr>
      <w:tr>
        <w:tc>
          <w:tcPr>
            <w:tcW w:type="dxa" w:w="2937"/>
          </w:tcPr>
          <w:p>
            <w:pPr>
              <w:keepNext/>
              <w:jc w:val="left"/>
            </w:pPr>
            <w:r>
              <w:rPr>
                <w:rFonts w:ascii="Arial" w:hAnsi="Arial"/>
                <w:b w:val="0"/>
                <w:sz w:val="18"/>
              </w:rPr>
              <w:t>3. Proponer un programa arquitectónico con zonas de bienestar animal, cultura, convivencia y espacios que generen ingresos</w:t>
            </w:r>
          </w:p>
        </w:tc>
        <w:tc>
          <w:tcPr>
            <w:tcW w:type="dxa" w:w="2937"/>
          </w:tcPr>
          <w:p>
            <w:pPr>
              <w:keepNext/>
              <w:jc w:val="left"/>
            </w:pPr>
            <w:r>
              <w:rPr>
                <w:rFonts w:ascii="Arial" w:hAnsi="Arial"/>
                <w:b w:val="0"/>
                <w:sz w:val="18"/>
              </w:rPr>
              <w:t>Se elaboró un programa de cinco áreas, con matrices de relaciones, y se ajustó en el anteproyecto al tamaño real del terreno</w:t>
            </w:r>
          </w:p>
        </w:tc>
        <w:tc>
          <w:tcPr>
            <w:tcW w:type="dxa" w:w="2937"/>
          </w:tcPr>
          <w:p>
            <w:pPr>
              <w:keepNext/>
              <w:jc w:val="left"/>
            </w:pPr>
            <w:r>
              <w:rPr>
                <w:rFonts w:ascii="Arial" w:hAnsi="Arial"/>
                <w:b w:val="0"/>
                <w:sz w:val="18"/>
              </w:rPr>
              <w:t>6 y 7</w:t>
            </w:r>
          </w:p>
        </w:tc>
      </w:tr>
      <w:tr>
        <w:tc>
          <w:tcPr>
            <w:tcW w:type="dxa" w:w="2937"/>
          </w:tcPr>
          <w:p>
            <w:pPr>
              <w:keepNext/>
              <w:jc w:val="left"/>
            </w:pPr>
            <w:r>
              <w:rPr>
                <w:rFonts w:ascii="Arial" w:hAnsi="Arial"/>
                <w:b w:val="0"/>
                <w:sz w:val="18"/>
              </w:rPr>
              <w:t>4. Evaluar sistemas constructivos, materiales y tecnologías sustentables</w:t>
            </w:r>
          </w:p>
        </w:tc>
        <w:tc>
          <w:tcPr>
            <w:tcW w:type="dxa" w:w="2937"/>
          </w:tcPr>
          <w:p>
            <w:pPr>
              <w:keepNext/>
              <w:jc w:val="left"/>
            </w:pPr>
            <w:r>
              <w:rPr>
                <w:rFonts w:ascii="Arial" w:hAnsi="Arial"/>
                <w:b w:val="0"/>
                <w:sz w:val="18"/>
              </w:rPr>
              <w:t>Se propusieron estructura mixta, materiales lavables y cálidos, paneles solares, captación pluvial y humedal para aguas grises</w:t>
            </w:r>
          </w:p>
        </w:tc>
        <w:tc>
          <w:tcPr>
            <w:tcW w:type="dxa" w:w="2937"/>
          </w:tcPr>
          <w:p>
            <w:pPr>
              <w:keepNext/>
              <w:jc w:val="left"/>
            </w:pPr>
            <w:r>
              <w:rPr>
                <w:rFonts w:ascii="Arial" w:hAnsi="Arial"/>
                <w:b w:val="0"/>
                <w:sz w:val="18"/>
              </w:rPr>
              <w:t>6 y 7</w:t>
            </w:r>
          </w:p>
        </w:tc>
      </w:tr>
      <w:tr>
        <w:tc>
          <w:tcPr>
            <w:tcW w:type="dxa" w:w="2937"/>
          </w:tcPr>
          <w:p>
            <w:pPr>
              <w:keepNext/>
              <w:jc w:val="left"/>
            </w:pPr>
            <w:r>
              <w:rPr>
                <w:rFonts w:ascii="Arial" w:hAnsi="Arial"/>
                <w:b w:val="0"/>
                <w:sz w:val="18"/>
              </w:rPr>
              <w:t>5. Diseñar un modelo de operación con ingresos propios</w:t>
            </w:r>
          </w:p>
        </w:tc>
        <w:tc>
          <w:tcPr>
            <w:tcW w:type="dxa" w:w="2937"/>
          </w:tcPr>
          <w:p>
            <w:pPr>
              <w:keepNext/>
              <w:jc w:val="left"/>
            </w:pPr>
            <w:r>
              <w:rPr>
                <w:rFonts w:ascii="Arial" w:hAnsi="Arial"/>
                <w:b w:val="0"/>
                <w:sz w:val="18"/>
              </w:rPr>
              <w:t>Se integraron la tienda, la cafetería, los talleres, las exposiciones y los eventos como fuentes de ingreso, a partir del análisis económico</w:t>
            </w:r>
          </w:p>
        </w:tc>
        <w:tc>
          <w:tcPr>
            <w:tcW w:type="dxa" w:w="2937"/>
          </w:tcPr>
          <w:p>
            <w:pPr>
              <w:keepNext/>
              <w:jc w:val="left"/>
            </w:pPr>
            <w:r>
              <w:rPr>
                <w:rFonts w:ascii="Arial" w:hAnsi="Arial"/>
                <w:b w:val="0"/>
                <w:sz w:val="18"/>
              </w:rPr>
              <w:t>2, 6 y 7</w:t>
            </w: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8.1 – Cumplimiento de los objetivos específicos de la investigación.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general, se puede decir que el objetivo principal de la tesis se cumplió: se logró una propuesta arquitectónica que responde al problema del abandono animal desde un enfoque distinto al de los refugios tradicionales, porque une el cuidado de los animales con la educación, la cultura y la convivencia, y porque toma en cuenta las condiciones reales del terreno y de la ciudad.</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8.1 IMPACTO SOCIAL, AMBIENTAL Y CULTURAL DEL PROYECTO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lo social, el proyecto busca cambiar la forma en que la comunidad se relaciona con los animales de compañía. Al abrir el refugio a la gente, la adopción deja de ser un trámite y se vuelve una experiencia: las familias pueden conocer a los animales, pasear con ellos por los senderos y aprender a cuidarlos antes de llevarlos a casa. Además, los talleres, el voluntariado y las visitas escolares ayudan a formar una cultura de tenencia responsable desde la infancia, que es la manera más efectiva de reducir el abandono a largo plazo. El centro también ofrece servicios veterinarios accesibles a las colonias cercanas, que hoy tienen pocas opciones.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lo ambiental, el proyecto se relaciona de forma respetuosa con el río La Silla. En lugar de construir hasta el borde del río, deja la franja más cercana al cauce libre de edificios y la convierte en un jardín ribereño con vegetación nativa y un humedal. También conserva gran parte del arbolado existente, capta el agua de lluvia, trata las aguas grises de forma natural y produce parte de su energía con paneles solares. De esta manera, el centro puede servir como ejemplo de cómo construir junto a un río urbano sin dañarlo.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lo cultural, el proyecto agrega a Guadalupe un tipo de espacio que hoy no existe: un lugar donde se puede visitar una exposición, tomar un taller, comer en una cafetería rodeada de árboles y, al mismo tiempo, ayudar a los animales. Las salas museográficas, el foro, el huerto y el sendero interpretativo convierten al refugio en un destino para familias y escuelas de toda el área metropolitana, y le dan a la zona una nueva identidad ligada al cuidado de los animales y de la naturaleza.</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8.2 APORTES ARQUITECTÓNICOS Y ACADÉMICOS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principal aporte arquitectónico es proponer un modelo híbrido de refugio, en el que conviven el bienestar animal, la educación y el turismo responsable dentro de un mismo conjunto. El proyecto demuestra que estas funciones pueden convivir si se organizan bien: separando los recorridos de visitantes, personal y animales, ordenando los espacios de lo más público a lo más privado y usando patios y senderos como espacios de transición.</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Otro aporte es la forma en que el diseño responde al bienestar animal. Decisiones como evitar que los corrales queden frente a frente, separar el área felina del área canina, dar a cada corral un patio individual, usar materiales fáciles de limpiar y controlar el ruido con la ubicación de los edificios muestran que la arquitectura puede reducir el estrés de los animales y mejorar sus posibilidades de adopción. Estas ideas, basadas en las Cinco Libertades y en las guías de la Association of Shelter Veterinarians (ASV, 2022), pueden aplicarse en otros refugios de la región.</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Desde lo académico, la tesis reúne en un solo documento información que suele estar dispersa: datos sobre el abandono animal en México y en Nuevo León, lineamientos urbanos de Guadalupe, criterios de diseño para refugios y referencias de proyectos internacionales. También muestra un proceso de diseño completo, desde el análisis del sitio con herramientas como Google Earth y el PMDU hasta el anteproyecto, que puede servir como guía para otros estudiantes que quieran trabajar con temas de bienestar animal o de arquitectura social.</w:t>
      </w:r>
    </w:p>
    <w:p w14:paraId="525EC447" w14:textId="491A4CAB" w:rsidR="001101D0" w:rsidRPr="001101D0" w:rsidRDefault="001101D0" w:rsidP="001101D0">
      <w:pPr>
        <w:pageBreakBefore/>
        <w:spacing w:after="240" w:line="360" w:lineRule="auto"/>
        <w:jc w:val="left"/>
        <w:rPr>
          <w:rFonts w:ascii="Arial" w:hAnsi="Arial" w:cs="Arial"/>
          <w:b/>
          <w:bCs/>
          <w:sz w:val="28"/>
          <w:szCs w:val="28"/>
          <w:lang w:val="en-MX"/>
        </w:rPr>
      </w:pPr>
      <w:r>
        <w:rPr>
          <w:rFonts w:ascii="Arial" w:hAnsi="Arial" w:cs="Arial"/>
          <w:b/>
          <w:bCs/>
          <w:sz w:val="28"/>
          <w:szCs w:val="28"/>
          <w:lang w:val="en-MX"/>
        </w:rPr>
        <w:t xml:space="preserve">8.3 RECOMENDACIONES PARA FUTURAS INVESTIGACIONES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Para que el proyecto pueda pasar de anteproyecto a proyecto ejecutivo, se recomienda realizar primero algunos estudios que quedaron fuera de esta tesis. El más importante es confirmar con el municipio el régimen de uso de suelo del terreno, porque una parte importante del predio coincide con la zona del Gran Parque Ecológico La Pastora en algunas bases de datos, y es necesario saber qué está permitido construir. También se necesitan un levantamiento topográfico, un estudio de mecánica de suelos, un estudio hidrológico del río La Silla con la delimitación de la zona federal por parte de CONAGUA y un inventario del arbolado existente.</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También se recomienda revisar el número de cajones de estacionamiento que pide el reglamento municipal y buscar alternativas, como un convenio de estacionamiento compartido. En cuanto a la operación, sería útil hacer un estudio de factibilidad económica más detallado, con costos de construcción, costos de operación e ingresos esperados, para saber en cuánto tiempo el centro podría sostenerse con recursos propios.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Por último, se sugieren algunas líneas de investigación a futuro: medir el efecto del diseño en el comportamiento y el estrés de los animales una vez que el centro funcione; estudiar cómo cambian la tasa de adopción y la percepción de la comunidad; y explorar cómo este modelo podría adaptarse a otros municipios del área metropolitana de Monterrey con terrenos y presupuestos diferentes.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conclusión, el Centro de Bienestar Animal y Cultural muestra que la arquitectura puede ser una herramienta para cuidar a los animales y, al mismo tiempo, para reunir a la comunidad, educar y cuidar el medio ambiente. Más que un refugio, el proyecto propone un lugar de encuentro entre las personas, los animales y el río, donde el respeto por la vida se aprende conviviendo.</w:t>
      </w:r>
    </w:p>
    <w:sectPr w:rsidR="000B1038" w:rsidRPr="00972BAA" w:rsidSect="0004508C">
      <w:headerReference w:type="default" r:id="rId35"/>
      <w:footerReference w:type="even" r:id="rId36"/>
      <w:footerReference w:type="default" r:id="rId37"/>
      <w:type w:val="continuous"/>
      <w:pgSz w:w="12240" w:h="15840"/>
      <w:pgMar w:top="1440" w:right="1440" w:bottom="1440" w:left="1990" w:header="709" w:footer="709" w:gutter="0"/>
      <w:pgNumType/>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A66C" w14:textId="77777777" w:rsidR="004A7E42" w:rsidRDefault="004A7E42" w:rsidP="00D803D5">
      <w:r>
        <w:separator/>
      </w:r>
    </w:p>
  </w:endnote>
  <w:endnote w:type="continuationSeparator" w:id="0">
    <w:p w14:paraId="2F0485C7" w14:textId="77777777" w:rsidR="004A7E42" w:rsidRDefault="004A7E42"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329785"/>
      <w:docPartObj>
        <w:docPartGallery w:val="Page Numbers (Bottom of Page)"/>
        <w:docPartUnique/>
      </w:docPartObj>
    </w:sdtPr>
    <w:sdtContent>
      <w:p w14:paraId="2D9B6E92" w14:textId="3D62D389" w:rsidR="0004508C" w:rsidRDefault="0004508C" w:rsidP="00F71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08332894"/>
      <w:docPartObj>
        <w:docPartGallery w:val="Page Numbers (Bottom of Page)"/>
        <w:docPartUnique/>
      </w:docPartObj>
    </w:sdtPr>
    <w:sdtContent>
      <w:p w14:paraId="540850D2" w14:textId="5FD3D0C8" w:rsidR="005B01A7" w:rsidRDefault="005B01A7" w:rsidP="00F71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A1ED9B" w14:textId="77777777" w:rsidR="005B01A7" w:rsidRDefault="005B0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349842425"/>
      <w:docPartObj>
        <w:docPartGallery w:val="Page Numbers (Bottom of Page)"/>
        <w:docPartUnique/>
      </w:docPartObj>
    </w:sdtPr>
    <w:sdtContent>
      <w:p w14:paraId="0C424CDB" w14:textId="1FCFE0DF" w:rsidR="0004508C" w:rsidRPr="0004508C" w:rsidRDefault="0004508C" w:rsidP="00F71A4F">
        <w:pPr>
          <w:pStyle w:val="Footer"/>
          <w:framePr w:wrap="none" w:vAnchor="text" w:hAnchor="margin" w:xAlign="center" w:y="1"/>
          <w:rPr>
            <w:rStyle w:val="PageNumber"/>
            <w:rFonts w:ascii="Times New Roman" w:hAnsi="Times New Roman" w:cs="Times New Roman"/>
            <w:i/>
            <w:iCs/>
            <w:sz w:val="32"/>
            <w:szCs w:val="32"/>
          </w:rPr>
        </w:pPr>
        <w:r w:rsidRPr="0004508C">
          <w:rPr>
            <w:rStyle w:val="PageNumber"/>
            <w:rFonts w:ascii="Times New Roman" w:hAnsi="Times New Roman" w:cs="Times New Roman"/>
            <w:i/>
            <w:iCs/>
            <w:sz w:val="32"/>
            <w:szCs w:val="32"/>
          </w:rPr>
          <w:fldChar w:fldCharType="begin"/>
        </w:r>
        <w:r w:rsidRPr="0004508C">
          <w:rPr>
            <w:rStyle w:val="PageNumber"/>
            <w:rFonts w:ascii="Times New Roman" w:hAnsi="Times New Roman" w:cs="Times New Roman"/>
            <w:i/>
            <w:iCs/>
            <w:sz w:val="32"/>
            <w:szCs w:val="32"/>
          </w:rPr>
          <w:instrText xml:space="preserve"> PAGE </w:instrText>
        </w:r>
        <w:r w:rsidRPr="0004508C">
          <w:rPr>
            <w:rStyle w:val="PageNumber"/>
            <w:rFonts w:ascii="Times New Roman" w:hAnsi="Times New Roman" w:cs="Times New Roman"/>
            <w:i/>
            <w:iCs/>
            <w:sz w:val="32"/>
            <w:szCs w:val="32"/>
          </w:rPr>
          <w:fldChar w:fldCharType="separate"/>
        </w:r>
        <w:r w:rsidRPr="0004508C">
          <w:rPr>
            <w:rStyle w:val="PageNumber"/>
            <w:rFonts w:ascii="Times New Roman" w:hAnsi="Times New Roman" w:cs="Times New Roman"/>
            <w:i/>
            <w:iCs/>
            <w:noProof/>
            <w:sz w:val="32"/>
            <w:szCs w:val="32"/>
          </w:rPr>
          <w:t>11</w:t>
        </w:r>
        <w:r w:rsidRPr="0004508C">
          <w:rPr>
            <w:rStyle w:val="PageNumber"/>
            <w:rFonts w:ascii="Times New Roman" w:hAnsi="Times New Roman" w:cs="Times New Roman"/>
            <w:i/>
            <w:iCs/>
            <w:noProof/>
            <w:sz w:val="32"/>
            <w:szCs w:val="32"/>
          </w:rPr>
          <w:t>7</w:t>
        </w:r>
        <w:r w:rsidRPr="0004508C">
          <w:rPr>
            <w:rStyle w:val="PageNumber"/>
            <w:rFonts w:ascii="Times New Roman" w:hAnsi="Times New Roman" w:cs="Times New Roman"/>
            <w:i/>
            <w:iCs/>
            <w:sz w:val="32"/>
            <w:szCs w:val="32"/>
          </w:rPr>
          <w:fldChar w:fldCharType="end"/>
        </w:r>
      </w:p>
    </w:sdtContent>
  </w:sdt>
  <w:p w14:paraId="25428A85" w14:textId="77777777" w:rsidR="005B01A7" w:rsidRPr="0004508C" w:rsidRDefault="005B01A7">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845707"/>
      <w:docPartObj>
        <w:docPartGallery w:val="Page Numbers (Bottom of Page)"/>
        <w:docPartUnique/>
      </w:docPartObj>
    </w:sdtPr>
    <w:sdtContent>
      <w:p w14:paraId="5817BCEA" w14:textId="77777777" w:rsidR="004A4160" w:rsidRDefault="004A4160" w:rsidP="000450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37566147"/>
      <w:docPartObj>
        <w:docPartGallery w:val="Page Numbers (Bottom of Page)"/>
        <w:docPartUnique/>
      </w:docPartObj>
    </w:sdtPr>
    <w:sdtContent>
      <w:p w14:paraId="21B73C9E" w14:textId="77777777" w:rsidR="004A4160" w:rsidRDefault="004A4160"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D4A8D" w14:textId="77777777" w:rsidR="004A4160" w:rsidRDefault="004A4160" w:rsidP="00E1290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177281931"/>
      <w:docPartObj>
        <w:docPartGallery w:val="Page Numbers (Bottom of Page)"/>
        <w:docPartUnique/>
      </w:docPartObj>
    </w:sdtPr>
    <w:sdtContent>
      <w:p w14:paraId="2ADE1C24" w14:textId="691CD3A0" w:rsidR="0004508C" w:rsidRPr="0004508C" w:rsidRDefault="0004508C" w:rsidP="0004508C">
        <w:pPr>
          <w:pStyle w:val="Footer"/>
          <w:framePr w:wrap="none" w:vAnchor="text" w:hAnchor="margin" w:xAlign="center" w:y="1"/>
          <w:jc w:val="center"/>
          <w:rPr>
            <w:rStyle w:val="PageNumber"/>
            <w:rFonts w:ascii="Times New Roman" w:hAnsi="Times New Roman" w:cs="Times New Roman"/>
            <w:i/>
            <w:iCs/>
            <w:sz w:val="32"/>
            <w:szCs w:val="32"/>
          </w:rPr>
        </w:pPr>
        <w:r w:rsidRPr="0004508C">
          <w:rPr>
            <w:rStyle w:val="PageNumber"/>
            <w:rFonts w:ascii="Times New Roman" w:hAnsi="Times New Roman" w:cs="Times New Roman"/>
            <w:i/>
            <w:iCs/>
            <w:sz w:val="32"/>
            <w:szCs w:val="32"/>
          </w:rPr>
          <w:fldChar w:fldCharType="begin"/>
        </w:r>
        <w:r w:rsidRPr="0004508C">
          <w:rPr>
            <w:rStyle w:val="PageNumber"/>
            <w:rFonts w:ascii="Times New Roman" w:hAnsi="Times New Roman" w:cs="Times New Roman"/>
            <w:i/>
            <w:iCs/>
            <w:sz w:val="32"/>
            <w:szCs w:val="32"/>
          </w:rPr>
          <w:instrText xml:space="preserve"> PAGE </w:instrText>
        </w:r>
        <w:r w:rsidRPr="0004508C">
          <w:rPr>
            <w:rStyle w:val="PageNumber"/>
            <w:rFonts w:ascii="Times New Roman" w:hAnsi="Times New Roman" w:cs="Times New Roman"/>
            <w:i/>
            <w:iCs/>
            <w:sz w:val="32"/>
            <w:szCs w:val="32"/>
          </w:rPr>
          <w:fldChar w:fldCharType="separate"/>
        </w:r>
        <w:r w:rsidRPr="0004508C">
          <w:rPr>
            <w:rStyle w:val="PageNumber"/>
            <w:rFonts w:ascii="Times New Roman" w:hAnsi="Times New Roman" w:cs="Times New Roman"/>
            <w:i/>
            <w:iCs/>
            <w:noProof/>
            <w:sz w:val="32"/>
            <w:szCs w:val="32"/>
          </w:rPr>
          <w:t>12</w:t>
        </w:r>
        <w:r w:rsidRPr="0004508C">
          <w:rPr>
            <w:rStyle w:val="PageNumber"/>
            <w:rFonts w:ascii="Times New Roman" w:hAnsi="Times New Roman" w:cs="Times New Roman"/>
            <w:i/>
            <w:iCs/>
            <w:noProof/>
            <w:sz w:val="32"/>
            <w:szCs w:val="32"/>
          </w:rPr>
          <w:t>1</w:t>
        </w:r>
        <w:r w:rsidRPr="0004508C">
          <w:rPr>
            <w:rStyle w:val="PageNumber"/>
            <w:rFonts w:ascii="Times New Roman" w:hAnsi="Times New Roman" w:cs="Times New Roman"/>
            <w:i/>
            <w:iCs/>
            <w:sz w:val="32"/>
            <w:szCs w:val="32"/>
          </w:rPr>
          <w:fldChar w:fldCharType="end"/>
        </w:r>
      </w:p>
    </w:sdtContent>
  </w:sdt>
  <w:sdt>
    <w:sdtPr>
      <w:rPr>
        <w:rStyle w:val="PageNumber"/>
        <w:rFonts w:ascii="Times New Roman" w:hAnsi="Times New Roman" w:cs="Times New Roman"/>
        <w:i/>
        <w:iCs/>
        <w:sz w:val="24"/>
        <w:szCs w:val="24"/>
      </w:rPr>
      <w:id w:val="13891571"/>
      <w:docPartObj>
        <w:docPartGallery w:val="Page Numbers (Bottom of Page)"/>
        <w:docPartUnique/>
      </w:docPartObj>
    </w:sdtPr>
    <w:sdtContent>
      <w:p w14:paraId="478137B2" w14:textId="4846099B" w:rsidR="004A4160" w:rsidRPr="00E1290E" w:rsidRDefault="00000000" w:rsidP="00E1290E">
        <w:pPr>
          <w:pStyle w:val="Footer"/>
          <w:framePr w:wrap="none" w:vAnchor="text" w:hAnchor="margin" w:xAlign="center" w:y="1"/>
          <w:jc w:val="center"/>
          <w:rPr>
            <w:rStyle w:val="PageNumber"/>
            <w:rFonts w:ascii="Times New Roman" w:hAnsi="Times New Roman" w:cs="Times New Roman"/>
            <w:i/>
            <w:iCs/>
            <w:sz w:val="24"/>
            <w:szCs w:val="24"/>
          </w:rPr>
        </w:pPr>
      </w:p>
    </w:sdtContent>
  </w:sdt>
  <w:p w14:paraId="43428DA4" w14:textId="77777777" w:rsidR="004A4160" w:rsidRDefault="004A4160" w:rsidP="0004508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F853" w14:textId="77777777" w:rsidR="004A7E42" w:rsidRDefault="004A7E42" w:rsidP="00D803D5">
      <w:r>
        <w:separator/>
      </w:r>
    </w:p>
  </w:footnote>
  <w:footnote w:type="continuationSeparator" w:id="0">
    <w:p w14:paraId="7B7D31C1" w14:textId="77777777" w:rsidR="004A7E42" w:rsidRDefault="004A7E42"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5F8D" w14:textId="068F61D4" w:rsidR="001101D0" w:rsidRDefault="001101D0" w:rsidP="001101D0">
    <w:pPr>
      <w:pStyle w:val="Header"/>
      <w:ind w:left="708"/>
      <w:jc w:val="right"/>
    </w:pPr>
    <w:r>
      <w:rPr>
        <w:noProof/>
        <w:lang w:eastAsia="es-MX"/>
      </w:rPr>
      <w:drawing>
        <wp:anchor distT="0" distB="0" distL="114300" distR="114300" simplePos="0" relativeHeight="251665408" behindDoc="1" locked="0" layoutInCell="1" allowOverlap="1" wp14:anchorId="45A8A6F5" wp14:editId="3A92E9D0">
          <wp:simplePos x="0" y="0"/>
          <wp:positionH relativeFrom="column">
            <wp:posOffset>4800600</wp:posOffset>
          </wp:positionH>
          <wp:positionV relativeFrom="paragraph">
            <wp:posOffset>-131263</wp:posOffset>
          </wp:positionV>
          <wp:extent cx="1285240" cy="363906"/>
          <wp:effectExtent l="0" t="0" r="0" b="0"/>
          <wp:wrapNone/>
          <wp:docPr id="143346128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285240" cy="3639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77F4" w14:textId="77777777" w:rsidR="004A4160" w:rsidRDefault="004A4160">
    <w:pPr>
      <w:pStyle w:val="Header"/>
    </w:pPr>
    <w:r>
      <w:rPr>
        <w:noProof/>
        <w:lang w:eastAsia="es-MX"/>
      </w:rPr>
      <w:drawing>
        <wp:anchor distT="0" distB="0" distL="114300" distR="114300" simplePos="0" relativeHeight="251661312" behindDoc="1" locked="0" layoutInCell="1" allowOverlap="1" wp14:anchorId="123F6305" wp14:editId="24C6736F">
          <wp:simplePos x="0" y="0"/>
          <wp:positionH relativeFrom="column">
            <wp:posOffset>4769160</wp:posOffset>
          </wp:positionH>
          <wp:positionV relativeFrom="paragraph">
            <wp:posOffset>6985</wp:posOffset>
          </wp:positionV>
          <wp:extent cx="1285240" cy="363906"/>
          <wp:effectExtent l="0" t="0" r="0" b="0"/>
          <wp:wrapNone/>
          <wp:docPr id="904700345"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01781"/>
    <w:rsid w:val="00010B89"/>
    <w:rsid w:val="00011280"/>
    <w:rsid w:val="000153FF"/>
    <w:rsid w:val="000161A9"/>
    <w:rsid w:val="0004508C"/>
    <w:rsid w:val="0008765B"/>
    <w:rsid w:val="00093CB9"/>
    <w:rsid w:val="000A612B"/>
    <w:rsid w:val="000B1038"/>
    <w:rsid w:val="000E403D"/>
    <w:rsid w:val="001101D0"/>
    <w:rsid w:val="00120222"/>
    <w:rsid w:val="0012375C"/>
    <w:rsid w:val="0013149B"/>
    <w:rsid w:val="00133232"/>
    <w:rsid w:val="00144E98"/>
    <w:rsid w:val="001639C6"/>
    <w:rsid w:val="00170487"/>
    <w:rsid w:val="00170F2B"/>
    <w:rsid w:val="00184B75"/>
    <w:rsid w:val="00196343"/>
    <w:rsid w:val="001A5646"/>
    <w:rsid w:val="001C4CB6"/>
    <w:rsid w:val="002049E4"/>
    <w:rsid w:val="00205E56"/>
    <w:rsid w:val="00211C7C"/>
    <w:rsid w:val="0025358F"/>
    <w:rsid w:val="002669CF"/>
    <w:rsid w:val="00283CD5"/>
    <w:rsid w:val="00283CD6"/>
    <w:rsid w:val="00290A14"/>
    <w:rsid w:val="002913AA"/>
    <w:rsid w:val="00303F58"/>
    <w:rsid w:val="003243FD"/>
    <w:rsid w:val="00330532"/>
    <w:rsid w:val="00346818"/>
    <w:rsid w:val="00350E8B"/>
    <w:rsid w:val="0035674B"/>
    <w:rsid w:val="003755EB"/>
    <w:rsid w:val="00391B7F"/>
    <w:rsid w:val="0039258C"/>
    <w:rsid w:val="003A2A71"/>
    <w:rsid w:val="003B2B08"/>
    <w:rsid w:val="003D57CC"/>
    <w:rsid w:val="003F0741"/>
    <w:rsid w:val="00426D95"/>
    <w:rsid w:val="004340FD"/>
    <w:rsid w:val="0045002B"/>
    <w:rsid w:val="004556AC"/>
    <w:rsid w:val="00472368"/>
    <w:rsid w:val="00473D28"/>
    <w:rsid w:val="004977B5"/>
    <w:rsid w:val="00497B78"/>
    <w:rsid w:val="004A4160"/>
    <w:rsid w:val="004A7E42"/>
    <w:rsid w:val="004B24C9"/>
    <w:rsid w:val="004B599D"/>
    <w:rsid w:val="004C2986"/>
    <w:rsid w:val="004E401F"/>
    <w:rsid w:val="0051297B"/>
    <w:rsid w:val="00512FD4"/>
    <w:rsid w:val="00514E44"/>
    <w:rsid w:val="005207DE"/>
    <w:rsid w:val="00551C15"/>
    <w:rsid w:val="00566724"/>
    <w:rsid w:val="00584D90"/>
    <w:rsid w:val="005A2851"/>
    <w:rsid w:val="005B01A7"/>
    <w:rsid w:val="005B779C"/>
    <w:rsid w:val="005C05F9"/>
    <w:rsid w:val="005C419D"/>
    <w:rsid w:val="005C6833"/>
    <w:rsid w:val="006241ED"/>
    <w:rsid w:val="00627E06"/>
    <w:rsid w:val="006471FD"/>
    <w:rsid w:val="00657771"/>
    <w:rsid w:val="00675D27"/>
    <w:rsid w:val="00680D3D"/>
    <w:rsid w:val="006C4A41"/>
    <w:rsid w:val="006F64DE"/>
    <w:rsid w:val="00700537"/>
    <w:rsid w:val="00702799"/>
    <w:rsid w:val="00710756"/>
    <w:rsid w:val="00742EB3"/>
    <w:rsid w:val="00753CFA"/>
    <w:rsid w:val="00754B47"/>
    <w:rsid w:val="00760EF7"/>
    <w:rsid w:val="0077462E"/>
    <w:rsid w:val="007D02B3"/>
    <w:rsid w:val="007E4483"/>
    <w:rsid w:val="007E7451"/>
    <w:rsid w:val="007F03FC"/>
    <w:rsid w:val="0080347F"/>
    <w:rsid w:val="0082429D"/>
    <w:rsid w:val="00834401"/>
    <w:rsid w:val="00837A4D"/>
    <w:rsid w:val="008440CD"/>
    <w:rsid w:val="00860F7E"/>
    <w:rsid w:val="00870DDE"/>
    <w:rsid w:val="00895902"/>
    <w:rsid w:val="00896B65"/>
    <w:rsid w:val="008A0438"/>
    <w:rsid w:val="008B5CD5"/>
    <w:rsid w:val="00905BD4"/>
    <w:rsid w:val="00947D21"/>
    <w:rsid w:val="009538D4"/>
    <w:rsid w:val="0096484A"/>
    <w:rsid w:val="0096516A"/>
    <w:rsid w:val="0096605B"/>
    <w:rsid w:val="00972BAA"/>
    <w:rsid w:val="0098718D"/>
    <w:rsid w:val="009C2DE7"/>
    <w:rsid w:val="009C5049"/>
    <w:rsid w:val="009E6960"/>
    <w:rsid w:val="009F7D06"/>
    <w:rsid w:val="00A12F74"/>
    <w:rsid w:val="00A17A0E"/>
    <w:rsid w:val="00A35C10"/>
    <w:rsid w:val="00A47892"/>
    <w:rsid w:val="00A50242"/>
    <w:rsid w:val="00A86EEB"/>
    <w:rsid w:val="00AA1F44"/>
    <w:rsid w:val="00AA55D9"/>
    <w:rsid w:val="00AD5F5E"/>
    <w:rsid w:val="00AD7539"/>
    <w:rsid w:val="00AE6C32"/>
    <w:rsid w:val="00B15193"/>
    <w:rsid w:val="00B35B7F"/>
    <w:rsid w:val="00B370EF"/>
    <w:rsid w:val="00B53C1D"/>
    <w:rsid w:val="00B826B8"/>
    <w:rsid w:val="00B86A49"/>
    <w:rsid w:val="00B929F0"/>
    <w:rsid w:val="00B9638C"/>
    <w:rsid w:val="00BB6219"/>
    <w:rsid w:val="00BD1C4A"/>
    <w:rsid w:val="00BE4EDF"/>
    <w:rsid w:val="00BE6E51"/>
    <w:rsid w:val="00BF0665"/>
    <w:rsid w:val="00C2138E"/>
    <w:rsid w:val="00C47605"/>
    <w:rsid w:val="00C47764"/>
    <w:rsid w:val="00C52C95"/>
    <w:rsid w:val="00C5442C"/>
    <w:rsid w:val="00C574D0"/>
    <w:rsid w:val="00C63396"/>
    <w:rsid w:val="00C6414E"/>
    <w:rsid w:val="00C643B6"/>
    <w:rsid w:val="00C727A5"/>
    <w:rsid w:val="00C82976"/>
    <w:rsid w:val="00CA5CAB"/>
    <w:rsid w:val="00CD0A2C"/>
    <w:rsid w:val="00CE0D58"/>
    <w:rsid w:val="00CF1078"/>
    <w:rsid w:val="00D0545B"/>
    <w:rsid w:val="00D26776"/>
    <w:rsid w:val="00D3141A"/>
    <w:rsid w:val="00D718D6"/>
    <w:rsid w:val="00D80212"/>
    <w:rsid w:val="00D803D5"/>
    <w:rsid w:val="00D8224C"/>
    <w:rsid w:val="00D83996"/>
    <w:rsid w:val="00DA3709"/>
    <w:rsid w:val="00DB0AD1"/>
    <w:rsid w:val="00DD1B21"/>
    <w:rsid w:val="00DD2754"/>
    <w:rsid w:val="00DE0D75"/>
    <w:rsid w:val="00DE4C65"/>
    <w:rsid w:val="00DE63BC"/>
    <w:rsid w:val="00DF5E24"/>
    <w:rsid w:val="00E113DF"/>
    <w:rsid w:val="00E1290E"/>
    <w:rsid w:val="00E15476"/>
    <w:rsid w:val="00E26866"/>
    <w:rsid w:val="00E27A32"/>
    <w:rsid w:val="00E339BD"/>
    <w:rsid w:val="00E44090"/>
    <w:rsid w:val="00E4628F"/>
    <w:rsid w:val="00E61D15"/>
    <w:rsid w:val="00E7474B"/>
    <w:rsid w:val="00E870A9"/>
    <w:rsid w:val="00E91CF6"/>
    <w:rsid w:val="00E934B2"/>
    <w:rsid w:val="00EA21A2"/>
    <w:rsid w:val="00EC1793"/>
    <w:rsid w:val="00ED0849"/>
    <w:rsid w:val="00ED0998"/>
    <w:rsid w:val="00ED1BF3"/>
    <w:rsid w:val="00EE6FB0"/>
    <w:rsid w:val="00EF69DD"/>
    <w:rsid w:val="00F067E0"/>
    <w:rsid w:val="00F25C58"/>
    <w:rsid w:val="00F335F5"/>
    <w:rsid w:val="00F369FC"/>
    <w:rsid w:val="00F4768F"/>
    <w:rsid w:val="00F511AE"/>
    <w:rsid w:val="00F52694"/>
    <w:rsid w:val="00F5274C"/>
    <w:rsid w:val="00F6313C"/>
    <w:rsid w:val="00F66EBF"/>
    <w:rsid w:val="00F7068A"/>
    <w:rsid w:val="00F90218"/>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39" Type="http://schemas.openxmlformats.org/officeDocument/2006/relationships/theme" Target="theme/theme1.xml"/><Relationship Id="rId7" Type="http://schemas.openxmlformats.org/officeDocument/2006/relationships/settings" Target="settings.xml"/><Relationship Id="rId38"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37"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36"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47BB5-074E-4E4E-A339-854D6A981D21}">
  <ds:schemaRefs>
    <ds:schemaRef ds:uri="http://schemas.microsoft.com/sharepoint/v3/contenttype/forms"/>
  </ds:schemaRefs>
</ds:datastoreItem>
</file>

<file path=customXml/itemProps2.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4.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5</cp:revision>
  <cp:lastPrinted>2025-12-22T08:30:00Z</cp:lastPrinted>
  <dcterms:created xsi:type="dcterms:W3CDTF">2025-12-22T08:49:00Z</dcterms:created>
  <dcterms:modified xsi:type="dcterms:W3CDTF">2025-12-22T10:17:00Z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