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75598" w14:textId="77777777" w:rsidR="00896B65" w:rsidRPr="00896B65" w:rsidRDefault="00896B65" w:rsidP="00896B65">
      <w:pPr>
        <w:spacing w:line="360" w:lineRule="auto"/>
        <w:jc w:val="center"/>
        <w:rPr>
          <w:b/>
          <w:bCs/>
          <w:sz w:val="48"/>
          <w:szCs w:val="48"/>
          <w:lang w:val="en-MX"/>
        </w:rPr>
      </w:pPr>
      <w:r w:rsidRPr="00A17A0E">
        <w:rPr>
          <w:b/>
          <w:bCs/>
          <w:sz w:val="44"/>
          <w:szCs w:val="44"/>
          <w:lang w:val="en-MX"/>
        </w:rPr>
        <w:t xml:space="preserve">MARCO GENERAL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este capítulo se revisa el contexto en el que se ubica el proyecto. Se divide en cuatro partes: el marco histórico, que cuenta cómo ha cambiado el trato hacia los animales y cómo han evolucionado los refugios; el marco social, que describe la situación actual del bienestar animal y la participación de la gente; el marco económico, que explica cómo podría sostenerse el proyecto; y el marco físico-urbano, donde se analizan el municipio de Guadalupe, la elección del terreno y la normativa que aplica.</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2.1 MARCO HISTÓRICO</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2.1.1 ABANDONO Y PROTECCIÓN ANIMAL EN MÉXICO Y AMÉRICA LATINA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abandono de animales en América Latina tiene mucho que ver con la forma en que crecieron las ciudades. Antes, en los pueblos y ranchos, los perros, gatos y otros animales tenían un lugar claro: cuidaban la casa, ayudaban en el campo o controlaban plagas. Convivían con las familias todos los días y formaban parte de su rutina.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Con la industrialización y la migración del campo a la ciudad, sobre todo a mediados del siglo XX, esta relación cambió. Muchas familias llegaron a vivir a colonias nuevas, en casas más pequeñas y sin patio, y varios animales perdieron la función que tenían antes. Algunos se quedaron en la calle y otros nacieron ahí, sin dueño y sin ningún tipo de control. Con el tiempo, el perro callejero se volvió parte del paisaje de casi cualquier ciudad mexicana.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Durante muchos años la respuesta de los gobiernos fue sanitaria. En México los programas oficiales de control canino se enfocaron en evitar la rabia, que era un problema de salud pública muy serio. Para lograrlo se hicieron campañas de vacunación, pero también se capturaba y sacrificaba a una gran cantidad de animales en los centros antirrábicos, sin pensar en su rehabilitación o en buscarles un hogar [agregar fuente]. Estos programas sí ayudaron a controlar la rabia, al grado de que en 2019 la Organización Mundial de la Salud reconoció a México como el primer país en eliminar la rabia humana transmitida por perros, pero dejaron fuera el tema del bienestar de los animales.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otros países de la región las leyes avanzaron antes. En Colombia, la Ley 1774 de 2016 reconoce a los animales como seres sintientes, es decir, seres capaces de sentir dolor, miedo y bienestar, y no solo como cosas u objetos. En Chile, la Ley 21.020 de 2017, conocida como Ley Cholito, estableció reglas de tenencia responsable de mascotas y animales de compañía.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México el cambio ha sido más lento y se ha dado sobre todo a nivel estatal, porque cada estado tiene su propia ley de protección animal. A nivel nacional, en diciembre de 2024 se reformó la Constitución para incluir la protección y el cuidado de los animales, y se le pidió al Congreso de la Unión que expida una ley general en la materia (Baena Sánchez, 2025) [verificar fecha de publicación en el DOF]. Es un avance importante, pero mientras esa ley general no exista, la forma de atender a los animales sigue dependiendo mucho de cada estado y de cada municipio.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Revisar esta historia ayuda a entender que el abandono animal no es un problema aislado. También es resultado de una forma de planear las ciudades en la que los animales casi nunca se tomaron en cuenta. Por eso tiene sentido buscar propuestas arquitectónicas que los incluyan, que combinen bienestar animal, educación y cuidado del medio ambiente.</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2.1.2 EVOLUCIÓN DE LOS REFUGIOS EN LA ZONA METROPOLITANA DE MONTERREY</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la zona metropolitana de Monterrey los refugios para animales han ido cambiando poco a poco, al mismo ritmo que la ciudad y que la forma de pensar de sus habitantes. El crecimiento de la ciudad ha sido enorme. Según un estudio del Consejo Nacional de Población, la superficie ocupada por asentamientos humanos en el área de Monterrey pasó de 151.1 km² en 1985 a 843.5 km² en 2018, es decir, se multiplicó más de cinco veces (Hernández, 2024). Con tanta expansión, la cantidad de animales también creció, y los servicios para atenderlos no avanzaron al mismo paso.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Los primeros Centros de Control Canino y Felino del área metropolitana se crearon con un objetivo de salud pública: controlar la población de perros y gatos y prevenir enfermedades. Se construyeron con materiales básicos, con espacios pequeños y con la idea de que los animales estuvieran ahí poco tiempo. El confort o la calidad de vida de los animales no eran una prioridad en su diseño.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Con el tiempo, empezaron a surgir asociaciones civiles y grupos de rescatistas independientes que promovieron la adopción y la esterilización [agregar ejemplos de asociaciones locales con su fuente]. En muchos casos estas asociaciones cubrieron lo que los municipios no alcanzaban a atender, y el refugio comenzó a verse más como un espacio de la comunidad que como una instalación del gobierno. Sin embargo, la mayoría trabaja en casas adaptadas o terrenos improvisados, sin un diseño pensado para ese uso y sin apoyo técnico o económico suficiente.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los últimos años algunos municipios del área metropolitana comenzaron a invertir en centros de atención animal con servicios de adopción, campañas de esterilización y atención médica básica, aunque el avance no ha sido igual en todos [agregar fuente]. A nivel estatal, la Ley de Protección y Bienestar Animal para la Sustentabilidad del Estado de Nuevo León establece que cada municipio debe contar con un centro especializado, lo que marca un cambio importante: se deja de hablar solo de control y se empieza a hablar de bienestar.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Gobierno del Estado también anunció la creación de un Centro Estatal de Atención Animal (Gobierno del Estado de Nuevo León, 2024) [verificar si ya está en funcionamiento y su ubicación]. Este tipo de proyectos muestra que el tema ya forma parte de la agenda pública y que existe interés en tener espacios mejor diseñados para los animales, algo que podría replicarse en municipios como Guadalupe, donde todavía hay carencias.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Al mismo tiempo, en Monterrey han aumentado los espacios pet-friendly, como parques, cafeterías y conjuntos habitacionales que aceptan mascotas. Esto muestra que la ciudad empieza a ver al animal doméstico como un usuario más del espacio urbano. Lo que todavía casi no existe son refugios que combinen la atención animal con actividades culturales, educativas y turísticas. Ahí es donde entra la propuesta de este proyecto, que busca pasar del modelo de encierro a uno de aprendizaje y convivencia, en línea con lo que plantea el Programa Municipal de Desarrollo Urbano de Guadalupe Visión 2040 sobre equipamientos de impacto social y ambiental.</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2.1.3 ARQUITECTURA HÍBRIDA: ANTECEDENTES Y DESARROLLO INTERNACIONAL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Durante buena parte del siglo XX las ciudades se planearon separando las actividades: una zona para vivir, otra para trabajar, otra para comprar y otra para divertirse. A esta forma de planear se le llama zonificación por usos. Con los años se vio que este modelo tenía problemas, como recorridos muy largos, zonas vacías durante parte del día y poca convivencia entre distintos tipos de personas.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Como respuesta a esto surgió la idea de la arquitectura híbrida, que consiste en juntar en un mismo edificio o conjunto actividades que normalmente estarían separadas. Por ejemplo, un edificio que tiene biblioteca, cafetería, área de exposiciones y espacio público. La idea es que, al mezclar usos, el lugar tenga vida a distintas horas, lo visiten diferentes tipos de personas y se generen más encuentros entre ellas (Álvarez-Rubio, 2017) [verificar idea en la fuente].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término se volvió más conocido en 1985, cuando Joseph Fenton publicó Hybrid Buildings dentro de la serie Pamphlet Architecture, dirigida por el arquitecto Steven Holl. Ahí se estudiaron edificios que combinaban varios programas en una sola estructura. Después, arquitectos como Rem Koolhaas y Bernard Tschumi trabajaron la idea de que la mezcla de actividades puede generar nuevas formas de usar el espacio.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Algunos ejemplos conocidos ayudan a entender este concepto. El Rolex Learning Center (Suiza, 2010), del estudio SANAA, reúne biblioteca, áreas de estudio, cafetería y espacios de reunión en un solo nivel continuo con patios. La ampliación de la Tate Modern conocida como Switch House (Londres, 2016), de Herzog &amp; de Meuron, combina salas de exposición, talleres y terrazas abiertas al público. El Musée du Quai Branly (París, 2006), de Jean Nouvel, integra museo, jardín y espacio público en un mismo recorrido.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América Latina la arquitectura híbrida ha tenido un enfoque más social. Un ejemplo muy conocido es el Parque Biblioteca España en Medellín (Colombia, 2007), de Giancarlo Mazzanti, que combina biblioteca, centro cultural y espacio público en un barrio que antes estaba muy marginado. Este proyecto se volvió un símbolo de cómo la arquitectura puede ayudar a transformar una comunidad. En Brasil, el Museu do Amanhã en Río de Janeiro (2015), de Santiago Calatrava, junta ciencia, exposición y espacio público, y usa paneles solares y agua de la bahía para su climatización.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los últimos años la idea de lo híbrido también se ha relacionado con el medio ambiente. Ya no se trata solo de mezclar actividades humanas, sino de integrar el paisaje, la vegetación y la fauna como parte del proyecto (Fernández-González, 2020) [verificar idea en la fuente]. De aquí surgen propuestas como granjas urbanas educativas, parques con centros de educación ambiental y refugios que se abren a la comunidad.</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Esta evolución es la base del refugio híbrido que se propone para Guadalupe. En lugar de un centro de atención animal aislado, se plantea un conjunto donde convivan el cuidado de los animales, la cultura, la educación y la recreación, aprovechando además el entorno natural del río La Silla.</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2.2 MARCO SOCIAL</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2.2.1 SITUACIÓN ACTUAL DEL BIENESTAR ANIMAL EN N.L.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situación del bienestar animal en el área metropolitana de Monterrey es complicada, porque se juntan el crecimiento de la ciudad, las diferencias sociales entre colonias y las limitaciones de los gobiernos municipales. A nivel nacional, la ENBIARE 2021 del INEGI indica que el 69.8 % de los hogares tiene al menos una mascota (INEGI, 2021), y Nuevo León, como uno de los estados más urbanizados del país, no es la excepción.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Tener muchas mascotas no significa que todas reciban los cuidados necesarios. Muchas familias no esterilizan ni vacunan a sus animales, ya sea por falta de información, por costo o porque no hay servicios cerca. Cuando estos animales se reproducen o se escapan, terminan aumentando la población en la calle. Diversas estimaciones señalan que en el área metropolitana hay cientos de miles de perros y gatos en situación de calle [agregar cifra con su fuente].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infraestructura que existe para atender esta situación es poca y, en muchos casos, está desactualizada. Varios Centros de Control Canino siguen funcionando con un modelo centrado en el encierro, sin áreas de rehabilitación ni espacios para que la gente conozca a los animales que puede adoptar. Además, en muchas colonias no hay parques ni áreas verdes donde se pueda convivir con las mascotas de forma segura.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estas razones, el bienestar animal en Monterrey y en Guadalupe no se puede separar de lo que pasa en la ciudad. Donde hay menos espacios públicos, menos servicios y menos información, también suele haber más abandono. La arquitectura y el diseño urbano pueden ayudar a cambiar esta situación si se crean espacios que acerquen a las personas a los animales de forma responsable. El proyecto del Centro de Bienestar Animal y Cultural busca precisamente eso: atender el problema desde la infraestructura, pero también desde la educación y la participación de la comunidad.</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2.2.2 CULTURA PET-FRIENDLY Y PARTICIPACIÓN CIUDADANA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la última década en México han aumentado mucho los espacios que aceptan mascotas. Este cambio tiene que ver con una tendencia global, pero también con algo más profundo: cada vez más personas ven a su perro o a su gato como parte de la familia y quieren llevarlo con ellas a los lugares que visitan.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ciudades como Monterrey es común encontrar cafeterías, restaurantes, parques, hoteles y eventos donde las mascotas son bienvenidas. Sin embargo, la mayoría de estos espacios son comerciales. Están pensados para que el dueño consuma algo mientras su mascota lo acompaña, pero casi nunca incluyen actividades educativas o culturales sobre el cuidado de los animales, y pocas veces consideran de verdad sus necesidades, como sombra, agua o zonas para descansar.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Aquí aparece una oportunidad para el proyecto. Un refugio híbrido con actividades culturales y turísticas podría responder a esa demanda de lugares para convivir con animales, pero con un enfoque diferente: además de recreación, ofrecería información sobre adopción, esterilización, vacunación y tenencia responsable. Así, el interés que ya existe por la cultura pet-friendly se puede aprovechar para educar.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proyecto se plantea como un espacio de encuentro, con talleres, exposiciones, ferias de adopción y programas para la comunidad. Este tipo de actividades ayuda a cambiar la imagen que se tiene de los refugios como lugares tristes o marginales, y los convierte en lugares que la gente quiere visitar.</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2.2.3 EDUCACIÓN Y VOLUNTARIADO EN PROYECTOS DE CONVIVENCIA HUMANO–ANIMAL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participación de la comunidad es una parte muy importante para que un proyecto de bienestar animal funcione a largo plazo. Un refugio que nadie conoce depende solo de su personal y de sus recursos; en cambio, uno que tiene voluntarios, visitantes y vecinos involucrados tiene más apoyo, más donaciones y más adopciones.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Guadalupe hay colonias con una vida vecinal activa, como Contry La Silla y La Pastora, donde los vecinos se organizan para actividades como limpieza de espacios públicos, reciclaje o reforestación [agregar fuente]. Esta disposición de la gente es una buena base para invitarla a participar también en programas de adopción, cuidado y educación sobre animales.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voluntariado puede tomar muchas formas: pasear a los perros, socializar a los gatos, ayudar en las ferias de adopción, dar pláticas en escuelas o apoyar en el mantenimiento de las áreas verdes. Para que esto sea posible, el proyecto necesita espacios pensados para los voluntarios, como áreas de registro, vestidores, bodegas y salones de capacitación. Si el diseño no los considera, el voluntariado se vuelve desordenado y difícil de sostener.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eso, la propuesta para Guadalupe incluye un espacio educativo abierto, donde se puedan dar talleres de cuidado animal, recibir visitas guiadas de escuelas y organizar actividades artísticas. La idea es que estas actividades unan a las familias, a los voluntarios y a los visitantes, y que el refugio se convierta en un lugar de referencia para la comunidad, donde se aprenda sobre el cuidado, la cooperación y la convivencia con los animales.</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2.3 MARCO ECONÓMICO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análisis económico del proyecto parte de conocer cómo es la economía del municipio de Guadalupe. El municipio forma parte de la Zona Metropolitana de Monterrey, uno de los centros económicos más importantes del norte del país. Según los datos de Población Económicamente Activa (PEA), es decir, las personas en edad de trabajar que tienen empleo o lo están buscando, la mayor parte de la población del municipio trabaja en los sectores terciario y de servicios, como comercio, atención especializada y servicios profesionales (INEGI, 2020).</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Esto es favorable para el proyecto, porque un centro de bienestar animal y cultural también es un proyecto de servicios. Puede generar empleo en atención veterinaria, educación, cafetería, tienda, mantenimiento y administración, y aprovechar que en la zona ya existe una economía acostumbrada a este tipo de actividades.</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EL MAPA DE POBLACIÓN ECONÓMICAMENTE ACTIVA]</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Mapa 2.1 – Población Económicamente Activa del municipio de Guadalupe, N.L. Fuente: Elaboración propia con base en Censo de Población y Vivienda, INEGI (2020) [confirmar fuente].</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LA TABLA DE PORCENTAJES DE PEA]</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Tabla 2.1 – Análisis general de Población Económicamente Activa del municipio de Guadalupe, N.L. Fuente: Elaboración propia con base en Censo de Población y Vivienda, INEGI (2020).</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Programa Municipal de Desarrollo Urbano de Guadalupe, Nuevo León, Visión 2040, identifica zonas de reconversión urbana y corredores de crecimiento donde se busca ubicar equipamientos de impacto social, educativo y ambiental. Es decir, el propio municipio está buscando proyectos que, además de cubrir carencias, generen empleo y ayuden a mejorar la economía local. El Centro de Bienestar Animal y Cultural encaja en esta línea, porque combina bienestar animal, educación ambiental, cultura y economía social en un mismo lugar.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que el proyecto pueda mantenerse, se propone un modelo que combine apoyos institucionales con ingresos propios. Estos ingresos vendrían de servicios veterinarios, guardería para mascotas, estética canina y actividades educativas y culturales. Para tener una idea de cuánto se podría cobrar, se revisaron los precios de clínicas y establecimientos veterinarios de la zona, lo que permite calcular de forma aproximada cuánto podría ingresar el centro.</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2.3.1 MODELOS DE FINANCIAMIENTO PARA REFUGIOS HÍBRIDOS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forma de financiar los proyectos de bienestar animal en México ha cambiado en los últimos años. Antes dependían casi por completo de donaciones y de la ayuda de voluntarios. Ahora se buscan modelos mixtos, donde se combinan fondos públicos, inversión privada y actividades propias que generan dinero. Esto permite que los refugios se mantengan por más tiempo y que puedan ofrecer más servicios a la comunidad.</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 nivel federal existe el Fondo Nacional de Infraestructura (FONADIN), que apoya proyectos de infraestructura con impacto social. Este fondo no tiene una línea específica para refugios de animales, pero un proyecto que combine atención animal con educación ambiental y actividades culturales podría presentarse como un equipamiento de beneficio social [verificar requisitos del programa].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 nivel estatal, el Gobierno de Nuevo León ha trabajado con esquemas de coinversión con organizaciones de la sociedad civil, donde el gobierno aporta una parte de los recursos y la asociación otra [agregar fuente]. Bajo este esquema, un refugio constituido como asociación civil podría conseguir apoyo para construir infraestructura o para realizar actividades con la comunidad. Además, la Ley de Protección y Bienestar Animal para la Sustentabilidad del Estado respalda la creación de este tipo de espacios.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Dentro del refugio, los servicios veterinarios y de cuidado animal pueden ser una fuente de ingresos constante. Por ejemplo, de acuerdo con los precios consultados en clínicas de la zona, una consulta de medicina general cuesta alrededor de $220 pesos, un día de guardería va de $120 pesos para un perro chico a $250 pesos para uno extra grande, un baño relajante va de $160 a $300 pesos según el tamaño, y una esterilización cuesta alrededor de $900 pesos en machos y $1,300 pesos en hembras. Si el centro ofrece estos servicios a precios accesibles, puede tener un ingreso semanal y mensual que ayude a pagar su operación y lo haga menos dependiente de las donaciones.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También es importante tener varias fuentes de ingreso. Algunas actividades que se pueden integrar son talleres sobre cuidado responsable, primeros auxilios para mascotas o adopción; una cafetería temática donde los visitantes convivan con animales en adopción de forma supervisada; recorridos guiados donde se cuente la historia de los animales rescatados; y eventos culturales como exposiciones, conciertos pequeños o festivales. Estas actividades generan dinero, pero también acercan a la gente al tema del bienestar animal.</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LA GRÁFICA DE COSTOS PROMEDIO DE SERVICIOS VETERINARIOS]</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Gráfico 2.1 – Análisis de costos promedio de servicios veterinarios y complementarios. Fuente: Elaboración propia con base en información de clínicas y establecimientos veterinarios como Petco, Clínica Veterinaria Dr. Hinojosa, Club Mascota y Mercy Veterinario.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último, no hay que olvidar que la función principal del refugio es la adopción. Las áreas donde los animales y los posibles adoptantes se conocen deben estar bien diseñadas, porque de ellas depende que las adopciones sean responsables y que el refugio cumpla su objetivo.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resumen, el Centro de Bienestar Animal y Cultural no se piensa solo como un lugar de resguardo, sino como un centro con varias funciones al mismo tiempo. El diseño arquitectónico tiene que permitir que todas estas actividades funcionen sin estorbarse entre sí, para que el lugar sea atractivo para la comunidad y, al mismo tiempo, pueda sostenerse económicamente.</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2.3.2 ESTRATEGIAS DE AUTOSUSTENTABILIDAD Y TURISMO RESPONSABLE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Que un proyecto sea autosustentable significa que puede generar buena parte de los recursos que necesita para seguir funcionando. En el caso del refugio, esto es clave para que no cierre cuando bajen las donaciones o cambie la administración municipal.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PMDU Visión 2040 de Guadalupe promueve la reconversión de algunas zonas urbanas para integrar educación, turismo y economía verde, y favorece los equipamientos que generan empleo local y cultura ambiental. Un refugio híbrido puede responder a estos objetivos con varias estrategias.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primera es la economía circular, que en palabras sencillas significa aprovechar al máximo los recursos y generar la menor cantidad posible de desperdicio. En el proyecto esto puede aplicarse con el uso de materiales locales, el compostaje de residuos orgánicos y la captación de agua de lluvia para riego y limpieza. Estas prácticas reducen gastos y, además, sirven como ejemplo para los visitantes.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segunda son los servicios con retorno social, como una cafetería pet-friendly, una tienda solidaria con productos para mascotas y eventos culturales con una cuota simbólica. Estos servicios generan ingresos para el refugio y, al mismo tiempo, son espacios donde la gente convive y aprende.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tercera es la vinculación con instituciones. La colaboración con universidades como la Universidad Autónoma de Nuevo León (UANL) o el Tecnológico de Monterrey podría permitir programas de servicio social, prácticas profesionales para estudiantes de veterinaria, psicología o diseño, y ferias de adopción en los campus. Estas alianzas aportan personas, conocimiento y difusión sin un costo alto para el refugio.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Con estas estrategias, el refugio puede dejar de ser solo un lugar de atención animal y convertirse en un equipamiento productivo dentro de Guadalupe, que genere empleo, educación y convivencia entre los vecinos.</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2.3.3 IMPACTO ECONÓMICO DEL TURISMO CULTURAL Y EDUCATIVO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turismo cultural y educativo puede ser una fuente importante de ingresos para un proyecto como el Centro de Bienestar Animal y Cultural. Según la Organización Mundial del Turismo, el patrimonio cultural es el motivo de alrededor del 40 % de los viajes en el mundo, y este tipo de turista suele gastar más que el promedio (UNWTO, 2012, citado en Banerjee et al., s.f.) [verificar año del documento del BID]. Aunque el proyecto no es un sitio histórico, sí puede aprovechar el interés de las personas por actividades que combinan aprendizaje, convivencia y recreación.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entender el impacto económico de un proyecto así, se suelen distinguir tres tipos de efectos. Los efectos directos son el dinero que entra al centro por entradas, talleres, servicios y ventas. Los efectos indirectos son el dinero que los visitantes gastan fuera del centro, por ejemplo en transporte, comida o comercios cercanos. Y los efectos inducidos son los que se generan cuando las personas que reciben esos ingresos, como empleados o proveedores, también gastan en la economía local. Un estudio del Banco Interamericano de Desarrollo sobre la Ciudad Colonial de Santo Domingo muestra que, si solo se toman en cuenta los efectos directos, se puede subestimar bastante el beneficio real de invertir en turismo cultural (Banerjee et al., s.f.).</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hacer una estimación sencilla para el Refugio Híbrido, se plantearon tres escenarios de demanda: conservador, esperado y optimista. En cada uno se calcularon los visitantes anuales, el gasto promedio por visitante, los ingresos anuales y los empleos que se podrían generar. Lo ideal es que estos cálculos se vayan ajustando con datos oficiales, como los que publican el INEGI y la Secretaría de Turismo de Nuevo León.</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b/>
          <w:sz w:val="24"/>
          <w:szCs w:val="24"/>
        </w:rPr>
        <w:t xml:space="preserve">Análisis de Proyección Económica</w:t>
      </w:r>
    </w:p>
    <w:tbl>
      <w:tblPr>
        <w:tblStyle w:val="TableGrid"/>
        <w:tblW w:type="auto" w:w="0"/>
        <w:tblLook w:firstColumn="1" w:firstRow="1" w:lastColumn="0" w:lastRow="0" w:noHBand="0" w:noVBand="1" w:val="04A0"/>
      </w:tblPr>
      <w:tblGrid>
        <w:gridCol w:w="1468"/>
        <w:gridCol w:w="1468"/>
        <w:gridCol w:w="1468"/>
        <w:gridCol w:w="1468"/>
        <w:gridCol w:w="1468"/>
        <w:gridCol w:w="1468"/>
      </w:tblGrid>
      <w:tr>
        <w:tc>
          <w:tcPr>
            <w:tcW w:type="dxa" w:w="1468"/>
          </w:tcPr>
          <w:p>
            <w:pPr>
              <w:jc w:val="center"/>
            </w:pPr>
            <w:r/>
            <w:r>
              <w:rPr>
                <w:rFonts w:ascii="Arial" w:hAnsi="Arial"/>
                <w:b/>
                <w:sz w:val="18"/>
              </w:rPr>
              <w:t>Escenario</w:t>
            </w:r>
          </w:p>
        </w:tc>
        <w:tc>
          <w:tcPr>
            <w:tcW w:type="dxa" w:w="1468"/>
          </w:tcPr>
          <w:p>
            <w:pPr>
              <w:jc w:val="center"/>
            </w:pPr>
            <w:r/>
            <w:r>
              <w:rPr>
                <w:rFonts w:ascii="Arial" w:hAnsi="Arial"/>
                <w:b/>
                <w:sz w:val="18"/>
              </w:rPr>
              <w:t>Visitantes anuales estimados</w:t>
            </w:r>
          </w:p>
        </w:tc>
        <w:tc>
          <w:tcPr>
            <w:tcW w:type="dxa" w:w="1468"/>
          </w:tcPr>
          <w:p>
            <w:pPr>
              <w:jc w:val="center"/>
            </w:pPr>
            <w:r/>
            <w:r>
              <w:rPr>
                <w:rFonts w:ascii="Arial" w:hAnsi="Arial"/>
                <w:b/>
                <w:sz w:val="18"/>
              </w:rPr>
              <w:t>Gasto promedio por visitante (MXN)</w:t>
            </w:r>
          </w:p>
        </w:tc>
        <w:tc>
          <w:tcPr>
            <w:tcW w:type="dxa" w:w="1468"/>
          </w:tcPr>
          <w:p>
            <w:pPr>
              <w:jc w:val="center"/>
            </w:pPr>
            <w:r/>
            <w:r>
              <w:rPr>
                <w:rFonts w:ascii="Arial" w:hAnsi="Arial"/>
                <w:b/>
                <w:sz w:val="18"/>
              </w:rPr>
              <w:t>Ingresos anuales estimados (MXN)</w:t>
            </w:r>
          </w:p>
        </w:tc>
        <w:tc>
          <w:tcPr>
            <w:tcW w:type="dxa" w:w="1468"/>
          </w:tcPr>
          <w:p>
            <w:pPr>
              <w:jc w:val="center"/>
            </w:pPr>
            <w:r/>
            <w:r>
              <w:rPr>
                <w:rFonts w:ascii="Arial" w:hAnsi="Arial"/>
                <w:b/>
                <w:sz w:val="18"/>
              </w:rPr>
              <w:t>Empleos directos e indirectos</w:t>
            </w:r>
          </w:p>
        </w:tc>
        <w:tc>
          <w:tcPr>
            <w:tcW w:type="dxa" w:w="1468"/>
          </w:tcPr>
          <w:p>
            <w:pPr>
              <w:jc w:val="center"/>
            </w:pPr>
            <w:r/>
            <w:r>
              <w:rPr>
                <w:rFonts w:ascii="Arial" w:hAnsi="Arial"/>
                <w:b/>
                <w:sz w:val="18"/>
              </w:rPr>
              <w:t>Nivel de autosuficiencia económica</w:t>
            </w:r>
          </w:p>
        </w:tc>
      </w:tr>
      <w:tr>
        <w:tc>
          <w:tcPr>
            <w:tcW w:type="dxa" w:w="1468"/>
          </w:tcPr>
          <w:p>
            <w:pPr>
              <w:jc w:val="center"/>
            </w:pPr>
            <w:r/>
            <w:r>
              <w:rPr>
                <w:rFonts w:ascii="Arial" w:hAnsi="Arial"/>
                <w:b w:val="0"/>
                <w:sz w:val="18"/>
              </w:rPr>
              <w:t>Conservador</w:t>
            </w:r>
          </w:p>
        </w:tc>
        <w:tc>
          <w:tcPr>
            <w:tcW w:type="dxa" w:w="1468"/>
          </w:tcPr>
          <w:p>
            <w:pPr>
              <w:jc w:val="center"/>
            </w:pPr>
            <w:r/>
            <w:r>
              <w:rPr>
                <w:rFonts w:ascii="Arial" w:hAnsi="Arial"/>
                <w:b w:val="0"/>
                <w:sz w:val="18"/>
              </w:rPr>
              <w:t>10,000</w:t>
            </w:r>
          </w:p>
        </w:tc>
        <w:tc>
          <w:tcPr>
            <w:tcW w:type="dxa" w:w="1468"/>
          </w:tcPr>
          <w:p>
            <w:pPr>
              <w:jc w:val="center"/>
            </w:pPr>
            <w:r/>
            <w:r>
              <w:rPr>
                <w:rFonts w:ascii="Arial" w:hAnsi="Arial"/>
                <w:b w:val="0"/>
                <w:sz w:val="18"/>
              </w:rPr>
              <w:t>150</w:t>
            </w:r>
          </w:p>
        </w:tc>
        <w:tc>
          <w:tcPr>
            <w:tcW w:type="dxa" w:w="1468"/>
          </w:tcPr>
          <w:p>
            <w:pPr>
              <w:jc w:val="center"/>
            </w:pPr>
            <w:r/>
            <w:r>
              <w:rPr>
                <w:rFonts w:ascii="Arial" w:hAnsi="Arial"/>
                <w:b w:val="0"/>
                <w:sz w:val="18"/>
              </w:rPr>
              <w:t>1,500,000</w:t>
            </w:r>
          </w:p>
        </w:tc>
        <w:tc>
          <w:tcPr>
            <w:tcW w:type="dxa" w:w="1468"/>
          </w:tcPr>
          <w:p>
            <w:pPr>
              <w:jc w:val="center"/>
            </w:pPr>
            <w:r/>
            <w:r>
              <w:rPr>
                <w:rFonts w:ascii="Arial" w:hAnsi="Arial"/>
                <w:b w:val="0"/>
                <w:sz w:val="18"/>
              </w:rPr>
              <w:t>8–10</w:t>
            </w:r>
          </w:p>
        </w:tc>
        <w:tc>
          <w:tcPr>
            <w:tcW w:type="dxa" w:w="1468"/>
          </w:tcPr>
          <w:p>
            <w:pPr>
              <w:jc w:val="center"/>
            </w:pPr>
            <w:r/>
            <w:r>
              <w:rPr>
                <w:rFonts w:ascii="Arial" w:hAnsi="Arial"/>
                <w:b w:val="0"/>
                <w:sz w:val="18"/>
              </w:rPr>
              <w:t>45 %</w:t>
            </w:r>
          </w:p>
        </w:tc>
      </w:tr>
      <w:tr>
        <w:tc>
          <w:tcPr>
            <w:tcW w:type="dxa" w:w="1468"/>
          </w:tcPr>
          <w:p>
            <w:pPr>
              <w:jc w:val="center"/>
            </w:pPr>
            <w:r/>
            <w:r>
              <w:rPr>
                <w:rFonts w:ascii="Arial" w:hAnsi="Arial"/>
                <w:b w:val="0"/>
                <w:sz w:val="18"/>
              </w:rPr>
              <w:t>Esperado</w:t>
            </w:r>
          </w:p>
        </w:tc>
        <w:tc>
          <w:tcPr>
            <w:tcW w:type="dxa" w:w="1468"/>
          </w:tcPr>
          <w:p>
            <w:pPr>
              <w:jc w:val="center"/>
            </w:pPr>
            <w:r/>
            <w:r>
              <w:rPr>
                <w:rFonts w:ascii="Arial" w:hAnsi="Arial"/>
                <w:b w:val="0"/>
                <w:sz w:val="18"/>
              </w:rPr>
              <w:t>20,000</w:t>
            </w:r>
          </w:p>
        </w:tc>
        <w:tc>
          <w:tcPr>
            <w:tcW w:type="dxa" w:w="1468"/>
          </w:tcPr>
          <w:p>
            <w:pPr>
              <w:jc w:val="center"/>
            </w:pPr>
            <w:r/>
            <w:r>
              <w:rPr>
                <w:rFonts w:ascii="Arial" w:hAnsi="Arial"/>
                <w:b w:val="0"/>
                <w:sz w:val="18"/>
              </w:rPr>
              <w:t>200</w:t>
            </w:r>
          </w:p>
        </w:tc>
        <w:tc>
          <w:tcPr>
            <w:tcW w:type="dxa" w:w="1468"/>
          </w:tcPr>
          <w:p>
            <w:pPr>
              <w:jc w:val="center"/>
            </w:pPr>
            <w:r/>
            <w:r>
              <w:rPr>
                <w:rFonts w:ascii="Arial" w:hAnsi="Arial"/>
                <w:b w:val="0"/>
                <w:sz w:val="18"/>
              </w:rPr>
              <w:t>4,000,000</w:t>
            </w:r>
          </w:p>
        </w:tc>
        <w:tc>
          <w:tcPr>
            <w:tcW w:type="dxa" w:w="1468"/>
          </w:tcPr>
          <w:p>
            <w:pPr>
              <w:jc w:val="center"/>
            </w:pPr>
            <w:r/>
            <w:r>
              <w:rPr>
                <w:rFonts w:ascii="Arial" w:hAnsi="Arial"/>
                <w:b w:val="0"/>
                <w:sz w:val="18"/>
              </w:rPr>
              <w:t>12–15</w:t>
            </w:r>
          </w:p>
        </w:tc>
        <w:tc>
          <w:tcPr>
            <w:tcW w:type="dxa" w:w="1468"/>
          </w:tcPr>
          <w:p>
            <w:pPr>
              <w:jc w:val="center"/>
            </w:pPr>
            <w:r/>
            <w:r>
              <w:rPr>
                <w:rFonts w:ascii="Arial" w:hAnsi="Arial"/>
                <w:b w:val="0"/>
                <w:sz w:val="18"/>
              </w:rPr>
              <w:t>75 %</w:t>
            </w:r>
          </w:p>
        </w:tc>
      </w:tr>
      <w:tr>
        <w:tc>
          <w:tcPr>
            <w:tcW w:type="dxa" w:w="1468"/>
          </w:tcPr>
          <w:p>
            <w:pPr>
              <w:jc w:val="center"/>
            </w:pPr>
            <w:r/>
            <w:r>
              <w:rPr>
                <w:rFonts w:ascii="Arial" w:hAnsi="Arial"/>
                <w:b w:val="0"/>
                <w:sz w:val="18"/>
              </w:rPr>
              <w:t>Optimista</w:t>
            </w:r>
          </w:p>
        </w:tc>
        <w:tc>
          <w:tcPr>
            <w:tcW w:type="dxa" w:w="1468"/>
          </w:tcPr>
          <w:p>
            <w:pPr>
              <w:jc w:val="center"/>
            </w:pPr>
            <w:r/>
            <w:r>
              <w:rPr>
                <w:rFonts w:ascii="Arial" w:hAnsi="Arial"/>
                <w:b w:val="0"/>
                <w:sz w:val="18"/>
              </w:rPr>
              <w:t>35,000</w:t>
            </w:r>
          </w:p>
        </w:tc>
        <w:tc>
          <w:tcPr>
            <w:tcW w:type="dxa" w:w="1468"/>
          </w:tcPr>
          <w:p>
            <w:pPr>
              <w:jc w:val="center"/>
            </w:pPr>
            <w:r/>
            <w:r>
              <w:rPr>
                <w:rFonts w:ascii="Arial" w:hAnsi="Arial"/>
                <w:b w:val="0"/>
                <w:sz w:val="18"/>
              </w:rPr>
              <w:t>250</w:t>
            </w:r>
          </w:p>
        </w:tc>
        <w:tc>
          <w:tcPr>
            <w:tcW w:type="dxa" w:w="1468"/>
          </w:tcPr>
          <w:p>
            <w:pPr>
              <w:jc w:val="center"/>
            </w:pPr>
            <w:r/>
            <w:r>
              <w:rPr>
                <w:rFonts w:ascii="Arial" w:hAnsi="Arial"/>
                <w:b w:val="0"/>
                <w:sz w:val="18"/>
              </w:rPr>
              <w:t>8,750,000</w:t>
            </w:r>
          </w:p>
        </w:tc>
        <w:tc>
          <w:tcPr>
            <w:tcW w:type="dxa" w:w="1468"/>
          </w:tcPr>
          <w:p>
            <w:pPr>
              <w:jc w:val="center"/>
            </w:pPr>
            <w:r/>
            <w:r>
              <w:rPr>
                <w:rFonts w:ascii="Arial" w:hAnsi="Arial"/>
                <w:b w:val="0"/>
                <w:sz w:val="18"/>
              </w:rPr>
              <w:t>20–25</w:t>
            </w:r>
          </w:p>
        </w:tc>
        <w:tc>
          <w:tcPr>
            <w:tcW w:type="dxa" w:w="1468"/>
          </w:tcPr>
          <w:p>
            <w:pPr>
              <w:jc w:val="center"/>
            </w:pPr>
            <w:r/>
            <w:r>
              <w:rPr>
                <w:rFonts w:ascii="Arial" w:hAnsi="Arial"/>
                <w:b w:val="0"/>
                <w:sz w:val="18"/>
              </w:rPr>
              <w:t>100 % + excedente reinvertible</w:t>
            </w:r>
          </w:p>
        </w:tc>
      </w:tr>
    </w:tbl>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Tabla 2.2 – Análisis de proyección económica del proyecto. Fuente: Elaboración propia con base en datos del Observatorio Turístico de Nuevo León (2024) e INEGI (2024) [verificar fuentes].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el escenario conservador se calculan 10,000 visitantes al año, sobre todo escuelas, voluntarios y familias de la zona metropolitana, con una cuota simbólica y actividades de bajo costo. Con un gasto promedio de $150 pesos por persona, el ingreso sería de 1.5 millones de pesos al año, lo que cubriría alrededor del 45 % de los gastos de operación. En este caso el centro necesitaría apoyo de programas públicos o privados.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escenario esperado considera que ya funcionan todos los talleres, recorridos, la cafetería y los eventos culturales, con 20,000 visitantes al año y un gasto promedio de $200 pesos. El ingreso sería de 4 millones de pesos, que cubriría cerca del 75 % de la operación. El resto se podría completar con donaciones, aportaciones de la comunidad y programas de coinversión.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el escenario optimista el centro ya sería un lugar conocido en la región, con 35,000 visitantes al año, incluyendo turistas nacionales y extranjeros, y un gasto promedio de $250 pesos. El ingreso podría llegar a 8.75 millones de pesos, suficiente para cubrir toda la operación y dejar un excedente para mantenimiento, mejoras y programas de adopción y salud animal.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Es importante aclarar que los gastos de operación no son iguales en los tres escenarios. Mientras más visitantes recibe el centro, más personal, insumos y mantenimiento necesita. Por eso los porcentajes de autosuficiencia consideran gastos aproximados de 3.3 millones de pesos al año en el escenario conservador, 5.3 millones en el esperado y alrededor de 8 millones en el optimista [ajustar con el presupuesto de operación real del proyecto].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Además de sus propios ingresos, el proyecto podría apoyarse en los esquemas de coinversión del Gobierno de Nuevo León con la sociedad civil y en la posible participación en fondos como FONADIN. Esto le daría más estabilidad y reforzaría lo que plantea la Ley de Protección y Bienestar Animal para la Sustentabilidad del Estado sobre fomentar proyectos de educación ambiental y convivencia responsable.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Los resultados de esta proyección muestran que el centro tiene posibilidades de sostenerse si combina bien sus actividades culturales, educativas y turísticas con el apoyo institucional y la participación de la comunidad. Para que esto funcione, el diseño arquitectónico debe facilitar que las actividades de aprendizaje, adopción y recreación se den al mismo tiempo y generen un flujo constante de visitantes.</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2.4 MARCO FÍSICO-URBANO</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2.4.1 CARACTERÍSTICAS URBANAS DEL MUNICIPIO DE GUADALUPE, N.L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municipio de Guadalupe forma parte de la zona metropolitana de Monterrey y tiene varias características que influyen directamente en la ubicación y el diseño del Centro de Bienestar Animal y Cultural. En 2020 tenía 643,143 habitantes (INEGI, 2021) en una superficie aproximada de 117.79 km² [verificar superficie], por lo que es un municipio con una densidad de población alta. Además, colinda con Monterrey y lo atraviesa el río La Silla, lo que le da buena conectividad y un corredor natural importante.</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Guadalupe es una ciudad casi totalmente consolidada, es decir, la mayor parte de su territorio ya está construido. El estudio del Consejo Nacional de Población muestra que la superficie de asentamientos humanos en el municipio pasó de 26.8 km² en 1985 a 94.8 km² en 2018 (Hernández, 2024). En el mismo periodo su población creció de 370,908 habitantes en 1980 a 643,143 en 2020. Este crecimiento explica por qué hoy quedan pocos terrenos libres para nuevos equipamientos.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su portal oficial, el municipio se describe como el "corazón" del área metropolitana por su conexión vial y sus opciones de movilidad (Municipio de Guadalupe, 2024). Esto es favorable para el proyecto, porque facilita que lleguen visitantes de distintas partes de la ciudad y que el centro se integre con la comunidad local.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cuanto a movilidad, en 2020 el tiempo promedio de traslado al trabajo en Guadalupe era de 36.9 minutos y el tiempo de traslado a la escuela de 22.9 minutos [agregar fuente: Data México / INEGI]. Esto importa para el proyecto porque los visitantes esperan llegar en un tiempo razonable, así que el terreno debe estar bien conectado con avenidas principales y transporte público.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Otro dato importante es que, aunque la ciudad creció mucho en superficie, la población del municipio bajó un poco entre 2010 y 2020, al pasar de 678,006 a 643,143 habitantes (INEGI, 2021). Esto indica que parte de la población se ha mudado a municipios con vivienda más barata. Para el proyecto, esto representa una oportunidad, porque algunas zonas del municipio están en proceso de transformación y una intervención arquitectónica puede ayudar a darles nueva vida.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lo ambiental, Guadalupe tiene un clima semiárido, con veranos muy calurosos, y su territorio tiene pendientes hacia los cerros y hacia la cuenca del río La Silla. El PMDU Visión 2040 señala la necesidad de manejar el suelo de forma más sustentable, de crear infraestructura verde y de integrar el paisaje natural a la ciudad. Para el refugio, esto significa que el diseño debe adaptarse a la topografía, usar vegetación nativa y resolver bien el escurrimiento del agua de lluvia.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último, la Dirección de Desarrollo Urbano de Guadalupe tiene trámites específicos para autorizar el uso de suelo, las licencias de construcción y otros permisos, como la Licencia de Uso de Suelo y la Licencia de Uso de Edificación. Para este proyecto será necesario cumplir con estos requisitos y gestionar un permiso para usos mixtos, porque combina actividades educativas, turísticas y de bienestar animal.</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2.4.2 SELECCIÓN Y ANÁLISIS COMPARATIVO DE SITIOS (MATRIZ DE LOCALIZACIÓN)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elegir el terreno del Refugio Híbrido o Centro de Bienestar Animal y Cultural se compararon tres posibles ubicaciones dentro del municipio de Guadalupe. El análisis se basó en los criterios del Programa Municipal de Desarrollo Urbano Visión 2040, del Plan Estatal de Desarrollo Urbano de Nuevo León y de la Ley de Asentamientos Humanos, Ordenamiento Territorial y Desarrollo Urbano del Estado de Nuevo León.</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comparar los terrenos se usó una matriz de evaluación ponderada. Esto quiere decir que se eligieron varios criterios, a cada uno se le dio un peso según su importancia y luego se calificó cada terreno. Los criterios fueron: compatibilidad de uso de suelo, accesibilidad vial, cercanía a equipamientos, condiciones topográficas, impacto social y ambiental, percepción urbana, seguridad, integración con el paisaje y potencial turístico-cultural.</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EL MAPA DE LOCALIZACIÓN COMPARATIVA DE LOS TERRENOS]</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Mapa 2.2 – Localización comparativa de los terrenos propuestos dentro del municipio de Guadalupe, N.L. Fuente: Elaboración propia con base en Visor Urbano de Guadalupe (2023) y PMDU Visión 2040.</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primer terreno está en el Distrito 1, en una zona donde predomina el uso comercial y de equipamiento. El segundo terreno está en el Distrito 2, sobre un Corredor Urbano de Alto Impacto (CUAI) dentro de la zonificación primaria B del PMDU 2040. El tercer terreno está en el Distrito 3, en una zona de protección ecológica que forma parte del área de amortiguamiento del río La Silla, donde no se permiten edificaciones permanentes.</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EL MAPA DE CLASIFICACIÓN DE USO DE SUELO]</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Mapa 2.3 – Clasificación de uso de suelo y corredores urbanos del PMDU 2040. Fuente: Gobierno de Guadalupe, PMDU Visión 2040 (2021).</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LA MATRIZ DE LOCALIZACIÓN]</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Tabla 2.3 – Matriz de localización: comparativa de terrenos viables para el proyecto. Fuente: Elaboración propia con base en Marco Geoestadístico INEGI (2021) y PMDU Visión 2040.</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matriz dio como resultado 93 puntos de 100 para el Terreno 2, 79 para el Terreno 3 y 68 para el Terreno 1. A continuación se explica cada caso.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Terreno 1 tiene accesos por vialidades secundarias, pero está en una zona muy comercial, con mucho ruido y una alta concentración de servicios. Para un refugio esto es un problema, porque el ruido constante estresa a los animales y la zona no ofrece un entorno natural.</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Terreno 3 obtuvo una calificación más alta que el Terreno 1 porque tiene un gran valor ambiental y paisajístico. Sin embargo, se descartó porque está en una zona de protección ecológica donde la normativa no permite construir edificaciones permanentes. Es decir, aunque sus condiciones naturales son muy buenas, legalmente no es viable para el proyecto.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Terreno 2 resultó la mejor opción. Está sobre un corredor urbano con uso de suelo mixto, compatible con equipamientos culturales, turísticos y de bienestar animal. Se ubica sobre la avenida Maestro Israel Cavazos Garza, que conecta a Guadalupe con Juárez y Monterrey, lo que facilita la llegada de visitantes y voluntarios. Además, está cerca de parques, escuelas y zonas recreativas, lo que ayuda a la vinculación social y educativa del proyecto.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cuanto a sus condiciones físicas, el terreno tiene suelo tipo Phaeozem, una pendiente menor al 8 % y una orientación norte-sur. Una pendiente menor al 8 % permite construir sin hacer grandes movimientos de tierra, y la orientación norte-sur ayuda a aprovechar la ventilación cruzada y a controlar mejor el asoleamiento, algo muy importante para el confort de los animales en un clima caluroso.</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EL MAPA DE ÁREAS NATURALES PROTEGIDAS Y ÁREAS VERDES]</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Mapa 2.4 – Distribución de Áreas Naturales Protegidas y zonas de restricción para edificación. Fuente: PMDU Visión 2040, Gobierno de Guadalupe (2021).</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 cercanía del terreno con el corredor natural del río La Silla también fue un factor importante en la decisión. Estar cerca del río permite extender el sistema ecológico de la ciudad hacia el proyecto, hacer recorridos y actividades de educación ambiental, y crear senderos que conecten la naturaleza con la arquitectura. Esto coincide con el Plan Estatal de Desarrollo 2022-2027, que busca que la infraestructura urbana fortalezca la sostenibilidad ambiental y la cohesión social (Gobierno de Nuevo León, 2022) [verificar en el documento].</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EL MAPA DE ZONIFICACIÓN PRIMARIA B]</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Mapa 2.5 – Zonificación primaria y ubicación del terreno seleccionado en zona de crecimiento. Fuente: PMDU Visión 2040, Gobierno de Guadalupe (2021).</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PMDU Visión 2040 también señala que los corredores urbanos de uso mixto deben buscar un equilibrio entre la actividad económica, el cuidado del medio ambiente y la integración con el paisaje (Gobierno de Guadalupe, 2021) [verificar cita y página en el PMDU]. Esto respalda la decisión de ubicar el proyecto sobre el corredor CUAI.</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los mapas de este apartado se puede ver el proceso completo: el Mapa 2.2 muestra la ubicación de los tres terrenos; el Mapa 2.3, el uso de suelo y los corredores urbanos; el Mapa 2.4, las áreas naturales protegidas y las zonas donde no se puede construir, lo que explica por qué se descartó el Terreno 3; y el Mapa 2.5, la zonificación primaria B y la ubicación del terreno elegido dentro de la zona de crecimiento y del corredor CUAI.</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En conclusión, el Terreno 2, en el Distrito 2 y sobre el corredor CUAI, es la opción más equilibrada. Es viable en lo normativo, tiene buenas condiciones ambientales y está bien conectado con la ciudad, lo que permite que el proyecto sea visible, accesible y útil para la comunidad.</w:t>
      </w:r>
    </w:p>
    <w:p w14:paraId="54B80F1F" w14:textId="77777777" w:rsidR="007E4483" w:rsidRPr="007E4483" w:rsidRDefault="007E4483" w:rsidP="007E4483">
      <w:pPr>
        <w:spacing w:line="360" w:lineRule="auto"/>
        <w:jc w:val="left"/>
        <w:rPr>
          <w:rFonts w:ascii="Arial" w:hAnsi="Arial" w:cs="Arial"/>
          <w:b/>
          <w:bCs/>
          <w:sz w:val="24"/>
          <w:szCs w:val="24"/>
          <w:lang w:val="en-MX"/>
        </w:rPr>
      </w:pPr>
    </w:p>
    <w:p w14:paraId="6C34B485" w14:textId="77777777" w:rsidR="00303F58" w:rsidRDefault="00896B65" w:rsidP="00303F58">
      <w:pPr>
        <w:spacing w:line="360" w:lineRule="auto"/>
        <w:jc w:val="left"/>
        <w:rPr>
          <w:rFonts w:ascii="Arial" w:hAnsi="Arial" w:cs="Arial"/>
          <w:b/>
          <w:bCs/>
          <w:sz w:val="24"/>
          <w:szCs w:val="24"/>
          <w:lang w:val="en-MX"/>
        </w:rPr>
      </w:pPr>
      <w:r w:rsidRPr="00896B65">
        <w:rPr>
          <w:rFonts w:ascii="Arial" w:hAnsi="Arial" w:cs="Arial"/>
          <w:b/>
          <w:bCs/>
          <w:sz w:val="24"/>
          <w:szCs w:val="24"/>
          <w:lang w:val="en-MX"/>
        </w:rPr>
        <w:t xml:space="preserve">2.4.3 NORMATIVA URBANA Y LINEAMIENTOS DE CONSTRUCCIÓN APLICABLES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proyecto debe cumplir con varias leyes y reglamentos de distintos niveles de gobierno, que establecen qué se puede construir, cómo y dónde. Conocerlos desde el principio ayuda a que el diseño sea viable y respete el entorno natural y urbano.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 nivel federal, la Ley General de Asentamientos Humanos, Ordenamiento Territorial y Desarrollo Urbano (LGAHOTDU, 2016) establece los principios para que el crecimiento de las ciudades sea ordenado y sustentable. Entre ellos están el derecho a la ciudad, el uso racional del suelo y la protección del medio ambiente (DOF, 2016) [verificar artículo]. Esto aplica directamente al proyecto, porque busca integrar un equipamiento de bienestar animal con un área natural cercana al río La Silla.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También aplica la Ley General del Equilibrio Ecológico y la Protección al Ambiente (LGEEPA, 1988), que en su artículo 15 establece los principios de la política ambiental, como prevenir daños al ambiente y aprovechar los recursos de forma sustentable (DOF, 1988) [verificar redacción]. Por eso la propuesta considera soluciones de diseño pasivo, áreas verdes que permitan la filtración del agua y un sistema de drenaje sustentable que evite descargar agua contaminada directamente al río.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Otra ley federal importante es la Ley de Aguas Nacionales, que define una zona federal de 10 metros de ancho a cada lado de los cauces de ríos y arroyos [verificar si aplica al tramo del río junto al terreno]. Esta franja es propiedad de la nación y no se puede ocupar con construcciones sin permiso de la CONAGUA, así que el proyecto debe respetarla.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 nivel estatal, el proyecto se rige por la Ley de Asentamientos Humanos, Ordenamiento Territorial y Desarrollo Urbano del Estado de Nuevo León, que regula la zonificación, las densidades y qué usos de suelo son compatibles entre sí. Esta ley también promueve el aprovechamiento racional del territorio, la conservación ambiental y la participación ciudadana en la planeación urbana [verificar artículo]. El proyecto responde a esto al incluir espacios comunitarios, educativos y recreativos.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 nivel municipal, el Reglamento de Zonificación y Uso del Suelo del Municipio de Guadalupe define los usos permitidos en los corredores urbanos de alto impacto, donde se pueden ubicar actividades mixtas compatibles con la vivienda y el equipamiento urbano [verificar en el reglamento]. Esto coincide con el proyecto, que combina funciones culturales, educativas, turísticas y ecológicas.</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Reglamento de Construcción del Municipio de Guadalupe pide que las edificaciones se adapten a las condiciones del terreno, del agua y del clima, y que garanticen su estabilidad estructural [verificar en el reglamento]. Como el terreno tiene pendientes de entre 3 % y 8 % y suelo tipo Phaeozem, es adecuado para construir edificios de baja y mediana altura, siempre que se tomen medidas para controlar la erosión y el escurrimiento del agua.</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EL MAPA DE CLASIFICACIÓN DE CORREDORES ESTRATÉGICOS]</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Mapa 2.6 – Clasificación de corredores urbanos estratégicos en el terreno seleccionado. Fuente: Programa Municipal de Desarrollo Urbano de Guadalupe, Visión 2040 (2021).</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El PMDU Visión 2040 ubica el predio en el Distrito 2 Norte-Oriente, sobre la avenida Maestro Israel Cavazos Garza, dentro de la Zonificación Primaria B y del Corredor Urbano de Alto Impacto (CUAI). Este corredor está pensado para consolidar equipamientos de escala metropolitana, actividades mixtas y espacios culturales, y el programa lo considera un eje de movilidad y convivencia donde conviene ubicar proyectos que aporten identidad, seguridad y sustentabilidad (Gobierno de Guadalupe, 2021) [verificar en el PMDU].</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LA MATRIZ DE LINEAMIENTOS URBANÍSTICOS DE LA ZONIFICACIÓN PRIMARIA B]</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Tabla 2.4 – Matriz de lineamientos urbanísticos base de la Zonificación Primaria B con zona de crecimiento. Fuente: Programa Municipal de Desarrollo Urbano de Guadalupe, Visión 2040 (2021).</w:t>
      </w:r>
    </w:p>
    <w:p w14:paraId="6CFF248D" w14:textId="77777777" w:rsidR="007E4483" w:rsidRDefault="00303F58" w:rsidP="007F03FC">
      <w:pPr>
        <w:spacing w:before="240" w:line="360" w:lineRule="auto"/>
        <w:jc w:val="center"/>
        <w:rPr>
          <w:rFonts w:ascii="Arial" w:hAnsi="Arial" w:cs="Arial"/>
          <w:sz w:val="24"/>
          <w:szCs w:val="24"/>
        </w:rPr>
      </w:pPr>
      <w:r w:rsidRPr="00391B7F">
        <w:rPr>
          <w:rFonts w:ascii="Arial" w:hAnsi="Arial" w:cs="Arial"/>
          <w:b/>
          <w:sz w:val="24"/>
          <w:szCs w:val="24"/>
        </w:rPr>
        <w:t xml:space="preserve">[INSERTAR AQUÍ LA MATRIZ DE LINEAMIENTOS URBANÍSTICOS POR CORREDOR]</w:t>
      </w:r>
    </w:p>
    <w:p w14:paraId="6CFF248D" w14:textId="77777777" w:rsidR="007E4483" w:rsidRDefault="00303F58" w:rsidP="007F03FC">
      <w:pPr>
        <w:spacing w:before="240" w:line="240" w:lineRule="auto"/>
        <w:jc w:val="center"/>
        <w:rPr>
          <w:rFonts w:ascii="Arial" w:hAnsi="Arial" w:cs="Arial"/>
          <w:sz w:val="24"/>
          <w:szCs w:val="24"/>
        </w:rPr>
      </w:pPr>
      <w:r w:rsidRPr="00391B7F">
        <w:rPr>
          <w:rFonts w:ascii="Arial" w:hAnsi="Arial" w:cs="Arial"/>
          <w:sz w:val="20"/>
          <w:szCs w:val="24"/>
        </w:rPr>
        <w:t xml:space="preserve">Tabla 2.5 – Matriz de lineamientos urbanísticos base y parámetros de edificación del corredor CUAI. Fuente: Programa Municipal de Desarrollo Urbano de Guadalupe, Visión 2040 (2021).</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Las Tablas 2.4 y 2.5 muestran los lineamientos que aplican al terreno. Algunos valores se parecen entre sí y otros cambian, y son estos últimos los que marcan los límites del proyecto. Para entenderlos, conviene explicar qué significa cada coeficiente. El Coeficiente de Ocupación del Suelo (COS) indica qué porcentaje del terreno se puede cubrir con construcción en planta baja. El Coeficiente de Utilización del Suelo (CUS) indica cuántas veces se puede construir la superficie del terreno sumando todos los niveles. El coeficiente de área verde indica qué porcentaje del terreno debe quedar libre y con vegetación para que el agua de lluvia se pueda filtrar.</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De acuerdo con la zonificación primaria, el terreno está en una zona de crecimiento que permite un COS máximo de 80 %, un coeficiente de área verde de 10 %, un coeficiente de utilización de 4, y una altura máxima de 12 m o 4 niveles. Según los lineamientos del corredor CUAI, los valores son un COS máximo de 82.5 %, un área verde de 7.5 %, un coeficiente de utilización de 4 y una altura máxima de 45 m o 15 niveles [verificar valores y siglas con las Tablas 2.4 y 2.5 del PMDU].</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Para entenderlo con un ejemplo: en un terreno de 4,000 m², un COS de 80 % permite cubrir con construcción hasta 3,200 m² en planta baja, y un área verde de 10 % obliga a dejar al menos 400 m² con vegetación. Como el proyecto busca una arquitectura de baja altura, integrada al paisaje, en la práctica la altura máxima no será una limitante, pero sí lo será la superficie que se puede ocupar en planta baja.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Además, se debe respetar un retiro frontal mínimo de 5 metros y dejar franjas verdes laterales que ayuden a captar el agua de lluvia y a bajar la temperatura del terreno (Gobierno de Guadalupe, 2021). El Plan Estatal de Desarrollo Urbano de Nuevo León identifica a la avenida Maestro Israel Cavazos como un eje de integración metropolitana, destinado a transformar antiguas zonas industriales en espacios mixtos de servicios [verificar en el documento].</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Por último, desde el punto de vista ambiental, el Programa Estatal de Ordenamiento Ecológico Territorial de Nuevo León (POET) considera la zona del río La Silla como un corredor ecológico prioritario y pide dejar una franja de amortiguamiento respecto al cauce [verificar la distancia exacta; en el borrador anterior se mencionaban 30 m]. El proyecto integra esta franja como parte del diseño, con un borde de vegetación nativa, senderos interpretativos y áreas de educación ambiental, en lugar de construir sobre ella.</w:t>
      </w:r>
    </w:p>
    <w:p w14:paraId="6CFF248D" w14:textId="77777777" w:rsidR="007E4483" w:rsidRDefault="00303F58" w:rsidP="007F03FC">
      <w:pPr>
        <w:spacing w:before="240" w:line="360" w:lineRule="auto"/>
        <w:jc w:val="left"/>
        <w:rPr>
          <w:rFonts w:ascii="Arial" w:hAnsi="Arial" w:cs="Arial"/>
          <w:sz w:val="24"/>
          <w:szCs w:val="24"/>
        </w:rPr>
      </w:pPr>
      <w:r w:rsidRPr="00391B7F">
        <w:rPr>
          <w:rFonts w:ascii="Arial" w:hAnsi="Arial" w:cs="Arial"/>
          <w:sz w:val="24"/>
          <w:szCs w:val="24"/>
        </w:rPr>
        <w:t xml:space="preserve">Al revisar toda esta normativa, se confirma que el proyecto es compatible con el uso de suelo del terreno, que puede respetar los coeficientes y alturas permitidos, y que su relación con el río La Silla debe resolverse con cuidado. Estos lineamientos se retoman más adelante, en el programa arquitectónico y en la zonificación del proyecto.</w:t>
      </w:r>
    </w:p>
    <w:sectPr w:rsidR="00F9225B" w:rsidRPr="00E4628F" w:rsidSect="00657771">
      <w:type w:val="continuous"/>
      <w:pgSz w:w="12240" w:h="15840"/>
      <w:pgMar w:top="1440" w:right="1440" w:bottom="1440" w:left="199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0415" w14:textId="77777777" w:rsidR="005F6512" w:rsidRDefault="005F6512" w:rsidP="00D803D5">
      <w:r>
        <w:separator/>
      </w:r>
    </w:p>
  </w:endnote>
  <w:endnote w:type="continuationSeparator" w:id="0">
    <w:p w14:paraId="775AD494" w14:textId="77777777" w:rsidR="005F6512" w:rsidRDefault="005F6512"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389182"/>
      <w:docPartObj>
        <w:docPartGallery w:val="Page Numbers (Bottom of Page)"/>
        <w:docPartUnique/>
      </w:docPartObj>
    </w:sdtPr>
    <w:sdtContent>
      <w:p w14:paraId="1EF35FAC" w14:textId="0A6E2EA1" w:rsidR="00E1290E" w:rsidRDefault="00E1290E" w:rsidP="00B504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43911589"/>
      <w:docPartObj>
        <w:docPartGallery w:val="Page Numbers (Bottom of Page)"/>
        <w:docPartUnique/>
      </w:docPartObj>
    </w:sdtPr>
    <w:sdtContent>
      <w:p w14:paraId="233AC02F" w14:textId="2AF21B69" w:rsidR="00E1290E" w:rsidRDefault="00E1290E"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0809B8" w14:textId="77777777" w:rsidR="00E1290E" w:rsidRDefault="00E1290E" w:rsidP="00E12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24"/>
        <w:szCs w:val="24"/>
      </w:rPr>
      <w:id w:val="-1282805413"/>
      <w:docPartObj>
        <w:docPartGallery w:val="Page Numbers (Bottom of Page)"/>
        <w:docPartUnique/>
      </w:docPartObj>
    </w:sdtPr>
    <w:sdtContent>
      <w:p w14:paraId="26E12AF2" w14:textId="45CFF3EB" w:rsidR="00E1290E" w:rsidRPr="00E1290E" w:rsidRDefault="00E1290E" w:rsidP="00E1290E">
        <w:pPr>
          <w:pStyle w:val="Footer"/>
          <w:framePr w:wrap="none" w:vAnchor="text" w:hAnchor="margin" w:xAlign="center" w:y="1"/>
          <w:jc w:val="center"/>
          <w:rPr>
            <w:rStyle w:val="PageNumber"/>
            <w:rFonts w:ascii="Times New Roman" w:hAnsi="Times New Roman" w:cs="Times New Roman"/>
            <w:i/>
            <w:iCs/>
            <w:sz w:val="24"/>
            <w:szCs w:val="24"/>
          </w:rPr>
        </w:pPr>
        <w:r w:rsidRPr="00E1290E">
          <w:rPr>
            <w:rStyle w:val="PageNumber"/>
            <w:rFonts w:ascii="Times New Roman" w:hAnsi="Times New Roman" w:cs="Times New Roman"/>
            <w:i/>
            <w:iCs/>
            <w:sz w:val="32"/>
            <w:szCs w:val="32"/>
          </w:rPr>
          <w:fldChar w:fldCharType="begin"/>
        </w:r>
        <w:r w:rsidRPr="00E1290E">
          <w:rPr>
            <w:rStyle w:val="PageNumber"/>
            <w:rFonts w:ascii="Times New Roman" w:hAnsi="Times New Roman" w:cs="Times New Roman"/>
            <w:i/>
            <w:iCs/>
            <w:sz w:val="32"/>
            <w:szCs w:val="32"/>
          </w:rPr>
          <w:instrText xml:space="preserve"> PAGE </w:instrText>
        </w:r>
        <w:r w:rsidRPr="00E1290E">
          <w:rPr>
            <w:rStyle w:val="PageNumber"/>
            <w:rFonts w:ascii="Times New Roman" w:hAnsi="Times New Roman" w:cs="Times New Roman"/>
            <w:i/>
            <w:iCs/>
            <w:sz w:val="32"/>
            <w:szCs w:val="32"/>
          </w:rPr>
          <w:fldChar w:fldCharType="separate"/>
        </w:r>
        <w:r w:rsidRPr="00E1290E">
          <w:rPr>
            <w:rStyle w:val="PageNumber"/>
            <w:rFonts w:ascii="Times New Roman" w:hAnsi="Times New Roman" w:cs="Times New Roman"/>
            <w:i/>
            <w:iCs/>
            <w:noProof/>
            <w:sz w:val="32"/>
            <w:szCs w:val="32"/>
          </w:rPr>
          <w:t>2</w:t>
        </w:r>
        <w:r w:rsidRPr="00E1290E">
          <w:rPr>
            <w:rStyle w:val="PageNumber"/>
            <w:rFonts w:ascii="Times New Roman" w:hAnsi="Times New Roman" w:cs="Times New Roman"/>
            <w:i/>
            <w:iCs/>
            <w:sz w:val="32"/>
            <w:szCs w:val="32"/>
          </w:rPr>
          <w:fldChar w:fldCharType="end"/>
        </w:r>
      </w:p>
    </w:sdtContent>
  </w:sdt>
  <w:p w14:paraId="362678D9" w14:textId="77777777" w:rsidR="00E1290E" w:rsidRDefault="00E1290E" w:rsidP="00E129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482F2" w14:textId="77777777" w:rsidR="005F6512" w:rsidRDefault="005F6512" w:rsidP="00D803D5">
      <w:r>
        <w:separator/>
      </w:r>
    </w:p>
  </w:footnote>
  <w:footnote w:type="continuationSeparator" w:id="0">
    <w:p w14:paraId="744A3CCB" w14:textId="77777777" w:rsidR="005F6512" w:rsidRDefault="005F6512"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44B4" w14:textId="6E1645B1" w:rsidR="00D803D5" w:rsidRDefault="00D803D5">
    <w:pPr>
      <w:pStyle w:val="Header"/>
    </w:pPr>
    <w:r>
      <w:rPr>
        <w:noProof/>
        <w:lang w:eastAsia="es-MX"/>
      </w:rPr>
      <w:drawing>
        <wp:anchor distT="0" distB="0" distL="114300" distR="114300" simplePos="0" relativeHeight="251659264" behindDoc="1" locked="0" layoutInCell="1" allowOverlap="1" wp14:anchorId="677C7CD4" wp14:editId="27B19DED">
          <wp:simplePos x="0" y="0"/>
          <wp:positionH relativeFrom="column">
            <wp:posOffset>4769160</wp:posOffset>
          </wp:positionH>
          <wp:positionV relativeFrom="paragraph">
            <wp:posOffset>6985</wp:posOffset>
          </wp:positionV>
          <wp:extent cx="1285240" cy="363906"/>
          <wp:effectExtent l="0" t="0" r="0" b="0"/>
          <wp:wrapNone/>
          <wp:docPr id="143346128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010A9"/>
    <w:rsid w:val="00011280"/>
    <w:rsid w:val="000153FF"/>
    <w:rsid w:val="000161A9"/>
    <w:rsid w:val="0005556D"/>
    <w:rsid w:val="0006096B"/>
    <w:rsid w:val="00093CB9"/>
    <w:rsid w:val="000A612B"/>
    <w:rsid w:val="000E403D"/>
    <w:rsid w:val="00120222"/>
    <w:rsid w:val="0012375C"/>
    <w:rsid w:val="00133232"/>
    <w:rsid w:val="00135D51"/>
    <w:rsid w:val="00142ADE"/>
    <w:rsid w:val="00144E98"/>
    <w:rsid w:val="001639C6"/>
    <w:rsid w:val="00170487"/>
    <w:rsid w:val="00184B75"/>
    <w:rsid w:val="001A5646"/>
    <w:rsid w:val="001C4CB6"/>
    <w:rsid w:val="002049E4"/>
    <w:rsid w:val="00205E56"/>
    <w:rsid w:val="00211C7C"/>
    <w:rsid w:val="00254D1C"/>
    <w:rsid w:val="00283CD5"/>
    <w:rsid w:val="00283CD6"/>
    <w:rsid w:val="00284AD9"/>
    <w:rsid w:val="00286FDE"/>
    <w:rsid w:val="00290A14"/>
    <w:rsid w:val="002913AA"/>
    <w:rsid w:val="002E1E1F"/>
    <w:rsid w:val="002F4638"/>
    <w:rsid w:val="00303F58"/>
    <w:rsid w:val="00316B11"/>
    <w:rsid w:val="0032019D"/>
    <w:rsid w:val="003243FD"/>
    <w:rsid w:val="00330532"/>
    <w:rsid w:val="00345901"/>
    <w:rsid w:val="00346818"/>
    <w:rsid w:val="00350E8B"/>
    <w:rsid w:val="0035674B"/>
    <w:rsid w:val="003700A8"/>
    <w:rsid w:val="00374465"/>
    <w:rsid w:val="003755EB"/>
    <w:rsid w:val="0038033F"/>
    <w:rsid w:val="003874B6"/>
    <w:rsid w:val="00391B7F"/>
    <w:rsid w:val="003A2A71"/>
    <w:rsid w:val="003A496E"/>
    <w:rsid w:val="003B1EA4"/>
    <w:rsid w:val="003B2B08"/>
    <w:rsid w:val="003D57CC"/>
    <w:rsid w:val="003F0741"/>
    <w:rsid w:val="00405A77"/>
    <w:rsid w:val="004340FD"/>
    <w:rsid w:val="0045002B"/>
    <w:rsid w:val="004556AC"/>
    <w:rsid w:val="00472368"/>
    <w:rsid w:val="00473D28"/>
    <w:rsid w:val="004977B5"/>
    <w:rsid w:val="004B24C9"/>
    <w:rsid w:val="004C2986"/>
    <w:rsid w:val="004E401F"/>
    <w:rsid w:val="0050457F"/>
    <w:rsid w:val="0051297B"/>
    <w:rsid w:val="00512FD4"/>
    <w:rsid w:val="00514E44"/>
    <w:rsid w:val="005207DE"/>
    <w:rsid w:val="00551C15"/>
    <w:rsid w:val="00566724"/>
    <w:rsid w:val="005A2851"/>
    <w:rsid w:val="005B779C"/>
    <w:rsid w:val="005C05F9"/>
    <w:rsid w:val="005C419D"/>
    <w:rsid w:val="005C6833"/>
    <w:rsid w:val="005F6512"/>
    <w:rsid w:val="00627E06"/>
    <w:rsid w:val="006471FD"/>
    <w:rsid w:val="00657771"/>
    <w:rsid w:val="00675D27"/>
    <w:rsid w:val="00680D3D"/>
    <w:rsid w:val="006C4A41"/>
    <w:rsid w:val="006F64DE"/>
    <w:rsid w:val="00700537"/>
    <w:rsid w:val="00702799"/>
    <w:rsid w:val="00710756"/>
    <w:rsid w:val="00741104"/>
    <w:rsid w:val="00742EB3"/>
    <w:rsid w:val="00753CFA"/>
    <w:rsid w:val="00760EF7"/>
    <w:rsid w:val="00790EBC"/>
    <w:rsid w:val="007C12B9"/>
    <w:rsid w:val="007D02B3"/>
    <w:rsid w:val="007E4483"/>
    <w:rsid w:val="007E7451"/>
    <w:rsid w:val="007F03FC"/>
    <w:rsid w:val="0080347F"/>
    <w:rsid w:val="00834401"/>
    <w:rsid w:val="00837A4D"/>
    <w:rsid w:val="008440CD"/>
    <w:rsid w:val="00860F7E"/>
    <w:rsid w:val="00870DDE"/>
    <w:rsid w:val="008951E5"/>
    <w:rsid w:val="00895902"/>
    <w:rsid w:val="00896B65"/>
    <w:rsid w:val="008B5CD5"/>
    <w:rsid w:val="008F37CE"/>
    <w:rsid w:val="008F6BD9"/>
    <w:rsid w:val="00905592"/>
    <w:rsid w:val="00905916"/>
    <w:rsid w:val="00905BD4"/>
    <w:rsid w:val="00945070"/>
    <w:rsid w:val="00947D21"/>
    <w:rsid w:val="009538D4"/>
    <w:rsid w:val="00960F93"/>
    <w:rsid w:val="0096484A"/>
    <w:rsid w:val="0096516A"/>
    <w:rsid w:val="0096605B"/>
    <w:rsid w:val="0098718D"/>
    <w:rsid w:val="009B3EDC"/>
    <w:rsid w:val="009C2DE7"/>
    <w:rsid w:val="009C5049"/>
    <w:rsid w:val="009F7D06"/>
    <w:rsid w:val="00A17A0E"/>
    <w:rsid w:val="00A30D5E"/>
    <w:rsid w:val="00A35C10"/>
    <w:rsid w:val="00A47892"/>
    <w:rsid w:val="00A50242"/>
    <w:rsid w:val="00A60740"/>
    <w:rsid w:val="00A832D0"/>
    <w:rsid w:val="00A86EEB"/>
    <w:rsid w:val="00A94AAB"/>
    <w:rsid w:val="00AA1A3B"/>
    <w:rsid w:val="00AA1F44"/>
    <w:rsid w:val="00AA55D9"/>
    <w:rsid w:val="00AD5F5E"/>
    <w:rsid w:val="00AD7539"/>
    <w:rsid w:val="00AE6C32"/>
    <w:rsid w:val="00AF472B"/>
    <w:rsid w:val="00B15193"/>
    <w:rsid w:val="00B35B7F"/>
    <w:rsid w:val="00B370EF"/>
    <w:rsid w:val="00B53C1D"/>
    <w:rsid w:val="00B826B8"/>
    <w:rsid w:val="00B86A49"/>
    <w:rsid w:val="00B929F0"/>
    <w:rsid w:val="00BA0EC3"/>
    <w:rsid w:val="00BB6219"/>
    <w:rsid w:val="00BD1C4A"/>
    <w:rsid w:val="00BE6E51"/>
    <w:rsid w:val="00C2138E"/>
    <w:rsid w:val="00C273B1"/>
    <w:rsid w:val="00C46BDE"/>
    <w:rsid w:val="00C52C95"/>
    <w:rsid w:val="00C5442C"/>
    <w:rsid w:val="00C574D0"/>
    <w:rsid w:val="00C63396"/>
    <w:rsid w:val="00C6414E"/>
    <w:rsid w:val="00C643B6"/>
    <w:rsid w:val="00C727A5"/>
    <w:rsid w:val="00C82976"/>
    <w:rsid w:val="00C914F0"/>
    <w:rsid w:val="00CD0A2C"/>
    <w:rsid w:val="00CD6F3F"/>
    <w:rsid w:val="00CE0D58"/>
    <w:rsid w:val="00CF1078"/>
    <w:rsid w:val="00D0545B"/>
    <w:rsid w:val="00D05832"/>
    <w:rsid w:val="00D26776"/>
    <w:rsid w:val="00D2785E"/>
    <w:rsid w:val="00D3141A"/>
    <w:rsid w:val="00D718D6"/>
    <w:rsid w:val="00D80212"/>
    <w:rsid w:val="00D803D5"/>
    <w:rsid w:val="00D821BC"/>
    <w:rsid w:val="00D8224C"/>
    <w:rsid w:val="00D83996"/>
    <w:rsid w:val="00DA3709"/>
    <w:rsid w:val="00DA3BA1"/>
    <w:rsid w:val="00DB0AD1"/>
    <w:rsid w:val="00DD2754"/>
    <w:rsid w:val="00DE0D75"/>
    <w:rsid w:val="00DE4C65"/>
    <w:rsid w:val="00DE63BC"/>
    <w:rsid w:val="00DF5E24"/>
    <w:rsid w:val="00E113DF"/>
    <w:rsid w:val="00E1290E"/>
    <w:rsid w:val="00E15476"/>
    <w:rsid w:val="00E26866"/>
    <w:rsid w:val="00E27A32"/>
    <w:rsid w:val="00E339BD"/>
    <w:rsid w:val="00E44090"/>
    <w:rsid w:val="00E4628F"/>
    <w:rsid w:val="00E47E6B"/>
    <w:rsid w:val="00E61D15"/>
    <w:rsid w:val="00E7474B"/>
    <w:rsid w:val="00E870A9"/>
    <w:rsid w:val="00E91CF6"/>
    <w:rsid w:val="00E92854"/>
    <w:rsid w:val="00E934B2"/>
    <w:rsid w:val="00EA21A2"/>
    <w:rsid w:val="00ED0849"/>
    <w:rsid w:val="00ED0998"/>
    <w:rsid w:val="00ED1BF3"/>
    <w:rsid w:val="00EF69DD"/>
    <w:rsid w:val="00EF7BC8"/>
    <w:rsid w:val="00F067E0"/>
    <w:rsid w:val="00F335F5"/>
    <w:rsid w:val="00F369FC"/>
    <w:rsid w:val="00F46B1E"/>
    <w:rsid w:val="00F4768F"/>
    <w:rsid w:val="00F511AE"/>
    <w:rsid w:val="00F515C6"/>
    <w:rsid w:val="00F52694"/>
    <w:rsid w:val="00F5274C"/>
    <w:rsid w:val="00F6313C"/>
    <w:rsid w:val="00F7068A"/>
    <w:rsid w:val="00F715B6"/>
    <w:rsid w:val="00F90218"/>
    <w:rsid w:val="00F9225B"/>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2.xml><?xml version="1.0" encoding="utf-8"?>
<ds:datastoreItem xmlns:ds="http://schemas.openxmlformats.org/officeDocument/2006/customXml" ds:itemID="{73747BB5-074E-4E4E-A339-854D6A981D21}">
  <ds:schemaRefs>
    <ds:schemaRef ds:uri="http://schemas.microsoft.com/sharepoint/v3/contenttype/forms"/>
  </ds:schemaRefs>
</ds:datastoreItem>
</file>

<file path=customXml/itemProps3.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3015</Words>
  <Characters>17190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8</cp:revision>
  <cp:lastPrinted>2025-12-21T01:31:00Z</cp:lastPrinted>
  <dcterms:created xsi:type="dcterms:W3CDTF">2025-12-21T01:31:00Z</dcterms:created>
  <dcterms:modified xsi:type="dcterms:W3CDTF">2025-12-22T10:00:00Z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