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Escalation Playbook (INTERNAL)</w:t>
      </w:r>
    </w:p>
    <w:p>
      <w:r>
        <w:rPr>
          <w:i/>
          <w:color w:val="5D6D7E"/>
          <w:sz w:val="18"/>
        </w:rPr>
        <w:t>Internal use only · access_scope: internal · Effective January 1, 2026 · Fictional company for ServiceIQ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Situations</w:t>
            </w:r>
          </w:p>
        </w:tc>
        <w:tc>
          <w:tcPr>
            <w:tcW w:type="dxa" w:w="2160"/>
          </w:tcPr>
          <w:p>
            <w:r>
              <w:t>Who responds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Gas smell (after utility clears), CO alarm (after 911 clears), burning smell, no heat below 40°F with vulnerable occupants</w:t>
            </w:r>
          </w:p>
        </w:tc>
        <w:tc>
          <w:tcPr>
            <w:tcW w:type="dxa" w:w="2160"/>
          </w:tcPr>
          <w:p>
            <w:r>
              <w:t>On-call technician via emergency line</w:t>
            </w:r>
          </w:p>
        </w:tc>
        <w:tc>
          <w:tcPr>
            <w:tcW w:type="dxa" w:w="2160"/>
          </w:tcPr>
          <w:p>
            <w:r>
              <w:t>Call back within 15 minutes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Binding quote request, warranty determination, technician needed, complaints</w:t>
            </w:r>
          </w:p>
        </w:tc>
        <w:tc>
          <w:tcPr>
            <w:tcW w:type="dxa" w:w="2160"/>
          </w:tcPr>
          <w:p>
            <w:r>
              <w:t>CSR, then service manager</w:t>
            </w:r>
          </w:p>
        </w:tc>
        <w:tc>
          <w:tcPr>
            <w:tcW w:type="dxa" w:w="2160"/>
          </w:tcPr>
          <w:p>
            <w:r>
              <w:t>Same business day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Unanswered website questions, knowledge gaps, general callbacks</w:t>
            </w:r>
          </w:p>
        </w:tc>
        <w:tc>
          <w:tcPr>
            <w:tcW w:type="dxa" w:w="2160"/>
          </w:tcPr>
          <w:p>
            <w:r>
              <w:t>CSR</w:t>
            </w:r>
          </w:p>
        </w:tc>
        <w:tc>
          <w:tcPr>
            <w:tcW w:type="dxa" w:w="2160"/>
          </w:tcPr>
          <w:p>
            <w:r>
              <w:t>Next business day</w:t>
            </w:r>
          </w:p>
        </w:tc>
      </w:tr>
    </w:tbl>
    <w:p>
      <w:pPr>
        <w:pStyle w:val="Heading1"/>
      </w:pPr>
      <w:r>
        <w:t>Handoff checklist</w:t>
      </w:r>
    </w:p>
    <w:p>
      <w:pPr>
        <w:pStyle w:val="ListNumber"/>
      </w:pPr>
      <w:r>
        <w:rPr>
          <w:b w:val="0"/>
        </w:rPr>
        <w:t>Read the chat transcript and the assistant's cited sources before calling.</w:t>
      </w:r>
    </w:p>
    <w:p>
      <w:pPr>
        <w:pStyle w:val="ListNumber"/>
      </w:pPr>
      <w:r>
        <w:rPr>
          <w:b w:val="0"/>
        </w:rPr>
        <w:t>Confirm name, address, phone and the best time to call.</w:t>
      </w:r>
    </w:p>
    <w:p>
      <w:pPr>
        <w:pStyle w:val="ListNumber"/>
      </w:pPr>
      <w:r>
        <w:rPr>
          <w:b w:val="0"/>
        </w:rPr>
        <w:t>For warranty questions, pull the invoice and the equipment registration.</w:t>
      </w:r>
    </w:p>
    <w:p>
      <w:pPr>
        <w:pStyle w:val="ListNumber"/>
      </w:pPr>
      <w:r>
        <w:rPr>
          <w:b w:val="0"/>
        </w:rPr>
        <w:t>Log the outcome in the CRM, and flag any missing or wrong knowledge article to the Knowledge Administrator.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