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Policy</w:t>
      </w:r>
    </w:p>
    <w:p>
      <w:r>
        <w:rPr>
          <w:i/>
          <w:color w:val="5D6D7E"/>
          <w:sz w:val="18"/>
        </w:rPr>
        <w:t>Version 2 · Effective January 1, 2026 · Fictional company for ServiceIQ testing</w:t>
      </w:r>
    </w:p>
    <w:p>
      <w:pPr>
        <w:pStyle w:val="Heading1"/>
      </w:pPr>
      <w:r>
        <w:t>Accepted payment methods</w:t>
      </w:r>
    </w:p>
    <w:p>
      <w:pPr>
        <w:pStyle w:val="ListBullet"/>
      </w:pPr>
      <w:r>
        <w:rPr>
          <w:b w:val="0"/>
        </w:rPr>
        <w:t>Cash</w:t>
      </w:r>
    </w:p>
    <w:p>
      <w:pPr>
        <w:pStyle w:val="ListBullet"/>
      </w:pPr>
      <w:r>
        <w:rPr>
          <w:b w:val="0"/>
        </w:rPr>
        <w:t>Personal checks (returned checks incur a $35 fee)</w:t>
      </w:r>
    </w:p>
    <w:p>
      <w:pPr>
        <w:pStyle w:val="ListBullet"/>
      </w:pPr>
      <w:r>
        <w:rPr>
          <w:b w:val="0"/>
        </w:rPr>
        <w:t>Visa, Mastercard, American Express and Discover</w:t>
      </w:r>
    </w:p>
    <w:p>
      <w:pPr>
        <w:pStyle w:val="ListBullet"/>
      </w:pPr>
      <w:r>
        <w:rPr>
          <w:b w:val="0"/>
        </w:rPr>
        <w:t>ACH bank transfer</w:t>
      </w:r>
    </w:p>
    <w:p>
      <w:r>
        <w:rPr>
          <w:b w:val="0"/>
        </w:rPr>
        <w:t>We do not accept cryptocurrency or payment apps for in-home payments.</w:t>
      </w:r>
    </w:p>
    <w:p>
      <w:pPr>
        <w:pStyle w:val="Heading1"/>
      </w:pPr>
      <w:r>
        <w:t>When payment is due</w:t>
      </w:r>
    </w:p>
    <w:p>
      <w:pPr>
        <w:pStyle w:val="ListBullet"/>
      </w:pPr>
      <w:r>
        <w:rPr>
          <w:b/>
        </w:rPr>
        <w:t>Repairs and maintenance:</w:t>
      </w:r>
      <w:r>
        <w:rPr>
          <w:b w:val="0"/>
        </w:rPr>
        <w:t xml:space="preserve"> due when the work is completed.</w:t>
      </w:r>
    </w:p>
    <w:p>
      <w:pPr>
        <w:pStyle w:val="ListBullet"/>
      </w:pPr>
      <w:r>
        <w:rPr>
          <w:b/>
        </w:rPr>
        <w:t>Installations:</w:t>
      </w:r>
      <w:r>
        <w:rPr>
          <w:b w:val="0"/>
        </w:rPr>
        <w:t xml:space="preserve"> a 10% deposit is due when the contract is signed, and the balance is due when the installation is completed.</w:t>
      </w:r>
    </w:p>
    <w:p>
      <w:pPr>
        <w:pStyle w:val="ListBullet"/>
      </w:pPr>
      <w:r>
        <w:rPr>
          <w:b/>
        </w:rPr>
        <w:t>Commercial accounts:</w:t>
      </w:r>
      <w:r>
        <w:rPr>
          <w:b w:val="0"/>
        </w:rPr>
        <w:t xml:space="preserve"> approved commercial customers may be invoiced with net-30 terms.</w:t>
      </w:r>
    </w:p>
    <w:p>
      <w:pPr>
        <w:pStyle w:val="Heading1"/>
      </w:pPr>
      <w:r>
        <w:t>Other details</w:t>
      </w:r>
    </w:p>
    <w:p>
      <w:pPr>
        <w:pStyle w:val="ListBullet"/>
      </w:pPr>
      <w:r>
        <w:rPr>
          <w:b w:val="0"/>
        </w:rPr>
        <w:t>Comfort Club monthly and annual dues are charged automatically to the card or bank account on file.</w:t>
      </w:r>
    </w:p>
    <w:p>
      <w:pPr>
        <w:pStyle w:val="ListBullet"/>
      </w:pPr>
      <w:r>
        <w:rPr>
          <w:b w:val="0"/>
        </w:rPr>
        <w:t>Invoices are emailed after each visit.</w:t>
      </w:r>
    </w:p>
    <w:p>
      <w:pPr>
        <w:pStyle w:val="ListBullet"/>
      </w:pPr>
      <w:r>
        <w:rPr>
          <w:b w:val="0"/>
        </w:rPr>
        <w:t>Financing for installations is available through our lending partner; see the Financing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