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5). This revision resolves six contradictions identified between the original platform rules (Sections 1–2) and the finalized Business Model (Section 5): BR-08, BR-09, BR-31 through BR-34, BR-56, BR-67, BR-12, and PR-06/PR-32 have been rewritten so the Success Fee schedule and Fee Payer Election in Section 5.4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BUSINESS RULES (BR-01 to BR-68)</w:t>
      </w:r>
    </w:p>
    <w:p>
      <w:pPr>
        <w:spacing w:after="100"/>
      </w:pPr>
      <w:r>
        <w:rPr>
          <w:b/>
          <w:bCs/>
        </w:rPr>
        <w:t>SECTION 2 — PROCESS WORKFLOWS (PR-01 to PR-37)</w:t>
      </w:r>
    </w:p>
    <w:p>
      <w:pPr>
        <w:spacing w:after="100"/>
      </w:pPr>
      <w:r>
        <w:rPr>
          <w:b/>
          <w:bCs/>
        </w:rPr>
        <w:t xml:space="preserve">SECTION 3 — TECHNOLOGY STACK</w:t>
      </w:r>
    </w:p>
    <w:p>
      <w:pPr>
        <w:spacing w:after="100"/>
      </w:pPr>
      <w:r>
        <w:rPr>
          <w:b/>
          <w:bCs/>
        </w:rPr>
        <w:t xml:space="preserve">SECTION 4 — PHASED ROADMAP</w:t>
      </w:r>
    </w:p>
    <w:p>
      <w:pPr>
        <w:spacing w:after="300"/>
      </w:pPr>
      <w:r>
        <w:rPr>
          <w:b/>
          <w:bCs/>
        </w:rPr>
        <w:t xml:space="preserve">SECTION 5 — BUSINESS MODEL</w:t>
      </w:r>
    </w:p>
    <w:p>
      <w:r>
        <w:br w:type="page"/>
      </w:r>
    </w:p>
    <w:p>
      <w:pPr>
        <w:pStyle w:val="Heading1"/>
        <w:spacing w:after="200" w:before="400"/>
      </w:pPr>
      <w:r>
        <w:t xml:space="preserve">SECTION 1: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5.4. This replaces the earlier flat 0.5% figure. Who pays the Success Fee (Trader or Market Maker) is configurable per Trading Session via Fee Payer Election (Section 5.4,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5.</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5.4) that the Tenant Admin cannot adjust; the Tenant Admin's discretion is limited to Fee Payer Election (Section 5.4,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5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5.4. It replaces the earlier flat-0.5%-SaaS-plus-tenant-adjustable-0.5%-5%-band model. It applies uniformly to Buy-Now, Express, and Easy Auctions; Tender Auctions remain excluded and follow the CoCo Concierge terms instead (Section 5.2). By default the Trader (buyer) pays the Success Fee, so listing and selling remain free for the Market Maker (seller) exactly as before. A Market Maker on a paid TSX subscription tier (TSX Launch, TSX Growth, or TSX Enterprise — Section 5.4)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5.4,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5.4);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the rate prescribed from time to time. The applicable rate and precise mechanics of deduction are confirmed with a qualified tax advisor before implementation and are not fixed by this document.</w:t>
      </w:r>
    </w:p>
    <w:p>
      <w:pPr>
        <w:spacing w:after="160"/>
      </w:pPr>
      <w:r>
        <w:rPr>
          <w:b/>
          <w:i/>
        </w:rPr>
        <w:t xml:space="preserve">Logic / Rationale: </w:t>
      </w:r>
      <w:r>
        <w:t>TDS obligations under Section 194-O attach to platforms facilitating e-commerce transactions; building this in as a first-class rule (even with the rate held open pending advisor confirmation) ensures it is not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5.2)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5): CoCo Starter has no API access; TSX Launch has read-only (status/reporting) access; TSX Growth adds the ability to push Lots (read + push listings, no Sale System push); TSX Enterprise has full push/pull access. A one-time API Integration Setup service fee (Section 5,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5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Sections 1 through 4 of this document (BR-01 through BR-66, PR-01 through PR-37, the Technology Stack, and the Roadmap) continue to use the precise technical terms below throughout, since that is the governance and engineering layer. Section 5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2: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5.2)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3: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3.1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3.2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3.3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3.4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3.5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3.6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3.7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3.8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3.9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3.10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3.11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3.12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3.13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4: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4.1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5) — the CoCo/TSX package ladder, the Success Fee schedule, and Fee Payer Election — which is now the sole authority on pricing, superseding the flat-fee figures originally stated in BR-08/BR-31.</w:t>
      </w:r>
    </w:p>
    <w:p>
      <w:pPr>
        <w:pStyle w:val="Heading2"/>
        <w:spacing w:after="120" w:before="260"/>
      </w:pPr>
      <w:r>
        <w:t xml:space="preserve">4.2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4.3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5: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5.1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5.2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5.3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5.4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5.5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5.6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5.7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5.8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5.9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5.10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5.11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