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ADWITIX</w:t>
      </w:r>
    </w:p>
    <w:p>
      <w:pPr>
        <w:spacing w:after="400"/>
      </w:pPr>
      <w:r>
        <w:rPr>
          <w:i/>
          <w:iCs/>
          <w:color w:val="666666"/>
          <w:sz w:val="26"/>
          <w:szCs w:val="26"/>
        </w:rPr>
        <w:t xml:space="preserve">Master Document — Unified Business Rules, Process Workflows &amp; Business Model</w:t>
      </w:r>
    </w:p>
    <w:p>
      <w:pPr>
        <w:spacing w:after="60"/>
      </w:pPr>
      <w:r>
        <w:rPr>
          <w:sz w:val="22"/>
          <w:szCs w:val="22"/>
        </w:rPr>
        <w:t xml:space="preserve">Super Admin: Piyush Singhal</w:t>
      </w:r>
    </w:p>
    <w:p>
      <w:pPr>
        <w:spacing w:after="60"/>
      </w:pPr>
      <w:r>
        <w:rPr>
          <w:sz w:val="22"/>
          <w:szCs w:val="22"/>
        </w:rPr>
        <w:t xml:space="preserve">Contact: psinghalnoida@gmail.com</w:t>
      </w:r>
    </w:p>
    <w:p>
      <w:pPr>
        <w:spacing w:after="60"/>
      </w:pPr>
      <w:r>
        <w:rPr>
          <w:sz w:val="22"/>
          <w:szCs w:val="22"/>
        </w:rPr>
        <w:t xml:space="preserve">Status: Master file, v2. Fully reconciled — supersedes all prior governance drafts, the separately-issued Consolidated Specification, and all standalone Business Model documents (v1.2 through v1.6, now merged into Section 6). This revision resolves six contradictions identified between the original platform rules (Sections 2–3) and the finalized Business Model (Section 6): BR-08, BR-09, BR-31 through BR-34, BR-56, BR-67, BR-12, and PR-06/PR-32 have been rewritten so the Success Fee schedule and Fee Payer Election in Section 6.4 are the single source of truth on pricing and settlement.</w:t>
      </w:r>
    </w:p>
    <w:p>
      <w:pPr>
        <w:spacing w:after="600"/>
      </w:pPr>
      <w:r>
        <w:rPr>
          <w:i/>
          <w:iCs/>
          <w:sz w:val="22"/>
          <w:szCs w:val="22"/>
        </w:rPr>
        <w:t xml:space="preserve">This document is the single, absolute source of truth for ADWITIX's business rules (BR) and process workflows (PR). Every rule reflects a decision explicitly discussed and finalized with the Super Admin (BR-01). No item in this document is left ambiguous; where a decision is intentionally deferred, it is called out explicitly under Open Items.</w:t>
      </w:r>
    </w:p>
    <w:p>
      <w:r>
        <w:br w:type="page"/>
      </w:r>
    </w:p>
    <w:p>
      <w:pPr>
        <w:pStyle w:val="Heading1"/>
        <w:spacing w:after="200" w:before="400"/>
      </w:pPr>
      <w:r>
        <w:t xml:space="preserve">Table of Contents</w:t>
      </w:r>
    </w:p>
    <w:p>
      <w:pPr>
        <w:spacing w:after="100"/>
      </w:pPr>
      <w:r>
        <w:rPr>
          <w:b/>
          <w:bCs/>
        </w:rPr>
        <w:t>SECTION 1 — TERMINOLOGY</w:t>
      </w:r>
    </w:p>
    <w:p>
      <w:pPr>
        <w:spacing w:after="100"/>
      </w:pPr>
      <w:r>
        <w:rPr>
          <w:b/>
          <w:bCs/>
        </w:rPr>
        <w:t>SECTION 2 — BUSINESS RULES (BR-01 to BR-68)</w:t>
      </w:r>
    </w:p>
    <w:p>
      <w:pPr>
        <w:spacing w:after="100"/>
      </w:pPr>
      <w:r>
        <w:rPr>
          <w:b/>
          <w:bCs/>
        </w:rPr>
        <w:t>SECTION 3 — PROCESS WORKFLOWS (PR-01 to PR-37)</w:t>
      </w:r>
    </w:p>
    <w:p>
      <w:pPr>
        <w:spacing w:after="100"/>
      </w:pPr>
      <w:r>
        <w:rPr>
          <w:b/>
          <w:bCs/>
        </w:rPr>
        <w:t xml:space="preserve">SECTION 4 — TECHNOLOGY STACK</w:t>
      </w:r>
    </w:p>
    <w:p>
      <w:pPr>
        <w:spacing w:after="100"/>
      </w:pPr>
      <w:r>
        <w:rPr>
          <w:b/>
          <w:bCs/>
        </w:rPr>
        <w:t xml:space="preserve">SECTION 5 — PHASED ROADMAP</w:t>
      </w:r>
    </w:p>
    <w:p>
      <w:pPr>
        <w:spacing w:after="300"/>
      </w:pPr>
      <w:r>
        <w:rPr>
          <w:b/>
          <w:bCs/>
        </w:rPr>
        <w:t xml:space="preserve">SECTION 6 — BUSINESS MODEL</w:t>
      </w:r>
    </w:p>
    <w:p>
      <w:pPr>
        <w:spacing w:after="0"/>
      </w:pPr>
      <w:r>
        <w:t xml:space="preserve">SECTION 7 — AX KNOWLEDGE &amp; CHRONICLE FRAMEWORK</w:t>
      </w:r>
    </w:p>
    <w:p>
      <w:r>
        <w:br w:type="page"/>
      </w:r>
    </w:p>
    <w:p>
      <w:pPr>
        <w:pStyle w:val="Heading1"/>
        <w:spacing w:after="200" w:before="400"/>
      </w:pPr>
      <w:r>
        <w:t xml:space="preserve">SECTION 1: TERMINOLOGY</w:t>
      </w:r>
    </w:p>
    <w:p>
      <w:pPr>
        <w:spacing w:after="160"/>
      </w:pPr>
      <w:r>
        <w:t xml:space="preserve">This section defines the platform's vocabulary before Section 2 begins, so a reader always knows who and what a rule refers to. Part A maps the technical role names used throughout Sections 2 through 5 to the branded terms TradeSphereX/TSX uses commercially (Section 6, BR-67). Part B is a plain-language glossary of the platform-specific mechanics and concepts referenced later in this document, defined once here rather than scattered across individual Business Rules.</w:t>
      </w:r>
    </w:p>
    <w:p>
      <w:pPr>
        <w:spacing w:before="240" w:after="80"/>
      </w:pPr>
      <w:r>
        <w:rPr>
          <w:b/>
          <w:color w:val="B5651D"/>
          <w:sz w:val="23"/>
        </w:rPr>
        <w:t xml:space="preserve">Part A: Branded Terminology Mapping</w:t>
      </w:r>
    </w:p>
    <w:p>
      <w:pPr>
        <w:spacing w:after="160"/>
      </w:pPr>
      <w:r>
        <w:t xml:space="preserve">The full technical-to-branded mapping (BR-67, Section 2). The branded term is what Tenants and the public see; the technical term is what the rest of this document, and the platform's own code, use.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200"/>
      </w:tblGrid>
      <w:tr>
        <w:trPr>
          <w:tblHeader/>
        </w:trPr>
        <w:tc>
          <w:tcPr>
            <w:tcW w:type="dxa" w:w="3000"/>
            <w:shd w:fill="1B2A4A" w:val="clear"/>
            <w:tcMar>
              <w:top w:type="dxa" w:w="80"/>
              <w:left w:type="dxa" w:w="100"/>
              <w:bottom w:type="dxa" w:w="80"/>
              <w:right w:type="dxa" w:w="100"/>
            </w:tcMar>
          </w:tcPr>
          <w:p>
            <w:pPr>
              <w:jc w:val="left"/>
            </w:pPr>
            <w:r>
              <w:rPr>
                <w:b/>
                <w:bCs/>
              </w:rPr>
              <w:t xml:space="preserve">Technical term</w:t>
            </w:r>
          </w:p>
        </w:tc>
        <w:tc>
          <w:tcPr>
            <w:tcW w:type="dxa" w:w="3000"/>
            <w:shd w:fill="1B2A4A" w:val="clear"/>
            <w:tcMar>
              <w:top w:type="dxa" w:w="80"/>
              <w:left w:type="dxa" w:w="100"/>
              <w:bottom w:type="dxa" w:w="80"/>
              <w:right w:type="dxa" w:w="100"/>
            </w:tcMar>
          </w:tcPr>
          <w:p>
            <w:pPr>
              <w:jc w:val="left"/>
            </w:pPr>
            <w:r>
              <w:rPr>
                <w:b/>
                <w:bCs/>
              </w:rPr>
              <w:t xml:space="preserve">Branded term</w:t>
            </w:r>
          </w:p>
        </w:tc>
        <w:tc>
          <w:tcPr>
            <w:tcW w:type="dxa" w:w="2200"/>
            <w:shd w:fill="1B2A4A" w:val="clear"/>
            <w:tcMar>
              <w:top w:type="dxa" w:w="80"/>
              <w:left w:type="dxa" w:w="100"/>
              <w:bottom w:type="dxa" w:w="80"/>
              <w:right w:type="dxa" w:w="100"/>
            </w:tcMar>
          </w:tcPr>
          <w:p>
            <w:pPr>
              <w:jc w:val="left"/>
            </w:pPr>
            <w:r>
              <w:rPr>
                <w:b/>
                <w:bCs/>
              </w:rPr>
              <w:t xml:space="preserve">Symbol</w:t>
            </w:r>
          </w:p>
        </w:tc>
      </w:tr>
      <w:tr>
        <w:tc>
          <w:tcPr>
            <w:tcW w:type="dxa" w:w="3000"/>
            <w:tcMar>
              <w:top w:type="dxa" w:w="80"/>
              <w:left w:type="dxa" w:w="100"/>
              <w:bottom w:type="dxa" w:w="80"/>
              <w:right w:type="dxa" w:w="100"/>
            </w:tcMar>
          </w:tcPr>
          <w:p>
            <w:pPr>
              <w:jc w:val="left"/>
            </w:pPr>
            <w:r>
              <w:rPr/>
              <w:t xml:space="preserve">Tenant</w:t>
            </w:r>
          </w:p>
        </w:tc>
        <w:tc>
          <w:tcPr>
            <w:tcW w:type="dxa" w:w="3000"/>
            <w:tcMar>
              <w:top w:type="dxa" w:w="80"/>
              <w:left w:type="dxa" w:w="100"/>
              <w:bottom w:type="dxa" w:w="80"/>
              <w:right w:type="dxa" w:w="100"/>
            </w:tcMar>
          </w:tcPr>
          <w:p>
            <w:pPr>
              <w:jc w:val="left"/>
            </w:pPr>
            <w:r>
              <w:rPr/>
              <w:t xml:space="preserve">TradeSphereX</w:t>
            </w:r>
          </w:p>
        </w:tc>
        <w:tc>
          <w:tcPr>
            <w:tcW w:type="dxa" w:w="2200"/>
            <w:tcMar>
              <w:top w:type="dxa" w:w="80"/>
              <w:left w:type="dxa" w:w="100"/>
              <w:bottom w:type="dxa" w:w="80"/>
              <w:right w:type="dxa" w:w="100"/>
            </w:tcMar>
          </w:tcPr>
          <w:p>
            <w:pPr>
              <w:jc w:val="left"/>
            </w:pPr>
            <w:r>
              <w:rPr/>
              <w:t xml:space="preserve">TSX</w:t>
            </w:r>
          </w:p>
        </w:tc>
      </w:tr>
      <w:tr>
        <w:tc>
          <w:tcPr>
            <w:tcW w:type="dxa" w:w="3000"/>
            <w:tcMar>
              <w:top w:type="dxa" w:w="80"/>
              <w:left w:type="dxa" w:w="100"/>
              <w:bottom w:type="dxa" w:w="80"/>
              <w:right w:type="dxa" w:w="100"/>
            </w:tcMar>
          </w:tcPr>
          <w:p>
            <w:pPr>
              <w:jc w:val="left"/>
            </w:pPr>
            <w:r>
              <w:rPr/>
              <w:t xml:space="preserve">Tenant Admin</w:t>
            </w:r>
          </w:p>
        </w:tc>
        <w:tc>
          <w:tcPr>
            <w:tcW w:type="dxa" w:w="3000"/>
            <w:tcMar>
              <w:top w:type="dxa" w:w="80"/>
              <w:left w:type="dxa" w:w="100"/>
              <w:bottom w:type="dxa" w:w="80"/>
              <w:right w:type="dxa" w:w="100"/>
            </w:tcMar>
          </w:tcPr>
          <w:p>
            <w:pPr>
              <w:jc w:val="left"/>
            </w:pPr>
            <w:r>
              <w:rPr/>
              <w:t xml:space="preserve">TSX Master</w:t>
            </w:r>
          </w:p>
        </w:tc>
        <w:tc>
          <w:tcPr>
            <w:tcW w:type="dxa" w:w="2200"/>
            <w:tcMar>
              <w:top w:type="dxa" w:w="80"/>
              <w:left w:type="dxa" w:w="100"/>
              <w:bottom w:type="dxa" w:w="80"/>
              <w:right w:type="dxa" w:w="100"/>
            </w:tcMar>
          </w:tcPr>
          <w:p>
            <w:pPr>
              <w:jc w:val="left"/>
            </w:pPr>
            <w:r>
              <w:rPr/>
              <w:t xml:space="preserve">TSXM</w:t>
            </w:r>
          </w:p>
        </w:tc>
      </w:tr>
      <w:tr>
        <w:tc>
          <w:tcPr>
            <w:tcW w:type="dxa" w:w="3000"/>
            <w:tcMar>
              <w:top w:type="dxa" w:w="80"/>
              <w:left w:type="dxa" w:w="100"/>
              <w:bottom w:type="dxa" w:w="80"/>
              <w:right w:type="dxa" w:w="100"/>
            </w:tcMar>
          </w:tcPr>
          <w:p>
            <w:pPr>
              <w:jc w:val="left"/>
            </w:pPr>
            <w:r>
              <w:rPr/>
              <w:t xml:space="preserve">Seller</w:t>
            </w:r>
          </w:p>
        </w:tc>
        <w:tc>
          <w:tcPr>
            <w:tcW w:type="dxa" w:w="3000"/>
            <w:tcMar>
              <w:top w:type="dxa" w:w="80"/>
              <w:left w:type="dxa" w:w="100"/>
              <w:bottom w:type="dxa" w:w="80"/>
              <w:right w:type="dxa" w:w="100"/>
            </w:tcMar>
          </w:tcPr>
          <w:p>
            <w:pPr>
              <w:jc w:val="left"/>
            </w:pPr>
            <w:r>
              <w:rPr/>
              <w:t xml:space="preserve">Market Maker</w:t>
            </w:r>
          </w:p>
        </w:tc>
        <w:tc>
          <w:tcPr>
            <w:tcW w:type="dxa" w:w="2200"/>
            <w:tcMar>
              <w:top w:type="dxa" w:w="80"/>
              <w:left w:type="dxa" w:w="100"/>
              <w:bottom w:type="dxa" w:w="80"/>
              <w:right w:type="dxa" w:w="100"/>
            </w:tcMar>
          </w:tcPr>
          <w:p>
            <w:pPr>
              <w:jc w:val="left"/>
            </w:pPr>
            <w:r>
              <w:rPr/>
              <w:t xml:space="preserve">MM</w:t>
            </w:r>
          </w:p>
        </w:tc>
      </w:tr>
      <w:tr>
        <w:tc>
          <w:tcPr>
            <w:tcW w:type="dxa" w:w="3000"/>
            <w:tcMar>
              <w:top w:type="dxa" w:w="80"/>
              <w:left w:type="dxa" w:w="100"/>
              <w:bottom w:type="dxa" w:w="80"/>
              <w:right w:type="dxa" w:w="100"/>
            </w:tcMar>
          </w:tcPr>
          <w:p>
            <w:pPr>
              <w:jc w:val="left"/>
            </w:pPr>
            <w:r>
              <w:rPr/>
              <w:t xml:space="preserve">Buyer</w:t>
            </w:r>
          </w:p>
        </w:tc>
        <w:tc>
          <w:tcPr>
            <w:tcW w:type="dxa" w:w="3000"/>
            <w:tcMar>
              <w:top w:type="dxa" w:w="80"/>
              <w:left w:type="dxa" w:w="100"/>
              <w:bottom w:type="dxa" w:w="80"/>
              <w:right w:type="dxa" w:w="100"/>
            </w:tcMar>
          </w:tcPr>
          <w:p>
            <w:pPr>
              <w:jc w:val="left"/>
            </w:pPr>
            <w:r>
              <w:rPr/>
              <w:t xml:space="preserve">Trader</w:t>
            </w:r>
          </w:p>
        </w:tc>
        <w:tc>
          <w:tcPr>
            <w:tcW w:type="dxa" w:w="2200"/>
            <w:tcMar>
              <w:top w:type="dxa" w:w="80"/>
              <w:left w:type="dxa" w:w="100"/>
              <w:bottom w:type="dxa" w:w="80"/>
              <w:right w:type="dxa" w:w="100"/>
            </w:tcMar>
          </w:tcPr>
          <w:p>
            <w:pPr>
              <w:jc w:val="left"/>
            </w:pPr>
            <w:r>
              <w:rPr/>
              <w:t xml:space="preserve">TRD</w:t>
            </w:r>
          </w:p>
        </w:tc>
      </w:tr>
      <w:tr>
        <w:tc>
          <w:tcPr>
            <w:tcW w:type="dxa" w:w="3000"/>
            <w:tcMar>
              <w:top w:type="dxa" w:w="80"/>
              <w:left w:type="dxa" w:w="100"/>
              <w:bottom w:type="dxa" w:w="80"/>
              <w:right w:type="dxa" w:w="100"/>
            </w:tcMar>
          </w:tcPr>
          <w:p>
            <w:pPr>
              <w:jc w:val="left"/>
            </w:pPr>
            <w:r>
              <w:rPr/>
              <w:t xml:space="preserve">Super Admin</w:t>
            </w:r>
          </w:p>
        </w:tc>
        <w:tc>
          <w:tcPr>
            <w:tcW w:type="dxa" w:w="3000"/>
            <w:tcMar>
              <w:top w:type="dxa" w:w="80"/>
              <w:left w:type="dxa" w:w="100"/>
              <w:bottom w:type="dxa" w:w="80"/>
              <w:right w:type="dxa" w:w="100"/>
            </w:tcMar>
          </w:tcPr>
          <w:p>
            <w:pPr>
              <w:jc w:val="left"/>
            </w:pPr>
            <w:r>
              <w:rPr/>
              <w:t xml:space="preserve">Custodian</w:t>
            </w:r>
          </w:p>
        </w:tc>
        <w:tc>
          <w:tcPr>
            <w:tcW w:type="dxa" w:w="2200"/>
            <w:tcMar>
              <w:top w:type="dxa" w:w="80"/>
              <w:left w:type="dxa" w:w="100"/>
              <w:bottom w:type="dxa" w:w="80"/>
              <w:right w:type="dxa" w:w="100"/>
            </w:tcMar>
          </w:tcPr>
          <w:p>
            <w:pPr>
              <w:jc w:val="left"/>
            </w:pPr>
            <w:r>
              <w:rPr/>
              <w:t xml:space="preserve">CUS</w:t>
            </w:r>
          </w:p>
        </w:tc>
      </w:tr>
      <w:tr>
        <w:tc>
          <w:tcPr>
            <w:tcW w:type="dxa" w:w="3000"/>
            <w:tcMar>
              <w:top w:type="dxa" w:w="80"/>
              <w:left w:type="dxa" w:w="100"/>
              <w:bottom w:type="dxa" w:w="80"/>
              <w:right w:type="dxa" w:w="100"/>
            </w:tcMar>
          </w:tcPr>
          <w:p>
            <w:pPr>
              <w:jc w:val="left"/>
            </w:pPr>
            <w:r>
              <w:rPr/>
              <w:t xml:space="preserve">Listing</w:t>
            </w:r>
          </w:p>
        </w:tc>
        <w:tc>
          <w:tcPr>
            <w:tcW w:type="dxa" w:w="3000"/>
            <w:tcMar>
              <w:top w:type="dxa" w:w="80"/>
              <w:left w:type="dxa" w:w="100"/>
              <w:bottom w:type="dxa" w:w="80"/>
              <w:right w:type="dxa" w:w="100"/>
            </w:tcMar>
          </w:tcPr>
          <w:p>
            <w:pPr>
              <w:jc w:val="left"/>
            </w:pPr>
            <w:r>
              <w:rPr/>
              <w:t xml:space="preserve">Lot</w:t>
            </w:r>
          </w:p>
        </w:tc>
        <w:tc>
          <w:tcPr>
            <w:tcW w:type="dxa" w:w="2200"/>
            <w:tcMar>
              <w:top w:type="dxa" w:w="80"/>
              <w:left w:type="dxa" w:w="100"/>
              <w:bottom w:type="dxa" w:w="80"/>
              <w:right w:type="dxa" w:w="100"/>
            </w:tcMar>
          </w:tcPr>
          <w:p>
            <w:pPr>
              <w:jc w:val="left"/>
            </w:pPr>
            <w:r>
              <w:rPr/>
              <w:t xml:space="preserve">LOT</w:t>
            </w:r>
          </w:p>
        </w:tc>
      </w:tr>
      <w:tr>
        <w:tc>
          <w:tcPr>
            <w:tcW w:type="dxa" w:w="3000"/>
            <w:tcMar>
              <w:top w:type="dxa" w:w="80"/>
              <w:left w:type="dxa" w:w="100"/>
              <w:bottom w:type="dxa" w:w="80"/>
              <w:right w:type="dxa" w:w="100"/>
            </w:tcMar>
          </w:tcPr>
          <w:p>
            <w:pPr>
              <w:jc w:val="left"/>
            </w:pPr>
            <w:r>
              <w:rPr/>
              <w:t xml:space="preserve">Sale Event</w:t>
            </w:r>
          </w:p>
        </w:tc>
        <w:tc>
          <w:tcPr>
            <w:tcW w:type="dxa" w:w="3000"/>
            <w:tcMar>
              <w:top w:type="dxa" w:w="80"/>
              <w:left w:type="dxa" w:w="100"/>
              <w:bottom w:type="dxa" w:w="80"/>
              <w:right w:type="dxa" w:w="100"/>
            </w:tcMar>
          </w:tcPr>
          <w:p>
            <w:pPr>
              <w:jc w:val="left"/>
            </w:pPr>
            <w:r>
              <w:rPr/>
              <w:t xml:space="preserve">Trading Session</w:t>
            </w:r>
          </w:p>
        </w:tc>
        <w:tc>
          <w:tcPr>
            <w:tcW w:type="dxa" w:w="2200"/>
            <w:tcMar>
              <w:top w:type="dxa" w:w="80"/>
              <w:left w:type="dxa" w:w="100"/>
              <w:bottom w:type="dxa" w:w="80"/>
              <w:right w:type="dxa" w:w="100"/>
            </w:tcMar>
          </w:tcPr>
          <w:p>
            <w:pPr>
              <w:jc w:val="left"/>
            </w:pPr>
            <w:r>
              <w:rPr/>
              <w:t xml:space="preserve">—</w:t>
            </w:r>
          </w:p>
        </w:tc>
      </w:tr>
    </w:tbl>
    <w:p/>
    <w:p>
      <w:pPr>
        <w:spacing w:before="240" w:after="80"/>
      </w:pPr>
      <w:r>
        <w:rPr>
          <w:b/>
          <w:color w:val="B5651D"/>
          <w:sz w:val="23"/>
        </w:rPr>
        <w:t xml:space="preserve">Part B: Platform Concepts Glossary</w:t>
      </w:r>
    </w:p>
    <w:p>
      <w:pPr>
        <w:spacing w:after="160"/>
      </w:pPr>
      <w:r>
        <w:t xml:space="preserve">Plain-language definitions for the platform-specific mechanics referenced throughout this document, alphabetical. Written in technical vocabulary (Part A), matching the rest of Sections 2 through 5.</w:t>
      </w:r>
    </w:p>
    <w:p>
      <w:pPr>
        <w:spacing w:after="80" w:before="120"/>
      </w:pPr>
      <w:r>
        <w:rPr>
          <w:b/>
          <w:bCs/>
        </w:rPr>
        <w:t xml:space="preserve">Baton-Pass (Cascading Default) — </w:t>
      </w:r>
      <w:r>
        <w:t xml:space="preserve">What happens when a winning bidder doesn't pay: the win passes to the next-highest bidder at their own price, within their own time window. This can happen up to three times before an auction is cancelled outright. </w:t>
      </w:r>
      <w:r>
        <w:rPr>
          <w:i/>
          <w:iCs/>
          <w:color w:val="808080"/>
        </w:rPr>
        <w:t xml:space="preserve">See also: Forfeiture, H1 / H2 / H3.</w:t>
      </w:r>
    </w:p>
    <w:p>
      <w:pPr>
        <w:spacing w:after="80" w:before="120"/>
      </w:pPr>
      <w:r>
        <w:rPr>
          <w:b/>
          <w:bCs/>
        </w:rPr>
        <w:t xml:space="preserve">Bid Ceiling (150% Rule) — </w:t>
      </w:r>
      <w:r>
        <w:t xml:space="preserve">A safety limit stopping any single bid from jumping more than 150% above the current price — catches typing mistakes and blocks deliberate price manipulation.</w:t>
      </w:r>
    </w:p>
    <w:p>
      <w:pPr>
        <w:spacing w:after="80" w:before="120"/>
      </w:pPr>
      <w:r>
        <w:rPr>
          <w:b/>
          <w:bCs/>
        </w:rPr>
        <w:t xml:space="preserve">Buy-Now — </w:t>
      </w:r>
      <w:r>
        <w:t xml:space="preserve">A sale format where buyers make offers and the seller personally chooses who to sell to, considering price and the buyer's rating — not necessarily the highest offer. </w:t>
      </w:r>
      <w:r>
        <w:rPr>
          <w:i/>
          <w:iCs/>
          <w:color w:val="808080"/>
        </w:rPr>
        <w:t xml:space="preserve">See also: Express Auction, Easy Auction.</w:t>
      </w:r>
    </w:p>
    <w:p>
      <w:pPr>
        <w:spacing w:after="80" w:before="120"/>
      </w:pPr>
      <w:r>
        <w:rPr>
          <w:b/>
          <w:bCs/>
        </w:rPr>
        <w:t xml:space="preserve">CAT-LOC-VAL — </w:t>
      </w:r>
      <w:r>
        <w:t xml:space="preserve">Short for Category-Location-Value — the set of preferences (what you're interested in, where, and at what price range) that personalises which listings and alerts you see. </w:t>
      </w:r>
      <w:r>
        <w:rPr>
          <w:i/>
          <w:iCs/>
          <w:color w:val="808080"/>
        </w:rPr>
        <w:t xml:space="preserve">See also: Live Ticker.</w:t>
      </w:r>
    </w:p>
    <w:p>
      <w:pPr>
        <w:spacing w:after="80" w:before="120"/>
      </w:pPr>
      <w:r>
        <w:rPr>
          <w:b/>
          <w:bCs/>
        </w:rPr>
        <w:t xml:space="preserve">Certified by Seller (CBS) — </w:t>
      </w:r>
      <w:r>
        <w:t xml:space="preserve">A listing where the seller has taken their own photos, by any method. Real, unedited photos of the actual item are required — stock or generated images are never allowed. Contrast with Verified Listing. </w:t>
      </w:r>
      <w:r>
        <w:rPr>
          <w:i/>
          <w:iCs/>
          <w:color w:val="808080"/>
        </w:rPr>
        <w:t xml:space="preserve">See also: Verified Listing, Standing Review.</w:t>
      </w:r>
    </w:p>
    <w:p>
      <w:pPr>
        <w:spacing w:after="80" w:before="120"/>
      </w:pPr>
      <w:r>
        <w:rPr>
          <w:b/>
          <w:bCs/>
        </w:rPr>
        <w:t xml:space="preserve">Crawl-Back — </w:t>
      </w:r>
      <w:r>
        <w:t xml:space="preserve">A recovery path for a buyer whose rating has dropped significantly — they're temporarily limited to smaller purchases until a set number of clean transactions restores their standing. </w:t>
      </w:r>
      <w:r>
        <w:rPr>
          <w:i/>
          <w:iCs/>
          <w:color w:val="808080"/>
        </w:rPr>
        <w:t xml:space="preserve">See also: Star Rating, Shadow Banning.</w:t>
      </w:r>
    </w:p>
    <w:p>
      <w:pPr>
        <w:spacing w:after="80" w:before="120"/>
      </w:pPr>
      <w:r>
        <w:rPr>
          <w:b/>
          <w:bCs/>
        </w:rPr>
        <w:t xml:space="preserve">Dispute Resolution — </w:t>
      </w:r>
      <w:r>
        <w:t xml:space="preserve">The formal process for resolving a disagreement about a specific transaction — filed by a buyer or seller, reviewed with evidence from both sides, and decided with a stated reason. </w:t>
      </w:r>
      <w:r>
        <w:rPr>
          <w:i/>
          <w:iCs/>
          <w:color w:val="808080"/>
        </w:rPr>
        <w:t xml:space="preserve">See also: Grievance Redressal, Standing Review.</w:t>
      </w:r>
    </w:p>
    <w:p>
      <w:pPr>
        <w:spacing w:after="80" w:before="120"/>
      </w:pPr>
      <w:r>
        <w:rPr>
          <w:b/>
          <w:bCs/>
        </w:rPr>
        <w:t xml:space="preserve">Dynamic Time (Anti-Sniping) — </w:t>
      </w:r>
      <w:r>
        <w:t xml:space="preserve">A rule that extends an auction by a short period whenever a bid lands in the closing minutes, so a last-second bid can't unfairly end the auction before others can respond.</w:t>
      </w:r>
    </w:p>
    <w:p>
      <w:pPr>
        <w:spacing w:after="80" w:before="120"/>
      </w:pPr>
      <w:r>
        <w:rPr>
          <w:b/>
          <w:bCs/>
        </w:rPr>
        <w:t xml:space="preserve">Easy Auction — </w:t>
      </w:r>
      <w:r>
        <w:t xml:space="preserve">A scheduled auction with a real inspection window (set by the seller, 24 hours to 7 days) before bidding opens. The seller can choose whether results close instantly or need their approval. </w:t>
      </w:r>
      <w:r>
        <w:rPr>
          <w:i/>
          <w:iCs/>
          <w:color w:val="808080"/>
        </w:rPr>
        <w:t xml:space="preserve">See also: Buy-Now, Express Auction.</w:t>
      </w:r>
    </w:p>
    <w:p>
      <w:pPr>
        <w:spacing w:after="80" w:before="120"/>
      </w:pPr>
      <w:r>
        <w:rPr>
          <w:b/>
          <w:bCs/>
        </w:rPr>
        <w:t xml:space="preserve">EMD (Security Deposit) — </w:t>
      </w:r>
      <w:r>
        <w:t xml:space="preserve">The refundable deposit — 10% of the item's value — a buyer must pledge before placing a bid or offer. It's returned automatically unless you win and then fail to pay. </w:t>
      </w:r>
      <w:r>
        <w:rPr>
          <w:i/>
          <w:iCs/>
          <w:color w:val="808080"/>
        </w:rPr>
        <w:t xml:space="preserve">See also: Forfeiture, Money Points (PC).</w:t>
      </w:r>
    </w:p>
    <w:p>
      <w:pPr>
        <w:spacing w:after="80" w:before="120"/>
      </w:pPr>
      <w:r>
        <w:rPr>
          <w:b/>
          <w:bCs/>
        </w:rPr>
        <w:t xml:space="preserve">EV (Expected Value) — </w:t>
      </w:r>
      <w:r>
        <w:t xml:space="preserve">The price a seller states as their target/asking figure in a Buy-Now listing. Buyers may offer above or below it — it's a reference point, not a hard limit. </w:t>
      </w:r>
      <w:r>
        <w:rPr>
          <w:i/>
          <w:iCs/>
          <w:color w:val="808080"/>
        </w:rPr>
        <w:t xml:space="preserve">See also: Reserve Value (RV), Buy-Now.</w:t>
      </w:r>
    </w:p>
    <w:p>
      <w:pPr>
        <w:spacing w:after="80" w:before="120"/>
      </w:pPr>
      <w:r>
        <w:rPr>
          <w:b/>
          <w:bCs/>
        </w:rPr>
        <w:t xml:space="preserve">Express Auction — </w:t>
      </w:r>
      <w:r>
        <w:t xml:space="preserve">The fastest sale format — no inspection window at all. The auction only starts once exactly 3 buyers have pledged a deposit, then runs for about an hour. </w:t>
      </w:r>
      <w:r>
        <w:rPr>
          <w:i/>
          <w:iCs/>
          <w:color w:val="808080"/>
        </w:rPr>
        <w:t xml:space="preserve">See also: Easy Auction, Buy-Now.</w:t>
      </w:r>
    </w:p>
    <w:p>
      <w:pPr>
        <w:spacing w:after="80" w:before="120"/>
      </w:pPr>
      <w:r>
        <w:rPr>
          <w:b/>
          <w:bCs/>
        </w:rPr>
        <w:t xml:space="preserve">Fee Payer Election — </w:t>
      </w:r>
      <w:r>
        <w:t xml:space="preserve">A choice a seller makes for each Trading Session, before it opens: who pays the Success Fee — the buyer (the default) or the seller. Once bidding starts, it can't be changed. </w:t>
      </w:r>
      <w:r>
        <w:rPr>
          <w:i/>
          <w:iCs/>
          <w:color w:val="808080"/>
        </w:rPr>
        <w:t xml:space="preserve">See also: Success Fee.</w:t>
      </w:r>
    </w:p>
    <w:p>
      <w:pPr>
        <w:spacing w:after="80" w:before="120"/>
      </w:pPr>
      <w:r>
        <w:rPr>
          <w:b/>
          <w:bCs/>
        </w:rPr>
        <w:t xml:space="preserve">Forfeiture — </w:t>
      </w:r>
      <w:r>
        <w:t xml:space="preserve">The loss of a buyer's deposit after they win an auction and then fail to complete payment. In most cases the money goes to the seller as compensation; in a full cascading default, it doesn't. </w:t>
      </w:r>
      <w:r>
        <w:rPr>
          <w:i/>
          <w:iCs/>
          <w:color w:val="808080"/>
        </w:rPr>
        <w:t xml:space="preserve">See also: EMD (Security Deposit), Baton-Pass (Cascading Default).</w:t>
      </w:r>
    </w:p>
    <w:p>
      <w:pPr>
        <w:spacing w:after="80" w:before="120"/>
      </w:pPr>
      <w:r>
        <w:rPr>
          <w:b/>
          <w:bCs/>
        </w:rPr>
        <w:t xml:space="preserve">Grievance Redressal — </w:t>
      </w:r>
      <w:r>
        <w:t xml:space="preserve">The process for raising a broader concern about the platform itself — separate from a dispute about one specific transaction. </w:t>
      </w:r>
      <w:r>
        <w:rPr>
          <w:i/>
          <w:iCs/>
          <w:color w:val="808080"/>
        </w:rPr>
        <w:t xml:space="preserve">See also: Dispute Resolution.</w:t>
      </w:r>
    </w:p>
    <w:p>
      <w:pPr>
        <w:spacing w:after="80" w:before="120"/>
      </w:pPr>
      <w:r>
        <w:rPr>
          <w:b/>
          <w:bCs/>
        </w:rPr>
        <w:t xml:space="preserve">H1 / H2 / H3 — </w:t>
      </w:r>
      <w:r>
        <w:t xml:space="preserve">Shorthand for the highest, second-highest, and third-highest bidder in an auction at the moment it closes. If H1 defaults, the win passes to H2, then H3. </w:t>
      </w:r>
      <w:r>
        <w:rPr>
          <w:i/>
          <w:iCs/>
          <w:color w:val="808080"/>
        </w:rPr>
        <w:t xml:space="preserve">See also: Baton-Pass (Cascading Default).</w:t>
      </w:r>
    </w:p>
    <w:p>
      <w:pPr>
        <w:spacing w:after="80" w:before="120"/>
      </w:pPr>
      <w:r>
        <w:rPr>
          <w:b/>
          <w:bCs/>
        </w:rPr>
        <w:t xml:space="preserve">KYC — </w:t>
      </w:r>
      <w:r>
        <w:t xml:space="preserve">Know Your Customer — the identity verification every user completes before transacting, using documents like PAN and Aadhaar (for individuals) or company registration details (for businesses).</w:t>
      </w:r>
    </w:p>
    <w:p>
      <w:pPr>
        <w:spacing w:after="80" w:before="120"/>
      </w:pPr>
      <w:r>
        <w:rPr>
          <w:b/>
          <w:bCs/>
        </w:rPr>
        <w:t xml:space="preserve">Live Ticker — </w:t>
      </w:r>
      <w:r>
        <w:t xml:space="preserve">The real-time scrolling feed showing your account balance, the status of your active bids, and new listings matching your interests. </w:t>
      </w:r>
      <w:r>
        <w:rPr>
          <w:i/>
          <w:iCs/>
          <w:color w:val="808080"/>
        </w:rPr>
        <w:t xml:space="preserve">See also: CAT-LOC-VAL.</w:t>
      </w:r>
    </w:p>
    <w:p>
      <w:pPr>
        <w:spacing w:after="80" w:before="120"/>
      </w:pPr>
      <w:r>
        <w:rPr>
          <w:b/>
          <w:bCs/>
        </w:rPr>
        <w:t xml:space="preserve">Money Points (PC) — </w:t>
      </w:r>
      <w:r>
        <w:t xml:space="preserve">The platform's internal representation of deposited funds — always equal in value to what you deposited (1:1), held as a distinct amount tied to each specific bid, not one shared spendable balance. </w:t>
      </w:r>
      <w:r>
        <w:rPr>
          <w:i/>
          <w:iCs/>
          <w:color w:val="808080"/>
        </w:rPr>
        <w:t xml:space="preserve">See also: EMD (Security Deposit).</w:t>
      </w:r>
    </w:p>
    <w:p>
      <w:pPr>
        <w:spacing w:after="80" w:before="120"/>
      </w:pPr>
      <w:r>
        <w:rPr>
          <w:b/>
          <w:bCs/>
        </w:rPr>
        <w:t xml:space="preserve">NOC (No Objection Certificate) — </w:t>
      </w:r>
      <w:r>
        <w:t xml:space="preserve">A digital confirmation both sides must submit before a deal is considered closed — the seller confirms they were paid, the buyer confirms they received the goods. </w:t>
      </w:r>
      <w:r>
        <w:rPr>
          <w:i/>
          <w:iCs/>
          <w:color w:val="808080"/>
        </w:rPr>
        <w:t xml:space="preserve">See also: Settlement.</w:t>
      </w:r>
    </w:p>
    <w:p>
      <w:pPr>
        <w:spacing w:after="80" w:before="120"/>
      </w:pPr>
      <w:r>
        <w:rPr>
          <w:b/>
          <w:bCs/>
        </w:rPr>
        <w:t xml:space="preserve">Payment Gateway Charge — </w:t>
      </w:r>
      <w:r>
        <w:t xml:space="preserve">A processing fee some payment methods (like cards) carry, added on top of your deposit so the full deposit amount still reaches escrow untouched. </w:t>
      </w:r>
      <w:r>
        <w:rPr>
          <w:i/>
          <w:iCs/>
          <w:color w:val="808080"/>
        </w:rPr>
        <w:t xml:space="preserve">See also: EMD (Security Deposit).</w:t>
      </w:r>
    </w:p>
    <w:p>
      <w:pPr>
        <w:spacing w:after="80" w:before="120"/>
      </w:pPr>
      <w:r>
        <w:rPr>
          <w:b/>
          <w:bCs/>
        </w:rPr>
        <w:t xml:space="preserve">Related Auctions — </w:t>
      </w:r>
      <w:r>
        <w:t xml:space="preserve">Multiple listings that share a common origin (e.g., items from the same site) shown together on one screen for convenience — while each one remains a fully separate, independent sale.</w:t>
      </w:r>
    </w:p>
    <w:p>
      <w:pPr>
        <w:spacing w:after="80" w:before="120"/>
      </w:pPr>
      <w:r>
        <w:rPr>
          <w:b/>
          <w:bCs/>
        </w:rPr>
        <w:t xml:space="preserve">Reserve Value (RV) — </w:t>
      </w:r>
      <w:r>
        <w:t xml:space="preserve">The confidential floor price a seller sets for an Easy or Express Auction. The item won't sell for less than this, and it's what a buyer's deposit is calculated against. </w:t>
      </w:r>
      <w:r>
        <w:rPr>
          <w:i/>
          <w:iCs/>
          <w:color w:val="808080"/>
        </w:rPr>
        <w:t xml:space="preserve">See also: EV (Expected Value), Easy Auction.</w:t>
      </w:r>
    </w:p>
    <w:p>
      <w:pPr>
        <w:spacing w:after="80" w:before="120"/>
      </w:pPr>
      <w:r>
        <w:rPr>
          <w:b/>
          <w:bCs/>
        </w:rPr>
        <w:t xml:space="preserve">SaaS Admin (Super Admin) — </w:t>
      </w:r>
      <w:r>
        <w:t xml:space="preserve">The platform's top-level administrator, who oversees the whole system but never personally buys, sells, or has any visibility into a live auction while it's happening. </w:t>
      </w:r>
      <w:r>
        <w:rPr>
          <w:i/>
          <w:iCs/>
          <w:color w:val="808080"/>
        </w:rPr>
        <w:t xml:space="preserve">See also: Tenant Admin.</w:t>
      </w:r>
    </w:p>
    <w:p>
      <w:pPr>
        <w:spacing w:after="80" w:before="120"/>
      </w:pPr>
      <w:r>
        <w:rPr>
          <w:b/>
          <w:bCs/>
        </w:rPr>
        <w:t xml:space="preserve">Seller Rating (sellerStarRating) — </w:t>
      </w:r>
      <w:r>
        <w:t xml:space="preserve">Your reputation score specifically as a seller — separate from your buyer rating, even if you do both. </w:t>
      </w:r>
      <w:r>
        <w:rPr>
          <w:i/>
          <w:iCs/>
          <w:color w:val="808080"/>
        </w:rPr>
        <w:t xml:space="preserve">See also: Star Rating.</w:t>
      </w:r>
    </w:p>
    <w:p>
      <w:pPr>
        <w:spacing w:after="80" w:before="120"/>
      </w:pPr>
      <w:r>
        <w:rPr>
          <w:b/>
          <w:bCs/>
        </w:rPr>
        <w:t xml:space="preserve">Settlement — </w:t>
      </w:r>
      <w:r>
        <w:t xml:space="preserve">The final stage of a completed sale: the buyer pays the seller directly, both confirm their side (NOC), both rate each other, and any remaining deposit is refunded. </w:t>
      </w:r>
      <w:r>
        <w:rPr>
          <w:i/>
          <w:iCs/>
          <w:color w:val="808080"/>
        </w:rPr>
        <w:t xml:space="preserve">See also: NOC (No Objection Certificate).</w:t>
      </w:r>
    </w:p>
    <w:p>
      <w:pPr>
        <w:spacing w:after="80" w:before="120"/>
      </w:pPr>
      <w:r>
        <w:rPr>
          <w:b/>
          <w:bCs/>
        </w:rPr>
        <w:t xml:space="preserve">Shadow Banning — </w:t>
      </w:r>
      <w:r>
        <w:t xml:space="preserve">A gradual reduction in visibility (fewer alerts, less promotion) for an account with a persistently poor rating — not a full block, just reduced platform support. </w:t>
      </w:r>
      <w:r>
        <w:rPr>
          <w:i/>
          <w:iCs/>
          <w:color w:val="808080"/>
        </w:rPr>
        <w:t xml:space="preserve">See also: Crawl-Back, Star Rating.</w:t>
      </w:r>
    </w:p>
    <w:p>
      <w:pPr>
        <w:spacing w:after="80" w:before="120"/>
      </w:pPr>
      <w:r>
        <w:rPr>
          <w:b/>
          <w:bCs/>
        </w:rPr>
        <w:t xml:space="preserve">Standing Review — </w:t>
      </w:r>
      <w:r>
        <w:t xml:space="preserve">A periodic, big-picture check on a seller's overall conduct — triggered either once a year, or sooner if enough complaints build up — that looks at the pattern, not just one incident. </w:t>
      </w:r>
      <w:r>
        <w:rPr>
          <w:i/>
          <w:iCs/>
          <w:color w:val="808080"/>
        </w:rPr>
        <w:t xml:space="preserve">See also: Certified by Seller (CBS), Dispute Resolution.</w:t>
      </w:r>
    </w:p>
    <w:p>
      <w:pPr>
        <w:spacing w:after="80" w:before="120"/>
      </w:pPr>
      <w:r>
        <w:rPr>
          <w:b/>
          <w:bCs/>
        </w:rPr>
        <w:t xml:space="preserve">Star Rating — </w:t>
      </w:r>
      <w:r>
        <w:t xml:space="preserve">Your reputation score, starting at 3 out of 5, that rises with clean, on-time transactions and falls with defaults or disputes. Buyers and sellers each have their own, separate score. </w:t>
      </w:r>
      <w:r>
        <w:rPr>
          <w:i/>
          <w:iCs/>
          <w:color w:val="808080"/>
        </w:rPr>
        <w:t xml:space="preserve">See also: Seller Rating (sellerStarRating), Crawl-Back.</w:t>
      </w:r>
    </w:p>
    <w:p>
      <w:pPr>
        <w:spacing w:after="80" w:before="120"/>
      </w:pPr>
      <w:r>
        <w:rPr>
          <w:b/>
          <w:bCs/>
        </w:rPr>
        <w:t xml:space="preserve">Subscription Tier — </w:t>
      </w:r>
      <w:r>
        <w:t xml:space="preserve">The package level a Tenant operates under — CoCo Starter (free), TSX Launch, TSX Growth, or TSX Enterprise — which determines things like API access and whether Seller-Pays is available. </w:t>
      </w:r>
      <w:r>
        <w:rPr>
          <w:i/>
          <w:iCs/>
          <w:color w:val="808080"/>
        </w:rPr>
        <w:t xml:space="preserve">See also: Success Fee, Tenant API Access.</w:t>
      </w:r>
    </w:p>
    <w:p>
      <w:pPr>
        <w:spacing w:after="80" w:before="120"/>
      </w:pPr>
      <w:r>
        <w:rPr>
          <w:b/>
          <w:bCs/>
        </w:rPr>
        <w:t xml:space="preserve">Success Fee — </w:t>
      </w:r>
      <w:r>
        <w:t xml:space="preserve">The platform's own transaction fee on a completed sale — a single rate that declines as the sale value goes up, the same for every Tenant regardless of size or negotiating power. Replaces the older term 'commission'. </w:t>
      </w:r>
      <w:r>
        <w:rPr>
          <w:i/>
          <w:iCs/>
          <w:color w:val="808080"/>
        </w:rPr>
        <w:t xml:space="preserve">See also: Fee Payer Election, EMD (Security Deposit).</w:t>
      </w:r>
    </w:p>
    <w:p>
      <w:pPr>
        <w:spacing w:after="80" w:before="120"/>
      </w:pPr>
      <w:r>
        <w:rPr>
          <w:b/>
          <w:bCs/>
        </w:rPr>
        <w:t xml:space="preserve">Tenant / Shop — </w:t>
      </w:r>
      <w:r>
        <w:t xml:space="preserve">An individual storefront operating on AdwitiX under its own branding — could be a bank, an institution, or the platform's own general marketplace. </w:t>
      </w:r>
      <w:r>
        <w:rPr>
          <w:i/>
          <w:iCs/>
          <w:color w:val="808080"/>
        </w:rPr>
        <w:t xml:space="preserve">See also: Tenant Admin.</w:t>
      </w:r>
    </w:p>
    <w:p>
      <w:pPr>
        <w:spacing w:after="80" w:before="120"/>
      </w:pPr>
      <w:r>
        <w:rPr>
          <w:b/>
          <w:bCs/>
        </w:rPr>
        <w:t xml:space="preserve">Tenant Admin — </w:t>
      </w:r>
      <w:r>
        <w:t xml:space="preserve">The person a shop has authorised to approve listings, set local terms, and manage sellers on that specific storefront. </w:t>
      </w:r>
      <w:r>
        <w:rPr>
          <w:i/>
          <w:iCs/>
          <w:color w:val="808080"/>
        </w:rPr>
        <w:t xml:space="preserve">See also: Tenant / Shop, SaaS Admin (Super Admin).</w:t>
      </w:r>
    </w:p>
    <w:p>
      <w:pPr>
        <w:spacing w:after="80" w:before="120"/>
      </w:pPr>
      <w:r>
        <w:rPr>
          <w:b/>
          <w:bCs/>
        </w:rPr>
        <w:t xml:space="preserve">Tenant API Access — </w:t>
      </w:r>
      <w:r>
        <w:t xml:space="preserve">A way for a Tenant's own systems to connect directly to the platform — pushing listings or checking status automatically — instead of using the web portal by hand. Available on paid subscription tiers only. </w:t>
      </w:r>
      <w:r>
        <w:rPr>
          <w:i/>
          <w:iCs/>
          <w:color w:val="808080"/>
        </w:rPr>
        <w:t xml:space="preserve">See also: Subscription Tier.</w:t>
      </w:r>
    </w:p>
    <w:p>
      <w:pPr>
        <w:spacing w:after="80" w:before="120"/>
      </w:pPr>
      <w:r>
        <w:rPr>
          <w:b/>
          <w:bCs/>
        </w:rPr>
        <w:t xml:space="preserve">Tender Auction — </w:t>
      </w:r>
      <w:r>
        <w:t xml:space="preserve">A fully private, invite-only sale format where the seller personally controls who can participate and on what terms — available only through the platform's own operated shop. </w:t>
      </w:r>
      <w:r>
        <w:rPr>
          <w:i/>
          <w:iCs/>
          <w:color w:val="808080"/>
        </w:rPr>
        <w:t xml:space="preserve">See also: Buy-Now.</w:t>
      </w:r>
    </w:p>
    <w:p>
      <w:pPr>
        <w:spacing w:after="80" w:before="120"/>
      </w:pPr>
      <w:r>
        <w:rPr>
          <w:b/>
          <w:bCs/>
        </w:rPr>
        <w:t xml:space="preserve">Verified Listing — </w:t>
      </w:r>
      <w:r>
        <w:t xml:space="preserve">A listing where AdwitiX's own inspection team has visited the item and taken the photos themselves. Contrast with Certified by Seller. </w:t>
      </w:r>
      <w:r>
        <w:rPr>
          <w:i/>
          <w:iCs/>
          <w:color w:val="808080"/>
        </w:rPr>
        <w:t xml:space="preserve">See also: Certified by Seller (CBS).</w:t>
      </w:r>
    </w:p>
    <w:p>
      <w:r>
        <w:br w:type="page"/>
      </w:r>
    </w:p>
    <w:p>
      <w:pPr>
        <w:pStyle w:val="Heading1"/>
        <w:spacing w:after="200" w:before="400"/>
      </w:pPr>
      <w:r>
        <w:t xml:space="preserve">SECTION 2: BUSINESS RULES (CONSTRAINTS)</w:t>
      </w:r>
    </w:p>
    <w:p>
      <w:pPr>
        <w:spacing w:after="80" w:before="240"/>
      </w:pPr>
      <w:r>
        <w:rPr>
          <w:b/>
          <w:bCs/>
          <w:color w:val="B5651D"/>
          <w:sz w:val="23"/>
          <w:szCs w:val="23"/>
        </w:rPr>
        <w:t xml:space="preserve">BR-01: </w:t>
      </w:r>
      <w:r>
        <w:rPr>
          <w:b/>
          <w:bCs/>
          <w:sz w:val="23"/>
          <w:szCs w:val="23"/>
        </w:rPr>
        <w:t xml:space="preserve">Discuss First &amp; Rationale Archive</w:t>
      </w:r>
    </w:p>
    <w:p>
      <w:pPr>
        <w:spacing w:after="80"/>
      </w:pPr>
      <w:r>
        <w:rPr>
          <w:b/>
          <w:bCs/>
          <w:i/>
          <w:iCs/>
        </w:rPr>
        <w:t xml:space="preserve">Statement: </w:t>
      </w:r>
      <w:r>
        <w:t xml:space="preserve">Every business rule, process flow, and technological choice must be discussed, reviewed, and finalized with the Super Admin prior to any software development. The development agent must always halt and raise clarifying questions rather than making unilateral assumptions on ambiguous requirements. Every discussion and its resulting decision is preserved as a rationale record.</w:t>
      </w:r>
    </w:p>
    <w:p>
      <w:pPr>
        <w:spacing w:after="160"/>
      </w:pPr>
      <w:r>
        <w:rPr>
          <w:b/>
          <w:bCs/>
          <w:i/>
          <w:iCs/>
        </w:rPr>
        <w:t xml:space="preserve">Logic / Rationale: </w:t>
      </w:r>
      <w:r>
        <w:t xml:space="preserve">Eliminates assumptions, prevents development drift, and guarantees stakeholder intent is strictly documented. The preserved rationale additionally serves as the raw material for future FAQs and deep user-facing documentation, since it captures not just what was decided but why.</w:t>
      </w:r>
    </w:p>
    <w:p>
      <w:pPr>
        <w:spacing w:after="80" w:before="240"/>
      </w:pPr>
      <w:r>
        <w:rPr>
          <w:b/>
          <w:bCs/>
          <w:color w:val="B5651D"/>
          <w:sz w:val="23"/>
          <w:szCs w:val="23"/>
        </w:rPr>
        <w:t xml:space="preserve">BR-02: </w:t>
      </w:r>
      <w:r>
        <w:rPr>
          <w:b/>
          <w:bCs/>
          <w:sz w:val="23"/>
          <w:szCs w:val="23"/>
        </w:rPr>
        <w:t xml:space="preserve">Patron Unique Phone Identification &amp; Authentication</w:t>
      </w:r>
    </w:p>
    <w:p>
      <w:pPr>
        <w:spacing w:after="80"/>
      </w:pPr>
      <w:r>
        <w:rPr>
          <w:b/>
          <w:bCs/>
          <w:i/>
          <w:iCs/>
        </w:rPr>
        <w:t xml:space="preserve">Statement: </w:t>
      </w:r>
      <w:r>
        <w:t xml:space="preserve">Each platform patron (buyer or seller) is uniquely identified by a single verified mobile phone number. New users verify identity via OTP during registration before profile creation. Registered users authenticate via a secure 4-digit mPIN. On 3 consecutive failed mPIN attempts, an SMS OTP is triggered; the user must verify this OTP before mPIN reset or re-authentication.</w:t>
      </w:r>
    </w:p>
    <w:p>
      <w:pPr>
        <w:spacing w:after="160"/>
      </w:pPr>
      <w:r>
        <w:rPr>
          <w:b/>
          <w:bCs/>
          <w:i/>
          <w:iCs/>
        </w:rPr>
        <w:t xml:space="preserve">Logic / Rationale: </w:t>
      </w:r>
      <w:r>
        <w:t xml:space="preserve">Mobile-number-as-primary-key minimizes duplicate accounts and spam bidders. OTP enforces device ownership at registration and recovery; mPIN gives a fast, passwordless path for ongoing use.</w:t>
      </w:r>
    </w:p>
    <w:p>
      <w:pPr>
        <w:spacing w:after="80" w:before="240"/>
      </w:pPr>
      <w:r>
        <w:rPr>
          <w:b/>
          <w:bCs/>
          <w:color w:val="B5651D"/>
          <w:sz w:val="23"/>
          <w:szCs w:val="23"/>
        </w:rPr>
        <w:t xml:space="preserve">BR-03: </w:t>
      </w:r>
      <w:r>
        <w:rPr>
          <w:b/>
          <w:bCs/>
          <w:sz w:val="23"/>
          <w:szCs w:val="23"/>
        </w:rPr>
        <w:t xml:space="preserve">Indian Localization &amp; Jurisdiction Limits</w:t>
      </w:r>
    </w:p>
    <w:p>
      <w:pPr>
        <w:spacing w:after="80"/>
      </w:pPr>
      <w:r>
        <w:rPr>
          <w:b/>
          <w:bCs/>
          <w:i/>
          <w:iCs/>
        </w:rPr>
        <w:t xml:space="preserve">Statement: </w:t>
      </w:r>
      <w:r>
        <w:t xml:space="preserve">The platform's operational domain, compliance, and transactions are restricted to India. Mobile identification is restricted to 10-digit Indian numbers with '+91'. All transactions are valued and settled in Rupees. Application language is Indian English; location is governed by 6-digit Indian PIN codes. This is the platform's current scope, not a permanent architectural ceiling — it is explicitly revisitable if/when international expansion is pursued.</w:t>
      </w:r>
    </w:p>
    <w:p>
      <w:pPr>
        <w:spacing w:after="160"/>
      </w:pPr>
      <w:r>
        <w:rPr>
          <w:b/>
          <w:bCs/>
          <w:i/>
          <w:iCs/>
        </w:rPr>
        <w:t xml:space="preserve">Logic / Rationale: </w:t>
      </w:r>
      <w:r>
        <w:t xml:space="preserve">Enforcing territorial boundaries ensures legal/tax compliance (GST), simplifies logistics via the Indian postal grid, and aligns with Indian banking rails (UPI/IMPS/VAN).</w:t>
      </w:r>
    </w:p>
    <w:p>
      <w:pPr>
        <w:spacing w:after="80" w:before="240"/>
      </w:pPr>
      <w:r>
        <w:rPr>
          <w:b/>
          <w:bCs/>
          <w:color w:val="B5651D"/>
          <w:sz w:val="23"/>
          <w:szCs w:val="23"/>
        </w:rPr>
        <w:t xml:space="preserve">BR-04: </w:t>
      </w:r>
      <w:r>
        <w:rPr>
          <w:b/>
          <w:bCs/>
          <w:sz w:val="23"/>
          <w:szCs w:val="23"/>
        </w:rPr>
        <w:t xml:space="preserve">SaaS Sovereign Administrative Control</w:t>
      </w:r>
    </w:p>
    <w:p>
      <w:pPr>
        <w:spacing w:after="80"/>
      </w:pPr>
      <w:r>
        <w:rPr>
          <w:b/>
          <w:bCs/>
          <w:i/>
          <w:iCs/>
        </w:rPr>
        <w:t xml:space="preserve">Statement: </w:t>
      </w:r>
      <w:r>
        <w:t xml:space="preserve">Piyush Singhal (contact: psinghalnoida@gmail.com) is the platform's Super Admin. Only the Super Admin holds sovereign, non-delegable authority to create, edit, suspend, or delete business rules, workflows, categories, commissions, or safety thresholds. Super Admin login uses TOTP-based multi-factor authentication (Google Authenticator / Microsoft Authenticator compatible, via Auth0), isolated from the standard user OTP/mPIN flow. The Super Admin's real identity (name, mobile, email) is never exposed publicly; every public-facing surface refers to this role only as "Super Admin."</w:t>
      </w:r>
    </w:p>
    <w:p>
      <w:pPr>
        <w:spacing w:after="160"/>
      </w:pPr>
      <w:r>
        <w:rPr>
          <w:b/>
          <w:bCs/>
          <w:i/>
          <w:iCs/>
        </w:rPr>
        <w:t xml:space="preserve">Logic / Rationale: </w:t>
      </w:r>
      <w:r>
        <w:t xml:space="preserve">High-value asset platforms require a definitive, authenticated administrative anchor. TOTP/MFA via a specialized identity provider (rather than custom-built authentication) minimizes security risk for this single, highest-privilege account without adding unnecessary engineering overhead.</w:t>
      </w:r>
    </w:p>
    <w:p>
      <w:pPr>
        <w:spacing w:after="80" w:before="240"/>
      </w:pPr>
      <w:r>
        <w:rPr>
          <w:b/>
          <w:bCs/>
          <w:color w:val="B5651D"/>
          <w:sz w:val="23"/>
          <w:szCs w:val="23"/>
        </w:rPr>
        <w:t xml:space="preserve">BR-05: </w:t>
      </w:r>
      <w:r>
        <w:rPr>
          <w:b/>
          <w:bCs/>
          <w:sz w:val="23"/>
          <w:szCs w:val="23"/>
        </w:rPr>
        <w:t xml:space="preserve">Immutable Auditing, Logical Archiving &amp; 5-Year Retention</w:t>
      </w:r>
    </w:p>
    <w:p>
      <w:pPr>
        <w:spacing w:after="80"/>
      </w:pPr>
      <w:r>
        <w:rPr>
          <w:b/>
          <w:bCs/>
          <w:i/>
          <w:iCs/>
        </w:rPr>
        <w:t xml:space="preserve">Statement: </w:t>
      </w:r>
      <w:r>
        <w:t xml:space="preserve">Every operational interaction, configuration change, and transactional action is tracked in an append-only, tamper-resistant audit trail with microsecond-accurate UTC timestamps. True physical deletion is prohibited. A hybrid hot/cold tiering structure is enforced: logs under 1 year old remain in the primary database ('Hot' tier); logs older than 1 year are compressed, encrypted, and offloaded to cold cloud object storage ('Cold' tier), retained for a minimum of 5 years. A unified Log Reader API retrieves and joins records across both tiers, exposed exclusively to the Super Admin.</w:t>
      </w:r>
    </w:p>
    <w:p>
      <w:pPr>
        <w:spacing w:after="160"/>
      </w:pPr>
      <w:r>
        <w:rPr>
          <w:b/>
          <w:bCs/>
          <w:i/>
          <w:iCs/>
        </w:rPr>
        <w:t xml:space="preserve">Logic / Rationale: </w:t>
      </w:r>
      <w:r>
        <w:t xml:space="preserve">Enforces accountability and non-repudiation, satisfies Indian eCommerce retention law, prevents primary database bloat, and reduces storage cost.</w:t>
      </w:r>
    </w:p>
    <w:p>
      <w:pPr>
        <w:spacing w:after="80" w:before="240"/>
      </w:pPr>
      <w:r>
        <w:rPr>
          <w:b/>
          <w:bCs/>
          <w:color w:val="B5651D"/>
          <w:sz w:val="23"/>
          <w:szCs w:val="23"/>
        </w:rPr>
        <w:t xml:space="preserve">BR-06: </w:t>
      </w:r>
      <w:r>
        <w:rPr>
          <w:b/>
          <w:bCs/>
          <w:sz w:val="23"/>
          <w:szCs w:val="23"/>
        </w:rPr>
        <w:t xml:space="preserve">Federated SaaS Multi-Tenancy &amp; Tenant Whitelisting</w:t>
      </w:r>
    </w:p>
    <w:p>
      <w:pPr>
        <w:spacing w:after="80"/>
      </w:pPr>
      <w:r>
        <w:rPr>
          <w:b/>
          <w:bCs/>
          <w:i/>
          <w:iCs/>
        </w:rPr>
        <w:t xml:space="preserve">Statement: </w:t>
      </w:r>
      <w:r>
        <w:t xml:space="preserve">The platform operates as a federated multi-tenant SaaS. Only the Super Admin can whitelist tenants. Each tenant is provisioned with a dedicated subdomain (e.g., pnb.ebidhub.com) or custom domain (e.g., www.salvagemanagers.com), instantly loading a white-labeled portal with the tenant's own branding and terms. Buyers are federated globally — one registered identity lets a buyer log in across any tenant domain and monitor all their activity from a single dashboard.</w:t>
      </w:r>
    </w:p>
    <w:p>
      <w:pPr>
        <w:spacing w:after="160"/>
      </w:pPr>
      <w:r>
        <w:rPr>
          <w:b/>
          <w:bCs/>
          <w:i/>
          <w:iCs/>
        </w:rPr>
        <w:t xml:space="preserve">Logic / Rationale: </w:t>
      </w:r>
      <w:r>
        <w:t xml:space="preserve">Enables fast, zero-infrastructure onboarding for sellers/institutions while giving buyers a seamless, single-identity purchasing path across every tenant.</w:t>
      </w:r>
    </w:p>
    <w:p>
      <w:pPr>
        <w:spacing w:after="80" w:before="240"/>
      </w:pPr>
      <w:r>
        <w:rPr>
          <w:b/>
          <w:bCs/>
          <w:color w:val="B5651D"/>
          <w:sz w:val="23"/>
          <w:szCs w:val="23"/>
        </w:rPr>
        <w:t xml:space="preserve">BR-07: </w:t>
      </w:r>
      <w:r>
        <w:rPr>
          <w:b/>
          <w:bCs/>
          <w:sz w:val="23"/>
          <w:szCs w:val="23"/>
        </w:rPr>
        <w:t xml:space="preserve">Salvage Asset Categorization &amp; Scope Restriction</w:t>
      </w:r>
    </w:p>
    <w:p>
      <w:pPr>
        <w:spacing w:after="80"/>
      </w:pPr>
      <w:r>
        <w:rPr>
          <w:b/>
          <w:bCs/>
          <w:i/>
          <w:iCs/>
        </w:rPr>
        <w:t xml:space="preserve">Statement: </w:t>
      </w:r>
      <w:r>
        <w:t xml:space="preserve">The platform is strictly a marketplace for salvaged, claims, surplus, repossessed, used, and specialized assets. New retail-consumer goods (Amazon-style) are explicitly prohibited. Permitted categories: Salvaged Claims Goods, Second-Hand/Used Goods, Abandoned Goods, Antiques, Repossessed Banking Assets, Industrial/Commercial Surplus, Custom/Confiscated Goods, and Lost-and-Found inventories.</w:t>
      </w:r>
    </w:p>
    <w:p>
      <w:pPr>
        <w:spacing w:after="160"/>
      </w:pPr>
      <w:r>
        <w:rPr>
          <w:b/>
          <w:bCs/>
          <w:i/>
          <w:iCs/>
        </w:rPr>
        <w:t xml:space="preserve">Logic / Rationale: </w:t>
      </w:r>
      <w:r>
        <w:t xml:space="preserve">Positions the platform as a trusted, institutional-grade marketplace for non-new goods, preventing scope creep into general retail e-commerce.</w:t>
      </w:r>
    </w:p>
    <w:p>
      <w:pPr>
        <w:spacing w:after="80" w:before="240"/>
      </w:pPr>
      <w:r>
        <w:rPr>
          <w:b/>
          <w:bCs/>
          <w:color w:val="B5651D"/>
          <w:sz w:val="23"/>
          <w:szCs w:val="23"/>
        </w:rPr>
        <w:t xml:space="preserve">BR-08: </w:t>
      </w:r>
      <w:r>
        <w:rPr>
          <w:b/>
          <w:bCs/>
          <w:sz w:val="23"/>
          <w:szCs w:val="23"/>
        </w:rPr>
        <w:t xml:space="preserve">Turnover-Based SaaS Monetization</w:t>
      </w:r>
    </w:p>
    <w:p>
      <w:pPr>
        <w:spacing w:after="80"/>
      </w:pPr>
      <w:r>
        <w:rPr>
          <w:b/>
          <w:bCs/>
          <w:i/>
          <w:iCs/>
        </w:rPr>
        <w:t xml:space="preserve">Statement: </w:t>
      </w:r>
      <w:r>
        <w:t xml:space="preserve">SaaS’s primary transactional revenue is the Success Fee: a declining schedule by final sale value (2.00% down to 0.50%, minimum ₹500 + GST), fully specified in Section 6.4. This replaces the earlier flat 0.5% figure. Who pays the Success Fee (Trader or Market Maker) is configurable per Trading Session via Fee Payer Election (Section 6.4, BR-32); the platform’s revenue is identical regardless of that election. Fee mechanics are settled per BR-32 and BR-34.</w:t>
      </w:r>
    </w:p>
    <w:p>
      <w:pPr>
        <w:spacing w:after="160"/>
      </w:pPr>
      <w:r>
        <w:rPr>
          <w:b/>
          <w:bCs/>
          <w:i/>
          <w:iCs/>
        </w:rPr>
        <w:t xml:space="preserve">Logic / Rationale: </w:t>
      </w:r>
      <w:r>
        <w:t xml:space="preserve">Aligns SaaS’s commercial incentive directly with transaction volume. Superseding the earlier flat 0.5% figure with a declining-by-value schedule rewards larger transactions with a lower marginal rate, consistent with the Business Model finalized in Section 6.</w:t>
      </w:r>
    </w:p>
    <w:p>
      <w:pPr>
        <w:spacing w:after="80" w:before="240"/>
      </w:pPr>
      <w:r>
        <w:rPr>
          <w:b/>
          <w:bCs/>
          <w:color w:val="B5651D"/>
          <w:sz w:val="23"/>
          <w:szCs w:val="23"/>
        </w:rPr>
        <w:t xml:space="preserve">BR-09: </w:t>
      </w:r>
      <w:r>
        <w:rPr>
          <w:b/>
          <w:bCs/>
          <w:sz w:val="23"/>
          <w:szCs w:val="23"/>
        </w:rPr>
        <w:t xml:space="preserve">Tenant Admin Delegated Administration</w:t>
      </w:r>
    </w:p>
    <w:p>
      <w:pPr>
        <w:spacing w:after="80"/>
      </w:pPr>
      <w:r>
        <w:rPr>
          <w:b/>
          <w:bCs/>
          <w:i/>
          <w:iCs/>
        </w:rPr>
        <w:t xml:space="preserve">Statement: </w:t>
      </w:r>
      <w:r>
        <w:t xml:space="preserve">Each whitelisted tenant is administered by exactly one Tenant Admin at a time — a specific person holding a normal buyer/seller account, additionally granted a time-bound admin role by formal agreement between the Super Admin and the tenant's company. The company designates (and may replace) whoever holds this post; it is never self-appointed. The Success Fee is a fixed, platform-wide schedule (Section 6.4) that the Tenant Admin cannot adjust; the Tenant Admin's discretion is limited to Fee Payer Election (Section 6.4, BR-32) on their storefront's Trading Sessions. The Tenant Admin still reviews and approves listings, and holds exclusive authority to upgrade a buyer to a Seller — scoped strictly to that tenant's own storefront. A seller upgraded on one tenant has no automatic selling rights on another. If a seller's account is suspended, all of their active listings on that tenant are instantly suspended pending review.</w:t>
      </w:r>
    </w:p>
    <w:p>
      <w:pPr>
        <w:spacing w:after="160"/>
      </w:pPr>
      <w:r>
        <w:rPr>
          <w:b/>
          <w:bCs/>
          <w:i/>
          <w:iCs/>
        </w:rPr>
        <w:t xml:space="preserve">Logic / Rationale: </w:t>
      </w:r>
      <w:r>
        <w:t xml:space="preserve">Ensures tenant-isolated operations, prevents catalog contamination across tenants, and keeps listing/seller-conduct governance close to the institution actually running that storefront.</w:t>
      </w:r>
    </w:p>
    <w:p>
      <w:pPr>
        <w:spacing w:after="80" w:before="240"/>
      </w:pPr>
      <w:r>
        <w:rPr>
          <w:b/>
          <w:bCs/>
          <w:color w:val="B5651D"/>
          <w:sz w:val="23"/>
          <w:szCs w:val="23"/>
        </w:rPr>
        <w:t xml:space="preserve">BR-10: </w:t>
      </w:r>
      <w:r>
        <w:rPr>
          <w:b/>
          <w:bCs/>
          <w:sz w:val="23"/>
          <w:szCs w:val="23"/>
        </w:rPr>
        <w:t xml:space="preserve">Decoupled Architecture — Listing vs. Sale System</w:t>
      </w:r>
    </w:p>
    <w:p>
      <w:pPr>
        <w:spacing w:after="80"/>
      </w:pPr>
      <w:r>
        <w:rPr>
          <w:b/>
          <w:bCs/>
          <w:i/>
          <w:iCs/>
        </w:rPr>
        <w:t xml:space="preserve">Statement: </w:t>
      </w:r>
      <w:r>
        <w:t xml:space="preserve">A strict architectural boundary exists between a Listing (the physical/legal attributes of an asset — description, category, condition, quantity, location, inspector contact) and a Sale System (the transactional protocol used to sell it). Any approved Listing can be sequentially or dynamically mapped to different Sale Systems over time (e.g., an unsold Easy Auction re-attempted as a Buy-Now) without re-cataloging the physical asset.</w:t>
      </w:r>
    </w:p>
    <w:p>
      <w:pPr>
        <w:spacing w:after="160"/>
      </w:pPr>
      <w:r>
        <w:rPr>
          <w:b/>
          <w:bCs/>
          <w:i/>
          <w:iCs/>
        </w:rPr>
        <w:t xml:space="preserve">Logic / Rationale: </w:t>
      </w:r>
      <w:r>
        <w:t xml:space="preserve">Maximizes catalog reuse, enables flexible recovery strategies for unsold assets, and keeps listing data clean for historical analytics.</w:t>
      </w:r>
    </w:p>
    <w:p>
      <w:pPr>
        <w:spacing w:after="80" w:before="240"/>
      </w:pPr>
      <w:r>
        <w:rPr>
          <w:b/>
          <w:bCs/>
          <w:color w:val="B5651D"/>
          <w:sz w:val="23"/>
          <w:szCs w:val="23"/>
        </w:rPr>
        <w:t xml:space="preserve">BR-11: </w:t>
      </w:r>
      <w:r>
        <w:rPr>
          <w:b/>
          <w:bCs/>
          <w:sz w:val="23"/>
          <w:szCs w:val="23"/>
        </w:rPr>
        <w:t xml:space="preserve">Universal Listing Metadata &amp; Inspector Governance</w:t>
      </w:r>
    </w:p>
    <w:p>
      <w:pPr>
        <w:spacing w:after="80"/>
      </w:pPr>
      <w:r>
        <w:rPr>
          <w:b/>
          <w:bCs/>
          <w:i/>
          <w:iCs/>
        </w:rPr>
        <w:t xml:space="preserve">Statement: </w:t>
      </w:r>
      <w:r>
        <w:t xml:space="preserve">Every listing must specify Physical Condition, Category, Subcategory, Quantity, Make/Model, and Physical Yard Location. The listing must bind an inspection authority: for direct owner listings, the owner's own contact; for institutional repossessions, the authorized yard manager/custodian/agent. The Tenant Admin retains final approval authority over whether a listing is valid, accurate, and authorized for public exposure.</w:t>
      </w:r>
    </w:p>
    <w:p>
      <w:pPr>
        <w:spacing w:after="160"/>
      </w:pPr>
      <w:r>
        <w:rPr>
          <w:b/>
          <w:bCs/>
          <w:i/>
          <w:iCs/>
        </w:rPr>
        <w:t xml:space="preserve">Logic / Rationale: </w:t>
      </w:r>
      <w:r>
        <w:t xml:space="preserve">Prevents catalog contamination, gives buyers transparency for physical inspection, and reduces post-sale disputes.</w:t>
      </w:r>
    </w:p>
    <w:p>
      <w:pPr>
        <w:spacing w:after="80" w:before="240"/>
      </w:pPr>
      <w:r>
        <w:rPr>
          <w:b/>
          <w:bCs/>
          <w:color w:val="B5651D"/>
          <w:sz w:val="23"/>
          <w:szCs w:val="23"/>
        </w:rPr>
        <w:t xml:space="preserve">BR-12: </w:t>
      </w:r>
      <w:r>
        <w:rPr>
          <w:b/>
          <w:bCs/>
          <w:sz w:val="23"/>
          <w:szCs w:val="23"/>
        </w:rPr>
        <w:t xml:space="preserve">Multi-Format Transactional Sale Systems</w:t>
      </w:r>
    </w:p>
    <w:p>
      <w:pPr>
        <w:spacing w:after="80"/>
      </w:pPr>
      <w:r>
        <w:rPr>
          <w:b/>
          <w:bCs/>
          <w:i/>
          <w:iCs/>
        </w:rPr>
        <w:t xml:space="preserve">Statement: </w:t>
      </w:r>
      <w:r>
        <w:t xml:space="preserve">The platform supports four sale systems: (1) Buy-Now — seller sets an Expected Value (EV); buyers offer at, above, or below it; seller reviews and selects by judgment, not automatic highest-price close. (2) Express Auctions — seller sets a Reserve Value (RV); once exactly 3 distinct buyers pledge EMD, the auction is scheduled and launched automatically; no inspection window exists at all; result is fully automatic. (3) Easy Auctions — scheduled open bidding at RV; result may be Instant Close or Approval Required (seller's choice at listing). (4) Tender Auctions — fully bespoke, invitation-only, seller-curated, restricted exclusively to the Company Shop. The Company Shop is the Salvage Managers Tenant specifically — the platform's own operational entity, not a generic label any Tenant can hold. Where Section 6 refers to “the Salvage Managers TSX,” this is the same designation.</w:t>
      </w:r>
    </w:p>
    <w:p>
      <w:pPr>
        <w:spacing w:after="160"/>
      </w:pPr>
      <w:r>
        <w:rPr>
          <w:b/>
          <w:bCs/>
          <w:i/>
          <w:iCs/>
        </w:rPr>
        <w:t xml:space="preserve">Logic / Rationale: </w:t>
      </w:r>
      <w:r>
        <w:t xml:space="preserve">Provides a flexible suite of disposal mechanisms from hyper-rapid liquidity (Express) to maximum-value discovery (Easy) to fully bespoke concierge handling (Tender), while Buy-Now serves negotiated, judgment-based sales.</w:t>
      </w:r>
    </w:p>
    <w:p>
      <w:pPr>
        <w:spacing w:after="80" w:before="240"/>
      </w:pPr>
      <w:r>
        <w:rPr>
          <w:b/>
          <w:bCs/>
          <w:color w:val="B5651D"/>
          <w:sz w:val="23"/>
          <w:szCs w:val="23"/>
        </w:rPr>
        <w:t xml:space="preserve">BR-13: </w:t>
      </w:r>
      <w:r>
        <w:rPr>
          <w:b/>
          <w:bCs/>
          <w:sz w:val="23"/>
          <w:szCs w:val="23"/>
        </w:rPr>
        <w:t xml:space="preserve">Listing Lifecycle, Immutability &amp; Safe-Edit Redirection</w:t>
      </w:r>
    </w:p>
    <w:p>
      <w:pPr>
        <w:spacing w:after="80"/>
      </w:pPr>
      <w:r>
        <w:rPr>
          <w:b/>
          <w:bCs/>
          <w:i/>
          <w:iCs/>
        </w:rPr>
        <w:t xml:space="preserve">Statement: </w:t>
      </w:r>
      <w:r>
        <w:t xml:space="preserve">Every listing follows: INVENTORY to PENDING_APPROVAL to UPCOMING to (seller assigns one Sale System, generating a new unique Sale-System ID) to ACTIVE to SOLD or CYCLE-ENDED-UNSOLD. Only one Sale-System instance may be ACTIVE per listing at a time. Once ACTIVE, no parameter can be changed directly. Any requested change is submitted as an edit request; on Tenant Admin approval, the original listing is archived (preserved for audit trail) and a new listing is created with a new unique ID, re-entering the lifecycle from UPCOMING. Edit-request review is tiered: material fields (RV, EV, unit/lot basis, quantity/tolerance, category, sale-system choice) trigger full re-review; non-material fields (description, media, minor detail) receive lighter-touch review. Any rejection — of an original listing, an edit-request draft, or a re-submission — requires the Tenant Admin to select a reason from a closed list and log it; the rejection and its stated reason are visible to the seller.</w:t>
      </w:r>
    </w:p>
    <w:p>
      <w:pPr>
        <w:spacing w:after="160"/>
      </w:pPr>
      <w:r>
        <w:rPr>
          <w:b/>
          <w:bCs/>
          <w:i/>
          <w:iCs/>
        </w:rPr>
        <w:t xml:space="preserve">Logic / Rationale: </w:t>
      </w:r>
      <w:r>
        <w:t xml:space="preserve">Ensures catalog immutability during active sales, protects active bidders from bait-and-switch changes, and preserves a full audit trail across every relisting attempt. Mandating a logged reason on every rejection fixes accountability for the decision and gives the seller a documented, contestable basis rather than an unexplained refusal.</w:t>
      </w:r>
    </w:p>
    <w:p>
      <w:pPr>
        <w:spacing w:after="80" w:before="240"/>
      </w:pPr>
      <w:r>
        <w:rPr>
          <w:b/>
          <w:bCs/>
          <w:color w:val="B5651D"/>
          <w:sz w:val="23"/>
          <w:szCs w:val="23"/>
        </w:rPr>
        <w:t xml:space="preserve">BR-14: </w:t>
      </w:r>
      <w:r>
        <w:rPr>
          <w:b/>
          <w:bCs/>
          <w:sz w:val="23"/>
          <w:szCs w:val="23"/>
        </w:rPr>
        <w:t xml:space="preserve">Sale Event Edit/Freeze Lifecycle &amp; Hold Times</w:t>
      </w:r>
    </w:p>
    <w:p>
      <w:pPr>
        <w:spacing w:after="80"/>
      </w:pPr>
      <w:r>
        <w:rPr>
          <w:b/>
          <w:bCs/>
          <w:i/>
          <w:iCs/>
        </w:rPr>
        <w:t xml:space="preserve">Statement: </w:t>
      </w:r>
      <w:r>
        <w:t xml:space="preserve">Post-approval editing is governed per format: Express Auctions are fully locked — no seller edits or cancellation once approved, though the Tenant Admin or Super Admin retains emergency-stop authority with a mandatory, audited reason. Easy Auctions and Buy-Now both allow direct seller edits within a 60-minute post-approval grace period, triggering a 'Quick Re-approval' workflow with a highlighted delta view for the Tenant Admin; after 60 minutes, all parameters freeze. Tender Auctions carry no fixed edit-hold window at all — timing is entirely the seller's own discretion, consistent with Tender's concierge model. Submitted bids, offers, or invitations are never silently migrated across an edit/duplication event — all active bids are cancelled and refunded, and bidders are notified to reconfirm.</w:t>
      </w:r>
    </w:p>
    <w:p>
      <w:pPr>
        <w:spacing w:after="160"/>
      </w:pPr>
      <w:r>
        <w:rPr>
          <w:b/>
          <w:bCs/>
          <w:i/>
          <w:iCs/>
        </w:rPr>
        <w:t xml:space="preserve">Logic / Rationale: </w:t>
      </w:r>
      <w:r>
        <w:t xml:space="preserve">Builds buyer trust by preventing bait-and-switch mid-sale, gives sellers reasonable operational grace, and protects Express's automated speed from interference.</w:t>
      </w:r>
    </w:p>
    <w:p>
      <w:pPr>
        <w:spacing w:after="80" w:before="240"/>
      </w:pPr>
      <w:r>
        <w:rPr>
          <w:b/>
          <w:bCs/>
          <w:color w:val="B5651D"/>
          <w:sz w:val="23"/>
          <w:szCs w:val="23"/>
        </w:rPr>
        <w:t xml:space="preserve">BR-15: </w:t>
      </w:r>
      <w:r>
        <w:rPr>
          <w:b/>
          <w:bCs/>
          <w:sz w:val="23"/>
          <w:szCs w:val="23"/>
        </w:rPr>
        <w:t xml:space="preserve">Sovereign Isolation — Super Admin Non-Participation</w:t>
      </w:r>
    </w:p>
    <w:p>
      <w:pPr>
        <w:spacing w:after="80"/>
      </w:pPr>
      <w:r>
        <w:rPr>
          <w:b/>
          <w:bCs/>
          <w:i/>
          <w:iCs/>
        </w:rPr>
        <w:t xml:space="preserve">Statement: </w:t>
      </w:r>
      <w:r>
        <w:t xml:space="preserve">The Super Admin occupies an absolute, non-participatory regulatory role — strictly forbidden from acting as Buyer, Seller, Tenant Admin, Inspector, or any other platform participant, and structurally barred from listing assets, attaching Sale Events, or placing bids/offers under any circumstance. Sovereign authority is restricted to whitelisting tenants, appointing/removing Tenant Admins, auditing logs, and executing emergency global freezes.</w:t>
      </w:r>
    </w:p>
    <w:p>
      <w:pPr>
        <w:spacing w:after="160"/>
      </w:pPr>
      <w:r>
        <w:rPr>
          <w:b/>
          <w:bCs/>
          <w:i/>
          <w:iCs/>
        </w:rPr>
        <w:t xml:space="preserve">Logic / Rationale: </w:t>
      </w:r>
      <w:r>
        <w:t xml:space="preserve">Guarantees neutral governance and eliminates any insider-trading risk at the platform-operator level.</w:t>
      </w:r>
    </w:p>
    <w:p>
      <w:pPr>
        <w:spacing w:after="80" w:before="240"/>
      </w:pPr>
      <w:r>
        <w:rPr>
          <w:b/>
          <w:bCs/>
          <w:color w:val="B5651D"/>
          <w:sz w:val="23"/>
          <w:szCs w:val="23"/>
        </w:rPr>
        <w:t xml:space="preserve">BR-16: </w:t>
      </w:r>
      <w:r>
        <w:rPr>
          <w:b/>
          <w:bCs/>
          <w:sz w:val="23"/>
          <w:szCs w:val="23"/>
        </w:rPr>
        <w:t xml:space="preserve">Double-Blind Market Privacy &amp; Visibility Matrix</w:t>
      </w:r>
    </w:p>
    <w:p>
      <w:pPr>
        <w:spacing w:after="80"/>
      </w:pPr>
      <w:r>
        <w:rPr>
          <w:b/>
          <w:bCs/>
          <w:i/>
          <w:iCs/>
        </w:rPr>
        <w:t xml:space="preserve">Statement: </w:t>
      </w:r>
      <w:r>
        <w:t xml:space="preserve">During live bidding on any competitive-bid format (Easy, Express, Tender default): a bidder sees only their own running price and H1/not-H1 status, never other bidders' identity or amounts. The seller sees price movement only, no bidder identity, during the live event. After close, the seller sees only the H1 winner's score, name, and details; the Tenant Admin sees the full bid history plus H1/H2/H3 identity and amounts (not the full roster). In Buy-Now, full double-blind anonymity applies: the buyer does not know the seller's identity until EMD is pledged (which unlocks seller identity/location/inspection access), and the seller does not know the buyer's identity until they accept an offer. The Super Admin is fully blind to all of this during live events, by deliberate design — access unlocks only after close, same as every other viewer, preserving platform-operator neutrality.</w:t>
      </w:r>
    </w:p>
    <w:p>
      <w:pPr>
        <w:spacing w:after="160"/>
      </w:pPr>
      <w:r>
        <w:rPr>
          <w:b/>
          <w:bCs/>
          <w:i/>
          <w:iCs/>
        </w:rPr>
        <w:t xml:space="preserve">Logic / Rationale: </w:t>
      </w:r>
      <w:r>
        <w:t xml:space="preserve">Deters bidding cartels, enforces objectivity in offer selection, and guarantees that even the platform operator has no live informational edge while a sale is in progress.</w:t>
      </w:r>
    </w:p>
    <w:p>
      <w:pPr>
        <w:spacing w:after="80" w:before="240"/>
      </w:pPr>
      <w:r>
        <w:rPr>
          <w:b/>
          <w:bCs/>
          <w:color w:val="B5651D"/>
          <w:sz w:val="23"/>
          <w:szCs w:val="23"/>
        </w:rPr>
        <w:t xml:space="preserve">BR-17: </w:t>
      </w:r>
      <w:r>
        <w:rPr>
          <w:b/>
          <w:bCs/>
          <w:sz w:val="23"/>
          <w:szCs w:val="23"/>
        </w:rPr>
        <w:t xml:space="preserve">Dual-Track Patron KYC Verification</w:t>
      </w:r>
    </w:p>
    <w:p>
      <w:pPr>
        <w:spacing w:after="80"/>
      </w:pPr>
      <w:r>
        <w:rPr>
          <w:b/>
          <w:bCs/>
          <w:i/>
          <w:iCs/>
        </w:rPr>
        <w:t xml:space="preserve">Statement: </w:t>
      </w:r>
      <w:r>
        <w:t xml:space="preserve">Individual KYC requires Full Name, PAN, Aadhaar (masked/tokenized), Date of Birth, and Occupation. Corporate/Organization KYC requires CIN, GSTIN, Company PAN, MSME Registration, UDYAM Number, Company Type, Industry, and optional Annual Turnover/Employee Count. Required document uploads: PAN Card, GST Certificate, Aadhaar Card, Certificate of Incorporation, Board Resolution, Power of Attorney, Cancelled Cheque, MSME Certificate. Any specific field's mandatory/optional status, or the addition/removal of a field, remains subject to BR-01 — this schema is a living structure, not permanently frozen by adoption. Transitioning a patron's KYC Status to Suspended requires the reviewing admin to select a reason from a closed list (e.g., document mismatch, expired ID, failed registry check) and log it; the patron is notified of both the suspension and its stated reason.</w:t>
      </w:r>
    </w:p>
    <w:p>
      <w:pPr>
        <w:spacing w:after="160"/>
      </w:pPr>
      <w:r>
        <w:rPr>
          <w:b/>
          <w:bCs/>
          <w:i/>
          <w:iCs/>
        </w:rPr>
        <w:t xml:space="preserve">Logic / Rationale: </w:t>
      </w:r>
      <w:r>
        <w:t xml:space="preserve">Guarantees legally verified participants, prevents shell-company operation, and protects sensitive data (e.g., Aadhaar) via tokenization. A mandatory, logged reason for suspension fixes accountability for an adverse action and gives the patron a documented basis to correct or contest it.</w:t>
      </w:r>
    </w:p>
    <w:p>
      <w:pPr>
        <w:spacing w:after="80" w:before="240"/>
      </w:pPr>
      <w:r>
        <w:rPr>
          <w:b/>
          <w:bCs/>
          <w:color w:val="B5651D"/>
          <w:sz w:val="23"/>
          <w:szCs w:val="23"/>
        </w:rPr>
        <w:t xml:space="preserve">BR-18: </w:t>
      </w:r>
      <w:r>
        <w:rPr>
          <w:b/>
          <w:bCs/>
          <w:sz w:val="23"/>
          <w:szCs w:val="23"/>
        </w:rPr>
        <w:t xml:space="preserve">Multi-Address Schema &amp; Encrypted Banking Verification</w:t>
      </w:r>
    </w:p>
    <w:p>
      <w:pPr>
        <w:spacing w:after="80"/>
      </w:pPr>
      <w:r>
        <w:rPr>
          <w:b/>
          <w:bCs/>
          <w:i/>
          <w:iCs/>
        </w:rPr>
        <w:t xml:space="preserve">Statement: </w:t>
      </w:r>
      <w:r>
        <w:t xml:space="preserve">Every patron maintains up to four address records: Registered, Billing, Correspondence, and Site/Yard — each capturing Address Line 1/2, City, District, State, Country, 6-digit PIN Code, and optional GPS coordinates. Patrons register encrypted banking details: Account Holder Name, Bank Name, Branch Name, IFSC, Account Number, and optional UPI ID.</w:t>
      </w:r>
    </w:p>
    <w:p>
      <w:pPr>
        <w:spacing w:after="160"/>
      </w:pPr>
      <w:r>
        <w:rPr>
          <w:b/>
          <w:bCs/>
          <w:i/>
          <w:iCs/>
        </w:rPr>
        <w:t xml:space="preserve">Logic / Rationale: </w:t>
      </w:r>
      <w:r>
        <w:t xml:space="preserve">Enables precise state-specific GST calculation, exact yard-inspection location data, and secure, non-repudiative clearing of buyer/seller funds.</w:t>
      </w:r>
    </w:p>
    <w:p>
      <w:pPr>
        <w:spacing w:after="80" w:before="240"/>
      </w:pPr>
      <w:r>
        <w:rPr>
          <w:b/>
          <w:bCs/>
          <w:color w:val="B5651D"/>
          <w:sz w:val="23"/>
          <w:szCs w:val="23"/>
        </w:rPr>
        <w:t xml:space="preserve">BR-19: </w:t>
      </w:r>
      <w:r>
        <w:rPr>
          <w:b/>
          <w:bCs/>
          <w:sz w:val="23"/>
          <w:szCs w:val="23"/>
        </w:rPr>
        <w:t xml:space="preserve">Polymorphic Role Mapping</w:t>
      </w:r>
    </w:p>
    <w:p>
      <w:pPr>
        <w:spacing w:after="80"/>
      </w:pPr>
      <w:r>
        <w:rPr>
          <w:b/>
          <w:bCs/>
          <w:i/>
          <w:iCs/>
        </w:rPr>
        <w:t xml:space="preserve">Statement: </w:t>
      </w:r>
      <w:r>
        <w:t xml:space="preserve">A single verified Party (legal entity) may simultaneously hold one or more of the following operational roles across different tenants: Buyer, Seller, Bidder, Vendor, Customer, Auctioneer, Service Provider, Surveyor, and Financier. Roles are decoupled from the core Party record, so any verified Party can operate under multiple roles without duplicate registration.</w:t>
      </w:r>
    </w:p>
    <w:p>
      <w:pPr>
        <w:spacing w:after="160"/>
      </w:pPr>
      <w:r>
        <w:rPr>
          <w:b/>
          <w:bCs/>
          <w:i/>
          <w:iCs/>
        </w:rPr>
        <w:t xml:space="preserve">Logic / Rationale: </w:t>
      </w:r>
      <w:r>
        <w:t xml:space="preserve">Prevents account redundancy, lets a single corporate entity operate in multiple capacities under one compliance umbrella, and supports automated cross-role lockout if a compliance flag is revoked.</w:t>
      </w:r>
    </w:p>
    <w:p>
      <w:pPr>
        <w:spacing w:after="80" w:before="240"/>
      </w:pPr>
      <w:r>
        <w:rPr>
          <w:b/>
          <w:bCs/>
          <w:color w:val="B5651D"/>
          <w:sz w:val="23"/>
          <w:szCs w:val="23"/>
        </w:rPr>
        <w:t xml:space="preserve">BR-20: </w:t>
      </w:r>
      <w:r>
        <w:rPr>
          <w:b/>
          <w:bCs/>
          <w:sz w:val="23"/>
          <w:szCs w:val="23"/>
        </w:rPr>
        <w:t xml:space="preserve">Super Admin Credential Isolation</w:t>
      </w:r>
    </w:p>
    <w:p>
      <w:pPr>
        <w:spacing w:after="80"/>
      </w:pPr>
      <w:r>
        <w:rPr>
          <w:b/>
          <w:bCs/>
          <w:i/>
          <w:iCs/>
        </w:rPr>
        <w:t xml:space="preserve">Statement: </w:t>
      </w:r>
      <w:r>
        <w:t xml:space="preserve">Super Admin credential changes (TOTP re-enrollment, email/mobile update) are strictly barred from the standard SMS-OTP/mPIN self-service channels used by all other patrons. These changes route exclusively through the isolated TOTP/MFA path established in BR-04.</w:t>
      </w:r>
    </w:p>
    <w:p>
      <w:pPr>
        <w:spacing w:after="160"/>
      </w:pPr>
      <w:r>
        <w:rPr>
          <w:b/>
          <w:bCs/>
          <w:i/>
          <w:iCs/>
        </w:rPr>
        <w:t xml:space="preserve">Logic / Rationale: </w:t>
      </w:r>
      <w:r>
        <w:t xml:space="preserve">Eradicates SIM-swap and front-end injection risk against the platform's highest-privilege account.</w:t>
      </w:r>
    </w:p>
    <w:p>
      <w:pPr>
        <w:spacing w:after="80" w:before="240"/>
      </w:pPr>
      <w:r>
        <w:rPr>
          <w:b/>
          <w:bCs/>
          <w:color w:val="B5651D"/>
          <w:sz w:val="23"/>
          <w:szCs w:val="23"/>
        </w:rPr>
        <w:t xml:space="preserve">BR-21: </w:t>
      </w:r>
      <w:r>
        <w:rPr>
          <w:b/>
          <w:bCs/>
          <w:sz w:val="23"/>
          <w:szCs w:val="23"/>
        </w:rPr>
        <w:t xml:space="preserve">Asset-Level Transactional Role Exclusion</w:t>
      </w:r>
    </w:p>
    <w:p>
      <w:pPr>
        <w:spacing w:after="80"/>
      </w:pPr>
      <w:r>
        <w:rPr>
          <w:b/>
          <w:bCs/>
          <w:i/>
          <w:iCs/>
        </w:rPr>
        <w:t xml:space="preserve">Statement: </w:t>
      </w:r>
      <w:r>
        <w:t xml:space="preserve">A Party bound to a Listing as Surveyor, Yard Inspector, or Physical Custodian (BR-11) is algorithmically blocked from placing bids, submitting Buy-Now offers, or acting as Financier on any active Sale Event mapped to that specific listing — even though the same Party may hold buyer/seller roles freely elsewhere on the platform.</w:t>
      </w:r>
    </w:p>
    <w:p>
      <w:pPr>
        <w:spacing w:after="160"/>
      </w:pPr>
      <w:r>
        <w:rPr>
          <w:b/>
          <w:bCs/>
          <w:i/>
          <w:iCs/>
        </w:rPr>
        <w:t xml:space="preserve">Logic / Rationale: </w:t>
      </w:r>
      <w:r>
        <w:t xml:space="preserve">Prevents collusive evaluation reports and conflicts of interest between physical assessors and financial participants.</w:t>
      </w:r>
    </w:p>
    <w:p>
      <w:pPr>
        <w:spacing w:after="80" w:before="240"/>
      </w:pPr>
      <w:r>
        <w:rPr>
          <w:b/>
          <w:bCs/>
          <w:color w:val="B5651D"/>
          <w:sz w:val="23"/>
          <w:szCs w:val="23"/>
        </w:rPr>
        <w:t xml:space="preserve">BR-22: </w:t>
      </w:r>
      <w:r>
        <w:rPr>
          <w:b/>
          <w:bCs/>
          <w:sz w:val="23"/>
          <w:szCs w:val="23"/>
        </w:rPr>
        <w:t xml:space="preserve">Tenant-Scope Bidding Suspension</w:t>
      </w:r>
    </w:p>
    <w:p>
      <w:pPr>
        <w:spacing w:after="80"/>
      </w:pPr>
      <w:r>
        <w:rPr>
          <w:b/>
          <w:bCs/>
          <w:i/>
          <w:iCs/>
        </w:rPr>
        <w:t xml:space="preserve">Statement: </w:t>
      </w:r>
      <w:r>
        <w:t xml:space="preserve">The moment a registered buyer is promoted to Tenant Admin for a specific tenant, their profile is immediately blocked from submitting bids or Buy-Now offers within that specific tenant's storefront. They remain fully free to bid on any other, independent tenant's storefront where they hold no administrative access.</w:t>
      </w:r>
    </w:p>
    <w:p>
      <w:pPr>
        <w:spacing w:after="160"/>
      </w:pPr>
      <w:r>
        <w:rPr>
          <w:b/>
          <w:bCs/>
          <w:i/>
          <w:iCs/>
        </w:rPr>
        <w:t xml:space="preserve">Logic / Rationale: </w:t>
      </w:r>
      <w:r>
        <w:t xml:space="preserve">Guarantees institution employees with administrative oversight cannot bid on their own company's liquidations, while preserving their ability to transact elsewhere.</w:t>
      </w:r>
    </w:p>
    <w:p>
      <w:pPr>
        <w:spacing w:after="80" w:before="240"/>
      </w:pPr>
      <w:r>
        <w:rPr>
          <w:b/>
          <w:bCs/>
          <w:color w:val="B5651D"/>
          <w:sz w:val="23"/>
          <w:szCs w:val="23"/>
        </w:rPr>
        <w:t xml:space="preserve">BR-23: </w:t>
      </w:r>
      <w:r>
        <w:rPr>
          <w:b/>
          <w:bCs/>
          <w:sz w:val="23"/>
          <w:szCs w:val="23"/>
        </w:rPr>
        <w:t xml:space="preserve">Category-Location-Value (CLV) Matching</w:t>
      </w:r>
    </w:p>
    <w:p>
      <w:pPr>
        <w:spacing w:after="80"/>
      </w:pPr>
      <w:r>
        <w:rPr>
          <w:b/>
          <w:bCs/>
          <w:i/>
          <w:iCs/>
        </w:rPr>
        <w:t xml:space="preserve">Statement: </w:t>
      </w:r>
      <w:r>
        <w:t xml:space="preserve">Buyers are shown all listings by default, with persistent tools to fine-tune their feed: preferred categories, comfort inspection locations (specific states, or 'All India'), and a dual-slider budget range (min/max). This preference set drives personalized match suggestions and notification triggers, including the Live Ticker's 'sales of interest' feed (BR-48).</w:t>
      </w:r>
    </w:p>
    <w:p>
      <w:pPr>
        <w:spacing w:after="160"/>
      </w:pPr>
      <w:r>
        <w:rPr>
          <w:b/>
          <w:bCs/>
          <w:i/>
          <w:iCs/>
        </w:rPr>
        <w:t xml:space="preserve">Logic / Rationale: </w:t>
      </w:r>
      <w:r>
        <w:t xml:space="preserve">Maximizes trading efficiency by filtering noise for active bidders and empowering self-curated deal sourcing.</w:t>
      </w:r>
    </w:p>
    <w:p>
      <w:pPr>
        <w:spacing w:after="80" w:before="240"/>
      </w:pPr>
      <w:r>
        <w:rPr>
          <w:b/>
          <w:bCs/>
          <w:color w:val="B5651D"/>
          <w:sz w:val="23"/>
          <w:szCs w:val="23"/>
        </w:rPr>
        <w:t xml:space="preserve">BR-24: </w:t>
      </w:r>
      <w:r>
        <w:rPr>
          <w:b/>
          <w:bCs/>
          <w:sz w:val="23"/>
          <w:szCs w:val="23"/>
        </w:rPr>
        <w:t xml:space="preserve">Shipping Attribution &amp; Cost Transparency</w:t>
      </w:r>
    </w:p>
    <w:p>
      <w:pPr>
        <w:spacing w:after="80"/>
      </w:pPr>
      <w:r>
        <w:rPr>
          <w:b/>
          <w:bCs/>
          <w:i/>
          <w:iCs/>
        </w:rPr>
        <w:t xml:space="preserve">Statement: </w:t>
      </w:r>
      <w:r>
        <w:t xml:space="preserve">Every seller declares shipping eligibility at listing time (toggle). If enabled, the seller sets either a Fixed Cost or a Variable (distance-based) Cost. Shipping is always optional for the buyer — they may lift the asset themselves at no shipping cost. CLV budget-matching (BR-23) is evaluated strictly on the listing's Basic Cost, never the shipping-inclusive landed cost.</w:t>
      </w:r>
    </w:p>
    <w:p>
      <w:pPr>
        <w:spacing w:after="160"/>
      </w:pPr>
      <w:r>
        <w:rPr>
          <w:b/>
          <w:bCs/>
          <w:i/>
          <w:iCs/>
        </w:rPr>
        <w:t xml:space="preserve">Logic / Rationale: </w:t>
      </w:r>
      <w:r>
        <w:t xml:space="preserve">Guarantees buyers can always choose the lower-cost self-collection path, and keeps CLV value-matching unaffected by shipping-cost variability.</w:t>
      </w:r>
    </w:p>
    <w:p>
      <w:pPr>
        <w:spacing w:after="80" w:before="240"/>
      </w:pPr>
      <w:r>
        <w:rPr>
          <w:b/>
          <w:bCs/>
          <w:color w:val="B5651D"/>
          <w:sz w:val="23"/>
          <w:szCs w:val="23"/>
        </w:rPr>
        <w:t xml:space="preserve">BR-25: </w:t>
      </w:r>
      <w:r>
        <w:rPr>
          <w:b/>
          <w:bCs/>
          <w:sz w:val="23"/>
          <w:szCs w:val="23"/>
        </w:rPr>
        <w:t xml:space="preserve">EMD Escrow Isolation</w:t>
      </w:r>
    </w:p>
    <w:p>
      <w:pPr>
        <w:spacing w:after="80"/>
      </w:pPr>
      <w:r>
        <w:rPr>
          <w:b/>
          <w:bCs/>
          <w:i/>
          <w:iCs/>
        </w:rPr>
        <w:t xml:space="preserve">Statement: </w:t>
      </w:r>
      <w:r>
        <w:t>To comply with RBI regulations prohibiting unlicensed private digital wallets, the platform holds Earnest Money Deposits as segregated, per-pledge escrow holdings — never a pooled, freely spendable wallet balance. A buyer's deposited funds are 'unpledged' until committed to a specific bid or offer; the moment they are pledged, that amount becomes a distinct, ring-fenced holding tied to that specific transaction, released or forfeited only according to that transaction's own outcome. What a buyer sees as their account 'balance' is a display total of unpledged funds plus their currently pledged holdings — not a single fungible pool they can freely draw down. No automatic cross-channel or cross-pledge fund pooling exists anywhere on the platform. Separately, and independently of this segregation, PC/Money Points is never used to pay for the underlying goods themselves — 100% of every sale value is settled directly between buyer and seller, offline; PC only ever secures a bid commitment, never functions as the payment instrument for a purchase.</w:t>
      </w:r>
    </w:p>
    <w:p>
      <w:pPr>
        <w:spacing w:after="160"/>
      </w:pPr>
      <w:r>
        <w:rPr>
          <w:b/>
          <w:bCs/>
          <w:i/>
          <w:iCs/>
        </w:rPr>
        <w:t xml:space="preserve">Logic / Rationale: </w:t>
      </w:r>
      <w:r>
        <w:t>Ensures regulatory compliance, avoids classification as an unauthorized Prepaid Payment Instrument (PPI), and secures buyer/seller funds from operational commingling risk. Both safeguards are deliberate and independent: per-pledge segregation ensures no general-purpose spendable balance exists, while PC never being the instrument that pays for goods (only ever a security deposit) further distinguishes it from a wallet's core function. This framing is the platform's working position and should be confirmed by qualified legal counsel before being relied upon as a final compliance determination.</w:t>
      </w:r>
    </w:p>
    <w:p>
      <w:pPr>
        <w:spacing w:after="80" w:before="240"/>
      </w:pPr>
      <w:r>
        <w:rPr>
          <w:b/>
          <w:bCs/>
          <w:color w:val="B5651D"/>
          <w:sz w:val="23"/>
          <w:szCs w:val="23"/>
        </w:rPr>
        <w:t xml:space="preserve">BR-26: </w:t>
      </w:r>
      <w:r>
        <w:rPr>
          <w:b/>
          <w:bCs/>
          <w:sz w:val="23"/>
          <w:szCs w:val="23"/>
        </w:rPr>
        <w:t xml:space="preserve">Multi-Channel EMD Routing</w:t>
      </w:r>
    </w:p>
    <w:p>
      <w:pPr>
        <w:spacing w:after="80"/>
      </w:pPr>
      <w:r>
        <w:rPr>
          <w:b/>
          <w:bCs/>
          <w:i/>
          <w:iCs/>
        </w:rPr>
        <w:t xml:space="preserve">Statement: </w:t>
      </w:r>
      <w:r>
        <w:t xml:space="preserve">EMD validation routes differently per sale format: Tender Auctions — manual offline bank transfer into the platform's corporate escrow account; no gateway; manual refunds. Express Auctions and Buy-Now — buyer's choice of Virtual Account Number (VAN) instant transfer or Credit Card authorization hold. Easy Auctions — VAN only; credit card authorization is barred, to avoid chargeback exposure on high-velocity liquidations.</w:t>
      </w:r>
    </w:p>
    <w:p>
      <w:pPr>
        <w:spacing w:after="160"/>
      </w:pPr>
      <w:r>
        <w:rPr>
          <w:b/>
          <w:bCs/>
          <w:i/>
          <w:iCs/>
        </w:rPr>
        <w:t xml:space="preserve">Logic / Rationale: </w:t>
      </w:r>
      <w:r>
        <w:t xml:space="preserve">Routes each channel through the transaction speed/risk profile appropriate to its format, keeping high-value legacy Tender transactions fully manual and insulated.</w:t>
      </w:r>
    </w:p>
    <w:p>
      <w:pPr>
        <w:spacing w:after="80" w:before="240"/>
      </w:pPr>
      <w:r>
        <w:rPr>
          <w:b/>
          <w:bCs/>
          <w:color w:val="B5651D"/>
          <w:sz w:val="23"/>
          <w:szCs w:val="23"/>
        </w:rPr>
        <w:t xml:space="preserve">BR-27: </w:t>
      </w:r>
      <w:r>
        <w:rPr>
          <w:b/>
          <w:bCs/>
          <w:sz w:val="23"/>
          <w:szCs w:val="23"/>
        </w:rPr>
        <w:t xml:space="preserve">EMD Baseline Calculation Protocol</w:t>
      </w:r>
    </w:p>
    <w:p>
      <w:pPr>
        <w:spacing w:after="80"/>
      </w:pPr>
      <w:r>
        <w:rPr>
          <w:b/>
          <w:bCs/>
          <w:i/>
          <w:iCs/>
        </w:rPr>
        <w:t xml:space="preserve">Statement: </w:t>
      </w:r>
      <w:r>
        <w:t>A flat 10% EMD is mandatory to place any bid or offer, calculated as: 10% of the seller's Expected Price (EV) for Buy-Now; 10% of the listing's Reserve Value (RV) for Express and Easy. No bid or offer is accepted without this baseline being pledged and available, checked live on every single bid, not only at close. Where the buyer's chosen payment method incurs a Payment Gateway collection charge, the buyer is charged that amount in addition to the stated EMD, calculated and disclosed at the point of payment, so that the full, undiminished 10% baseline is what actually lands in escrow — the collection charge is never deducted from the EMD itself.</w:t>
      </w:r>
    </w:p>
    <w:p>
      <w:pPr>
        <w:spacing w:after="160"/>
      </w:pPr>
      <w:r>
        <w:rPr>
          <w:b/>
          <w:bCs/>
          <w:i/>
          <w:iCs/>
        </w:rPr>
        <w:t xml:space="preserve">Logic / Rationale: </w:t>
      </w:r>
      <w:r>
        <w:t>Establishes a uniform entry threshold for commitment, deterring frivolous bidding while satisfying escrow-holding requirements. Grossing up for the Payment Gateway's own collection charge keeps the escrowed amount mathematically exact at all times, which every downstream calculation (top-up, forfeiture, refund, commission deduction) depends on — a silently reduced escrow balance would compromise all of those figures.</w:t>
      </w:r>
    </w:p>
    <w:p>
      <w:pPr>
        <w:spacing w:after="80" w:before="240"/>
      </w:pPr>
      <w:r>
        <w:rPr>
          <w:b/>
          <w:bCs/>
          <w:color w:val="B5651D"/>
          <w:sz w:val="23"/>
          <w:szCs w:val="23"/>
        </w:rPr>
        <w:t xml:space="preserve">BR-28: </w:t>
      </w:r>
      <w:r>
        <w:rPr>
          <w:b/>
          <w:bCs/>
          <w:sz w:val="23"/>
          <w:szCs w:val="23"/>
        </w:rPr>
        <w:t xml:space="preserve">Cascading H1 to H2 to H3 Baton-Pass &amp; Forfeiture</w:t>
      </w:r>
    </w:p>
    <w:p>
      <w:pPr>
        <w:spacing w:after="80"/>
      </w:pPr>
      <w:r>
        <w:rPr>
          <w:b/>
          <w:bCs/>
          <w:i/>
          <w:iCs/>
        </w:rPr>
        <w:t xml:space="preserve">Statement: </w:t>
      </w:r>
      <w:r>
        <w:t xml:space="preserve">If an auction closes above Reserve, the winning H1 bidder must top up their EMD to 10% of the actual closing value within a fixed window: 2 hours (Express) or 24 hours (Easy). If H1 fails to pay, they default and forfeit their EMD; the baton passes to H2, who now acts as H1 at H2's own bid price, with an equivalent window (Express: hours 2-4; Easy: 24-48hr). If H2 also defaults, the baton passes to H3 under the same terms (Express: hours 4-6; Easy: 48-72hr). If H3 also defaults, the auction is cancelled outright — it is not automatically relisted. On full cascade failure (all three defaulting), the seller receives zero share of any of the three forfeited EMDs; forfeited funds are retained entirely by the platform (Tenant + SaaS, per BR-34) specifically to remove any incentive for a seller to deliberately structure unreasonable/impossible sale terms to farm forfeiture revenue. Outside a full cascade (i.e., a single default that still results in a completed sale, or any other non-cascading default), the standard forfeiture destination in BR-34 applies. The seller's only recourse after a full-cascade cancellation is to relist the item under the standard archive-and-recreate lifecycle (BR-13).</w:t>
      </w:r>
    </w:p>
    <w:p>
      <w:pPr>
        <w:spacing w:after="160"/>
      </w:pPr>
      <w:r>
        <w:rPr>
          <w:b/>
          <w:bCs/>
          <w:i/>
          <w:iCs/>
        </w:rPr>
        <w:t xml:space="preserve">Logic / Rationale: </w:t>
      </w:r>
      <w:r>
        <w:t xml:space="preserve">Maintains auction momentum, ensures full security coverage of the actual closing value, penalizes non-paying bidders sequentially at each price level, and removes the perverse incentive a zero-share rule would otherwise create for sellers to engineer guaranteed-default auctions.</w:t>
      </w:r>
    </w:p>
    <w:p>
      <w:pPr>
        <w:spacing w:after="80" w:before="240"/>
      </w:pPr>
      <w:r>
        <w:rPr>
          <w:b/>
          <w:bCs/>
          <w:color w:val="B5651D"/>
          <w:sz w:val="23"/>
          <w:szCs w:val="23"/>
        </w:rPr>
        <w:t xml:space="preserve">BR-29: </w:t>
      </w:r>
      <w:r>
        <w:rPr>
          <w:b/>
          <w:bCs/>
          <w:sz w:val="23"/>
          <w:szCs w:val="23"/>
        </w:rPr>
        <w:t xml:space="preserve">Buy-Now EMD Adjustment &amp; Identity Masking</w:t>
      </w:r>
    </w:p>
    <w:p>
      <w:pPr>
        <w:spacing w:after="80"/>
      </w:pPr>
      <w:r>
        <w:rPr>
          <w:b/>
          <w:bCs/>
          <w:i/>
          <w:iCs/>
        </w:rPr>
        <w:t xml:space="preserve">Statement: </w:t>
      </w:r>
      <w:r>
        <w:t xml:space="preserve">If the final negotiated Buy-Now offer accepted by the seller is higher than the original Expected Price, the buyer must deposit the balance EMD to reach 10% of the final accepted price. If lower, any EMD held in excess is refunded immediately. Contact details and identities of both parties remain fully redacted until the full 10% EMD is cleared in escrow.</w:t>
      </w:r>
    </w:p>
    <w:p>
      <w:pPr>
        <w:spacing w:after="160"/>
      </w:pPr>
      <w:r>
        <w:rPr>
          <w:b/>
          <w:bCs/>
          <w:i/>
          <w:iCs/>
        </w:rPr>
        <w:t xml:space="preserve">Logic / Rationale: </w:t>
      </w:r>
      <w:r>
        <w:t xml:space="preserve">Protects platform commission collection, prevents off-platform collusion, and protects user privacy during sensitive negotiation.</w:t>
      </w:r>
    </w:p>
    <w:p>
      <w:pPr>
        <w:spacing w:after="80" w:before="240"/>
      </w:pPr>
      <w:r>
        <w:rPr>
          <w:b/>
          <w:bCs/>
          <w:color w:val="B5651D"/>
          <w:sz w:val="23"/>
          <w:szCs w:val="23"/>
        </w:rPr>
        <w:t xml:space="preserve">BR-30: </w:t>
      </w:r>
      <w:r>
        <w:rPr>
          <w:b/>
          <w:bCs/>
          <w:sz w:val="23"/>
          <w:szCs w:val="23"/>
        </w:rPr>
        <w:t xml:space="preserve">Format-Specific Inspection Rules</w:t>
      </w:r>
    </w:p>
    <w:p>
      <w:pPr>
        <w:spacing w:after="80"/>
      </w:pPr>
      <w:r>
        <w:rPr>
          <w:b/>
          <w:bCs/>
          <w:i/>
          <w:iCs/>
        </w:rPr>
        <w:t xml:space="preserve">Statement: </w:t>
      </w:r>
      <w:r>
        <w:t xml:space="preserve">Express Auctions have no inspection window at all — buyers commit sight-unseen, consistent with the format's high-velocity design. Easy Auctions and Buy-Now instead use a fixed 60-minute post-approval edit/grace window (BR-14) rather than a multi-day physical inspection period; buyers rely on listing photos, video, and app-captured authenticity data (BR-45) at bid time. Bidding on any format constitutes a waiver of the right to dispute the item's general condition post-win, absent a valid dispute under BR-40 (fraud or material description deviation).</w:t>
      </w:r>
    </w:p>
    <w:p>
      <w:pPr>
        <w:spacing w:after="160"/>
      </w:pPr>
      <w:r>
        <w:rPr>
          <w:b/>
          <w:bCs/>
          <w:i/>
          <w:iCs/>
        </w:rPr>
        <w:t xml:space="preserve">Logic / Rationale: </w:t>
      </w:r>
      <w:r>
        <w:t xml:space="preserve">Aligns each format's information availability with its own risk profile — Express prioritizes speed above all; Easy/Buy-Now provide a short parameter-correction window rather than a physical inspection period, placing appropriate reliance on listing accuracy and documented evidence.</w:t>
      </w:r>
    </w:p>
    <w:p>
      <w:pPr>
        <w:spacing w:after="80" w:before="240"/>
      </w:pPr>
      <w:r>
        <w:rPr>
          <w:b/>
          <w:bCs/>
          <w:color w:val="B5651D"/>
          <w:sz w:val="23"/>
          <w:szCs w:val="23"/>
        </w:rPr>
        <w:t xml:space="preserve">BR-31: </w:t>
      </w:r>
      <w:r>
        <w:rPr>
          <w:b/>
          <w:bCs/>
          <w:sz w:val="23"/>
          <w:szCs w:val="23"/>
        </w:rPr>
        <w:t xml:space="preserve">Success Fee &amp; Fee Payer Election</w:t>
      </w:r>
    </w:p>
    <w:p>
      <w:pPr>
        <w:spacing w:after="80"/>
      </w:pPr>
      <w:r>
        <w:rPr>
          <w:b/>
          <w:bCs/>
          <w:i/>
          <w:iCs/>
        </w:rPr>
        <w:t xml:space="preserve">Statement: </w:t>
      </w:r>
      <w:r>
        <w:t>The Success Fee is a single, platform-wide, non-tenant-adjustable schedule, declining by final sale value from 2.00% down to 0.50% (minimum ₹500 + GST), fully specified in Section 6.4. It replaces the earlier flat-0.5%-SaaS-plus-tenant-adjustable-0.5%-5%-band model. It applies uniformly to Buy-Now, Express, and Easy Auctions; Tender Auctions remain excluded and follow the CoCo Concierge terms instead (Section 6.2). By default the Trader (buyer) pays the Success Fee, so listing and selling remain free for the Market Maker (seller) exactly as before. A Market Maker on a paid TSX subscription tier (TSX Launch, TSX Growth, or TSX Enterprise — Section 6.4) may instead elect Seller-Pays per Trading Session (Fee Payer Election, BR-32) to absorb the fee itself, matching a 0%-visible-premium competitor; this is a deliberate exception the Market Maker chooses, not a change to the default. A CoCo Starter TSX has no such billing relationship with ADWITIX (Section 6.4, BR-33) and only ever runs Buyer-Pays.</w:t>
      </w:r>
    </w:p>
    <w:p>
      <w:pPr>
        <w:spacing w:after="160"/>
      </w:pPr>
      <w:r>
        <w:rPr>
          <w:b/>
          <w:bCs/>
          <w:i/>
          <w:iCs/>
        </w:rPr>
        <w:t xml:space="preserve">Logic / Rationale: </w:t>
      </w:r>
      <w:r>
        <w:t>Ensures a zero-friction entry barrier for sellers by default, funding the platform via buyer-side commission with zero seller cost in the ordinary case. Moving from a tenant-adjustable band to one fixed schedule removes tenant-to-tenant price competition on the fee itself, in favor of Fee Payer Election as the platform's actual competitive lever — letting a Market Maker match a 0%-buyer-premium rail (e.g. BAANKNET) without the platform ever discounting its own Success Fee revenue.</w:t>
      </w:r>
    </w:p>
    <w:p>
      <w:pPr>
        <w:spacing w:after="80" w:before="240"/>
      </w:pPr>
      <w:r>
        <w:rPr>
          <w:b/>
          <w:bCs/>
          <w:color w:val="B5651D"/>
          <w:sz w:val="23"/>
          <w:szCs w:val="23"/>
        </w:rPr>
        <w:t xml:space="preserve">BR-32: </w:t>
      </w:r>
      <w:r>
        <w:rPr>
          <w:b/>
          <w:bCs/>
          <w:sz w:val="23"/>
          <w:szCs w:val="23"/>
        </w:rPr>
        <w:t xml:space="preserve">Fee Payer Election &amp; Settlement Deduction</w:t>
      </w:r>
    </w:p>
    <w:p>
      <w:pPr>
        <w:spacing w:after="80"/>
      </w:pPr>
      <w:r>
        <w:rPr>
          <w:b/>
          <w:bCs/>
          <w:i/>
          <w:iCs/>
        </w:rPr>
        <w:t xml:space="preserve">Statement: </w:t>
      </w:r>
      <w:r>
        <w:t xml:space="preserve">Each Trading Session carries a Fee Payer Election, set by the Market Maker before the session opens and locked once bidding is live: Buyer-Pays (default) or Seller-Pays. Under Buyer-Pays, the Success Fee (BR-31) is calculated, locked, and deducted directly from the buyer's escrowed EMD at settlement, as before. Under Seller-Pays, the buyer's EMD is settled and released in full; because the platform never touches the seller's 100% sale-value proceeds (BR-33 — payment passes directly and offline, buyer to seller), the Success Fee cannot be deducted from those proceeds at settlement the way Buyer-Pays deducts from escrowed EMD. Instead, the fee is recorded against the TSX and consolidated into one GST-compliant invoice per TSX per calendar month, which the TSX Master settles directly with ADWITIX. Seller-Pays is therefore available only on a paid TSX subscription tier (TSX Launch, TSX Growth, TSX Enterprise — Section 6.4); a CoCo Starter TSX has no such billing relationship and only ever runs Buyer-Pays. The fee amount and the platform's revenue are identical either way — only who it is billed to, and how, changes. The Tenant Admin no longer adjusts the fee rate itself, which is fixed platform-wide (BR-31).</w:t>
      </w:r>
    </w:p>
    <w:p>
      <w:pPr>
        <w:spacing w:after="160"/>
      </w:pPr>
      <w:r>
        <w:rPr>
          <w:b/>
          <w:bCs/>
          <w:i/>
          <w:iCs/>
        </w:rPr>
        <w:t xml:space="preserve">Logic / Rationale: </w:t>
      </w:r>
      <w:r>
        <w:t xml:space="preserve">Streamlines cash flow and guarantees fee collection: Buyer-Pays nets directly from the escrowed EMD already moving at settlement, with no separate charge required. Seller-Pays cannot use that same real-time mechanism — BR-33 deliberately keeps the platform out of the seller's proceeds entirely — so it instead relies on the TSX's own monthly billing relationship with ADWITIX, a guaranteed collection path even though it is consolidated rather than instantaneous, and the reason the option is confined to TSXs that already carry a paid subscription.</w:t>
      </w:r>
    </w:p>
    <w:p>
      <w:pPr>
        <w:spacing w:after="80" w:before="240"/>
      </w:pPr>
      <w:r>
        <w:rPr>
          <w:b/>
          <w:bCs/>
          <w:color w:val="B5651D"/>
          <w:sz w:val="23"/>
          <w:szCs w:val="23"/>
        </w:rPr>
        <w:t xml:space="preserve">BR-33: </w:t>
      </w:r>
      <w:r>
        <w:rPr>
          <w:b/>
          <w:bCs/>
          <w:sz w:val="23"/>
          <w:szCs w:val="23"/>
        </w:rPr>
        <w:t xml:space="preserve">Dual-Sided NOC &amp; Mandatory Rating Settlement Gate</w:t>
      </w:r>
    </w:p>
    <w:p>
      <w:pPr>
        <w:spacing w:after="80"/>
      </w:pPr>
      <w:r>
        <w:rPr>
          <w:b/>
          <w:bCs/>
          <w:i/>
          <w:iCs/>
        </w:rPr>
        <w:t xml:space="preserve">Statement: </w:t>
      </w:r>
      <w:r>
        <w:t xml:space="preserve">Upon a successful sale, the buyer pays 100% of the sale value directly to the seller, offline, either after the seller ships the goods or the buyer lifts them from the yard. The platform never touches this 100% value — only the EMD is ever escrowed. A deal formally closes only once all four of the following are complete: (1) the seller registers a digital NOC confirming full fund clearance; (2) the buyer registers a digital NOC confirming goods received; (3) the buyer submits a mandatory star rating of the seller; and (4) the seller submits a mandatory star rating of the buyer. Only once all four are in does the platform finalize settlement per the Trading Session's Fee Payer Election (BR-32): under Buyer-Pays, the Success Fee is deducted from the held EMD and the remaining balance released to the buyer; under Seller-Pays, the full EMD balance is released to the buyer and the Success Fee is instead deducted from the seller's proceeds.</w:t>
      </w:r>
    </w:p>
    <w:p>
      <w:pPr>
        <w:spacing w:after="160"/>
      </w:pPr>
      <w:r>
        <w:rPr>
          <w:b/>
          <w:bCs/>
          <w:i/>
          <w:iCs/>
        </w:rPr>
        <w:t xml:space="preserve">Logic / Rationale: </w:t>
      </w:r>
      <w:r>
        <w:t xml:space="preserve">Guarantees each party independently attests to the fact only they can verify (money received / goods received), and guarantees the Star Rating system is fed by genuine transaction volume rather than optional, low-participation feedback.</w:t>
      </w:r>
    </w:p>
    <w:p>
      <w:pPr>
        <w:spacing w:after="80" w:before="240"/>
      </w:pPr>
      <w:r>
        <w:rPr>
          <w:b/>
          <w:bCs/>
          <w:color w:val="B5651D"/>
          <w:sz w:val="23"/>
          <w:szCs w:val="23"/>
        </w:rPr>
        <w:t xml:space="preserve">BR-34: </w:t>
      </w:r>
      <w:r>
        <w:rPr>
          <w:b/>
          <w:bCs/>
          <w:sz w:val="23"/>
          <w:szCs w:val="23"/>
        </w:rPr>
        <w:t xml:space="preserve">Forfeited EMD Allocation</w:t>
      </w:r>
    </w:p>
    <w:p>
      <w:pPr>
        <w:spacing w:after="80"/>
      </w:pPr>
      <w:r>
        <w:rPr>
          <w:b/>
          <w:bCs/>
          <w:i/>
          <w:iCs/>
        </w:rPr>
        <w:t xml:space="preserve">Statement: </w:t>
      </w:r>
      <w:r>
        <w:t xml:space="preserve">Outside a full cascade-failure scenario (BR-28), when a buyer defaults on their balance EMD, the escrowed EMD is fully forfeited. Standard allocation: the Success Fee (BR-31) that would have applied under that session's Fee Payer Election is deducted first; the remainder passes to the seller as compensation for the failed deal. In a full-cascade scenario (BR-28), the seller is excluded from this compensation entirely — all forfeited funds are retained by the platform.</w:t>
      </w:r>
    </w:p>
    <w:p>
      <w:pPr>
        <w:spacing w:after="160"/>
      </w:pPr>
      <w:r>
        <w:rPr>
          <w:b/>
          <w:bCs/>
          <w:i/>
          <w:iCs/>
        </w:rPr>
        <w:t xml:space="preserve">Logic / Rationale: </w:t>
      </w:r>
      <w:r>
        <w:t xml:space="preserve">Compensates the seller for a genuinely failed deal in the ordinary case, while the cascade-failure exception (BR-28) specifically prevents this compensation from creating a forfeiture-farming incentive.</w:t>
      </w:r>
    </w:p>
    <w:p>
      <w:pPr>
        <w:spacing w:after="80" w:before="240"/>
      </w:pPr>
      <w:r>
        <w:rPr>
          <w:b/>
          <w:bCs/>
          <w:color w:val="B5651D"/>
          <w:sz w:val="23"/>
          <w:szCs w:val="23"/>
        </w:rPr>
        <w:t xml:space="preserve">BR-35: </w:t>
      </w:r>
      <w:r>
        <w:rPr>
          <w:b/>
          <w:bCs/>
          <w:sz w:val="23"/>
          <w:szCs w:val="23"/>
        </w:rPr>
        <w:t xml:space="preserve">Default Star Rating Baseline &amp; Event Tables</w:t>
      </w:r>
    </w:p>
    <w:p>
      <w:pPr>
        <w:spacing w:after="80"/>
      </w:pPr>
      <w:r>
        <w:rPr>
          <w:b/>
          <w:bCs/>
          <w:i/>
          <w:iCs/>
        </w:rPr>
        <w:t xml:space="preserve">Statement: </w:t>
      </w:r>
      <w:r>
        <w:t>Every user starts at a neutral 3.0-star rating on both independent scores — starRating (buyer) and sellerStarRating (seller) — triggered on profile completion. Inactivity never moves either score. Movement between whole stars is governed by a 10-point scale, where each 0.1★ increment is the base unit — small, routine behaviour moves the rating by a small amount (0.1★-0.3★), a genuine lapse or a genuinely consistent habit moves it by a moderate amount (0.4★-0.7★), and deliberate, severe, or repeated failure moves it by a large amount (0.8★ and above), including the possibility of crossing more than one full star in a single event where warranted. Positive movement is deliberately capped lower than negative movement can go — the largest single positive event is smaller than the largest single negative event — since trust is intended to build gradually across a pattern of good conduct, not be recovered in one favourable transaction. The full graduated event tables for both scores follow this Rule. Any case a user considers disproportionate may be raised through the standard appeal right (BR-36).</w:t>
      </w:r>
    </w:p>
    <w:p>
      <w:pPr>
        <w:spacing w:after="160"/>
      </w:pPr>
      <w:r>
        <w:rPr>
          <w:b/>
          <w:bCs/>
          <w:i/>
          <w:iCs/>
        </w:rPr>
        <w:t xml:space="preserve">Logic / Rationale: </w:t>
      </w:r>
      <w:r>
        <w:t xml:space="preserve">Establishes a fair, consistent, and dual-independent reputation baseline that reflects genuine behavior rather than transaction frequency.</w:t>
      </w:r>
    </w:p>
    <w:p/>
    <w:p/>
    <w:p>
      <w:pPr>
        <w:spacing w:after="0"/>
      </w:pPr>
      <w:r>
        <w:rPr>
          <w:b/>
          <w:color w:val="B5651D"/>
        </w:rPr>
        <w:t>Buyer Rating (starRating) — Graduated Event Table</w:t>
      </w:r>
    </w:p>
    <w:p>
      <w:pPr>
        <w:spacing w:after="0"/>
      </w:pPr>
      <w:r>
        <w:rPr>
          <w:b/>
          <w:i/>
          <w:color w:val="B5651D"/>
        </w:rPr>
        <w:t>Small (0.1★–0.3★) — routine behaviour, low stakes either way</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High Participation (5+ bids in 30 days)</w:t>
            </w:r>
          </w:p>
        </w:tc>
        <w:tc>
          <w:tcPr>
            <w:tcW w:type="dxa" w:w="5040"/>
          </w:tcPr>
          <w:p>
            <w:r>
              <w:t>+0.1★</w:t>
            </w:r>
          </w:p>
        </w:tc>
      </w:tr>
      <w:tr>
        <w:tc>
          <w:tcPr>
            <w:tcW w:type="dxa" w:w="5040"/>
          </w:tcPr>
          <w:p>
            <w:r>
              <w:t>Prompt seller-query responses during a live deal</w:t>
            </w:r>
          </w:p>
        </w:tc>
        <w:tc>
          <w:tcPr>
            <w:tcW w:type="dxa" w:w="5040"/>
          </w:tcPr>
          <w:p>
            <w:r>
              <w:t>+0.1★</w:t>
            </w:r>
          </w:p>
        </w:tc>
      </w:tr>
      <w:tr>
        <w:tc>
          <w:tcPr>
            <w:tcW w:type="dxa" w:w="5040"/>
          </w:tcPr>
          <w:p>
            <w:r>
              <w:t>Prompt NOC confirmation (goods-received, filed promptly)</w:t>
            </w:r>
          </w:p>
        </w:tc>
        <w:tc>
          <w:tcPr>
            <w:tcW w:type="dxa" w:w="5040"/>
          </w:tcPr>
          <w:p>
            <w:r>
              <w:t>+0.1★</w:t>
            </w:r>
          </w:p>
        </w:tc>
      </w:tr>
      <w:tr>
        <w:tc>
          <w:tcPr>
            <w:tcW w:type="dxa" w:w="5040"/>
          </w:tcPr>
          <w:p>
            <w:r>
              <w:t>Prompt rating submission of the seller</w:t>
            </w:r>
          </w:p>
        </w:tc>
        <w:tc>
          <w:tcPr>
            <w:tcW w:type="dxa" w:w="5040"/>
          </w:tcPr>
          <w:p>
            <w:r>
              <w:t>+0.1★</w:t>
            </w:r>
          </w:p>
        </w:tc>
      </w:tr>
      <w:tr>
        <w:tc>
          <w:tcPr>
            <w:tcW w:type="dxa" w:w="5040"/>
          </w:tcPr>
          <w:p>
            <w:r>
              <w:t>Successful Collection (clean handover)</w:t>
            </w:r>
          </w:p>
        </w:tc>
        <w:tc>
          <w:tcPr>
            <w:tcW w:type="dxa" w:w="5040"/>
          </w:tcPr>
          <w:p>
            <w:r>
              <w:t>+0.2★</w:t>
            </w:r>
          </w:p>
        </w:tc>
      </w:tr>
      <w:tr>
        <w:tc>
          <w:tcPr>
            <w:tcW w:type="dxa" w:w="5040"/>
          </w:tcPr>
          <w:p>
            <w:r>
              <w:t>Clean Inspection (no dispute after an Easy Auction win)</w:t>
            </w:r>
          </w:p>
        </w:tc>
        <w:tc>
          <w:tcPr>
            <w:tcW w:type="dxa" w:w="5040"/>
          </w:tcPr>
          <w:p>
            <w:r>
              <w:t>+0.3★</w:t>
            </w:r>
          </w:p>
        </w:tc>
      </w:tr>
      <w:tr>
        <w:tc>
          <w:tcPr>
            <w:tcW w:type="dxa" w:w="5040"/>
          </w:tcPr>
          <w:p>
            <w:r>
              <w:t>Repeated weak/unconvincing withdrawal reasons (pattern)</w:t>
            </w:r>
          </w:p>
        </w:tc>
        <w:tc>
          <w:tcPr>
            <w:tcW w:type="dxa" w:w="5040"/>
          </w:tcPr>
          <w:p>
            <w:r>
              <w:t>−0.2★</w:t>
            </w:r>
          </w:p>
        </w:tc>
      </w:tr>
    </w:tbl>
    <w:p>
      <w:pPr>
        <w:spacing w:after="0"/>
      </w:pPr>
      <w:r>
        <w:rPr>
          <w:b/>
          <w:i/>
          <w:color w:val="B5651D"/>
        </w:rPr>
        <w:t>Medium (0.4★–0.7★) — a genuine lapse or a genuinely consistent habit</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Early Settlement (balance paid within 48 hours of H1)</w:t>
            </w:r>
          </w:p>
        </w:tc>
        <w:tc>
          <w:tcPr>
            <w:tcW w:type="dxa" w:w="5040"/>
          </w:tcPr>
          <w:p>
            <w:r>
              <w:t>+0.5★</w:t>
            </w:r>
          </w:p>
        </w:tc>
      </w:tr>
      <w:tr>
        <w:tc>
          <w:tcPr>
            <w:tcW w:type="dxa" w:w="5040"/>
          </w:tcPr>
          <w:p>
            <w:r>
              <w:t>Sustained clean streak (10 consecutive dispute-free transactions)</w:t>
            </w:r>
          </w:p>
        </w:tc>
        <w:tc>
          <w:tcPr>
            <w:tcW w:type="dxa" w:w="5040"/>
          </w:tcPr>
          <w:p>
            <w:r>
              <w:t>+0.6★</w:t>
            </w:r>
          </w:p>
        </w:tc>
      </w:tr>
      <w:tr>
        <w:tc>
          <w:tcPr>
            <w:tcW w:type="dxa" w:w="5040"/>
          </w:tcPr>
          <w:p>
            <w:r>
              <w:t>Late Payment (more than 7 days from H1)</w:t>
            </w:r>
          </w:p>
        </w:tc>
        <w:tc>
          <w:tcPr>
            <w:tcW w:type="dxa" w:w="5040"/>
          </w:tcPr>
          <w:p>
            <w:r>
              <w:t>−0.5★</w:t>
            </w:r>
          </w:p>
        </w:tc>
      </w:tr>
      <w:tr>
        <w:tc>
          <w:tcPr>
            <w:tcW w:type="dxa" w:w="5040"/>
          </w:tcPr>
          <w:p>
            <w:r>
              <w:t>Stalling pattern (5th forced-neutral-rating instance, per BR-39)</w:t>
            </w:r>
          </w:p>
        </w:tc>
        <w:tc>
          <w:tcPr>
            <w:tcW w:type="dxa" w:w="5040"/>
          </w:tcPr>
          <w:p>
            <w:r>
              <w:t>−0.5★</w:t>
            </w:r>
          </w:p>
        </w:tc>
      </w:tr>
      <w:tr>
        <w:tc>
          <w:tcPr>
            <w:tcW w:type="dxa" w:w="5040"/>
          </w:tcPr>
          <w:p>
            <w:r>
              <w:t>Repeated baseless dispute-filing pattern</w:t>
            </w:r>
          </w:p>
        </w:tc>
        <w:tc>
          <w:tcPr>
            <w:tcW w:type="dxa" w:w="5040"/>
          </w:tcPr>
          <w:p>
            <w:r>
              <w:t>−0.6★</w:t>
            </w:r>
          </w:p>
        </w:tc>
      </w:tr>
    </w:tbl>
    <w:p>
      <w:pPr>
        <w:spacing w:after="0"/>
      </w:pPr>
      <w:r>
        <w:rPr>
          <w:b/>
          <w:i/>
          <w:color w:val="B5651D"/>
        </w:rPr>
        <w:t>Large (0.8★ and above) — deliberate, severe, or repeated failure</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Frivolous Dispute (baseless condition complaint after winning)</w:t>
            </w:r>
          </w:p>
        </w:tc>
        <w:tc>
          <w:tcPr>
            <w:tcW w:type="dxa" w:w="5040"/>
          </w:tcPr>
          <w:p>
            <w:r>
              <w:t>−1.5★</w:t>
            </w:r>
          </w:p>
        </w:tc>
      </w:tr>
      <w:tr>
        <w:tc>
          <w:tcPr>
            <w:tcW w:type="dxa" w:w="5040"/>
          </w:tcPr>
          <w:p>
            <w:r>
              <w:t>1st Default (non-payment, non-lifting, disruptive conduct)</w:t>
            </w:r>
          </w:p>
        </w:tc>
        <w:tc>
          <w:tcPr>
            <w:tcW w:type="dxa" w:w="5040"/>
          </w:tcPr>
          <w:p>
            <w:r>
              <w:t>−1.0★</w:t>
            </w:r>
          </w:p>
        </w:tc>
      </w:tr>
      <w:tr>
        <w:tc>
          <w:tcPr>
            <w:tcW w:type="dxa" w:w="5040"/>
          </w:tcPr>
          <w:p>
            <w:r>
              <w:t>2nd Default (within the 12-month window)</w:t>
            </w:r>
          </w:p>
        </w:tc>
        <w:tc>
          <w:tcPr>
            <w:tcW w:type="dxa" w:w="5040"/>
          </w:tcPr>
          <w:p>
            <w:r>
              <w:t>−1.5★</w:t>
            </w:r>
          </w:p>
        </w:tc>
      </w:tr>
      <w:tr>
        <w:tc>
          <w:tcPr>
            <w:tcW w:type="dxa" w:w="5040"/>
          </w:tcPr>
          <w:p>
            <w:r>
              <w:t>3rd Default (within the same window)</w:t>
            </w:r>
          </w:p>
        </w:tc>
        <w:tc>
          <w:tcPr>
            <w:tcW w:type="dxa" w:w="5040"/>
          </w:tcPr>
          <w:p>
            <w:r>
              <w:t>−2.0★ or floor</w:t>
            </w:r>
          </w:p>
        </w:tc>
      </w:tr>
      <w:tr>
        <w:tc>
          <w:tcPr>
            <w:tcW w:type="dxa" w:w="5040"/>
          </w:tcPr>
          <w:p>
            <w:r>
              <w:t>Disruptive conduct or harassment at handover</w:t>
            </w:r>
          </w:p>
        </w:tc>
        <w:tc>
          <w:tcPr>
            <w:tcW w:type="dxa" w:w="5040"/>
          </w:tcPr>
          <w:p>
            <w:r>
              <w:t>−1.5★</w:t>
            </w:r>
          </w:p>
        </w:tc>
      </w:tr>
      <w:tr>
        <w:tc>
          <w:tcPr>
            <w:tcW w:type="dxa" w:w="5040"/>
          </w:tcPr>
          <w:p>
            <w:r>
              <w:t>Confirmed fishing/circumvention pattern (reveal-then-abandon)</w:t>
            </w:r>
          </w:p>
        </w:tc>
        <w:tc>
          <w:tcPr>
            <w:tcW w:type="dxa" w:w="5040"/>
          </w:tcPr>
          <w:p>
            <w:r>
              <w:t>−1.5★</w:t>
            </w:r>
          </w:p>
        </w:tc>
      </w:tr>
      <w:tr>
        <w:tc>
          <w:tcPr>
            <w:tcW w:type="dxa" w:w="5040"/>
          </w:tcPr>
          <w:p>
            <w:r>
              <w:t>Chargeback filed against an already-approved, legitimate forfeiture</w:t>
            </w:r>
          </w:p>
        </w:tc>
        <w:tc>
          <w:tcPr>
            <w:tcW w:type="dxa" w:w="5040"/>
          </w:tcPr>
          <w:p>
            <w:r>
              <w:t>−2.0★</w:t>
            </w:r>
          </w:p>
        </w:tc>
      </w:tr>
      <w:tr>
        <w:tc>
          <w:tcPr>
            <w:tcW w:type="dxa" w:w="5040"/>
          </w:tcPr>
          <w:p>
            <w:r>
              <w:t>Confirmed false KYC information</w:t>
            </w:r>
          </w:p>
        </w:tc>
        <w:tc>
          <w:tcPr>
            <w:tcW w:type="dxa" w:w="5040"/>
          </w:tcPr>
          <w:p>
            <w:r>
              <w:t>Reset to 1★</w:t>
            </w:r>
          </w:p>
        </w:tc>
      </w:tr>
    </w:tbl>
    <w:p/>
    <w:p>
      <w:pPr>
        <w:spacing w:after="0"/>
      </w:pPr>
      <w:r>
        <w:rPr>
          <w:b/>
          <w:color w:val="B5651D"/>
        </w:rPr>
        <w:t>Seller Rating (sellerStarRating) — Graduated Event Table</w:t>
      </w:r>
    </w:p>
    <w:p>
      <w:pPr>
        <w:spacing w:after="0"/>
      </w:pPr>
      <w:r>
        <w:rPr>
          <w:b/>
          <w:i/>
          <w:color w:val="B5651D"/>
        </w:rPr>
        <w:t>Small (0.1★–0.3★) — routine behaviour, low stakes either way</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Prompt NOC confirmation (fund-clearance confirmed quickly)</w:t>
            </w:r>
          </w:p>
        </w:tc>
        <w:tc>
          <w:tcPr>
            <w:tcW w:type="dxa" w:w="5040"/>
          </w:tcPr>
          <w:p>
            <w:r>
              <w:t>+0.1★</w:t>
            </w:r>
          </w:p>
        </w:tc>
      </w:tr>
      <w:tr>
        <w:tc>
          <w:tcPr>
            <w:tcW w:type="dxa" w:w="5040"/>
          </w:tcPr>
          <w:p>
            <w:r>
              <w:t>Prompt rating submission of the buyer</w:t>
            </w:r>
          </w:p>
        </w:tc>
        <w:tc>
          <w:tcPr>
            <w:tcW w:type="dxa" w:w="5040"/>
          </w:tcPr>
          <w:p>
            <w:r>
              <w:t>+0.1★</w:t>
            </w:r>
          </w:p>
        </w:tc>
      </w:tr>
      <w:tr>
        <w:tc>
          <w:tcPr>
            <w:tcW w:type="dxa" w:w="5040"/>
          </w:tcPr>
          <w:p>
            <w:r>
              <w:t>Fulfilling promised shipping exactly as stated</w:t>
            </w:r>
          </w:p>
        </w:tc>
        <w:tc>
          <w:tcPr>
            <w:tcW w:type="dxa" w:w="5040"/>
          </w:tcPr>
          <w:p>
            <w:r>
              <w:t>+0.1★</w:t>
            </w:r>
          </w:p>
        </w:tc>
      </w:tr>
      <w:tr>
        <w:tc>
          <w:tcPr>
            <w:tcW w:type="dxa" w:w="5040"/>
          </w:tcPr>
          <w:p>
            <w:r>
              <w:t>Detailed Documentation (video + photos + location/map)</w:t>
            </w:r>
          </w:p>
        </w:tc>
        <w:tc>
          <w:tcPr>
            <w:tcW w:type="dxa" w:w="5040"/>
          </w:tcPr>
          <w:p>
            <w:r>
              <w:t>+0.2★</w:t>
            </w:r>
          </w:p>
        </w:tc>
      </w:tr>
      <w:tr>
        <w:tc>
          <w:tcPr>
            <w:tcW w:type="dxa" w:w="5040"/>
          </w:tcPr>
          <w:p>
            <w:r>
              <w:t>Rapid Handover (NOC/delivery within 24 hours of payment)</w:t>
            </w:r>
          </w:p>
        </w:tc>
        <w:tc>
          <w:tcPr>
            <w:tcW w:type="dxa" w:w="5040"/>
          </w:tcPr>
          <w:p>
            <w:r>
              <w:t>+0.3★</w:t>
            </w:r>
          </w:p>
        </w:tc>
      </w:tr>
    </w:tbl>
    <w:p>
      <w:pPr>
        <w:spacing w:after="0"/>
      </w:pPr>
      <w:r>
        <w:rPr>
          <w:b/>
          <w:i/>
          <w:color w:val="B5651D"/>
        </w:rPr>
        <w:t>Medium (0.4★–0.7★) — a genuine lapse or a genuinely consistent habit</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Accurate Description (buyers consistently rate listing accuracy highly)</w:t>
            </w:r>
          </w:p>
        </w:tc>
        <w:tc>
          <w:tcPr>
            <w:tcW w:type="dxa" w:w="5040"/>
          </w:tcPr>
          <w:p>
            <w:r>
              <w:t>+0.4★</w:t>
            </w:r>
          </w:p>
        </w:tc>
      </w:tr>
      <w:tr>
        <w:tc>
          <w:tcPr>
            <w:tcW w:type="dxa" w:w="5040"/>
          </w:tcPr>
          <w:p>
            <w:r>
              <w:t>Sustained clean streak (10 consecutive transactions, zero disputes/rejections)</w:t>
            </w:r>
          </w:p>
        </w:tc>
        <w:tc>
          <w:tcPr>
            <w:tcW w:type="dxa" w:w="5040"/>
          </w:tcPr>
          <w:p>
            <w:r>
              <w:t>+0.6★</w:t>
            </w:r>
          </w:p>
        </w:tc>
      </w:tr>
      <w:tr>
        <w:tc>
          <w:tcPr>
            <w:tcW w:type="dxa" w:w="5040"/>
          </w:tcPr>
          <w:p>
            <w:r>
              <w:t>Delayed Collection (unreachable at handover)</w:t>
            </w:r>
          </w:p>
        </w:tc>
        <w:tc>
          <w:tcPr>
            <w:tcW w:type="dxa" w:w="5040"/>
          </w:tcPr>
          <w:p>
            <w:r>
              <w:t>−0.5★</w:t>
            </w:r>
          </w:p>
        </w:tc>
      </w:tr>
      <w:tr>
        <w:tc>
          <w:tcPr>
            <w:tcW w:type="dxa" w:w="5040"/>
          </w:tcPr>
          <w:p>
            <w:r>
              <w:t>Stalling pattern (5th forced-neutral-rating instance, per BR-39)</w:t>
            </w:r>
          </w:p>
        </w:tc>
        <w:tc>
          <w:tcPr>
            <w:tcW w:type="dxa" w:w="5040"/>
          </w:tcPr>
          <w:p>
            <w:r>
              <w:t>−0.5★</w:t>
            </w:r>
          </w:p>
        </w:tc>
      </w:tr>
      <w:tr>
        <w:tc>
          <w:tcPr>
            <w:tcW w:type="dxa" w:w="5040"/>
          </w:tcPr>
          <w:p>
            <w:r>
              <w:t>Repeated baseless Easy-Auction rejection pattern</w:t>
            </w:r>
          </w:p>
        </w:tc>
        <w:tc>
          <w:tcPr>
            <w:tcW w:type="dxa" w:w="5040"/>
          </w:tcPr>
          <w:p>
            <w:r>
              <w:t>−0.6★</w:t>
            </w:r>
          </w:p>
        </w:tc>
      </w:tr>
    </w:tbl>
    <w:p>
      <w:pPr>
        <w:spacing w:after="0"/>
      </w:pPr>
      <w:r>
        <w:rPr>
          <w:b/>
          <w:i/>
          <w:color w:val="B5651D"/>
        </w:rPr>
        <w:t>Large (0.8★ and above) — deliberate, severe, or repeated failure</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Unprofessional Conduct (verified buyer complaint)</w:t>
            </w:r>
          </w:p>
        </w:tc>
        <w:tc>
          <w:tcPr>
            <w:tcW w:type="dxa" w:w="5040"/>
          </w:tcPr>
          <w:p>
            <w:r>
              <w:t>−1.0★</w:t>
            </w:r>
          </w:p>
        </w:tc>
      </w:tr>
      <w:tr>
        <w:tc>
          <w:tcPr>
            <w:tcW w:type="dxa" w:w="5040"/>
          </w:tcPr>
          <w:p>
            <w:r>
              <w:t>Data Mismatch (significant discrepancy)</w:t>
            </w:r>
          </w:p>
        </w:tc>
        <w:tc>
          <w:tcPr>
            <w:tcW w:type="dxa" w:w="5040"/>
          </w:tcPr>
          <w:p>
            <w:r>
              <w:t>−1.5★</w:t>
            </w:r>
          </w:p>
        </w:tc>
      </w:tr>
      <w:tr>
        <w:tc>
          <w:tcPr>
            <w:tcW w:type="dxa" w:w="5040"/>
          </w:tcPr>
          <w:p>
            <w:r>
              <w:t>Dishonest Express defect-disclosure (confirmed via dispute)</w:t>
            </w:r>
          </w:p>
        </w:tc>
        <w:tc>
          <w:tcPr>
            <w:tcW w:type="dxa" w:w="5040"/>
          </w:tcPr>
          <w:p>
            <w:r>
              <w:t>−1.5★</w:t>
            </w:r>
          </w:p>
        </w:tc>
      </w:tr>
      <w:tr>
        <w:tc>
          <w:tcPr>
            <w:tcW w:type="dxa" w:w="5040"/>
          </w:tcPr>
          <w:p>
            <w:r>
              <w:t>Confirmed off-platform solicitation (seller-side fishing)</w:t>
            </w:r>
          </w:p>
        </w:tc>
        <w:tc>
          <w:tcPr>
            <w:tcW w:type="dxa" w:w="5040"/>
          </w:tcPr>
          <w:p>
            <w:r>
              <w:t>−1.5★</w:t>
            </w:r>
          </w:p>
        </w:tc>
      </w:tr>
      <w:tr>
        <w:tc>
          <w:tcPr>
            <w:tcW w:type="dxa" w:w="5040"/>
          </w:tcPr>
          <w:p>
            <w:r>
              <w:t>Confirmed CBS violation (stock/fake photo, past warning stage)</w:t>
            </w:r>
          </w:p>
        </w:tc>
        <w:tc>
          <w:tcPr>
            <w:tcW w:type="dxa" w:w="5040"/>
          </w:tcPr>
          <w:p>
            <w:r>
              <w:t>−2.0★</w:t>
            </w:r>
          </w:p>
        </w:tc>
      </w:tr>
      <w:tr>
        <w:tc>
          <w:tcPr>
            <w:tcW w:type="dxa" w:w="5040"/>
          </w:tcPr>
          <w:p>
            <w:r>
              <w:t>Confirmed fraud (bid manipulation, deliberate misrepresentation)</w:t>
            </w:r>
          </w:p>
        </w:tc>
        <w:tc>
          <w:tcPr>
            <w:tcW w:type="dxa" w:w="5040"/>
          </w:tcPr>
          <w:p>
            <w:r>
              <w:t>Reset to 1★</w:t>
            </w:r>
          </w:p>
        </w:tc>
      </w:tr>
      <w:tr>
        <w:tc>
          <w:tcPr>
            <w:tcW w:type="dxa" w:w="5040"/>
          </w:tcPr>
          <w:p>
            <w:r>
              <w:t>Confirmed KYC fraud</w:t>
            </w:r>
          </w:p>
        </w:tc>
        <w:tc>
          <w:tcPr>
            <w:tcW w:type="dxa" w:w="5040"/>
          </w:tcPr>
          <w:p>
            <w:r>
              <w:t>Reset to 1★</w:t>
            </w:r>
          </w:p>
        </w:tc>
      </w:tr>
    </w:tbl>
    <w:p/>
    <w:p>
      <w:pPr>
        <w:spacing w:after="80" w:before="240"/>
      </w:pPr>
      <w:r>
        <w:rPr>
          <w:b/>
          <w:bCs/>
          <w:color w:val="B5651D"/>
          <w:sz w:val="23"/>
          <w:szCs w:val="23"/>
        </w:rPr>
        <w:t xml:space="preserve">BR-36: </w:t>
      </w:r>
      <w:r>
        <w:rPr>
          <w:b/>
          <w:bCs/>
          <w:sz w:val="23"/>
          <w:szCs w:val="23"/>
        </w:rPr>
        <w:t xml:space="preserve">Rating Governance — Human-Approval-Gated Downgrades</w:t>
      </w:r>
    </w:p>
    <w:p>
      <w:pPr>
        <w:spacing w:after="80"/>
      </w:pPr>
      <w:r>
        <w:rPr>
          <w:b/>
          <w:bCs/>
          <w:i/>
          <w:iCs/>
        </w:rPr>
        <w:t xml:space="preserve">Statement: </w:t>
      </w:r>
      <w:r>
        <w:t xml:space="preserve">Star rating upgrades apply automatically. Downgrades, however, require explicit review: downgrades between 5.0 and 2.1 stars must be approved by the Tenant Admin; downgrades to 2.0 stars or below require joint approval from both the Tenant Admin and the Super Admin. Every downgrade carries an appeal right for the affected user.</w:t>
      </w:r>
    </w:p>
    <w:p>
      <w:pPr>
        <w:spacing w:after="160"/>
      </w:pPr>
      <w:r>
        <w:rPr>
          <w:b/>
          <w:bCs/>
          <w:i/>
          <w:iCs/>
        </w:rPr>
        <w:t xml:space="preserve">Logic / Rationale: </w:t>
      </w:r>
      <w:r>
        <w:t xml:space="preserve">Protects users — particularly buyers, the platform's core patrons — from retaliatory or unfair rating manipulation, while ensuring dual sign-off before the most severe consequences take effect.</w:t>
      </w:r>
    </w:p>
    <w:p>
      <w:pPr>
        <w:spacing w:after="80" w:before="240"/>
      </w:pPr>
      <w:r>
        <w:rPr>
          <w:b/>
          <w:bCs/>
          <w:color w:val="B5651D"/>
          <w:sz w:val="23"/>
          <w:szCs w:val="23"/>
        </w:rPr>
        <w:t xml:space="preserve">BR-37: </w:t>
      </w:r>
      <w:r>
        <w:rPr>
          <w:b/>
          <w:bCs/>
          <w:sz w:val="23"/>
          <w:szCs w:val="23"/>
        </w:rPr>
        <w:t xml:space="preserve">Rating Portability Across Tenants</w:t>
      </w:r>
    </w:p>
    <w:p>
      <w:pPr>
        <w:spacing w:after="80"/>
      </w:pPr>
      <w:r>
        <w:rPr>
          <w:b/>
          <w:bCs/>
          <w:i/>
          <w:iCs/>
        </w:rPr>
        <w:t xml:space="preserve">Statement: </w:t>
      </w:r>
      <w:r>
        <w:t xml:space="preserve">Star ratings, dispute history, and behavioral records are permanently bound to a participant's single global identity across the entire platform, never local to one tenant. If a seller's approval is revoked by one tenant but they are later onboarded by a different tenant, their full historic rating and dispute ledger persists unchanged.</w:t>
      </w:r>
    </w:p>
    <w:p>
      <w:pPr>
        <w:spacing w:after="160"/>
      </w:pPr>
      <w:r>
        <w:rPr>
          <w:b/>
          <w:bCs/>
          <w:i/>
          <w:iCs/>
        </w:rPr>
        <w:t xml:space="preserve">Logic / Rationale: </w:t>
      </w:r>
      <w:r>
        <w:t xml:space="preserve">Prevents a bad-actor operator from erasing their reputation by simply moving to a new tenant, protecting the integrity of the platform-wide trust system.</w:t>
      </w:r>
    </w:p>
    <w:p>
      <w:pPr>
        <w:spacing w:after="80" w:before="240"/>
      </w:pPr>
      <w:r>
        <w:rPr>
          <w:b/>
          <w:bCs/>
          <w:color w:val="B5651D"/>
          <w:sz w:val="23"/>
          <w:szCs w:val="23"/>
        </w:rPr>
        <w:t xml:space="preserve">BR-38: </w:t>
      </w:r>
      <w:r>
        <w:rPr>
          <w:b/>
          <w:bCs/>
          <w:sz w:val="23"/>
          <w:szCs w:val="23"/>
        </w:rPr>
        <w:t xml:space="preserve">Crawl-Back &amp; Shadow Banning — Rehabilitation System</w:t>
      </w:r>
    </w:p>
    <w:p>
      <w:pPr>
        <w:spacing w:after="80"/>
      </w:pPr>
      <w:r>
        <w:rPr>
          <w:b/>
          <w:bCs/>
          <w:i/>
          <w:iCs/>
        </w:rPr>
        <w:t xml:space="preserve">Statement: </w:t>
      </w:r>
      <w:r>
        <w:t xml:space="preserve">Rather than an automatic hard suspension at any single threshold, a buyer whose starRating drops below 2 stars enters Crawl-Back: they are restricted to transacting only within that tenant's own defined 'Low' value bracket, with a defined number of consecutive clean transactions (escalating by offence count) required to restore 3 stars. Below a further threshold, both buyers and sellers enter Shadow Banning — a graduated suppression of platform-driven visibility (search, recommendations, ticker promotion) rather than an outright block; the user can still manually transact if they choose. A platform-wide, non-tenant-configurable floor applies at 1 star or below (a flat transaction ceiling), which can be raised via a published, SaaS-controlled standing-deposit formula. A mirrored flush-out ladder applies to sellers on sellerStarRating, ending in full delisting reserved strictly for confirmed fraud — never for accumulated ordinary poor ratings.</w:t>
      </w:r>
    </w:p>
    <w:p>
      <w:pPr>
        <w:spacing w:after="160"/>
      </w:pPr>
      <w:r>
        <w:rPr>
          <w:b/>
          <w:bCs/>
          <w:i/>
          <w:iCs/>
        </w:rPr>
        <w:t xml:space="preserve">Logic / Rationale: </w:t>
      </w:r>
      <w:r>
        <w:t xml:space="preserve">Provides a real, achievable path back to good standing rather than a punitive dead end, while still containing risk to sellers/buyers during a user's rehabilitation period and reserving permanent removal for genuine fraud only.</w:t>
      </w:r>
    </w:p>
    <w:p>
      <w:pPr>
        <w:spacing w:after="80" w:before="240"/>
      </w:pPr>
      <w:r>
        <w:rPr>
          <w:b/>
          <w:bCs/>
          <w:color w:val="B5651D"/>
          <w:sz w:val="23"/>
          <w:szCs w:val="23"/>
        </w:rPr>
        <w:t xml:space="preserve">BR-39: </w:t>
      </w:r>
      <w:r>
        <w:rPr>
          <w:b/>
          <w:bCs/>
          <w:sz w:val="23"/>
          <w:szCs w:val="23"/>
        </w:rPr>
        <w:t xml:space="preserve">Stall Resolution — Forced Neutral Rating Mechanism</w:t>
      </w:r>
    </w:p>
    <w:p>
      <w:pPr>
        <w:spacing w:after="80"/>
      </w:pPr>
      <w:r>
        <w:rPr>
          <w:b/>
          <w:bCs/>
          <w:i/>
          <w:iCs/>
        </w:rPr>
        <w:t xml:space="preserve">Statement: </w:t>
      </w:r>
      <w:r>
        <w:t>If a party required to submit a mandatory settlement rating (BR-33) fails to act, the system sends a time-bound warning message. If they still do not respond, the relevant admin (Tenant Admin for a stalling seller; Super Admin for a stalling buyer) force-applies a neutral 3-star rating on the stalling party's behalf, unblocking deal closure. This forced rating is neutral, never punitive, since the admin cannot know what the missing party's genuine assessment would have been. A single instance of this carries no consequence to the stalling party; however, 5 such instances recorded against the same user (tracked independently per role — buyer or seller) constitutes a pattern that itself triggers a −0.5★ rating penalty on the stalling party's rating (per the graduated event table in BR-35). Where the missing item is a stalled NOC rather than a rating, the admin's determination is a factual finding, not a neutral placeholder: the admin must log the specific basis relied upon (e.g., bank statement cross-reference, direct contact with the other party, delivery record reviewed) alongside the NOC entry, not just the resulting confirmation.</w:t>
      </w:r>
    </w:p>
    <w:p>
      <w:pPr>
        <w:spacing w:after="160"/>
      </w:pPr>
      <w:r>
        <w:rPr>
          <w:b/>
          <w:bCs/>
          <w:i/>
          <w:iCs/>
        </w:rPr>
        <w:t xml:space="preserve">Logic / Rationale: </w:t>
      </w:r>
      <w:r>
        <w:t xml:space="preserve">Prevents a stalling party from indefinitely blocking the other side's settlement, while avoiding the unfairness of fabricating either a good or a bad signal on their behalf — and still holding chronic non-responsiveness accountable as its own behavioral pattern. Logging the investigation basis for a force-logged NOC fixes accountability for what is, unlike a rating, an assertion of fact.</w:t>
      </w:r>
    </w:p>
    <w:p>
      <w:pPr>
        <w:spacing w:after="80" w:before="240"/>
      </w:pPr>
      <w:r>
        <w:rPr>
          <w:b/>
          <w:bCs/>
          <w:color w:val="B5651D"/>
          <w:sz w:val="23"/>
          <w:szCs w:val="23"/>
        </w:rPr>
        <w:t xml:space="preserve">BR-40: </w:t>
      </w:r>
      <w:r>
        <w:rPr>
          <w:b/>
          <w:bCs/>
          <w:sz w:val="23"/>
          <w:szCs w:val="23"/>
        </w:rPr>
        <w:t xml:space="preserve">Dispute Resolution Framework</w:t>
      </w:r>
    </w:p>
    <w:p>
      <w:pPr>
        <w:spacing w:after="80"/>
      </w:pPr>
      <w:r>
        <w:rPr>
          <w:b/>
          <w:bCs/>
          <w:i/>
          <w:iCs/>
        </w:rPr>
        <w:t xml:space="preserve">Statement: </w:t>
      </w:r>
      <w:r>
        <w:t>A structured dispute mechanism covers Payment Disputes, Condition/Delivery Disputes, Non-Lifting/Collection Disputes, Auction Rejection Disputes, Buyer Non-Response Disputes, and Standing Review — a sixth category, distinct from the first five in that it is system-initiated rather than filed by one party against another, with a Seller (or, symmetrically, a Buyer) as its subject rather than a respondent to a specific accuser (see BR-61). Tender is excluded entirely, consistent with its full isolation from the platform's EMD/rating system. A dispute must be filed within a defined window of the triggering event; both parties then have a defined window to submit evidence; the ruling authority (Tenant Admin for seller-side/transaction disputes, Super Admin for buyer-side disputes) then rules within a further defined window. Turnaround time targets favor the fastest resolution the evidence allows, rather than treating any window as a mandatory minimum delay. A Tenant Admin ruling may be appealed once, to the Super Admin, whose decision is final; Super Admin rulings made directly (buyer-side disputes) carry no further appeal. The ruling can force-log an NOC, order EMD forfeiture, apply a specific (non-neutral) rating consequence to the at-fault party, apply a Standing Review outcome (BR-61), or dismiss the claim. Every ruling must include a stated rationale identifying the specific evidence relied upon, not just the outcome — this rationale is what any appeal is actually reviewed against. Patterns of repeated, baseless dispute-filing are tracked as their own behavioral signal, and feed into Standing Review as one of its own triggers.</w:t>
      </w:r>
    </w:p>
    <w:p>
      <w:pPr>
        <w:spacing w:after="160"/>
      </w:pPr>
      <w:r>
        <w:rPr>
          <w:b/>
          <w:bCs/>
          <w:i/>
          <w:iCs/>
        </w:rPr>
        <w:t xml:space="preserve">Logic / Rationale: </w:t>
      </w:r>
      <w:r>
        <w:t xml:space="preserve">Provides every dispute scenario on the platform with one consistent, accountable, and fast resolution path, rather than leaving disagreements to informal or ad-hoc handling. Mandating a stated rationale, not just a decision, is what makes a ruling auditable and genuinely appealable rather than a black-box outcome.</w:t>
      </w:r>
    </w:p>
    <w:p>
      <w:pPr>
        <w:spacing w:after="80" w:before="240"/>
      </w:pPr>
      <w:r>
        <w:rPr>
          <w:b/>
          <w:bCs/>
          <w:color w:val="B5651D"/>
          <w:sz w:val="23"/>
          <w:szCs w:val="23"/>
        </w:rPr>
        <w:t xml:space="preserve">BR-41: </w:t>
      </w:r>
      <w:r>
        <w:rPr>
          <w:b/>
          <w:bCs/>
          <w:sz w:val="23"/>
          <w:szCs w:val="23"/>
        </w:rPr>
        <w:t xml:space="preserve">Seller Rating Visibility Pre-Bid</w:t>
      </w:r>
    </w:p>
    <w:p>
      <w:pPr>
        <w:spacing w:after="80"/>
      </w:pPr>
      <w:r>
        <w:rPr>
          <w:b/>
          <w:bCs/>
          <w:i/>
          <w:iCs/>
        </w:rPr>
        <w:t xml:space="preserve">Statement: </w:t>
      </w:r>
      <w:r>
        <w:t xml:space="preserve">Even in fully anonymous, price-only auction formats (Easy, Express), the seller's own sellerStarRating remains visible to all bidding buyers throughout the live event.</w:t>
      </w:r>
    </w:p>
    <w:p>
      <w:pPr>
        <w:spacing w:after="160"/>
      </w:pPr>
      <w:r>
        <w:rPr>
          <w:b/>
          <w:bCs/>
          <w:i/>
          <w:iCs/>
        </w:rPr>
        <w:t xml:space="preserve">Logic / Rationale: </w:t>
      </w:r>
      <w:r>
        <w:t xml:space="preserve">This is not a breach of bidder anonymity (BR-16) since it exposes the seller's own public reputation, not another bidder's private information — giving buyers a pre-bid trust signal on yard efficiency and reliability.</w:t>
      </w:r>
    </w:p>
    <w:p>
      <w:pPr>
        <w:spacing w:after="80" w:before="240"/>
      </w:pPr>
      <w:r>
        <w:rPr>
          <w:b/>
          <w:bCs/>
          <w:color w:val="B5651D"/>
          <w:sz w:val="23"/>
          <w:szCs w:val="23"/>
        </w:rPr>
        <w:t xml:space="preserve">BR-42: </w:t>
      </w:r>
      <w:r>
        <w:rPr>
          <w:b/>
          <w:bCs/>
          <w:sz w:val="23"/>
          <w:szCs w:val="23"/>
        </w:rPr>
        <w:t xml:space="preserve">Buy-Now Trust-Over-Price Discretion</w:t>
      </w:r>
    </w:p>
    <w:p>
      <w:pPr>
        <w:spacing w:after="80"/>
      </w:pPr>
      <w:r>
        <w:rPr>
          <w:b/>
          <w:bCs/>
          <w:i/>
          <w:iCs/>
        </w:rPr>
        <w:t xml:space="preserve">Statement: </w:t>
      </w:r>
      <w:r>
        <w:t xml:space="preserve">In Buy-Now, the seller has full discretion to select and accept a lower offer from a highly-rated buyer over a higher offer from a low-rated buyer, rather than being bound to an automatic highest-offer match. Whenever the seller accepts an offer other than the highest-value offer received, the seller must select a reason from a closed list (e.g., buyer's rating reflects stronger payment reliability, higher-value offer flagged by fishing/circumvention monitoring, other stated reason) and log it; this record is visible to the Tenant Admin and forms part of the transaction's audit trail.</w:t>
      </w:r>
    </w:p>
    <w:p>
      <w:pPr>
        <w:spacing w:after="160"/>
      </w:pPr>
      <w:r>
        <w:rPr>
          <w:b/>
          <w:bCs/>
          <w:i/>
          <w:iCs/>
        </w:rPr>
        <w:t xml:space="preserve">Logic / Rationale: </w:t>
      </w:r>
      <w:r>
        <w:t xml:space="preserve">Minimizes default risk by letting sellers trade a fractional amount for execution certainty, consistent with rating mattering only in judgment-based formats (never in pure price-determined auctions). Mandating a logged reason whenever the highest offer is bypassed gives the seller's discretion a documented, auditable basis, consistent with the platform's broader accountability standard applied to every other rejection/deviation point.</w:t>
      </w:r>
    </w:p>
    <w:p>
      <w:pPr>
        <w:spacing w:after="80" w:before="240"/>
      </w:pPr>
      <w:r>
        <w:rPr>
          <w:b/>
          <w:bCs/>
          <w:color w:val="B5651D"/>
          <w:sz w:val="23"/>
          <w:szCs w:val="23"/>
        </w:rPr>
        <w:t xml:space="preserve">BR-43: </w:t>
      </w:r>
      <w:r>
        <w:rPr>
          <w:b/>
          <w:bCs/>
          <w:sz w:val="23"/>
          <w:szCs w:val="23"/>
        </w:rPr>
        <w:t xml:space="preserve">150% Bid Ceiling Anti-Jacking Rule</w:t>
      </w:r>
    </w:p>
    <w:p>
      <w:pPr>
        <w:spacing w:after="80"/>
      </w:pPr>
      <w:r>
        <w:rPr>
          <w:b/>
          <w:bCs/>
          <w:i/>
          <w:iCs/>
        </w:rPr>
        <w:t xml:space="preserve">Statement: </w:t>
      </w:r>
      <w:r>
        <w:t xml:space="preserve">No manual, proxy, or custom bid is accepted if it exceeds 150% of the current high bid. Any bid exceeding this threshold is instantly blocked with a clear explanatory warning.</w:t>
      </w:r>
    </w:p>
    <w:p>
      <w:pPr>
        <w:spacing w:after="160"/>
      </w:pPr>
      <w:r>
        <w:rPr>
          <w:b/>
          <w:bCs/>
          <w:i/>
          <w:iCs/>
        </w:rPr>
        <w:t xml:space="preserve">Logic / Rationale: </w:t>
      </w:r>
      <w:r>
        <w:t xml:space="preserve">Protects buyers from catastrophic typing errors and prevents intentional price-jacking or market disruption, while preserving orderly price discovery.</w:t>
      </w:r>
    </w:p>
    <w:p>
      <w:pPr>
        <w:spacing w:after="80" w:before="240"/>
      </w:pPr>
      <w:r>
        <w:rPr>
          <w:b/>
          <w:bCs/>
          <w:color w:val="B5651D"/>
          <w:sz w:val="23"/>
          <w:szCs w:val="23"/>
        </w:rPr>
        <w:t xml:space="preserve">BR-44: </w:t>
      </w:r>
      <w:r>
        <w:rPr>
          <w:b/>
          <w:bCs/>
          <w:sz w:val="23"/>
          <w:szCs w:val="23"/>
        </w:rPr>
        <w:t xml:space="preserve">Single Tenant Admin Accountability Limit</w:t>
      </w:r>
    </w:p>
    <w:p>
      <w:pPr>
        <w:spacing w:after="80"/>
      </w:pPr>
      <w:r>
        <w:rPr>
          <w:b/>
          <w:bCs/>
          <w:i/>
          <w:iCs/>
        </w:rPr>
        <w:t xml:space="preserve">Statement: </w:t>
      </w:r>
      <w:r>
        <w:t xml:space="preserve">Each tenant is restricted to exactly one active Tenant Admin at any time. Promoting a new Tenant Admin automatically demotes any existing one back to a standard buyer profile.</w:t>
      </w:r>
    </w:p>
    <w:p>
      <w:pPr>
        <w:spacing w:after="160"/>
      </w:pPr>
      <w:r>
        <w:rPr>
          <w:b/>
          <w:bCs/>
          <w:i/>
          <w:iCs/>
        </w:rPr>
        <w:t xml:space="preserve">Logic / Rationale: </w:t>
      </w:r>
      <w:r>
        <w:t xml:space="preserve">Guarantees unambiguous, single-point tenant-level accountability for brand configuration, seller upgrades, and listing approvals.</w:t>
      </w:r>
    </w:p>
    <w:p>
      <w:pPr>
        <w:spacing w:after="80" w:before="240"/>
      </w:pPr>
      <w:r>
        <w:rPr>
          <w:b/>
          <w:bCs/>
          <w:color w:val="B5651D"/>
          <w:sz w:val="23"/>
          <w:szCs w:val="23"/>
        </w:rPr>
        <w:t xml:space="preserve">BR-45: </w:t>
      </w:r>
      <w:r>
        <w:rPr>
          <w:b/>
          <w:bCs/>
          <w:sz w:val="23"/>
          <w:szCs w:val="23"/>
        </w:rPr>
        <w:t xml:space="preserve">Mandatory Listing Evidence &amp; Media Compression</w:t>
      </w:r>
    </w:p>
    <w:p>
      <w:pPr>
        <w:spacing w:after="80"/>
      </w:pPr>
      <w:r>
        <w:rPr>
          <w:b/>
          <w:bCs/>
          <w:i/>
          <w:iCs/>
        </w:rPr>
        <w:t xml:space="preserve">Statement: </w:t>
      </w:r>
      <w:r>
        <w:t xml:space="preserve">Auto-generated placeholders, stock photography, and default fallbacks are strictly prohibited. Every listing requires a minimum of 5 and maximum of 50 seller-uploaded photographs, with exactly one explicitly designated as the Main Display Photo. All photos are server-side compressed to a 300KB target (WebP format) on upload. Videos are capped at 720p resolution and 120 seconds duration, server-side compressed to a 4 Mbps target bitrate (approximately 59MB per full video). Documents carry a 2MB consolidated limit per listing/submission. Authenticity is verified via structured GPS + timestamp data captured by the app itself at the moment of shooting (not gallery upload, not file EXIF metadata, which can be stripped or spoofed). The original, uncompressed upload is discarded once the compressed, authenticity-tagged version is generated and stored.</w:t>
      </w:r>
    </w:p>
    <w:p>
      <w:pPr>
        <w:spacing w:after="160"/>
      </w:pPr>
      <w:r>
        <w:rPr>
          <w:b/>
          <w:bCs/>
          <w:i/>
          <w:iCs/>
        </w:rPr>
        <w:t xml:space="preserve">Logic / Rationale: </w:t>
      </w:r>
      <w:r>
        <w:t xml:space="preserve">Eliminates fraud and misrepresentation for buyers committing sight-unseen, keeps media delivery performant via aggressive compression, and decouples authenticity verification entirely from the compression pipeline so neither compromises the other.</w:t>
      </w:r>
    </w:p>
    <w:p>
      <w:pPr>
        <w:spacing w:after="80" w:before="240"/>
      </w:pPr>
      <w:r>
        <w:rPr>
          <w:b/>
          <w:bCs/>
          <w:color w:val="B5651D"/>
          <w:sz w:val="23"/>
          <w:szCs w:val="23"/>
        </w:rPr>
        <w:t xml:space="preserve">BR-46: </w:t>
      </w:r>
      <w:r>
        <w:rPr>
          <w:b/>
          <w:bCs/>
          <w:sz w:val="23"/>
          <w:szCs w:val="23"/>
        </w:rPr>
        <w:t xml:space="preserve">AI Listing Quality Pre-Audit</w:t>
      </w:r>
    </w:p>
    <w:p>
      <w:pPr>
        <w:spacing w:after="80"/>
      </w:pPr>
      <w:r>
        <w:rPr>
          <w:b/>
          <w:bCs/>
          <w:i/>
          <w:iCs/>
        </w:rPr>
        <w:t xml:space="preserve">Statement: </w:t>
      </w:r>
      <w:r>
        <w:t xml:space="preserve">Before submitting a listing for Tenant Admin review, a seller may trigger a real-time, server-side Gemini AI pre-check. It evaluates completeness, suggests optimized B2B titles, and flags missing business-level parameters (e.g., condition grading, GST HSN/SAC codes, operating hours), returning a quality score, status flag, and one-click 'Apply Title' action. This check is purely advisory — it never gates or auto-approves a listing; Tenant Admin review remains the sole approval authority.</w:t>
      </w:r>
    </w:p>
    <w:p>
      <w:pPr>
        <w:spacing w:after="160"/>
      </w:pPr>
      <w:r>
        <w:rPr>
          <w:b/>
          <w:bCs/>
          <w:i/>
          <w:iCs/>
        </w:rPr>
        <w:t xml:space="preserve">Logic / Rationale: </w:t>
      </w:r>
      <w:r>
        <w:t xml:space="preserve">Reduces manual-curation bottlenecks and downstream rejection rates by letting sellers self-correct before formal submission.</w:t>
      </w:r>
    </w:p>
    <w:p>
      <w:pPr>
        <w:spacing w:after="80" w:before="240"/>
      </w:pPr>
      <w:r>
        <w:rPr>
          <w:b/>
          <w:bCs/>
          <w:color w:val="B5651D"/>
          <w:sz w:val="23"/>
          <w:szCs w:val="23"/>
        </w:rPr>
        <w:t xml:space="preserve">BR-47: </w:t>
      </w:r>
      <w:r>
        <w:rPr>
          <w:b/>
          <w:bCs/>
          <w:sz w:val="23"/>
          <w:szCs w:val="23"/>
        </w:rPr>
        <w:t xml:space="preserve">Related Auctions</w:t>
      </w:r>
    </w:p>
    <w:p>
      <w:pPr>
        <w:spacing w:after="80"/>
      </w:pPr>
      <w:r>
        <w:rPr>
          <w:b/>
          <w:bCs/>
          <w:i/>
          <w:iCs/>
        </w:rPr>
        <w:t xml:space="preserve">Statement: </w:t>
      </w:r>
      <w:r>
        <w:t xml:space="preserve">Items sharing a common origin (e.g., a flood-affected lot of vehicles) may be explicitly tagged by the seller as a related group, displayed together on a single screen, while each item remains a fully independent auction (own RV/EV, EMD, close, settlement) — one auction, one winner, always. Related Auctions is available on Buy-Now, Easy, and Tender only (not Express, whose fast/no-review nature does not suit grouped browsing). A related group runs under a single sale system throughout. Forward-format related items display in a visual/gallery mode (photo cards); grouping is purely a navigational/display layer with zero dependency between individual item outcomes.</w:t>
      </w:r>
    </w:p>
    <w:p>
      <w:pPr>
        <w:spacing w:after="160"/>
      </w:pPr>
      <w:r>
        <w:rPr>
          <w:b/>
          <w:bCs/>
          <w:i/>
          <w:iCs/>
        </w:rPr>
        <w:t xml:space="preserve">Logic / Rationale: </w:t>
      </w:r>
      <w:r>
        <w:t xml:space="preserve">Gives buyers efficient visibility into multi-item lots sharing an origin, without altering any of the underlying independent transactional mechanics of each item.</w:t>
      </w:r>
    </w:p>
    <w:p>
      <w:pPr>
        <w:spacing w:after="80" w:before="240"/>
      </w:pPr>
      <w:r>
        <w:rPr>
          <w:b/>
          <w:bCs/>
          <w:color w:val="B5651D"/>
          <w:sz w:val="23"/>
          <w:szCs w:val="23"/>
        </w:rPr>
        <w:t xml:space="preserve">BR-48: </w:t>
      </w:r>
      <w:r>
        <w:rPr>
          <w:b/>
          <w:bCs/>
          <w:sz w:val="23"/>
          <w:szCs w:val="23"/>
        </w:rPr>
        <w:t xml:space="preserve">Live Ticker</w:t>
      </w:r>
    </w:p>
    <w:p>
      <w:pPr>
        <w:spacing w:after="80"/>
      </w:pPr>
      <w:r>
        <w:rPr>
          <w:b/>
          <w:bCs/>
          <w:i/>
          <w:iCs/>
        </w:rPr>
        <w:t xml:space="preserve">Statement: </w:t>
      </w:r>
      <w:r>
        <w:t xml:space="preserve">A continuous, stock-ticker-style scrolling feed gives buyers real-time visibility into their own balance and live auction activity. A fixed left-hand panel always shows the buyer's current PC/Money Points balance. The scrolling area prioritizes the buyer's own active bids (real-time price + own H1/not-H1 status, per the BR-16 visibility rule), filling remaining space with CAT-LOC-VAL 'sales of interest' matches (BR-23) so the feed stays populated even without active bids. Auctions entering their final anti-sniping window receive visual urgency treatment. Updates are delivered via WebSocket, not polling. A Shadow-Banned buyer's own active-bid tracking is unaffected; only new interest-matches stop populating.</w:t>
      </w:r>
    </w:p>
    <w:p>
      <w:pPr>
        <w:spacing w:after="160"/>
      </w:pPr>
      <w:r>
        <w:rPr>
          <w:b/>
          <w:bCs/>
          <w:i/>
          <w:iCs/>
        </w:rPr>
        <w:t xml:space="preserve">Logic / Rationale: </w:t>
      </w:r>
      <w:r>
        <w:t xml:space="preserve">Gives buyers continuous situational awareness across multiple simultaneous auctions without requiring each to be open individually, while respecting existing anonymity and Shadow-Banning rules.</w:t>
      </w:r>
    </w:p>
    <w:p>
      <w:pPr>
        <w:spacing w:after="80" w:before="240"/>
      </w:pPr>
      <w:r>
        <w:rPr>
          <w:b/>
          <w:bCs/>
          <w:color w:val="B5651D"/>
          <w:sz w:val="23"/>
          <w:szCs w:val="23"/>
        </w:rPr>
        <w:t xml:space="preserve">BR-49: </w:t>
      </w:r>
      <w:r>
        <w:rPr>
          <w:b/>
          <w:bCs/>
          <w:sz w:val="23"/>
          <w:szCs w:val="23"/>
        </w:rPr>
        <w:t xml:space="preserve">High-Value Disposal Reporting</w:t>
      </w:r>
    </w:p>
    <w:p>
      <w:pPr>
        <w:spacing w:after="80"/>
      </w:pPr>
      <w:r>
        <w:rPr>
          <w:b/>
          <w:bCs/>
          <w:i/>
          <w:iCs/>
        </w:rPr>
        <w:t xml:space="preserve">Statement: </w:t>
      </w:r>
      <w:r>
        <w:t xml:space="preserve">Every completed sale where the final sale value exceeds ₹10,00,000 automatically generates a Reserve-vs-Sale-Price record, surfaced to the Tenant Admin and Super Admin, showing RV, final sale value, and the variance between them. This single ₹10 Lakh threshold applies uniformly across all tenants and sale formats — no tenant-specific carve-outs.</w:t>
      </w:r>
    </w:p>
    <w:p>
      <w:pPr>
        <w:spacing w:after="160"/>
      </w:pPr>
      <w:r>
        <w:rPr>
          <w:b/>
          <w:bCs/>
          <w:i/>
          <w:iCs/>
        </w:rPr>
        <w:t xml:space="preserve">Logic / Rationale: </w:t>
      </w:r>
      <w:r>
        <w:t xml:space="preserve">A single, low, consistently-applied threshold is simpler to implement, harder to argue around, and signals genuine commitment to transparency rather than a bar calibrated to minimize how often it fires — directly strengthening the platform's credibility with institutional tenants who are themselves subject to CVC-style vigilance scrutiny on asset disposal.</w:t>
      </w:r>
    </w:p>
    <w:p>
      <w:pPr>
        <w:spacing w:after="80" w:before="240"/>
      </w:pPr>
      <w:r>
        <w:rPr>
          <w:b/>
          <w:bCs/>
          <w:color w:val="B5651D"/>
          <w:sz w:val="23"/>
          <w:szCs w:val="23"/>
        </w:rPr>
        <w:t xml:space="preserve">BR-50: </w:t>
      </w:r>
      <w:r>
        <w:rPr>
          <w:b/>
          <w:bCs/>
          <w:sz w:val="23"/>
          <w:szCs w:val="23"/>
        </w:rPr>
        <w:t xml:space="preserve">Payout Account Change Control</w:t>
      </w:r>
    </w:p>
    <w:p>
      <w:pPr>
        <w:spacing w:after="80"/>
      </w:pPr>
      <w:r>
        <w:rPr>
          <w:b/>
          <w:bCs/>
          <w:i/>
          <w:iCs/>
        </w:rPr>
        <w:t xml:space="preserve">Statement: </w:t>
      </w:r>
      <w:r>
        <w:t xml:space="preserve">A change to any registered banking details used for refunds or settlement payouts requires: (a) OTP re-verification of the account holder, (b) a mandatory 24-hour cooling-off period before the new account becomes active for any payout, and (c) the change is logged with before/after values, timestamp, and initiating party. High-value pending payouts additionally require Tenant Admin or SaaS Admin review before release to a newly-changed account.</w:t>
      </w:r>
    </w:p>
    <w:p>
      <w:pPr>
        <w:spacing w:after="160"/>
      </w:pPr>
      <w:r>
        <w:rPr>
          <w:b/>
          <w:bCs/>
          <w:i/>
          <w:iCs/>
        </w:rPr>
        <w:t xml:space="preserve">Logic / Rationale: </w:t>
      </w:r>
      <w:r>
        <w:t xml:space="preserve">Redirecting a payout to a fraudulently substituted account is a well-documented fraud pattern; a cooling-off period plus mandatory audit trail on every change closes this gap without materially inconveniencing genuine account updates.</w:t>
      </w:r>
    </w:p>
    <w:p>
      <w:r>
        <w:br w:type="page"/>
      </w:r>
    </w:p>
    <w:p>
      <w:pPr>
        <w:spacing w:before="240" w:after="80"/>
      </w:pPr>
      <w:r>
        <w:rPr>
          <w:b/>
          <w:color w:val="B5651D"/>
          <w:sz w:val="23"/>
        </w:rPr>
        <w:t xml:space="preserve">BR-51: </w:t>
      </w:r>
      <w:r>
        <w:rPr>
          <w:b/>
          <w:sz w:val="23"/>
        </w:rPr>
        <w:t>Consent Capture &amp; Audit Trail</w:t>
      </w:r>
    </w:p>
    <w:p>
      <w:pPr>
        <w:spacing w:after="80"/>
      </w:pPr>
      <w:r>
        <w:rPr>
          <w:b/>
          <w:i/>
        </w:rPr>
        <w:t xml:space="preserve">Statement: </w:t>
      </w:r>
      <w:r>
        <w:t>Every meaningful consent point on the platform is captured as its own discrete, timestamped, auditable event — not inferred from a single signup-time acceptance. This applies to: (a) initial acceptance of the Terms of Usage and Privacy Policy at registration; (b) consent to KYC data collection and processing; (c) a mandatory, specific acknowledgment shown to the buyer immediately before every EMD pledge, stating the exact forfeiture consequence applicable to that bid, which the buyer must explicitly confirm before the pledge is accepted; and (d) re-consent, required before further platform use, whenever the Terms of Usage or Privacy Policy are materially amended. Each consent event is logged with the user's identity, the specific version of the terms shown, a timestamp, and — for per-pledge consent — the specific bid/transaction reference, forming part of the platform's immutable audit trail (BR-05).</w:t>
      </w:r>
    </w:p>
    <w:p>
      <w:pPr>
        <w:spacing w:after="160"/>
      </w:pPr>
      <w:r>
        <w:rPr>
          <w:b/>
          <w:i/>
        </w:rPr>
        <w:t xml:space="preserve">Logic / Rationale: </w:t>
      </w:r>
      <w:r>
        <w:t>A general, one-time acceptance of the Terms of Usage is a weak evidentiary basis if a specific forfeiture, chargeback, or dispute is later contested — a buyer can plausibly claim they never turned their mind to the specific risk of that specific bid. Requiring a fresh, specific acknowledgment at the moment of each EMD pledge creates a contemporaneous, transaction-linked record of informed consent, which is significantly more defensible in a dispute, a chargeback representment, or regulatory review. This also directly supports the platform's Digital Personal Data Protection Act (DPDP) compliance posture, which requires consent to be specific, informed, and evidenced, not merely implied.</w:t>
      </w:r>
    </w:p>
    <w:p/>
    <w:p>
      <w:pPr>
        <w:spacing w:before="240" w:after="80"/>
      </w:pPr>
      <w:r>
        <w:rPr>
          <w:b/>
          <w:color w:val="B5651D"/>
          <w:sz w:val="23"/>
        </w:rPr>
        <w:t xml:space="preserve">BR-52: </w:t>
      </w:r>
      <w:r>
        <w:rPr>
          <w:b/>
          <w:sz w:val="23"/>
        </w:rPr>
        <w:t>Chargeback Mitigation &amp; Recourse</w:t>
      </w:r>
    </w:p>
    <w:p>
      <w:pPr>
        <w:spacing w:after="80"/>
      </w:pPr>
      <w:r>
        <w:rPr>
          <w:b/>
          <w:i/>
        </w:rPr>
        <w:t xml:space="preserve">Statement: </w:t>
      </w:r>
      <w:r>
        <w:t>Card-funded EMD is held as an authorization hold, not captured, for as long as operationally possible — capture occurs only at the point money genuinely needs to move (settlement fee deduction or a confirmed forfeiture event), minimizing the window in which a completed charge (and therefore a chargeback) exists at all. Buyers are strongly directed toward VAN/UPI bank-transfer funding as the default, with card funding offered as a secondary option, since bank-rail payments carry no card-network chargeback mechanism. A chargeback filed against a legitimate, already-approved forfeiture (BR-28/34) does not extinguish the buyer's underlying obligation; the platform retains the right to pursue recovery, and such a chargeback is itself treated as a serious account-integrity event, escalated for review rather than accepted at face value.</w:t>
      </w:r>
    </w:p>
    <w:p>
      <w:pPr>
        <w:spacing w:after="160"/>
      </w:pPr>
      <w:r>
        <w:rPr>
          <w:b/>
          <w:i/>
        </w:rPr>
        <w:t xml:space="preserve">Logic / Rationale: </w:t>
      </w:r>
      <w:r>
        <w:t>Chargebacks are a documented fraud/dispute vector specific to card networks; delaying capture and preferring bank-rail funding both reduce the attack surface directly, while the recourse clause and consent trail (BR-51) together give the platform a genuine evidentiary basis to contest an illegitimate chargeback rather than simply absorbing the loss.</w:t>
      </w:r>
    </w:p>
    <w:p/>
    <w:p>
      <w:pPr>
        <w:spacing w:before="240" w:after="80"/>
      </w:pPr>
      <w:r>
        <w:rPr>
          <w:b/>
          <w:color w:val="B5651D"/>
          <w:sz w:val="23"/>
        </w:rPr>
        <w:t xml:space="preserve">BR-53: </w:t>
      </w:r>
      <w:r>
        <w:rPr>
          <w:b/>
          <w:sz w:val="23"/>
        </w:rPr>
        <w:t>Tax Deduction at Source (TDS)</w:t>
      </w:r>
    </w:p>
    <w:p>
      <w:pPr>
        <w:spacing w:after="80"/>
      </w:pPr>
      <w:r>
        <w:rPr>
          <w:b/>
          <w:i/>
        </w:rPr>
        <w:t xml:space="preserve">Statement: </w:t>
      </w:r>
      <w:r>
        <w:t>As an e-commerce operator facilitating sales between Buyers and Sellers, the platform deducts Tax Deducted at Source on the gross amount of facilitated sales, in accordance with Section 194-O of the Income Tax Act (or its successor provision), at a confirmed rate of 10%. Any future change to the prescribed statutory rate is confirmed with a qualified tax advisor before implementation.</w:t>
      </w:r>
    </w:p>
    <w:p>
      <w:pPr>
        <w:spacing w:after="160"/>
      </w:pPr>
      <w:r>
        <w:rPr>
          <w:b/>
          <w:i/>
        </w:rPr>
        <w:t xml:space="preserve">Logic / Rationale: </w:t>
      </w:r>
      <w:r>
        <w:t>TDS obligations under Section 194-O attach to platforms facilitating e-commerce transactions; the Super Admin confirmed the applicable rate directly at 10%, and the platform computes and records it on every settlement at the point of completion, so the obligation is never silently missed once real transaction volume begins.</w:t>
      </w:r>
    </w:p>
    <w:p/>
    <w:p>
      <w:pPr>
        <w:spacing w:before="240" w:after="80"/>
      </w:pPr>
      <w:r>
        <w:rPr>
          <w:b/>
          <w:color w:val="B5651D"/>
          <w:sz w:val="23"/>
        </w:rPr>
        <w:t xml:space="preserve">BR-54: </w:t>
      </w:r>
      <w:r>
        <w:rPr>
          <w:b/>
          <w:sz w:val="23"/>
        </w:rPr>
        <w:t>Anti-Money Laundering Transaction Monitoring</w:t>
      </w:r>
    </w:p>
    <w:p>
      <w:pPr>
        <w:spacing w:after="80"/>
      </w:pPr>
      <w:r>
        <w:rPr>
          <w:b/>
          <w:i/>
        </w:rPr>
        <w:t xml:space="preserve">Statement: </w:t>
      </w:r>
      <w:r>
        <w:t>The platform maintains a dedicated Anti-Money Laundering (AML) monitoring function, distinct from the fishing/circumvention detection described elsewhere (which addresses platform-circumvention, not money-laundering risk). Monitored patterns include: rapid deposit-then-refund cycles with no genuine bidding activity, deposits inconsistent with a User's declared KYC profile, and multiple accounts funding or being funded from the same external bank account. Flagged patterns are reviewed by the SaaS Admin, who holds responsibility for determining whether a Suspicious Transaction Report is warranted under applicable PMLA obligations.</w:t>
      </w:r>
    </w:p>
    <w:p>
      <w:pPr>
        <w:spacing w:after="160"/>
      </w:pPr>
      <w:r>
        <w:rPr>
          <w:b/>
          <w:i/>
        </w:rPr>
        <w:t xml:space="preserve">Logic / Rationale: </w:t>
      </w:r>
      <w:r>
        <w:t>PMLA-adjacent risk is a distinct category from ordinary marketplace fraud and needs its own detection logic and its own accountable reviewer, rather than being assumed to be caught by mechanisms built for a different purpose.</w:t>
      </w:r>
    </w:p>
    <w:p/>
    <w:p>
      <w:pPr>
        <w:spacing w:before="240" w:after="80"/>
      </w:pPr>
      <w:r>
        <w:rPr>
          <w:b/>
          <w:color w:val="B5651D"/>
          <w:sz w:val="23"/>
        </w:rPr>
        <w:t xml:space="preserve">BR-55: </w:t>
      </w:r>
      <w:r>
        <w:rPr>
          <w:b/>
          <w:sz w:val="23"/>
        </w:rPr>
        <w:t>Tiered KYC &amp; Enhanced Due Diligence</w:t>
      </w:r>
    </w:p>
    <w:p>
      <w:pPr>
        <w:spacing w:after="80"/>
      </w:pPr>
      <w:r>
        <w:rPr>
          <w:b/>
          <w:i/>
        </w:rPr>
        <w:t xml:space="preserve">Statement: </w:t>
      </w:r>
      <w:r>
        <w:t>Full KYC verification (BR-17) is mandatory before a User's first EMD pledge or first Listing, with no lower-value exemption. Above a defined transaction-value threshold, a User is additionally subject to enhanced due diligence — which may include re-verification of existing documents or additional supporting evidence — before that specific transaction is permitted to proceed. The specific enhanced-due-diligence threshold is set by SaaS Admin in consultation with compliance/legal advice, referencing applicable RBI/PMLA KYC master directions, and is not fixed by this document.</w:t>
      </w:r>
    </w:p>
    <w:p>
      <w:pPr>
        <w:spacing w:after="160"/>
      </w:pPr>
      <w:r>
        <w:rPr>
          <w:b/>
          <w:i/>
        </w:rPr>
        <w:t xml:space="preserve">Logic / Rationale: </w:t>
      </w:r>
      <w:r>
        <w:t>A flat KYC gate at entry is necessary but not sufficient for higher-value transactions, where PMLA risk scales; leaving the specific threshold open rather than guessing a number avoids either an unnecessarily strict gate or a genuine compliance gap.</w:t>
      </w:r>
    </w:p>
    <w:p/>
    <w:p>
      <w:pPr>
        <w:spacing w:before="240" w:after="80"/>
      </w:pPr>
      <w:r>
        <w:rPr>
          <w:b/>
          <w:color w:val="B5651D"/>
          <w:sz w:val="23"/>
        </w:rPr>
        <w:t xml:space="preserve">BR-56: </w:t>
      </w:r>
      <w:r>
        <w:rPr>
          <w:b/>
          <w:sz w:val="23"/>
        </w:rPr>
        <w:t>Mandatory Transaction Invoicing</w:t>
      </w:r>
    </w:p>
    <w:p>
      <w:pPr>
        <w:spacing w:after="80"/>
      </w:pPr>
      <w:r>
        <w:rPr>
          <w:b/>
          <w:i/>
        </w:rPr>
        <w:t xml:space="preserve">Statement: </w:t>
      </w:r>
      <w:r>
        <w:t>A GST-compliant invoice is automatically generated for every completed transaction on Buy-Now, Express, and Easy formats, covering the Success Fee (BR-31, per the session's Fee Payer Election) and any Payment Gateway collection charge passed through under BR-27. The invoice is issued to whichever party paid the Success Fee under that session's election — the Trader under Buyer-Pays, the Market Maker under Seller-Pays. Tender Auction invoicing follows the CoCo Concierge terms (Section 6.2) and is not affected by this rule.</w:t>
      </w:r>
    </w:p>
    <w:p>
      <w:pPr>
        <w:spacing w:after="160"/>
      </w:pPr>
      <w:r>
        <w:rPr>
          <w:b/>
          <w:i/>
        </w:rPr>
        <w:t xml:space="preserve">Logic / Rationale: </w:t>
      </w:r>
      <w:r>
        <w:t>Automatic, systematic invoicing closes a real compliance and bookkeeping gap and removes reliance on manual invoice generation, which does not scale and is prone to omission.</w:t>
      </w:r>
    </w:p>
    <w:p/>
    <w:p>
      <w:pPr>
        <w:spacing w:before="240" w:after="80"/>
      </w:pPr>
      <w:r>
        <w:rPr>
          <w:b/>
          <w:color w:val="B5651D"/>
          <w:sz w:val="23"/>
        </w:rPr>
        <w:t xml:space="preserve">BR-57: </w:t>
      </w:r>
      <w:r>
        <w:rPr>
          <w:b/>
          <w:sz w:val="23"/>
        </w:rPr>
        <w:t>Express Auction Defect Disclosure</w:t>
      </w:r>
    </w:p>
    <w:p>
      <w:pPr>
        <w:spacing w:after="80"/>
      </w:pPr>
      <w:r>
        <w:rPr>
          <w:b/>
          <w:i/>
        </w:rPr>
        <w:t xml:space="preserve">Statement: </w:t>
      </w:r>
      <w:r>
        <w:t>Since Express Auctions carry no inspection window (BR-30), the Seller must complete a mandatory, structured defect-disclosure checklist at listing time — covering known damage, missing components, and non-functional aspects of the item — even though no physical inspection opportunity exists. This disclosure is displayed to bidders alongside the listing. A Seller found to have answered this checklist falsely is subject to the Dispute Resolution Framework (BR-40) as a Condition/Delivery Dispute, notwithstanding the general sight-unseen nature of the format.</w:t>
      </w:r>
    </w:p>
    <w:p>
      <w:pPr>
        <w:spacing w:after="160"/>
      </w:pPr>
      <w:r>
        <w:rPr>
          <w:b/>
          <w:i/>
        </w:rPr>
        <w:t xml:space="preserve">Logic / Rationale: </w:t>
      </w:r>
      <w:r>
        <w:t>Removing inspection entirely for speed should not also remove all seller accountability for known defects; a structured disclosure gives buyers some concrete information even sight-unseen, and preserves a genuine fraud/misrepresentation remedy distinct from the ordinary buyer-beware waiver.</w:t>
      </w:r>
    </w:p>
    <w:p/>
    <w:p>
      <w:pPr>
        <w:spacing w:before="240" w:after="80"/>
      </w:pPr>
      <w:r>
        <w:rPr>
          <w:b/>
          <w:color w:val="B5651D"/>
          <w:sz w:val="23"/>
        </w:rPr>
        <w:t xml:space="preserve">BR-58: </w:t>
      </w:r>
      <w:r>
        <w:rPr>
          <w:b/>
          <w:sz w:val="23"/>
        </w:rPr>
        <w:t>Statutory Books &amp; Audit Trail Exportability</w:t>
      </w:r>
    </w:p>
    <w:p>
      <w:pPr>
        <w:spacing w:after="80"/>
      </w:pPr>
      <w:r>
        <w:rPr>
          <w:b/>
          <w:i/>
        </w:rPr>
        <w:t xml:space="preserve">Statement: </w:t>
      </w:r>
      <w:r>
        <w:t>The platform's immutable audit trail (BR-05) is maintained in a form that is exportable to support the maintenance of statutory books of account under the Income Tax Act and other applicable Indian financial record-keeping law. This is a reporting/export capability layered on the existing audit trail, not a separate data-capture requirement.</w:t>
      </w:r>
    </w:p>
    <w:p>
      <w:pPr>
        <w:spacing w:after="160"/>
      </w:pPr>
      <w:r>
        <w:rPr>
          <w:b/>
          <w:i/>
        </w:rPr>
        <w:t xml:space="preserve">Logic / Rationale: </w:t>
      </w:r>
      <w:r>
        <w:t>The audit trail already captures every transactional event needed for statutory bookkeeping; the only additional requirement is ensuring it can be extracted in a form usable by the finance function, rather than building a parallel record-keeping system.</w:t>
      </w:r>
    </w:p>
    <w:p/>
    <w:p>
      <w:pPr>
        <w:spacing w:before="240" w:after="80"/>
      </w:pPr>
      <w:r>
        <w:rPr>
          <w:b/>
          <w:color w:val="B5651D"/>
          <w:sz w:val="23"/>
        </w:rPr>
        <w:t xml:space="preserve">BR-59: </w:t>
      </w:r>
      <w:r>
        <w:rPr>
          <w:b/>
          <w:sz w:val="23"/>
        </w:rPr>
        <w:t>Two-Tier Listing Media Standard — Verified &amp; Certified by Seller</w:t>
      </w:r>
    </w:p>
    <w:p>
      <w:pPr>
        <w:spacing w:after="80"/>
      </w:pPr>
      <w:r>
        <w:rPr>
          <w:b/>
          <w:i/>
        </w:rPr>
        <w:t xml:space="preserve">Statement: </w:t>
      </w:r>
      <w:r>
        <w:t>The choice between the two media designations always rests with the seller — never mandated by the Tenant or SaaS Admin for any category or value bracket. 'Verified': ADWITIX's (or the Tenant's authorised) inspection team physically examines the item and captures the photographs themselves, in-app, with GPS and timestamp data at the moment of capture, per the mechanism in BR-45. The seller pays for this inspection, at the rate published in the platform's Fee &amp; Charges Schedule. 'Certified by Seller' (CBS): the seller captures the media themselves, by any method or device, with or without GPS/timestamp data — the only absolute requirement is that the photographs are genuine images of the actual item; stock photography, catalogue images, or any created/generated image standing in for the real item is strictly prohibited, with no exception absent an approved Tenant Media Waiver (BR-60). The applicable tier is displayed clearly to buyers on the listing.</w:t>
      </w:r>
    </w:p>
    <w:p>
      <w:pPr>
        <w:spacing w:after="160"/>
      </w:pPr>
      <w:r>
        <w:rPr>
          <w:b/>
          <w:i/>
        </w:rPr>
        <w:t xml:space="preserve">Logic / Rationale: </w:t>
      </w:r>
      <w:r>
        <w:t>A single, rigid capture standard is disproportionate for the majority of sellers and listings; splitting into two tiers preserves a genuinely strong, independently-verified guarantee where it matters most while keeping the default seller experience simple (kiss). The one absolute CBS prohibition — no stock or generated imagery — is the single line that most directly protects buyers from outright fabrication, and is deliberately kept as the only hard technical rule at this tier.</w:t>
      </w:r>
    </w:p>
    <w:p/>
    <w:p>
      <w:pPr>
        <w:spacing w:before="240" w:after="80"/>
      </w:pPr>
      <w:r>
        <w:rPr>
          <w:b/>
          <w:color w:val="B5651D"/>
          <w:sz w:val="23"/>
        </w:rPr>
        <w:t xml:space="preserve">BR-60: </w:t>
      </w:r>
      <w:r>
        <w:rPr>
          <w:b/>
          <w:sz w:val="23"/>
        </w:rPr>
        <w:t>Tenant Media Waiver</w:t>
      </w:r>
    </w:p>
    <w:p>
      <w:pPr>
        <w:spacing w:after="80"/>
      </w:pPr>
      <w:r>
        <w:rPr>
          <w:b/>
          <w:i/>
        </w:rPr>
        <w:t xml:space="preserve">Statement: </w:t>
      </w:r>
      <w:r>
        <w:t>A Tenant may apply to SaaS Admin for a waiver from the CBS no-stock/no-catalogue-image prohibition (BR-59), scoped to one specific category, where item-specific photography is not meaningful to that category's business reality (e.g., bulk/siloed commodities, rental space, surplus goods sold by specification). SaaS Admin reviews and decides, logging the stated business justification and the decision's own rationale. An approved waiver is valid for 12 months from its grant date, after which it lapses automatically unless SaaS Admin affirmatively re-reviews and renews it — inaction results in lapse, not continuation. Independently of the 12-month cycle, SaaS Admin may revoke a waiver immediately if a serious issue arises. Every listing published under an active waiver must visibly disclose that its images are representative, not item-specific.</w:t>
      </w:r>
    </w:p>
    <w:p>
      <w:pPr>
        <w:spacing w:after="160"/>
      </w:pPr>
      <w:r>
        <w:rPr>
          <w:b/>
          <w:i/>
        </w:rPr>
        <w:t xml:space="preserve">Logic / Rationale: </w:t>
      </w:r>
      <w:r>
        <w:t>Balances the CBS prohibition's fraud-prevention purpose against categories where it is simply inapplicable, without weakening the rule generally — the waiver is narrow (one category, one tenant), actively reviewed (not a permanent exemption), and always disclosed to buyers, so trust in the platform's general 'real photos' standard is not diluted by a legitimate, disclosed exception.</w:t>
      </w:r>
    </w:p>
    <w:p/>
    <w:p>
      <w:pPr>
        <w:spacing w:before="240" w:after="80"/>
      </w:pPr>
      <w:r>
        <w:rPr>
          <w:b/>
          <w:color w:val="B5651D"/>
          <w:sz w:val="23"/>
        </w:rPr>
        <w:t xml:space="preserve">BR-61: </w:t>
      </w:r>
      <w:r>
        <w:rPr>
          <w:b/>
          <w:sz w:val="23"/>
        </w:rPr>
        <w:t>Seller Standing Review</w:t>
      </w:r>
    </w:p>
    <w:p>
      <w:pPr>
        <w:spacing w:after="80"/>
      </w:pPr>
      <w:r>
        <w:rPr>
          <w:b/>
          <w:i/>
        </w:rPr>
        <w:t xml:space="preserve">Statement: </w:t>
      </w:r>
      <w:r>
        <w:t>Every recorded action against a seller — including CBS violations (BR-59), Condition/Delivery Disputes, Auction Rejection Disputes, and any other outcome logged under the Dispute Resolution Framework (BR-40) — is counted toward that seller's Standing Review, a system-initiated case under BR-40 with the seller as its subject, not a respondent to a specific accuser. A Standing Review opens automatically either on the annual anniversary of the seller's first approval as a seller, or immediately upon the seller's complaint count exceeding 10 within the current review period, whichever comes first; the complaint count resets to zero once a Standing Review concludes, on either trigger. CBS violations specifically follow their own graduated consequence track within Standing Review: the 1st and 2nd CBS offence draw a warning only; the 3rd and 4th are referred to the Tenant Admin, who may act or not at their own discretion, with SaaS Admin seeing the referral regardless of the Tenant Admin's decision; from the 5th offence onward, the decision authority moves to SaaS Admin exclusively. A Standing Review's ruling authority is the Tenant Admin (for signal specific to their own storefront), with SaaS Admin always reviewing in parallel, since a seller's full history spans every Tenant they operate under (BR-37). A Standing Review concludes in one of three outcomes: no action; formal application of an escalation-ladder consequence (including for offences that individually drew only a warning); or suspension of selling privileges. Every outcome carries a stated rationale and the same one-time appeal right to SaaS Admin as any other BR-40 ruling.</w:t>
      </w:r>
    </w:p>
    <w:p>
      <w:pPr>
        <w:spacing w:after="160"/>
      </w:pPr>
      <w:r>
        <w:rPr>
          <w:b/>
          <w:i/>
        </w:rPr>
        <w:t xml:space="preserve">Logic / Rationale: </w:t>
      </w:r>
      <w:r>
        <w:t>Consolidating every recorded seller-side action into one review point, rather than leaving each to stand alone, ensures a genuine pattern is acted on even when no single incident individually crosses a threshold — while resetting the count after every review prevents a seller from being permanently trapped by a bad stretch once it has actually been reviewed and addressed.</w:t>
      </w:r>
    </w:p>
    <w:p/>
    <w:p>
      <w:pPr>
        <w:spacing w:before="240" w:after="80"/>
      </w:pPr>
      <w:r>
        <w:rPr>
          <w:b/>
          <w:color w:val="B5651D"/>
          <w:sz w:val="23"/>
        </w:rPr>
        <w:t xml:space="preserve">BR-62: </w:t>
      </w:r>
      <w:r>
        <w:rPr>
          <w:b/>
          <w:sz w:val="23"/>
        </w:rPr>
        <w:t>Tenant API Access — Alternate Channel, Not a New Role</w:t>
      </w:r>
    </w:p>
    <w:p>
      <w:pPr>
        <w:spacing w:after="80"/>
      </w:pPr>
      <w:r>
        <w:rPr>
          <w:b/>
          <w:i/>
        </w:rPr>
        <w:t xml:space="preserve">Statement: </w:t>
      </w:r>
      <w:r>
        <w:t>A whitelisted Tenant may integrate its own systems with the platform via API, as an alternative to manual use of the Tenant portal UI. API credentials are issued at the Tenant level (not per-seller), established as part of the same formal agreement that establishes the Tenant Admin (BR-09). Every API payload carries a sellerId the Tenant's system attests to; the platform trusts the Tenant to have already validated that user's seller status before the call is made. API-originated actions are subject to identical governance as portal-originated ones — the same lifecycle (BR-13), the same edit/freeze rules (BR-14), and the same Tenant Admin approval gate on every listing, edit-request, and Sale System push. The API grants no privilege the portal does not already grant, and bypasses none.</w:t>
      </w:r>
    </w:p>
    <w:p>
      <w:pPr>
        <w:spacing w:after="160"/>
      </w:pPr>
      <w:r>
        <w:rPr>
          <w:b/>
          <w:i/>
        </w:rPr>
        <w:t xml:space="preserve">Logic / Rationale: </w:t>
      </w:r>
      <w:r>
        <w:t>Lets institutional Tenants with many branch-level sellers integrate listing creation into their own internal systems rather than manual entry, without introducing any compliance or approval exception. Governance stays anchored to the Tenant, consistent with BR-09's existing accountability model.</w:t>
      </w:r>
    </w:p>
    <w:p/>
    <w:p>
      <w:pPr>
        <w:spacing w:before="240" w:after="80"/>
      </w:pPr>
      <w:r>
        <w:rPr>
          <w:b/>
          <w:color w:val="B5651D"/>
          <w:sz w:val="23"/>
        </w:rPr>
        <w:t xml:space="preserve">BR-63: </w:t>
      </w:r>
      <w:r>
        <w:rPr>
          <w:b/>
          <w:sz w:val="23"/>
        </w:rPr>
        <w:t>API Visibility Parity</w:t>
      </w:r>
    </w:p>
    <w:p>
      <w:pPr>
        <w:spacing w:after="80"/>
      </w:pPr>
      <w:r>
        <w:rPr>
          <w:b/>
          <w:i/>
        </w:rPr>
        <w:t xml:space="preserve">Statement: </w:t>
      </w:r>
      <w:r>
        <w:t>Data returned via API is capped at exactly what the calling credential's role already sees under the Visibility Matrix (BR-16) — no more. A Tenant Admin credential receives Tenant-Admin-level visibility: full bid history plus H1/H2/H3 identity and amounts (not the full roster), dispute rulings and rationale for their own storefront (BR-40), Standing Review signal scoped to their own storefront (BR-61), and rejection reasons they themselves issued (BR-13). Data outside this scope — the raw immutable audit trail (BR-05), cross-tenant signal, or any other Tenant's data — is never exposed via API. A Tenant requiring visibility beyond this must request it manually from SaaS Admin, exactly as today.</w:t>
      </w:r>
    </w:p>
    <w:p>
      <w:pPr>
        <w:spacing w:after="160"/>
      </w:pPr>
      <w:r>
        <w:rPr>
          <w:b/>
          <w:i/>
        </w:rPr>
        <w:t xml:space="preserve">Logic / Rationale: </w:t>
      </w:r>
      <w:r>
        <w:t>The API is a delivery channel for existing, already-governed visibility rules, not a new visibility policy. This keeps BR-05's audit-trail exclusivity and BR-16's masking rules intact without requiring any exception to be carved out.</w:t>
      </w:r>
    </w:p>
    <w:p/>
    <w:p>
      <w:pPr>
        <w:spacing w:before="240" w:after="80"/>
      </w:pPr>
      <w:r>
        <w:rPr>
          <w:b/>
          <w:color w:val="B5651D"/>
          <w:sz w:val="23"/>
        </w:rPr>
        <w:t xml:space="preserve">BR-64: </w:t>
      </w:r>
      <w:r>
        <w:rPr>
          <w:b/>
          <w:sz w:val="23"/>
        </w:rPr>
        <w:t>API Authentication &amp; Tenant Scoping</w:t>
      </w:r>
    </w:p>
    <w:p>
      <w:pPr>
        <w:spacing w:after="80"/>
      </w:pPr>
      <w:r>
        <w:rPr>
          <w:b/>
          <w:i/>
        </w:rPr>
        <w:t xml:space="preserve">Statement: </w:t>
      </w:r>
      <w:r>
        <w:t>API access uses OAuth2 client-credentials, issued through the platform's existing Auth0 relationship (BR-04) at Tenant onboarding. Each credential is hard-scoped to a single tenantId at the token-issuance level — a credential cannot retrieve or push data for any tenant other than its own, regardless of payload content. Access tokens are short-lived and must be refreshed per standard OAuth2 client-credentials flow.</w:t>
      </w:r>
    </w:p>
    <w:p>
      <w:pPr>
        <w:spacing w:after="160"/>
      </w:pPr>
      <w:r>
        <w:rPr>
          <w:b/>
          <w:i/>
        </w:rPr>
        <w:t xml:space="preserve">Logic / Rationale: </w:t>
      </w:r>
      <w:r>
        <w:t>Extends the platform's existing identity-provider relationship rather than introducing a second authentication system. Short-lived tokens limit the exposure window of a leaked credential; hard tenant-scoping at issuance makes cross-tenant access structurally impossible rather than merely policy-enforced, consistent with BR-09's tenant-isolation principle.</w:t>
      </w:r>
    </w:p>
    <w:p/>
    <w:p>
      <w:pPr>
        <w:spacing w:before="240" w:after="80"/>
      </w:pPr>
      <w:r>
        <w:rPr>
          <w:b/>
          <w:color w:val="B5651D"/>
          <w:sz w:val="23"/>
        </w:rPr>
        <w:t xml:space="preserve">BR-65: </w:t>
      </w:r>
      <w:r>
        <w:rPr>
          <w:b/>
          <w:sz w:val="23"/>
        </w:rPr>
        <w:t>API Versioning &amp; Change Policy</w:t>
      </w:r>
    </w:p>
    <w:p>
      <w:pPr>
        <w:spacing w:after="80"/>
      </w:pPr>
      <w:r>
        <w:rPr>
          <w:b/>
          <w:i/>
        </w:rPr>
        <w:t xml:space="preserve">Statement: </w:t>
      </w:r>
      <w:r>
        <w:t>The API is not exposed to Tenants with a visible version number. Additive changes (new optional fields, new endpoints, new webhook types) ship without prior notice. Breaking changes (field removal, field rename, a change in the meaning of an existing field or status value) are never shipped silently: the old and new shapes run in parallel for a defined notice period, with the Tenant notified once via account notice, before the old shape is retired.</w:t>
      </w:r>
    </w:p>
    <w:p>
      <w:pPr>
        <w:spacing w:after="160"/>
      </w:pPr>
      <w:r>
        <w:rPr>
          <w:b/>
          <w:i/>
        </w:rPr>
        <w:t xml:space="preserve">Logic / Rationale: </w:t>
      </w:r>
      <w:r>
        <w:t>Preserves a seamless, unversioned integration experience for the common case while protecting Tenants from unannounced breakage on live financial workflow (listings, Sale Events) where BR-13's governance already treats these objects as consequential, not cosmetic.</w:t>
      </w:r>
    </w:p>
    <w:p/>
    <w:p>
      <w:pPr>
        <w:spacing w:before="240" w:after="80"/>
      </w:pPr>
      <w:r>
        <w:rPr>
          <w:b/>
          <w:color w:val="B5651D"/>
          <w:sz w:val="23"/>
        </w:rPr>
        <w:t xml:space="preserve">BR-66: </w:t>
      </w:r>
      <w:r>
        <w:rPr>
          <w:b/>
          <w:sz w:val="23"/>
        </w:rPr>
        <w:t>API Commercial Terms</w:t>
      </w:r>
    </w:p>
    <w:p>
      <w:pPr>
        <w:spacing w:after="80"/>
      </w:pPr>
      <w:r>
        <w:rPr>
          <w:b/>
          <w:i/>
        </w:rPr>
        <w:t xml:space="preserve">Statement: </w:t>
      </w:r>
      <w:r>
        <w:t xml:space="preserve">API's ongoing use carries no separate per-call or per-endpoint metered fee. API availability itself is a package feature that varies by TSX tier, per the platform's Business Model (Section 6): CoCo Starter has no API access; TSX Launch has read-only (status/reporting) access; TSX Growth adds the ability to push Lots (read + push listings, no Sale System push); TSX Enterprise has full push/pull access. A one-time API Integration Setup service fee (Section 6, Optional Marketplace Services) may apply to help a Tenant's own systems connect, distinct from ongoing API access itself.</w:t>
      </w:r>
    </w:p>
    <w:p>
      <w:pPr>
        <w:spacing w:after="160"/>
      </w:pPr>
      <w:r>
        <w:rPr>
          <w:b/>
          <w:i/>
        </w:rPr>
        <w:t xml:space="preserve">Logic / Rationale: </w:t>
      </w:r>
      <w:r>
        <w:t xml:space="preserve">Distinguishes three separate things that earlier drafts of this rule conflated: (1) the package subscription itself, priced per Section 6 and never affected by this rule; (2) ongoing API access, which is a tier-differentiated feature with no metered usage fee; and (3) a one-time integration-setup service, billed once as a professional service. This BR is now internally consistent with the Business Model as approved for production.</w:t>
      </w:r>
    </w:p>
    <w:p/>
    <w:p>
      <w:pPr>
        <w:spacing w:before="240" w:after="80"/>
      </w:pPr>
      <w:r>
        <w:rPr>
          <w:b/>
          <w:color w:val="B5651D"/>
          <w:sz w:val="23"/>
        </w:rPr>
        <w:t xml:space="preserve">BR-67: Branded Terminology Layer</w:t>
      </w:r>
    </w:p>
    <w:p>
      <w:pPr>
        <w:spacing w:after="80"/>
      </w:pPr>
      <w:r>
        <w:rPr>
          <w:b/>
          <w:i/>
        </w:rPr>
        <w:t xml:space="preserve">Statement: </w:t>
      </w:r>
      <w:r>
        <w:t xml:space="preserve">Branded product terminology is a presentation-layer mapping over the platform's technical vocabulary; it does not rename any entity, field, or role in the data model. The full technical-to-branded mapping appears in Section 1 (Terminology), Part A, at the front of this document. Sections 2 through 5 of this document (BR-01 through BR-66, PR-01 through PR-37, the Technology Stack, and the Roadmap) continue to use the precise technical terms throughout, since that is the governance and engineering layer. Section 6 (Business Model) is the commercial-facing layer and deliberately uses branded terms instead, consistent with how Tenants and the public actually encounter the product. Front-end copy, marketing pages, and Tenant-facing UI render the branded term wherever the platform means the underlying technical term.</w:t>
      </w:r>
    </w:p>
    <w:p>
      <w:pPr>
        <w:spacing w:after="160"/>
      </w:pPr>
      <w:r>
        <w:rPr>
          <w:b/>
          <w:i/>
        </w:rPr>
        <w:t xml:space="preserve">Logic / Rationale: </w:t>
      </w:r>
      <w:r>
        <w:t xml:space="preserve">Keeps the BR/PR document's existing terminology intact and unambiguous for engineering and governance purposes, while giving the product a coherent external identity. A mapping table, not a rename, is the lower-risk mechanism: it requires no rewrite of BR-01 through BR-66 or PR-01 through PR-37, and it can be extended with new branded terms without touching governance text.</w:t>
      </w:r>
    </w:p>
    <w:p>
      <w:pPr>
        <w:spacing w:before="240" w:after="80"/>
      </w:pPr>
      <w:r>
        <w:rPr>
          <w:b/>
          <w:color w:val="B5651D"/>
          <w:sz w:val="23"/>
        </w:rPr>
        <w:t xml:space="preserve">BR-68: Visual Identity</w:t>
      </w:r>
    </w:p>
    <w:p>
      <w:pPr>
        <w:spacing w:after="80"/>
      </w:pPr>
      <w:r>
        <w:rPr>
          <w:b/>
          <w:i/>
        </w:rPr>
        <w:t xml:space="preserve">Statement: </w:t>
      </w:r>
      <w:r>
        <w:t xml:space="preserve">All ADWITIX-branded surfaces (marketing pages, decks, customer-facing documents) use one canonical visual system: the palette and typography below. Where a future surface needs to diverge, the change is made here first and then propagated, rather than each surface adopting its own look independently.</w:t>
      </w:r>
    </w:p>
    <w:p>
      <w:pPr>
        <w:spacing w:after="160"/>
      </w:pPr>
      <w:r>
        <w:rPr>
          <w:b/>
          <w:i/>
        </w:rPr>
        <w:t xml:space="preserve">Logic / Rationale: </w:t>
      </w:r>
      <w:r>
        <w:t xml:space="preserve">A single named system prevents visual drift across the many surfaces this platform produces (pricing pages, FAQs, decks, PDFs) and gives any team — including an external development agent — one unambiguous reference to build against.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000"/>
      </w:tblGrid>
      <w:tr>
        <w:trPr>
          <w:tblHeader/>
        </w:trPr>
        <w:tc>
          <w:tcPr>
            <w:tcW w:type="dxa" w:w="2200"/>
            <w:shd w:fill="1B2A4A" w:val="clear"/>
            <w:tcMar>
              <w:top w:type="dxa" w:w="80"/>
              <w:left w:type="dxa" w:w="100"/>
              <w:bottom w:type="dxa" w:w="80"/>
              <w:right w:type="dxa" w:w="100"/>
            </w:tcMar>
          </w:tcPr>
          <w:p>
            <w:pPr>
              <w:jc w:val="left"/>
            </w:pPr>
            <w:r>
              <w:rPr>
                <w:b/>
                <w:bCs/>
              </w:rPr>
              <w:t xml:space="preserve">Token</w:t>
            </w:r>
          </w:p>
        </w:tc>
        <w:tc>
          <w:tcPr>
            <w:tcW w:type="dxa" w:w="2000"/>
            <w:shd w:fill="1B2A4A" w:val="clear"/>
            <w:tcMar>
              <w:top w:type="dxa" w:w="80"/>
              <w:left w:type="dxa" w:w="100"/>
              <w:bottom w:type="dxa" w:w="80"/>
              <w:right w:type="dxa" w:w="100"/>
            </w:tcMar>
          </w:tcPr>
          <w:p>
            <w:pPr>
              <w:jc w:val="left"/>
            </w:pPr>
            <w:r>
              <w:rPr>
                <w:b/>
                <w:bCs/>
              </w:rPr>
              <w:t xml:space="preserve">Value</w:t>
            </w:r>
          </w:p>
        </w:tc>
        <w:tc>
          <w:tcPr>
            <w:tcW w:type="dxa" w:w="4000"/>
            <w:shd w:fill="1B2A4A" w:val="clear"/>
            <w:tcMar>
              <w:top w:type="dxa" w:w="80"/>
              <w:left w:type="dxa" w:w="100"/>
              <w:bottom w:type="dxa" w:w="80"/>
              <w:right w:type="dxa" w:w="100"/>
            </w:tcMar>
          </w:tcPr>
          <w:p>
            <w:pPr>
              <w:jc w:val="left"/>
            </w:pPr>
            <w:r>
              <w:rPr>
                <w:b/>
                <w:bCs/>
              </w:rPr>
              <w:t xml:space="preserve">Usage</w:t>
            </w:r>
          </w:p>
        </w:tc>
      </w:tr>
      <w:tr>
        <w:tc>
          <w:tcPr>
            <w:tcW w:type="dxa" w:w="2200"/>
            <w:tcMar>
              <w:top w:type="dxa" w:w="80"/>
              <w:left w:type="dxa" w:w="100"/>
              <w:bottom w:type="dxa" w:w="80"/>
              <w:right w:type="dxa" w:w="100"/>
            </w:tcMar>
          </w:tcPr>
          <w:p>
            <w:pPr>
              <w:jc w:val="left"/>
            </w:pPr>
            <w:r>
              <w:rPr/>
              <w:t xml:space="preserve">Ink</w:t>
            </w:r>
          </w:p>
        </w:tc>
        <w:tc>
          <w:tcPr>
            <w:tcW w:type="dxa" w:w="2000"/>
            <w:tcMar>
              <w:top w:type="dxa" w:w="80"/>
              <w:left w:type="dxa" w:w="100"/>
              <w:bottom w:type="dxa" w:w="80"/>
              <w:right w:type="dxa" w:w="100"/>
            </w:tcMar>
          </w:tcPr>
          <w:p>
            <w:pPr>
              <w:jc w:val="left"/>
            </w:pPr>
            <w:r>
              <w:rPr/>
              <w:t xml:space="preserve">#1C1F26</w:t>
            </w:r>
          </w:p>
        </w:tc>
        <w:tc>
          <w:tcPr>
            <w:tcW w:type="dxa" w:w="4000"/>
            <w:tcMar>
              <w:top w:type="dxa" w:w="80"/>
              <w:left w:type="dxa" w:w="100"/>
              <w:bottom w:type="dxa" w:w="80"/>
              <w:right w:type="dxa" w:w="100"/>
            </w:tcMar>
          </w:tcPr>
          <w:p>
            <w:pPr>
              <w:jc w:val="left"/>
            </w:pPr>
            <w:r>
              <w:rPr/>
              <w:t xml:space="preserve">Primary dark / text</w:t>
            </w:r>
          </w:p>
        </w:tc>
      </w:tr>
      <w:tr>
        <w:tc>
          <w:tcPr>
            <w:tcW w:type="dxa" w:w="2200"/>
            <w:tcMar>
              <w:top w:type="dxa" w:w="80"/>
              <w:left w:type="dxa" w:w="100"/>
              <w:bottom w:type="dxa" w:w="80"/>
              <w:right w:type="dxa" w:w="100"/>
            </w:tcMar>
          </w:tcPr>
          <w:p>
            <w:pPr>
              <w:jc w:val="left"/>
            </w:pPr>
            <w:r>
              <w:rPr/>
              <w:t xml:space="preserve">Ink Soft</w:t>
            </w:r>
          </w:p>
        </w:tc>
        <w:tc>
          <w:tcPr>
            <w:tcW w:type="dxa" w:w="2000"/>
            <w:tcMar>
              <w:top w:type="dxa" w:w="80"/>
              <w:left w:type="dxa" w:w="100"/>
              <w:bottom w:type="dxa" w:w="80"/>
              <w:right w:type="dxa" w:w="100"/>
            </w:tcMar>
          </w:tcPr>
          <w:p>
            <w:pPr>
              <w:jc w:val="left"/>
            </w:pPr>
            <w:r>
              <w:rPr/>
              <w:t xml:space="preserve">#5B5F56</w:t>
            </w:r>
          </w:p>
        </w:tc>
        <w:tc>
          <w:tcPr>
            <w:tcW w:type="dxa" w:w="4000"/>
            <w:tcMar>
              <w:top w:type="dxa" w:w="80"/>
              <w:left w:type="dxa" w:w="100"/>
              <w:bottom w:type="dxa" w:w="80"/>
              <w:right w:type="dxa" w:w="100"/>
            </w:tcMar>
          </w:tcPr>
          <w:p>
            <w:pPr>
              <w:jc w:val="left"/>
            </w:pPr>
            <w:r>
              <w:rPr/>
              <w:t xml:space="preserve">Muted text</w:t>
            </w:r>
          </w:p>
        </w:tc>
      </w:tr>
      <w:tr>
        <w:tc>
          <w:tcPr>
            <w:tcW w:type="dxa" w:w="2200"/>
            <w:tcMar>
              <w:top w:type="dxa" w:w="80"/>
              <w:left w:type="dxa" w:w="100"/>
              <w:bottom w:type="dxa" w:w="80"/>
              <w:right w:type="dxa" w:w="100"/>
            </w:tcMar>
          </w:tcPr>
          <w:p>
            <w:pPr>
              <w:jc w:val="left"/>
            </w:pPr>
            <w:r>
              <w:rPr/>
              <w:t xml:space="preserve">Paper</w:t>
            </w:r>
          </w:p>
        </w:tc>
        <w:tc>
          <w:tcPr>
            <w:tcW w:type="dxa" w:w="2000"/>
            <w:tcMar>
              <w:top w:type="dxa" w:w="80"/>
              <w:left w:type="dxa" w:w="100"/>
              <w:bottom w:type="dxa" w:w="80"/>
              <w:right w:type="dxa" w:w="100"/>
            </w:tcMar>
          </w:tcPr>
          <w:p>
            <w:pPr>
              <w:jc w:val="left"/>
            </w:pPr>
            <w:r>
              <w:rPr/>
              <w:t xml:space="preserve">#EEF0EA</w:t>
            </w:r>
          </w:p>
        </w:tc>
        <w:tc>
          <w:tcPr>
            <w:tcW w:type="dxa" w:w="4000"/>
            <w:tcMar>
              <w:top w:type="dxa" w:w="80"/>
              <w:left w:type="dxa" w:w="100"/>
              <w:bottom w:type="dxa" w:w="80"/>
              <w:right w:type="dxa" w:w="100"/>
            </w:tcMar>
          </w:tcPr>
          <w:p>
            <w:pPr>
              <w:jc w:val="left"/>
            </w:pPr>
            <w:r>
              <w:rPr/>
              <w:t xml:space="preserve">Background</w:t>
            </w:r>
          </w:p>
        </w:tc>
      </w:tr>
      <w:tr>
        <w:tc>
          <w:tcPr>
            <w:tcW w:type="dxa" w:w="2200"/>
            <w:tcMar>
              <w:top w:type="dxa" w:w="80"/>
              <w:left w:type="dxa" w:w="100"/>
              <w:bottom w:type="dxa" w:w="80"/>
              <w:right w:type="dxa" w:w="100"/>
            </w:tcMar>
          </w:tcPr>
          <w:p>
            <w:pPr>
              <w:jc w:val="left"/>
            </w:pPr>
            <w:r>
              <w:rPr/>
              <w:t xml:space="preserve">Card</w:t>
            </w:r>
          </w:p>
        </w:tc>
        <w:tc>
          <w:tcPr>
            <w:tcW w:type="dxa" w:w="2000"/>
            <w:tcMar>
              <w:top w:type="dxa" w:w="80"/>
              <w:left w:type="dxa" w:w="100"/>
              <w:bottom w:type="dxa" w:w="80"/>
              <w:right w:type="dxa" w:w="100"/>
            </w:tcMar>
          </w:tcPr>
          <w:p>
            <w:pPr>
              <w:jc w:val="left"/>
            </w:pPr>
            <w:r>
              <w:rPr/>
              <w:t xml:space="preserve">#FFFFFF</w:t>
            </w:r>
          </w:p>
        </w:tc>
        <w:tc>
          <w:tcPr>
            <w:tcW w:type="dxa" w:w="4000"/>
            <w:tcMar>
              <w:top w:type="dxa" w:w="80"/>
              <w:left w:type="dxa" w:w="100"/>
              <w:bottom w:type="dxa" w:w="80"/>
              <w:right w:type="dxa" w:w="100"/>
            </w:tcMar>
          </w:tcPr>
          <w:p>
            <w:pPr>
              <w:jc w:val="left"/>
            </w:pPr>
            <w:r>
              <w:rPr/>
              <w:t xml:space="preserve">Surfaces</w:t>
            </w:r>
          </w:p>
        </w:tc>
      </w:tr>
      <w:tr>
        <w:tc>
          <w:tcPr>
            <w:tcW w:type="dxa" w:w="2200"/>
            <w:tcMar>
              <w:top w:type="dxa" w:w="80"/>
              <w:left w:type="dxa" w:w="100"/>
              <w:bottom w:type="dxa" w:w="80"/>
              <w:right w:type="dxa" w:w="100"/>
            </w:tcMar>
          </w:tcPr>
          <w:p>
            <w:pPr>
              <w:jc w:val="left"/>
            </w:pPr>
            <w:r>
              <w:rPr/>
              <w:t xml:space="preserve">Line</w:t>
            </w:r>
          </w:p>
        </w:tc>
        <w:tc>
          <w:tcPr>
            <w:tcW w:type="dxa" w:w="2000"/>
            <w:tcMar>
              <w:top w:type="dxa" w:w="80"/>
              <w:left w:type="dxa" w:w="100"/>
              <w:bottom w:type="dxa" w:w="80"/>
              <w:right w:type="dxa" w:w="100"/>
            </w:tcMar>
          </w:tcPr>
          <w:p>
            <w:pPr>
              <w:jc w:val="left"/>
            </w:pPr>
            <w:r>
              <w:rPr/>
              <w:t xml:space="preserve">#D8DACE</w:t>
            </w:r>
          </w:p>
        </w:tc>
        <w:tc>
          <w:tcPr>
            <w:tcW w:type="dxa" w:w="4000"/>
            <w:tcMar>
              <w:top w:type="dxa" w:w="80"/>
              <w:left w:type="dxa" w:w="100"/>
              <w:bottom w:type="dxa" w:w="80"/>
              <w:right w:type="dxa" w:w="100"/>
            </w:tcMar>
          </w:tcPr>
          <w:p>
            <w:pPr>
              <w:jc w:val="left"/>
            </w:pPr>
            <w:r>
              <w:rPr/>
              <w:t xml:space="preserve">Borders</w:t>
            </w:r>
          </w:p>
        </w:tc>
      </w:tr>
      <w:tr>
        <w:tc>
          <w:tcPr>
            <w:tcW w:type="dxa" w:w="2200"/>
            <w:tcMar>
              <w:top w:type="dxa" w:w="80"/>
              <w:left w:type="dxa" w:w="100"/>
              <w:bottom w:type="dxa" w:w="80"/>
              <w:right w:type="dxa" w:w="100"/>
            </w:tcMar>
          </w:tcPr>
          <w:p>
            <w:pPr>
              <w:jc w:val="left"/>
            </w:pPr>
            <w:r>
              <w:rPr/>
              <w:t xml:space="preserve">Rust</w:t>
            </w:r>
          </w:p>
        </w:tc>
        <w:tc>
          <w:tcPr>
            <w:tcW w:type="dxa" w:w="2000"/>
            <w:tcMar>
              <w:top w:type="dxa" w:w="80"/>
              <w:left w:type="dxa" w:w="100"/>
              <w:bottom w:type="dxa" w:w="80"/>
              <w:right w:type="dxa" w:w="100"/>
            </w:tcMar>
          </w:tcPr>
          <w:p>
            <w:pPr>
              <w:jc w:val="left"/>
            </w:pPr>
            <w:r>
              <w:rPr/>
              <w:t xml:space="preserve">#B85C2C</w:t>
            </w:r>
          </w:p>
        </w:tc>
        <w:tc>
          <w:tcPr>
            <w:tcW w:type="dxa" w:w="4000"/>
            <w:tcMar>
              <w:top w:type="dxa" w:w="80"/>
              <w:left w:type="dxa" w:w="100"/>
              <w:bottom w:type="dxa" w:w="80"/>
              <w:right w:type="dxa" w:w="100"/>
            </w:tcMar>
          </w:tcPr>
          <w:p>
            <w:pPr>
              <w:jc w:val="left"/>
            </w:pPr>
            <w:r>
              <w:rPr/>
              <w:t xml:space="preserve">Trader-facing accent</w:t>
            </w:r>
          </w:p>
        </w:tc>
      </w:tr>
      <w:tr>
        <w:tc>
          <w:tcPr>
            <w:tcW w:type="dxa" w:w="2200"/>
            <w:tcMar>
              <w:top w:type="dxa" w:w="80"/>
              <w:left w:type="dxa" w:w="100"/>
              <w:bottom w:type="dxa" w:w="80"/>
              <w:right w:type="dxa" w:w="100"/>
            </w:tcMar>
          </w:tcPr>
          <w:p>
            <w:pPr>
              <w:jc w:val="left"/>
            </w:pPr>
            <w:r>
              <w:rPr/>
              <w:t xml:space="preserve">Rust Soft</w:t>
            </w:r>
          </w:p>
        </w:tc>
        <w:tc>
          <w:tcPr>
            <w:tcW w:type="dxa" w:w="2000"/>
            <w:tcMar>
              <w:top w:type="dxa" w:w="80"/>
              <w:left w:type="dxa" w:w="100"/>
              <w:bottom w:type="dxa" w:w="80"/>
              <w:right w:type="dxa" w:w="100"/>
            </w:tcMar>
          </w:tcPr>
          <w:p>
            <w:pPr>
              <w:jc w:val="left"/>
            </w:pPr>
            <w:r>
              <w:rPr/>
              <w:t xml:space="preserve">#F3E3D6</w:t>
            </w:r>
          </w:p>
        </w:tc>
        <w:tc>
          <w:tcPr>
            <w:tcW w:type="dxa" w:w="4000"/>
            <w:tcMar>
              <w:top w:type="dxa" w:w="80"/>
              <w:left w:type="dxa" w:w="100"/>
              <w:bottom w:type="dxa" w:w="80"/>
              <w:right w:type="dxa" w:w="100"/>
            </w:tcMar>
          </w:tcPr>
          <w:p>
            <w:pPr>
              <w:jc w:val="left"/>
            </w:pPr>
            <w:r>
              <w:rPr/>
              <w:t xml:space="preserve">Trader tint</w:t>
            </w:r>
          </w:p>
        </w:tc>
      </w:tr>
      <w:tr>
        <w:tc>
          <w:tcPr>
            <w:tcW w:type="dxa" w:w="2200"/>
            <w:tcMar>
              <w:top w:type="dxa" w:w="80"/>
              <w:left w:type="dxa" w:w="100"/>
              <w:bottom w:type="dxa" w:w="80"/>
              <w:right w:type="dxa" w:w="100"/>
            </w:tcMar>
          </w:tcPr>
          <w:p>
            <w:pPr>
              <w:jc w:val="left"/>
            </w:pPr>
            <w:r>
              <w:rPr/>
              <w:t xml:space="preserve">Teal</w:t>
            </w:r>
          </w:p>
        </w:tc>
        <w:tc>
          <w:tcPr>
            <w:tcW w:type="dxa" w:w="2000"/>
            <w:tcMar>
              <w:top w:type="dxa" w:w="80"/>
              <w:left w:type="dxa" w:w="100"/>
              <w:bottom w:type="dxa" w:w="80"/>
              <w:right w:type="dxa" w:w="100"/>
            </w:tcMar>
          </w:tcPr>
          <w:p>
            <w:pPr>
              <w:jc w:val="left"/>
            </w:pPr>
            <w:r>
              <w:rPr/>
              <w:t xml:space="preserve">#2F5A5F</w:t>
            </w:r>
          </w:p>
        </w:tc>
        <w:tc>
          <w:tcPr>
            <w:tcW w:type="dxa" w:w="4000"/>
            <w:tcMar>
              <w:top w:type="dxa" w:w="80"/>
              <w:left w:type="dxa" w:w="100"/>
              <w:bottom w:type="dxa" w:w="80"/>
              <w:right w:type="dxa" w:w="100"/>
            </w:tcMar>
          </w:tcPr>
          <w:p>
            <w:pPr>
              <w:jc w:val="left"/>
            </w:pPr>
            <w:r>
              <w:rPr/>
              <w:t xml:space="preserve">Market Maker-facing accent</w:t>
            </w:r>
          </w:p>
        </w:tc>
      </w:tr>
      <w:tr>
        <w:tc>
          <w:tcPr>
            <w:tcW w:type="dxa" w:w="2200"/>
            <w:tcMar>
              <w:top w:type="dxa" w:w="80"/>
              <w:left w:type="dxa" w:w="100"/>
              <w:bottom w:type="dxa" w:w="80"/>
              <w:right w:type="dxa" w:w="100"/>
            </w:tcMar>
          </w:tcPr>
          <w:p>
            <w:pPr>
              <w:jc w:val="left"/>
            </w:pPr>
            <w:r>
              <w:rPr/>
              <w:t xml:space="preserve">Teal Soft</w:t>
            </w:r>
          </w:p>
        </w:tc>
        <w:tc>
          <w:tcPr>
            <w:tcW w:type="dxa" w:w="2000"/>
            <w:tcMar>
              <w:top w:type="dxa" w:w="80"/>
              <w:left w:type="dxa" w:w="100"/>
              <w:bottom w:type="dxa" w:w="80"/>
              <w:right w:type="dxa" w:w="100"/>
            </w:tcMar>
          </w:tcPr>
          <w:p>
            <w:pPr>
              <w:jc w:val="left"/>
            </w:pPr>
            <w:r>
              <w:rPr/>
              <w:t xml:space="preserve">#DCE7E6</w:t>
            </w:r>
          </w:p>
        </w:tc>
        <w:tc>
          <w:tcPr>
            <w:tcW w:type="dxa" w:w="4000"/>
            <w:tcMar>
              <w:top w:type="dxa" w:w="80"/>
              <w:left w:type="dxa" w:w="100"/>
              <w:bottom w:type="dxa" w:w="80"/>
              <w:right w:type="dxa" w:w="100"/>
            </w:tcMar>
          </w:tcPr>
          <w:p>
            <w:pPr>
              <w:jc w:val="left"/>
            </w:pPr>
            <w:r>
              <w:rPr/>
              <w:t xml:space="preserve">Market Maker tint</w:t>
            </w:r>
          </w:p>
        </w:tc>
      </w:tr>
      <w:tr>
        <w:tc>
          <w:tcPr>
            <w:tcW w:type="dxa" w:w="2200"/>
            <w:tcMar>
              <w:top w:type="dxa" w:w="80"/>
              <w:left w:type="dxa" w:w="100"/>
              <w:bottom w:type="dxa" w:w="80"/>
              <w:right w:type="dxa" w:w="100"/>
            </w:tcMar>
          </w:tcPr>
          <w:p>
            <w:pPr>
              <w:jc w:val="left"/>
            </w:pPr>
            <w:r>
              <w:rPr/>
              <w:t xml:space="preserve">Amber</w:t>
            </w:r>
          </w:p>
        </w:tc>
        <w:tc>
          <w:tcPr>
            <w:tcW w:type="dxa" w:w="2000"/>
            <w:tcMar>
              <w:top w:type="dxa" w:w="80"/>
              <w:left w:type="dxa" w:w="100"/>
              <w:bottom w:type="dxa" w:w="80"/>
              <w:right w:type="dxa" w:w="100"/>
            </w:tcMar>
          </w:tcPr>
          <w:p>
            <w:pPr>
              <w:jc w:val="left"/>
            </w:pPr>
            <w:r>
              <w:rPr/>
              <w:t xml:space="preserve">#E3A93C</w:t>
            </w:r>
          </w:p>
        </w:tc>
        <w:tc>
          <w:tcPr>
            <w:tcW w:type="dxa" w:w="4000"/>
            <w:tcMar>
              <w:top w:type="dxa" w:w="80"/>
              <w:left w:type="dxa" w:w="100"/>
              <w:bottom w:type="dxa" w:w="80"/>
              <w:right w:type="dxa" w:w="100"/>
            </w:tcMar>
          </w:tcPr>
          <w:p>
            <w:pPr>
              <w:jc w:val="left"/>
            </w:pPr>
            <w:r>
              <w:rPr/>
              <w:t xml:space="preserve">TSX Master / governance accent, match-highlight</w:t>
            </w:r>
          </w:p>
        </w:tc>
      </w:tr>
    </w:tbl>
    <w:p>
      <w:pPr>
        <w:spacing w:before="160" w:after="60"/>
      </w:pPr>
      <w:r>
        <w:rPr>
          <w:b/>
        </w:rPr>
        <w:t xml:space="preserve">Typography: </w:t>
      </w:r>
      <w:r>
        <w:t xml:space="preserve">Archivo (display/headings) · IBM Plex Mono (codes, prices, tickers, data) · Inter (body/UI).</w:t>
      </w:r>
    </w:p>
    <w:p/>
    <w:p>
      <w:pPr>
        <w:pStyle w:val="Heading1"/>
        <w:spacing w:after="200" w:before="400"/>
      </w:pPr>
      <w:r>
        <w:t xml:space="preserve">SECTION 3: PROCESS WORKFLOWS</w:t>
      </w:r>
    </w:p>
    <w:p>
      <w:pPr>
        <w:spacing w:after="80" w:before="240"/>
      </w:pPr>
      <w:r>
        <w:rPr>
          <w:b/>
          <w:bCs/>
          <w:color w:val="B5651D"/>
          <w:sz w:val="23"/>
          <w:szCs w:val="23"/>
        </w:rPr>
        <w:t xml:space="preserve">PR-01: </w:t>
      </w:r>
      <w:r>
        <w:rPr>
          <w:b/>
          <w:bCs/>
          <w:sz w:val="23"/>
          <w:szCs w:val="23"/>
        </w:rPr>
        <w:t xml:space="preserve">Stakeholder Discovery &amp; Blueprint Finalization</w:t>
      </w:r>
    </w:p>
    <w:p>
      <w:pPr>
        <w:spacing w:after="80"/>
      </w:pPr>
      <w:r>
        <w:rPr>
          <w:b/>
          <w:bCs/>
          <w:i/>
          <w:iCs/>
        </w:rPr>
        <w:t xml:space="preserve">Description: </w:t>
      </w:r>
      <w:r>
        <w:t xml:space="preserve">Initiate discovery to fully discuss and solidify operational parameters, transaction locks, and platform safety rules before any coding begins.</w:t>
      </w:r>
    </w:p>
    <w:p>
      <w:pPr>
        <w:spacing w:after="40"/>
      </w:pPr>
      <w:r>
        <w:rPr>
          <w:b/>
          <w:bCs/>
        </w:rPr>
        <w:t xml:space="preserve">Operational Sequence Steps:</w:t>
      </w:r>
    </w:p>
    <w:p>
      <w:pPr>
        <w:pStyle w:val="ListParagraph"/>
        <w:numPr>
          <w:ilvl w:val="0"/>
          <w:numId w:val="2"/>
        </w:numPr>
        <w:spacing w:after="40"/>
      </w:pPr>
      <w:r>
        <w:t xml:space="preserve">Publish the Business Rules draft for stakeholder review.</w:t>
      </w:r>
    </w:p>
    <w:p>
      <w:pPr>
        <w:pStyle w:val="ListParagraph"/>
        <w:numPr>
          <w:ilvl w:val="0"/>
          <w:numId w:val="2"/>
        </w:numPr>
        <w:spacing w:after="40"/>
      </w:pPr>
      <w:r>
        <w:t xml:space="preserve">Discuss rule nuances and potential commercial risks.</w:t>
      </w:r>
    </w:p>
    <w:p>
      <w:pPr>
        <w:pStyle w:val="ListParagraph"/>
        <w:numPr>
          <w:ilvl w:val="0"/>
          <w:numId w:val="2"/>
        </w:numPr>
        <w:spacing w:after="40"/>
      </w:pPr>
      <w:r>
        <w:t xml:space="preserve">Formulate anti-sniping intervals, minimum bid increments, and escrow terms.</w:t>
      </w:r>
    </w:p>
    <w:p>
      <w:pPr>
        <w:pStyle w:val="ListParagraph"/>
        <w:numPr>
          <w:ilvl w:val="0"/>
          <w:numId w:val="2"/>
        </w:numPr>
        <w:spacing w:after="40"/>
      </w:pPr>
      <w:r>
        <w:t xml:space="preserve">Agree on final technical stack and architectural design.</w:t>
      </w:r>
    </w:p>
    <w:p>
      <w:pPr>
        <w:pStyle w:val="ListParagraph"/>
        <w:numPr>
          <w:ilvl w:val="0"/>
          <w:numId w:val="2"/>
        </w:numPr>
        <w:spacing w:after="40"/>
      </w:pPr>
      <w:r>
        <w:t xml:space="preserve">Transition from Strategy Draft to Active Application Coding.</w:t>
      </w:r>
    </w:p>
    <w:p>
      <w:pPr>
        <w:spacing w:after="200"/>
      </w:pPr>
      <w:r>
        <w:rPr>
          <w:b/>
          <w:bCs/>
          <w:i/>
          <w:iCs/>
        </w:rPr>
        <w:t xml:space="preserve">Governing Rules: </w:t>
      </w:r>
      <w:r>
        <w:t xml:space="preserve">BR-01</w:t>
      </w:r>
    </w:p>
    <w:p>
      <w:pPr>
        <w:spacing w:after="80" w:before="240"/>
      </w:pPr>
      <w:r>
        <w:rPr>
          <w:b/>
          <w:bCs/>
          <w:color w:val="B5651D"/>
          <w:sz w:val="23"/>
          <w:szCs w:val="23"/>
        </w:rPr>
        <w:t xml:space="preserve">PR-02: </w:t>
      </w:r>
      <w:r>
        <w:rPr>
          <w:b/>
          <w:bCs/>
          <w:sz w:val="23"/>
          <w:szCs w:val="23"/>
        </w:rPr>
        <w:t xml:space="preserve">User Identification, Verification &amp; Onboarding</w:t>
      </w:r>
    </w:p>
    <w:p>
      <w:pPr>
        <w:spacing w:after="80"/>
      </w:pPr>
      <w:r>
        <w:rPr>
          <w:b/>
          <w:bCs/>
          <w:i/>
          <w:iCs/>
        </w:rPr>
        <w:t xml:space="preserve">Description: </w:t>
      </w:r>
      <w:r>
        <w:t xml:space="preserve">Gateway sequence to verify, onboard, and register any portal visitor via mobile number.</w:t>
      </w:r>
    </w:p>
    <w:p>
      <w:pPr>
        <w:spacing w:after="40"/>
      </w:pPr>
      <w:r>
        <w:rPr>
          <w:b/>
          <w:bCs/>
        </w:rPr>
        <w:t xml:space="preserve">Operational Sequence Steps:</w:t>
      </w:r>
    </w:p>
    <w:p>
      <w:pPr>
        <w:pStyle w:val="ListParagraph"/>
        <w:numPr>
          <w:ilvl w:val="0"/>
          <w:numId w:val="2"/>
        </w:numPr>
        <w:spacing w:after="40"/>
      </w:pPr>
      <w:r>
        <w:t xml:space="preserve">Request the user's mobile phone number.</w:t>
      </w:r>
    </w:p>
    <w:p>
      <w:pPr>
        <w:pStyle w:val="ListParagraph"/>
        <w:numPr>
          <w:ilvl w:val="0"/>
          <w:numId w:val="2"/>
        </w:numPr>
        <w:spacing w:after="40"/>
      </w:pPr>
      <w:r>
        <w:t xml:space="preserve">Query the database for an existing record.</w:t>
      </w:r>
    </w:p>
    <w:p>
      <w:pPr>
        <w:pStyle w:val="ListParagraph"/>
        <w:numPr>
          <w:ilvl w:val="0"/>
          <w:numId w:val="2"/>
        </w:numPr>
        <w:spacing w:after="40"/>
      </w:pPr>
      <w:r>
        <w:t xml:space="preserve">If registered: prompt for 4-digit mPIN for session access.</w:t>
      </w:r>
    </w:p>
    <w:p>
      <w:pPr>
        <w:pStyle w:val="ListParagraph"/>
        <w:numPr>
          <w:ilvl w:val="0"/>
          <w:numId w:val="2"/>
        </w:numPr>
        <w:spacing w:after="40"/>
      </w:pPr>
      <w:r>
        <w:t xml:space="preserve">If mPIN fails 3 consecutive times: trigger a failover OTP SMS.</w:t>
      </w:r>
    </w:p>
    <w:p>
      <w:pPr>
        <w:pStyle w:val="ListParagraph"/>
        <w:numPr>
          <w:ilvl w:val="0"/>
          <w:numId w:val="2"/>
        </w:numPr>
        <w:spacing w:after="40"/>
      </w:pPr>
      <w:r>
        <w:t xml:space="preserve">Prompt OTP verification before allowing mPIN reset or re-authentication.</w:t>
      </w:r>
    </w:p>
    <w:p>
      <w:pPr>
        <w:pStyle w:val="ListParagraph"/>
        <w:numPr>
          <w:ilvl w:val="0"/>
          <w:numId w:val="2"/>
        </w:numPr>
        <w:spacing w:after="40"/>
      </w:pPr>
      <w:r>
        <w:t xml:space="preserve">If new: issue and transmit a registration OTP via SMS.</w:t>
      </w:r>
    </w:p>
    <w:p>
      <w:pPr>
        <w:pStyle w:val="ListParagraph"/>
        <w:numPr>
          <w:ilvl w:val="0"/>
          <w:numId w:val="2"/>
        </w:numPr>
        <w:spacing w:after="40"/>
      </w:pPr>
      <w:r>
        <w:t xml:space="preserve">Verify submitted OTP against the generated token.</w:t>
      </w:r>
    </w:p>
    <w:p>
      <w:pPr>
        <w:pStyle w:val="ListParagraph"/>
        <w:numPr>
          <w:ilvl w:val="0"/>
          <w:numId w:val="2"/>
        </w:numPr>
        <w:spacing w:after="40"/>
      </w:pPr>
      <w:r>
        <w:t xml:space="preserve">After match: capture legal identification details (Name, Salutation).</w:t>
      </w:r>
    </w:p>
    <w:p>
      <w:pPr>
        <w:pStyle w:val="ListParagraph"/>
        <w:numPr>
          <w:ilvl w:val="0"/>
          <w:numId w:val="2"/>
        </w:numPr>
        <w:spacing w:after="40"/>
      </w:pPr>
      <w:r>
        <w:t xml:space="preserve">Prompt the verified user to set and confirm their 4-digit mPIN.</w:t>
      </w:r>
    </w:p>
    <w:p>
      <w:pPr>
        <w:spacing w:after="200"/>
      </w:pPr>
      <w:r>
        <w:rPr>
          <w:b/>
          <w:bCs/>
          <w:i/>
          <w:iCs/>
        </w:rPr>
        <w:t xml:space="preserve">Governing Rules: </w:t>
      </w:r>
      <w:r>
        <w:t xml:space="preserve">BR-02</w:t>
      </w:r>
    </w:p>
    <w:p>
      <w:pPr>
        <w:spacing w:after="80" w:before="240"/>
      </w:pPr>
      <w:r>
        <w:rPr>
          <w:b/>
          <w:bCs/>
          <w:color w:val="B5651D"/>
          <w:sz w:val="23"/>
          <w:szCs w:val="23"/>
        </w:rPr>
        <w:t xml:space="preserve">PR-03: </w:t>
      </w:r>
      <w:r>
        <w:rPr>
          <w:b/>
          <w:bCs/>
          <w:sz w:val="23"/>
          <w:szCs w:val="23"/>
        </w:rPr>
        <w:t xml:space="preserve">Indian Region Localization &amp; Validation</w:t>
      </w:r>
    </w:p>
    <w:p>
      <w:pPr>
        <w:spacing w:after="80"/>
      </w:pPr>
      <w:r>
        <w:rPr>
          <w:b/>
          <w:bCs/>
          <w:i/>
          <w:iCs/>
        </w:rPr>
        <w:t xml:space="preserve">Description: </w:t>
      </w:r>
      <w:r>
        <w:t xml:space="preserve">Systematic procedure to sanitize, validate, and localize all inputs and metadata for Indian operations.</w:t>
      </w:r>
    </w:p>
    <w:p>
      <w:pPr>
        <w:spacing w:after="40"/>
      </w:pPr>
      <w:r>
        <w:rPr>
          <w:b/>
          <w:bCs/>
        </w:rPr>
        <w:t xml:space="preserve">Operational Sequence Steps:</w:t>
      </w:r>
    </w:p>
    <w:p>
      <w:pPr>
        <w:pStyle w:val="ListParagraph"/>
        <w:numPr>
          <w:ilvl w:val="0"/>
          <w:numId w:val="2"/>
        </w:numPr>
        <w:spacing w:after="40"/>
      </w:pPr>
      <w:r>
        <w:t xml:space="preserve">Enforce 10-digit numeric mobile input following the '+91' prefix.</w:t>
      </w:r>
    </w:p>
    <w:p>
      <w:pPr>
        <w:pStyle w:val="ListParagraph"/>
        <w:numPr>
          <w:ilvl w:val="0"/>
          <w:numId w:val="2"/>
        </w:numPr>
        <w:spacing w:after="40"/>
      </w:pPr>
      <w:r>
        <w:t xml:space="preserve">Display all prices, bids, reserves, and deposits in Rupees.</w:t>
      </w:r>
    </w:p>
    <w:p>
      <w:pPr>
        <w:pStyle w:val="ListParagraph"/>
        <w:numPr>
          <w:ilvl w:val="0"/>
          <w:numId w:val="2"/>
        </w:numPr>
        <w:spacing w:after="40"/>
      </w:pPr>
      <w:r>
        <w:t xml:space="preserve">Deliver all documents and communications in Indian English.</w:t>
      </w:r>
    </w:p>
    <w:p>
      <w:pPr>
        <w:pStyle w:val="ListParagraph"/>
        <w:numPr>
          <w:ilvl w:val="0"/>
          <w:numId w:val="2"/>
        </w:numPr>
        <w:spacing w:after="40"/>
      </w:pPr>
      <w:r>
        <w:t xml:space="preserve">Validate 6-digit PIN codes and auto-map to district/state via postal index.</w:t>
      </w:r>
    </w:p>
    <w:p>
      <w:pPr>
        <w:spacing w:after="200"/>
      </w:pPr>
      <w:r>
        <w:rPr>
          <w:b/>
          <w:bCs/>
          <w:i/>
          <w:iCs/>
        </w:rPr>
        <w:t xml:space="preserve">Governing Rules: </w:t>
      </w:r>
      <w:r>
        <w:t xml:space="preserve">BR-03</w:t>
      </w:r>
    </w:p>
    <w:p>
      <w:pPr>
        <w:spacing w:after="80" w:before="240"/>
      </w:pPr>
      <w:r>
        <w:rPr>
          <w:b/>
          <w:bCs/>
          <w:color w:val="B5651D"/>
          <w:sz w:val="23"/>
          <w:szCs w:val="23"/>
        </w:rPr>
        <w:t xml:space="preserve">PR-04: </w:t>
      </w:r>
      <w:r>
        <w:rPr>
          <w:b/>
          <w:bCs/>
          <w:sz w:val="23"/>
          <w:szCs w:val="23"/>
        </w:rPr>
        <w:t xml:space="preserve">Sovereign Rule Revision &amp; Governance Flow</w:t>
      </w:r>
    </w:p>
    <w:p>
      <w:pPr>
        <w:spacing w:after="80"/>
      </w:pPr>
      <w:r>
        <w:rPr>
          <w:b/>
          <w:bCs/>
          <w:i/>
          <w:iCs/>
        </w:rPr>
        <w:t xml:space="preserve">Description: </w:t>
      </w:r>
      <w:r>
        <w:t xml:space="preserve">Secure procedure through which the Super Admin administers or amends rules inside the live system.</w:t>
      </w:r>
    </w:p>
    <w:p>
      <w:pPr>
        <w:spacing w:after="40"/>
      </w:pPr>
      <w:r>
        <w:rPr>
          <w:b/>
          <w:bCs/>
        </w:rPr>
        <w:t xml:space="preserve">Operational Sequence Steps:</w:t>
      </w:r>
    </w:p>
    <w:p>
      <w:pPr>
        <w:pStyle w:val="ListParagraph"/>
        <w:numPr>
          <w:ilvl w:val="0"/>
          <w:numId w:val="2"/>
        </w:numPr>
        <w:spacing w:after="40"/>
      </w:pPr>
      <w:r>
        <w:t xml:space="preserve">Super Admin authenticates via the isolated TOTP/MFA flow.</w:t>
      </w:r>
    </w:p>
    <w:p>
      <w:pPr>
        <w:pStyle w:val="ListParagraph"/>
        <w:numPr>
          <w:ilvl w:val="0"/>
          <w:numId w:val="2"/>
        </w:numPr>
        <w:spacing w:after="40"/>
      </w:pPr>
      <w:r>
        <w:t xml:space="preserve">System grants administrative context and unlocks the Rules &amp; Specifications module.</w:t>
      </w:r>
    </w:p>
    <w:p>
      <w:pPr>
        <w:pStyle w:val="ListParagraph"/>
        <w:numPr>
          <w:ilvl w:val="0"/>
          <w:numId w:val="2"/>
        </w:numPr>
        <w:spacing w:after="40"/>
      </w:pPr>
      <w:r>
        <w:t xml:space="preserve">Admin reviews current rules or defines a new rule (Title, Statement, Logic).</w:t>
      </w:r>
    </w:p>
    <w:p>
      <w:pPr>
        <w:pStyle w:val="ListParagraph"/>
        <w:numPr>
          <w:ilvl w:val="0"/>
          <w:numId w:val="2"/>
        </w:numPr>
        <w:spacing w:after="40"/>
      </w:pPr>
      <w:r>
        <w:t xml:space="preserve">Admin submits a mandatory 'Reason for Modification' audit comment.</w:t>
      </w:r>
    </w:p>
    <w:p>
      <w:pPr>
        <w:pStyle w:val="ListParagraph"/>
        <w:numPr>
          <w:ilvl w:val="0"/>
          <w:numId w:val="2"/>
        </w:numPr>
        <w:spacing w:after="40"/>
      </w:pPr>
      <w:r>
        <w:t xml:space="preserve">System versions the change, commits it, and updates the live application's behavior.</w:t>
      </w:r>
    </w:p>
    <w:p>
      <w:pPr>
        <w:spacing w:after="200"/>
      </w:pPr>
      <w:r>
        <w:rPr>
          <w:b/>
          <w:bCs/>
          <w:i/>
          <w:iCs/>
        </w:rPr>
        <w:t xml:space="preserve">Governing Rules: </w:t>
      </w:r>
      <w:r>
        <w:t xml:space="preserve">BR-01, BR-04</w:t>
      </w:r>
    </w:p>
    <w:p>
      <w:pPr>
        <w:spacing w:after="80" w:before="240"/>
      </w:pPr>
      <w:r>
        <w:rPr>
          <w:b/>
          <w:bCs/>
          <w:color w:val="B5651D"/>
          <w:sz w:val="23"/>
          <w:szCs w:val="23"/>
        </w:rPr>
        <w:t xml:space="preserve">PR-05: </w:t>
      </w:r>
      <w:r>
        <w:rPr>
          <w:b/>
          <w:bCs/>
          <w:sz w:val="23"/>
          <w:szCs w:val="23"/>
        </w:rPr>
        <w:t xml:space="preserve">Audit Archiving &amp; Log Reader Workflow</w:t>
      </w:r>
    </w:p>
    <w:p>
      <w:pPr>
        <w:spacing w:after="80"/>
      </w:pPr>
      <w:r>
        <w:rPr>
          <w:b/>
          <w:bCs/>
          <w:i/>
          <w:iCs/>
        </w:rPr>
        <w:t xml:space="preserve">Description: </w:t>
      </w:r>
      <w:r>
        <w:t xml:space="preserve">Standard lifecycle to log user actions, manage cold-tier compression, and retrieve 5-year audit history.</w:t>
      </w:r>
    </w:p>
    <w:p>
      <w:pPr>
        <w:spacing w:after="40"/>
      </w:pPr>
      <w:r>
        <w:rPr>
          <w:b/>
          <w:bCs/>
        </w:rPr>
        <w:t xml:space="preserve">Operational Sequence Steps:</w:t>
      </w:r>
    </w:p>
    <w:p>
      <w:pPr>
        <w:pStyle w:val="ListParagraph"/>
        <w:numPr>
          <w:ilvl w:val="0"/>
          <w:numId w:val="2"/>
        </w:numPr>
        <w:spacing w:after="40"/>
      </w:pPr>
      <w:r>
        <w:t xml:space="preserve">Intercept all user-initiated events and configuration changes at the API layer.</w:t>
      </w:r>
    </w:p>
    <w:p>
      <w:pPr>
        <w:pStyle w:val="ListParagraph"/>
        <w:numPr>
          <w:ilvl w:val="0"/>
          <w:numId w:val="2"/>
        </w:numPr>
        <w:spacing w:after="40"/>
      </w:pPr>
      <w:r>
        <w:t xml:space="preserve">Attach rich metadata (IP, verified mobile ID, browser agent, ISO 8601 UTC timestamp) to each event.</w:t>
      </w:r>
    </w:p>
    <w:p>
      <w:pPr>
        <w:pStyle w:val="ListParagraph"/>
        <w:numPr>
          <w:ilvl w:val="0"/>
          <w:numId w:val="2"/>
        </w:numPr>
        <w:spacing w:after="40"/>
      </w:pPr>
      <w:r>
        <w:t xml:space="preserve">Commit the event to the append-only Hot tier table.</w:t>
      </w:r>
    </w:p>
    <w:p>
      <w:pPr>
        <w:pStyle w:val="ListParagraph"/>
        <w:numPr>
          <w:ilvl w:val="0"/>
          <w:numId w:val="2"/>
        </w:numPr>
        <w:spacing w:after="40"/>
      </w:pPr>
      <w:r>
        <w:t xml:space="preserve">Mark deleted records as soft-deleted (archived flag + timestamp), never physically removed.</w:t>
      </w:r>
    </w:p>
    <w:p>
      <w:pPr>
        <w:pStyle w:val="ListParagraph"/>
        <w:numPr>
          <w:ilvl w:val="0"/>
          <w:numId w:val="2"/>
        </w:numPr>
        <w:spacing w:after="40"/>
      </w:pPr>
      <w:r>
        <w:t xml:space="preserve">Run a scheduled monthly job to compress and transfer records older than 1 year to Cold cloud storage.</w:t>
      </w:r>
    </w:p>
    <w:p>
      <w:pPr>
        <w:pStyle w:val="ListParagraph"/>
        <w:numPr>
          <w:ilvl w:val="0"/>
          <w:numId w:val="2"/>
        </w:numPr>
        <w:spacing w:after="40"/>
      </w:pPr>
      <w:r>
        <w:t xml:space="preserve">Apply an automated lifecycle policy to purge Cold-tier archives only after they exceed 5 years.</w:t>
      </w:r>
    </w:p>
    <w:p>
      <w:pPr>
        <w:pStyle w:val="ListParagraph"/>
        <w:numPr>
          <w:ilvl w:val="0"/>
          <w:numId w:val="2"/>
        </w:numPr>
        <w:spacing w:after="40"/>
      </w:pPr>
      <w:r>
        <w:t xml:space="preserve">Expose a unified Log Reader API merging Hot and Cold tiers on one timeline, to the Super Admin console only.</w:t>
      </w:r>
    </w:p>
    <w:p>
      <w:pPr>
        <w:spacing w:after="200"/>
      </w:pPr>
      <w:r>
        <w:rPr>
          <w:b/>
          <w:bCs/>
          <w:i/>
          <w:iCs/>
        </w:rPr>
        <w:t xml:space="preserve">Governing Rules: </w:t>
      </w:r>
      <w:r>
        <w:t xml:space="preserve">BR-05</w:t>
      </w:r>
    </w:p>
    <w:p>
      <w:pPr>
        <w:spacing w:after="80" w:before="240"/>
      </w:pPr>
      <w:r>
        <w:rPr>
          <w:b/>
          <w:bCs/>
          <w:color w:val="B5651D"/>
          <w:sz w:val="23"/>
          <w:szCs w:val="23"/>
        </w:rPr>
        <w:t xml:space="preserve">PR-06: </w:t>
      </w:r>
      <w:r>
        <w:rPr>
          <w:b/>
          <w:bCs/>
          <w:sz w:val="23"/>
          <w:szCs w:val="23"/>
        </w:rPr>
        <w:t xml:space="preserve">Multi-Tenant Whitelisting &amp; White-Label Provisioning</w:t>
      </w:r>
    </w:p>
    <w:p>
      <w:pPr>
        <w:spacing w:after="80"/>
      </w:pPr>
      <w:r>
        <w:rPr>
          <w:b/>
          <w:bCs/>
          <w:i/>
          <w:iCs/>
        </w:rPr>
        <w:t xml:space="preserve">Description: </w:t>
      </w:r>
      <w:r>
        <w:t xml:space="preserve">Sequence to onboard, whitelist, and brand-configure a new tenant.</w:t>
      </w:r>
    </w:p>
    <w:p>
      <w:pPr>
        <w:spacing w:after="40"/>
      </w:pPr>
      <w:r>
        <w:rPr>
          <w:b/>
          <w:bCs/>
        </w:rPr>
        <w:t xml:space="preserve">Operational Sequence Steps:</w:t>
      </w:r>
    </w:p>
    <w:p>
      <w:pPr>
        <w:pStyle w:val="ListParagraph"/>
        <w:numPr>
          <w:ilvl w:val="0"/>
          <w:numId w:val="2"/>
        </w:numPr>
        <w:spacing w:after="40"/>
      </w:pPr>
      <w:r>
        <w:t xml:space="preserve">Super Admin receives an onboarding request and whitelists the tenant.</w:t>
      </w:r>
    </w:p>
    <w:p>
      <w:pPr>
        <w:pStyle w:val="ListParagraph"/>
        <w:numPr>
          <w:ilvl w:val="0"/>
          <w:numId w:val="2"/>
        </w:numPr>
        <w:spacing w:after="40"/>
      </w:pPr>
      <w:r>
        <w:t xml:space="preserve">Associate the tenant with a unique subdomain or custom domain mapping.</w:t>
      </w:r>
    </w:p>
    <w:p>
      <w:pPr>
        <w:pStyle w:val="ListParagraph"/>
        <w:numPr>
          <w:ilvl w:val="0"/>
          <w:numId w:val="2"/>
        </w:numPr>
        <w:spacing w:after="40"/>
      </w:pPr>
      <w:r>
        <w:t xml:space="preserve">Upload and bind tenant branding assets (logo, brand colors, terms of use).</w:t>
      </w:r>
    </w:p>
    <w:p>
      <w:pPr>
        <w:pStyle w:val="ListParagraph"/>
        <w:numPr>
          <w:ilvl w:val="0"/>
          <w:numId w:val="2"/>
        </w:numPr>
        <w:spacing w:after="40"/>
      </w:pPr>
      <w:r>
        <w:t xml:space="preserve">Store tenant billing configuration: the fixed Success Fee schedule (BR-31) applies automatically; capture the Tenant's selected TSX subscription package (Section 6.2) as part of this step.</w:t>
      </w:r>
    </w:p>
    <w:p>
      <w:pPr>
        <w:pStyle w:val="ListParagraph"/>
        <w:numPr>
          <w:ilvl w:val="0"/>
          <w:numId w:val="2"/>
        </w:numPr>
        <w:spacing w:after="40"/>
      </w:pPr>
      <w:r>
        <w:t xml:space="preserve">On request, the edge layer inspects the incoming Host header to match the tenant.</w:t>
      </w:r>
    </w:p>
    <w:p>
      <w:pPr>
        <w:pStyle w:val="ListParagraph"/>
        <w:numPr>
          <w:ilvl w:val="0"/>
          <w:numId w:val="2"/>
        </w:numPr>
        <w:spacing w:after="40"/>
      </w:pPr>
      <w:r>
        <w:t xml:space="preserve">The system injects the tenant's branding and inventory, displaying a white-label portal.</w:t>
      </w:r>
    </w:p>
    <w:p>
      <w:pPr>
        <w:spacing w:after="200"/>
      </w:pPr>
      <w:r>
        <w:rPr>
          <w:b/>
          <w:bCs/>
          <w:i/>
          <w:iCs/>
        </w:rPr>
        <w:t xml:space="preserve">Governing Rules: </w:t>
      </w:r>
      <w:r>
        <w:t xml:space="preserve">BR-04, BR-06, BR-08</w:t>
      </w:r>
    </w:p>
    <w:p>
      <w:pPr>
        <w:spacing w:after="80" w:before="240"/>
      </w:pPr>
      <w:r>
        <w:rPr>
          <w:b/>
          <w:bCs/>
          <w:color w:val="B5651D"/>
          <w:sz w:val="23"/>
          <w:szCs w:val="23"/>
        </w:rPr>
        <w:t xml:space="preserve">PR-07: </w:t>
      </w:r>
      <w:r>
        <w:rPr>
          <w:b/>
          <w:bCs/>
          <w:sz w:val="23"/>
          <w:szCs w:val="23"/>
        </w:rPr>
        <w:t xml:space="preserve">Salvage Bidding &amp; Compliance Check</w:t>
      </w:r>
    </w:p>
    <w:p>
      <w:pPr>
        <w:spacing w:after="80"/>
      </w:pPr>
      <w:r>
        <w:rPr>
          <w:b/>
          <w:bCs/>
          <w:i/>
          <w:iCs/>
        </w:rPr>
        <w:t xml:space="preserve">Description: </w:t>
      </w:r>
      <w:r>
        <w:t xml:space="preserve">Validation routine executed when a buyer bids on a specialized salvage asset.</w:t>
      </w:r>
    </w:p>
    <w:p>
      <w:pPr>
        <w:spacing w:after="40"/>
      </w:pPr>
      <w:r>
        <w:rPr>
          <w:b/>
          <w:bCs/>
        </w:rPr>
        <w:t xml:space="preserve">Operational Sequence Steps:</w:t>
      </w:r>
    </w:p>
    <w:p>
      <w:pPr>
        <w:pStyle w:val="ListParagraph"/>
        <w:numPr>
          <w:ilvl w:val="0"/>
          <w:numId w:val="2"/>
        </w:numPr>
        <w:spacing w:after="40"/>
      </w:pPr>
      <w:r>
        <w:t xml:space="preserve">Filter invalid retail-new or non-salvage listings during submission (BR-07).</w:t>
      </w:r>
    </w:p>
    <w:p>
      <w:pPr>
        <w:pStyle w:val="ListParagraph"/>
        <w:numPr>
          <w:ilvl w:val="0"/>
          <w:numId w:val="2"/>
        </w:numPr>
        <w:spacing w:after="40"/>
      </w:pPr>
      <w:r>
        <w:t xml:space="preserve">A buyer navigates to a listing and triggers 'Place Bid.'</w:t>
      </w:r>
    </w:p>
    <w:p>
      <w:pPr>
        <w:pStyle w:val="ListParagraph"/>
        <w:numPr>
          <w:ilvl w:val="0"/>
          <w:numId w:val="2"/>
        </w:numPr>
        <w:spacing w:after="40"/>
      </w:pPr>
      <w:r>
        <w:t xml:space="preserve">The engine checks the listing's custom restriction flags (e.g., hazmat license, EMD required).</w:t>
      </w:r>
    </w:p>
    <w:p>
      <w:pPr>
        <w:pStyle w:val="ListParagraph"/>
        <w:numPr>
          <w:ilvl w:val="0"/>
          <w:numId w:val="2"/>
        </w:numPr>
        <w:spacing w:after="40"/>
      </w:pPr>
      <w:r>
        <w:t xml:space="preserve">Check the bidder's profile for the required credentials.</w:t>
      </w:r>
    </w:p>
    <w:p>
      <w:pPr>
        <w:pStyle w:val="ListParagraph"/>
        <w:numPr>
          <w:ilvl w:val="0"/>
          <w:numId w:val="2"/>
        </w:numPr>
        <w:spacing w:after="40"/>
      </w:pPr>
      <w:r>
        <w:t xml:space="preserve">If unmet: halt the bid, explain clearly, and prompt credential/EMD submission.</w:t>
      </w:r>
    </w:p>
    <w:p>
      <w:pPr>
        <w:pStyle w:val="ListParagraph"/>
        <w:numPr>
          <w:ilvl w:val="0"/>
          <w:numId w:val="2"/>
        </w:numPr>
        <w:spacing w:after="40"/>
      </w:pPr>
      <w:r>
        <w:t xml:space="preserve">Once validated: accept the bid, log it to the audit trail, update leaderboards.</w:t>
      </w:r>
    </w:p>
    <w:p>
      <w:pPr>
        <w:spacing w:after="200"/>
      </w:pPr>
      <w:r>
        <w:rPr>
          <w:b/>
          <w:bCs/>
          <w:i/>
          <w:iCs/>
        </w:rPr>
        <w:t xml:space="preserve">Governing Rules: </w:t>
      </w:r>
      <w:r>
        <w:t xml:space="preserve">BR-02, BR-05, BR-07</w:t>
      </w:r>
    </w:p>
    <w:p>
      <w:pPr>
        <w:spacing w:after="80" w:before="240"/>
      </w:pPr>
      <w:r>
        <w:rPr>
          <w:b/>
          <w:bCs/>
          <w:color w:val="B5651D"/>
          <w:sz w:val="23"/>
          <w:szCs w:val="23"/>
        </w:rPr>
        <w:t xml:space="preserve">PR-08: </w:t>
      </w:r>
      <w:r>
        <w:rPr>
          <w:b/>
          <w:bCs/>
          <w:sz w:val="23"/>
          <w:szCs w:val="23"/>
        </w:rPr>
        <w:t xml:space="preserve">Tenant Admin Onboarding &amp; Promotion</w:t>
      </w:r>
    </w:p>
    <w:p>
      <w:pPr>
        <w:spacing w:after="80"/>
      </w:pPr>
      <w:r>
        <w:rPr>
          <w:b/>
          <w:bCs/>
          <w:i/>
          <w:iCs/>
        </w:rPr>
        <w:t xml:space="preserve">Description: </w:t>
      </w:r>
      <w:r>
        <w:t xml:space="preserve">Protocol through which the Super Admin creates a tenant and promotes a verified buyer to Tenant Admin.</w:t>
      </w:r>
    </w:p>
    <w:p>
      <w:pPr>
        <w:spacing w:after="40"/>
      </w:pPr>
      <w:r>
        <w:rPr>
          <w:b/>
          <w:bCs/>
        </w:rPr>
        <w:t xml:space="preserve">Operational Sequence Steps:</w:t>
      </w:r>
    </w:p>
    <w:p>
      <w:pPr>
        <w:pStyle w:val="ListParagraph"/>
        <w:numPr>
          <w:ilvl w:val="0"/>
          <w:numId w:val="2"/>
        </w:numPr>
        <w:spacing w:after="40"/>
      </w:pPr>
      <w:r>
        <w:t xml:space="preserve">Super Admin authenticates and opens the Global Administration Console.</w:t>
      </w:r>
    </w:p>
    <w:p>
      <w:pPr>
        <w:pStyle w:val="ListParagraph"/>
        <w:numPr>
          <w:ilvl w:val="0"/>
          <w:numId w:val="2"/>
        </w:numPr>
        <w:spacing w:after="40"/>
      </w:pPr>
      <w:r>
        <w:t xml:space="preserve">Whitelists a new tenant record with its subdomain/custom domain.</w:t>
      </w:r>
    </w:p>
    <w:p>
      <w:pPr>
        <w:pStyle w:val="ListParagraph"/>
        <w:numPr>
          <w:ilvl w:val="0"/>
          <w:numId w:val="2"/>
        </w:numPr>
        <w:spacing w:after="40"/>
      </w:pPr>
      <w:r>
        <w:t xml:space="preserve">Searches the global user directory to select a verified buyer.</w:t>
      </w:r>
    </w:p>
    <w:p>
      <w:pPr>
        <w:pStyle w:val="ListParagraph"/>
        <w:numPr>
          <w:ilvl w:val="0"/>
          <w:numId w:val="2"/>
        </w:numPr>
        <w:spacing w:after="40"/>
      </w:pPr>
      <w:r>
        <w:t xml:space="preserve">Checks for an existing active Tenant Admin on that tenant.</w:t>
      </w:r>
    </w:p>
    <w:p>
      <w:pPr>
        <w:pStyle w:val="ListParagraph"/>
        <w:numPr>
          <w:ilvl w:val="0"/>
          <w:numId w:val="2"/>
        </w:numPr>
        <w:spacing w:after="40"/>
      </w:pPr>
      <w:r>
        <w:t xml:space="preserve">Appoints the selected buyer as Tenant Admin, auto-demoting any prior admin (BR-44).</w:t>
      </w:r>
    </w:p>
    <w:p>
      <w:pPr>
        <w:pStyle w:val="ListParagraph"/>
        <w:numPr>
          <w:ilvl w:val="0"/>
          <w:numId w:val="2"/>
        </w:numPr>
        <w:spacing w:after="40"/>
      </w:pPr>
      <w:r>
        <w:t xml:space="preserve">Updates the buyer's role attribute, binding it to the specific tenant ID.</w:t>
      </w:r>
    </w:p>
    <w:p>
      <w:pPr>
        <w:pStyle w:val="ListParagraph"/>
        <w:numPr>
          <w:ilvl w:val="0"/>
          <w:numId w:val="2"/>
        </w:numPr>
        <w:spacing w:after="40"/>
      </w:pPr>
      <w:r>
        <w:t xml:space="preserve">Tenant Admin logs in and unlocks their administrative workspace.</w:t>
      </w:r>
    </w:p>
    <w:p>
      <w:pPr>
        <w:spacing w:after="200"/>
      </w:pPr>
      <w:r>
        <w:rPr>
          <w:b/>
          <w:bCs/>
          <w:i/>
          <w:iCs/>
        </w:rPr>
        <w:t xml:space="preserve">Governing Rules: </w:t>
      </w:r>
      <w:r>
        <w:t xml:space="preserve">BR-04, BR-06, BR-09, BR-44</w:t>
      </w:r>
    </w:p>
    <w:p>
      <w:pPr>
        <w:spacing w:after="80" w:before="240"/>
      </w:pPr>
      <w:r>
        <w:rPr>
          <w:b/>
          <w:bCs/>
          <w:color w:val="B5651D"/>
          <w:sz w:val="23"/>
          <w:szCs w:val="23"/>
        </w:rPr>
        <w:t xml:space="preserve">PR-09: </w:t>
      </w:r>
      <w:r>
        <w:rPr>
          <w:b/>
          <w:bCs/>
          <w:sz w:val="23"/>
          <w:szCs w:val="23"/>
        </w:rPr>
        <w:t xml:space="preserve">Asset Media Upload &amp; Compression Pipeline</w:t>
      </w:r>
    </w:p>
    <w:p>
      <w:pPr>
        <w:spacing w:after="80"/>
      </w:pPr>
      <w:r>
        <w:rPr>
          <w:b/>
          <w:bCs/>
          <w:i/>
          <w:iCs/>
        </w:rPr>
        <w:t xml:space="preserve">Description: </w:t>
      </w:r>
      <w:r>
        <w:t xml:space="preserve">Sequence through which a seller uploads authentic media, designates a primary photo, and the compressor optimizes assets before review.</w:t>
      </w:r>
    </w:p>
    <w:p>
      <w:pPr>
        <w:spacing w:after="40"/>
      </w:pPr>
      <w:r>
        <w:rPr>
          <w:b/>
          <w:bCs/>
        </w:rPr>
        <w:t xml:space="preserve">Operational Sequence Steps:</w:t>
      </w:r>
    </w:p>
    <w:p>
      <w:pPr>
        <w:pStyle w:val="ListParagraph"/>
        <w:numPr>
          <w:ilvl w:val="0"/>
          <w:numId w:val="2"/>
        </w:numPr>
        <w:spacing w:after="40"/>
      </w:pPr>
      <w:r>
        <w:t xml:space="preserve">Seller opens the 'Create Asset Listing' workspace and completes structural forms.</w:t>
      </w:r>
    </w:p>
    <w:p>
      <w:pPr>
        <w:pStyle w:val="ListParagraph"/>
        <w:numPr>
          <w:ilvl w:val="0"/>
          <w:numId w:val="2"/>
        </w:numPr>
        <w:spacing w:after="40"/>
      </w:pPr>
      <w:r>
        <w:t xml:space="preserve">Seller uploads proof-of-existence media (min 5, max 50 photos; optional video and documents).</w:t>
      </w:r>
    </w:p>
    <w:p>
      <w:pPr>
        <w:pStyle w:val="ListParagraph"/>
        <w:numPr>
          <w:ilvl w:val="0"/>
          <w:numId w:val="2"/>
        </w:numPr>
        <w:spacing w:after="40"/>
      </w:pPr>
      <w:r>
        <w:t xml:space="preserve">Bulk uploads are placed into a background worker queue, processed sequentially so the interface never freezes while the seller continues filling in details.</w:t>
      </w:r>
    </w:p>
    <w:p>
      <w:pPr>
        <w:pStyle w:val="ListParagraph"/>
        <w:numPr>
          <w:ilvl w:val="0"/>
          <w:numId w:val="2"/>
        </w:numPr>
        <w:spacing w:after="40"/>
      </w:pPr>
      <w:r>
        <w:t xml:space="preserve">A background auto-save persists the seller's in-progress form and uploaded files (browser localStorage), enabling recovery after a reload or tab switch.</w:t>
      </w:r>
    </w:p>
    <w:p>
      <w:pPr>
        <w:pStyle w:val="ListParagraph"/>
        <w:numPr>
          <w:ilvl w:val="0"/>
          <w:numId w:val="2"/>
        </w:numPr>
        <w:spacing w:after="40"/>
      </w:pPr>
      <w:r>
        <w:t xml:space="preserve">Seller designates exactly one uploaded photo as the Main Display Photo.</w:t>
      </w:r>
    </w:p>
    <w:p>
      <w:pPr>
        <w:pStyle w:val="ListParagraph"/>
        <w:numPr>
          <w:ilvl w:val="0"/>
          <w:numId w:val="2"/>
        </w:numPr>
        <w:spacing w:after="40"/>
      </w:pPr>
      <w:r>
        <w:t xml:space="preserve">The server-side pipeline transcodes images to WebP at the 300KB target, video to 720p/120s/4Mbps, in real time.</w:t>
      </w:r>
    </w:p>
    <w:p>
      <w:pPr>
        <w:pStyle w:val="ListParagraph"/>
        <w:numPr>
          <w:ilvl w:val="0"/>
          <w:numId w:val="2"/>
        </w:numPr>
        <w:spacing w:after="40"/>
      </w:pPr>
      <w:r>
        <w:t xml:space="preserve">On submit: if fewer than 5 photos or no Main Display Photo, submission is blocked with an error. No stock fallback is ever applied.</w:t>
      </w:r>
    </w:p>
    <w:p>
      <w:pPr>
        <w:pStyle w:val="ListParagraph"/>
        <w:numPr>
          <w:ilvl w:val="0"/>
          <w:numId w:val="2"/>
        </w:numPr>
        <w:spacing w:after="40"/>
      </w:pPr>
      <w:r>
        <w:t xml:space="preserve">The Tenant Admin reviews the authentic media catalog and thumbnail in the Verification Console, approving or rejecting.</w:t>
      </w:r>
    </w:p>
    <w:p>
      <w:pPr>
        <w:pStyle w:val="ListParagraph"/>
        <w:numPr>
          <w:ilvl w:val="0"/>
          <w:numId w:val="2"/>
        </w:numPr>
        <w:spacing w:after="40"/>
      </w:pPr>
      <w:r>
        <w:t xml:space="preserve">If rejected: the Tenant Admin selects a reason from a closed list (e.g., insufficient photos, suspected fraudulent images, mismatched description, incomplete metadata), may append free-text detail, and this is logged against the listing and shown to the seller.</w:t>
      </w:r>
    </w:p>
    <w:p>
      <w:pPr>
        <w:spacing w:after="200"/>
      </w:pPr>
      <w:r>
        <w:rPr>
          <w:b/>
          <w:bCs/>
          <w:i/>
          <w:iCs/>
        </w:rPr>
        <w:t xml:space="preserve">Governing Rules: </w:t>
      </w:r>
      <w:r>
        <w:t xml:space="preserve">BR-13, BR-18, BR-19, BR-45</w:t>
      </w:r>
    </w:p>
    <w:p>
      <w:pPr>
        <w:spacing w:after="80" w:before="240"/>
      </w:pPr>
      <w:r>
        <w:rPr>
          <w:b/>
          <w:bCs/>
          <w:color w:val="B5651D"/>
          <w:sz w:val="23"/>
          <w:szCs w:val="23"/>
        </w:rPr>
        <w:t xml:space="preserve">PR-10: </w:t>
      </w:r>
      <w:r>
        <w:rPr>
          <w:b/>
          <w:bCs/>
          <w:sz w:val="23"/>
          <w:szCs w:val="23"/>
        </w:rPr>
        <w:t xml:space="preserve">AI-Powered Listing Pre-Check</w:t>
      </w:r>
    </w:p>
    <w:p>
      <w:pPr>
        <w:spacing w:after="80"/>
      </w:pPr>
      <w:r>
        <w:rPr>
          <w:b/>
          <w:bCs/>
          <w:i/>
          <w:iCs/>
        </w:rPr>
        <w:t xml:space="preserve">Description: </w:t>
      </w:r>
      <w:r>
        <w:t xml:space="preserve">Automated Gemini-powered evaluation of a seller's in-progress listing before formal submission.</w:t>
      </w:r>
    </w:p>
    <w:p>
      <w:pPr>
        <w:spacing w:after="40"/>
      </w:pPr>
      <w:r>
        <w:rPr>
          <w:b/>
          <w:bCs/>
        </w:rPr>
        <w:t xml:space="preserve">Operational Sequence Steps:</w:t>
      </w:r>
    </w:p>
    <w:p>
      <w:pPr>
        <w:pStyle w:val="ListParagraph"/>
        <w:numPr>
          <w:ilvl w:val="0"/>
          <w:numId w:val="2"/>
        </w:numPr>
        <w:spacing w:after="40"/>
      </w:pPr>
      <w:r>
        <w:t xml:space="preserve">Seller populates listing fields (Title, Category, Expected Price, Location/PIN) and uploads media.</w:t>
      </w:r>
    </w:p>
    <w:p>
      <w:pPr>
        <w:pStyle w:val="ListParagraph"/>
        <w:numPr>
          <w:ilvl w:val="0"/>
          <w:numId w:val="2"/>
        </w:numPr>
        <w:spacing w:after="40"/>
      </w:pPr>
      <w:r>
        <w:t xml:space="preserve">Seller triggers 'AI Pre-Check with Gemini.'</w:t>
      </w:r>
    </w:p>
    <w:p>
      <w:pPr>
        <w:pStyle w:val="ListParagraph"/>
        <w:numPr>
          <w:ilvl w:val="0"/>
          <w:numId w:val="2"/>
        </w:numPr>
        <w:spacing w:after="40"/>
      </w:pPr>
      <w:r>
        <w:t xml:space="preserve">The platform packages the current form plus media metadata and calls the Gemini API server-side.</w:t>
      </w:r>
    </w:p>
    <w:p>
      <w:pPr>
        <w:pStyle w:val="ListParagraph"/>
        <w:numPr>
          <w:ilvl w:val="0"/>
          <w:numId w:val="2"/>
        </w:numPr>
        <w:spacing w:after="40"/>
      </w:pPr>
      <w:r>
        <w:t xml:space="preserve">Gemini evaluates completeness, pricing realism, location specification, and media evidence.</w:t>
      </w:r>
    </w:p>
    <w:p>
      <w:pPr>
        <w:pStyle w:val="ListParagraph"/>
        <w:numPr>
          <w:ilvl w:val="0"/>
          <w:numId w:val="2"/>
        </w:numPr>
        <w:spacing w:after="40"/>
      </w:pPr>
      <w:r>
        <w:t xml:space="preserve">The system returns a compliance score (0-100), status flag, optimized title, recommended category, and price-realism feedback.</w:t>
      </w:r>
    </w:p>
    <w:p>
      <w:pPr>
        <w:pStyle w:val="ListParagraph"/>
        <w:numPr>
          <w:ilvl w:val="0"/>
          <w:numId w:val="2"/>
        </w:numPr>
        <w:spacing w:after="40"/>
      </w:pPr>
      <w:r>
        <w:t xml:space="preserve">The report flags missing B2B metadata (condition grading, GST HSN/SAC code, yard operating hours).</w:t>
      </w:r>
    </w:p>
    <w:p>
      <w:pPr>
        <w:pStyle w:val="ListParagraph"/>
        <w:numPr>
          <w:ilvl w:val="0"/>
          <w:numId w:val="2"/>
        </w:numPr>
        <w:spacing w:after="40"/>
      </w:pPr>
      <w:r>
        <w:t xml:space="preserve">The seller can click 'Apply Title' to instantly adopt the AI-suggested title into the draft.</w:t>
      </w:r>
    </w:p>
    <w:p>
      <w:pPr>
        <w:pStyle w:val="ListParagraph"/>
        <w:numPr>
          <w:ilvl w:val="0"/>
          <w:numId w:val="2"/>
        </w:numPr>
        <w:spacing w:after="40"/>
      </w:pPr>
      <w:r>
        <w:t xml:space="preserve">This pre-check reduces downstream Tenant Admin rejection cycles but never gates or auto-approves the listing.</w:t>
      </w:r>
    </w:p>
    <w:p>
      <w:pPr>
        <w:spacing w:after="200"/>
      </w:pPr>
      <w:r>
        <w:rPr>
          <w:b/>
          <w:bCs/>
          <w:i/>
          <w:iCs/>
        </w:rPr>
        <w:t xml:space="preserve">Governing Rules: </w:t>
      </w:r>
      <w:r>
        <w:t xml:space="preserve">BR-18, BR-19, BR-45, BR-46</w:t>
      </w:r>
    </w:p>
    <w:p>
      <w:pPr>
        <w:spacing w:after="80" w:before="240"/>
      </w:pPr>
      <w:r>
        <w:rPr>
          <w:b/>
          <w:bCs/>
          <w:color w:val="B5651D"/>
          <w:sz w:val="23"/>
          <w:szCs w:val="23"/>
        </w:rPr>
        <w:t xml:space="preserve">PR-11: </w:t>
      </w:r>
      <w:r>
        <w:rPr>
          <w:b/>
          <w:bCs/>
          <w:sz w:val="23"/>
          <w:szCs w:val="23"/>
        </w:rPr>
        <w:t xml:space="preserve">Express Auction Trigger Sequence</w:t>
      </w:r>
    </w:p>
    <w:p>
      <w:pPr>
        <w:spacing w:after="80"/>
      </w:pPr>
      <w:r>
        <w:rPr>
          <w:b/>
          <w:bCs/>
          <w:i/>
          <w:iCs/>
        </w:rPr>
        <w:t xml:space="preserve">Description: </w:t>
      </w:r>
      <w:r>
        <w:t xml:space="preserve">Rapid-launch protocol triggering instant start upon cumulative buyer reserve-pledge thresholds.</w:t>
      </w:r>
    </w:p>
    <w:p>
      <w:pPr>
        <w:spacing w:after="40"/>
      </w:pPr>
      <w:r>
        <w:rPr>
          <w:b/>
          <w:bCs/>
        </w:rPr>
        <w:t xml:space="preserve">Operational Sequence Steps:</w:t>
      </w:r>
    </w:p>
    <w:p>
      <w:pPr>
        <w:pStyle w:val="ListParagraph"/>
        <w:numPr>
          <w:ilvl w:val="0"/>
          <w:numId w:val="2"/>
        </w:numPr>
        <w:spacing w:after="40"/>
      </w:pPr>
      <w:r>
        <w:t xml:space="preserve">Seller maps an approved listing to Express Auction and sets a Reserve Value.</w:t>
      </w:r>
    </w:p>
    <w:p>
      <w:pPr>
        <w:pStyle w:val="ListParagraph"/>
        <w:numPr>
          <w:ilvl w:val="0"/>
          <w:numId w:val="2"/>
        </w:numPr>
        <w:spacing w:after="40"/>
      </w:pPr>
      <w:r>
        <w:t xml:space="preserve">Global buyers browse the listing (marked 'Not Available / Express Mode' - no inspection).</w:t>
      </w:r>
    </w:p>
    <w:p>
      <w:pPr>
        <w:pStyle w:val="ListParagraph"/>
        <w:numPr>
          <w:ilvl w:val="0"/>
          <w:numId w:val="2"/>
        </w:numPr>
        <w:spacing w:after="40"/>
      </w:pPr>
      <w:r>
        <w:t xml:space="preserve">Buyers click 'Pledge Reserve' to lock EMD and commit intent.</w:t>
      </w:r>
    </w:p>
    <w:p>
      <w:pPr>
        <w:pStyle w:val="ListParagraph"/>
        <w:numPr>
          <w:ilvl w:val="0"/>
          <w:numId w:val="2"/>
        </w:numPr>
        <w:spacing w:after="40"/>
      </w:pPr>
      <w:r>
        <w:t xml:space="preserve">The engine tracks the unique buyer-pledge count for that listing in real time.</w:t>
      </w:r>
    </w:p>
    <w:p>
      <w:pPr>
        <w:pStyle w:val="ListParagraph"/>
        <w:numPr>
          <w:ilvl w:val="0"/>
          <w:numId w:val="2"/>
        </w:numPr>
        <w:spacing w:after="40"/>
      </w:pPr>
      <w:r>
        <w:t xml:space="preserve">On the 3rd distinct pledge: the system schedules the bidding phase, sends real-time alerts, opens the live leaderboard.</w:t>
      </w:r>
    </w:p>
    <w:p>
      <w:pPr>
        <w:pStyle w:val="ListParagraph"/>
        <w:numPr>
          <w:ilvl w:val="0"/>
          <w:numId w:val="2"/>
        </w:numPr>
        <w:spacing w:after="40"/>
      </w:pPr>
      <w:r>
        <w:t xml:space="preserve">At countdown expiry: the engine computes the high bid and logs the event to the audit trail.</w:t>
      </w:r>
    </w:p>
    <w:p>
      <w:pPr>
        <w:spacing w:after="200"/>
      </w:pPr>
      <w:r>
        <w:rPr>
          <w:b/>
          <w:bCs/>
          <w:i/>
          <w:iCs/>
        </w:rPr>
        <w:t xml:space="preserve">Governing Rules: </w:t>
      </w:r>
      <w:r>
        <w:t xml:space="preserve">BR-10, BR-12, BR-30</w:t>
      </w:r>
    </w:p>
    <w:p>
      <w:pPr>
        <w:spacing w:after="80" w:before="240"/>
      </w:pPr>
      <w:r>
        <w:rPr>
          <w:b/>
          <w:bCs/>
          <w:color w:val="B5651D"/>
          <w:sz w:val="23"/>
          <w:szCs w:val="23"/>
        </w:rPr>
        <w:t xml:space="preserve">PR-12: </w:t>
      </w:r>
      <w:r>
        <w:rPr>
          <w:b/>
          <w:bCs/>
          <w:sz w:val="23"/>
          <w:szCs w:val="23"/>
        </w:rPr>
        <w:t xml:space="preserve">Approved Listing Safe-Editing &amp; Duplication</w:t>
      </w:r>
    </w:p>
    <w:p>
      <w:pPr>
        <w:spacing w:after="80"/>
      </w:pPr>
      <w:r>
        <w:rPr>
          <w:b/>
          <w:bCs/>
          <w:i/>
          <w:iCs/>
        </w:rPr>
        <w:t xml:space="preserve">Description: </w:t>
      </w:r>
      <w:r>
        <w:t xml:space="preserve">Procedure when a seller modifies an active or already-approved listing.</w:t>
      </w:r>
    </w:p>
    <w:p>
      <w:pPr>
        <w:spacing w:after="40"/>
      </w:pPr>
      <w:r>
        <w:rPr>
          <w:b/>
          <w:bCs/>
        </w:rPr>
        <w:t xml:space="preserve">Operational Sequence Steps:</w:t>
      </w:r>
    </w:p>
    <w:p>
      <w:pPr>
        <w:pStyle w:val="ListParagraph"/>
        <w:numPr>
          <w:ilvl w:val="0"/>
          <w:numId w:val="2"/>
        </w:numPr>
        <w:spacing w:after="40"/>
      </w:pPr>
      <w:r>
        <w:t xml:space="preserve">Seller initiates an edit request on an approved listing.</w:t>
      </w:r>
    </w:p>
    <w:p>
      <w:pPr>
        <w:pStyle w:val="ListParagraph"/>
        <w:numPr>
          <w:ilvl w:val="0"/>
          <w:numId w:val="2"/>
        </w:numPr>
        <w:spacing w:after="40"/>
      </w:pPr>
      <w:r>
        <w:t xml:space="preserve">System detects the 'Approved'/'Active' status.</w:t>
      </w:r>
    </w:p>
    <w:p>
      <w:pPr>
        <w:pStyle w:val="ListParagraph"/>
        <w:numPr>
          <w:ilvl w:val="0"/>
          <w:numId w:val="2"/>
        </w:numPr>
        <w:spacing w:after="40"/>
      </w:pPr>
      <w:r>
        <w:t xml:space="preserve">System checks for an active Sale Event attached to this listing.</w:t>
      </w:r>
    </w:p>
    <w:p>
      <w:pPr>
        <w:pStyle w:val="ListParagraph"/>
        <w:numPr>
          <w:ilvl w:val="0"/>
          <w:numId w:val="2"/>
        </w:numPr>
        <w:spacing w:after="40"/>
      </w:pPr>
      <w:r>
        <w:t xml:space="preserve">If found: the active Sale Event is cancelled, all bids/tokens/deposits are refunded, and bidders are notified.</w:t>
      </w:r>
    </w:p>
    <w:p>
      <w:pPr>
        <w:pStyle w:val="ListParagraph"/>
        <w:numPr>
          <w:ilvl w:val="0"/>
          <w:numId w:val="2"/>
        </w:numPr>
        <w:spacing w:after="40"/>
      </w:pPr>
      <w:r>
        <w:t xml:space="preserve">The listing is duplicated as a new record under a new ID, status 'Pending Approval.'</w:t>
      </w:r>
    </w:p>
    <w:p>
      <w:pPr>
        <w:pStyle w:val="ListParagraph"/>
        <w:numPr>
          <w:ilvl w:val="0"/>
          <w:numId w:val="2"/>
        </w:numPr>
        <w:spacing w:after="40"/>
      </w:pPr>
      <w:r>
        <w:t xml:space="preserve">The Tenant Admin reviews and approves or declines the new draft.</w:t>
      </w:r>
    </w:p>
    <w:p>
      <w:pPr>
        <w:pStyle w:val="ListParagraph"/>
        <w:numPr>
          <w:ilvl w:val="0"/>
          <w:numId w:val="2"/>
        </w:numPr>
        <w:spacing w:after="40"/>
      </w:pPr>
      <w:r>
        <w:t xml:space="preserve">If declined: the Tenant Admin selects a reason and logs it, visible to the seller, before the draft can be revised and resubmitted.</w:t>
      </w:r>
    </w:p>
    <w:p>
      <w:pPr>
        <w:pStyle w:val="ListParagraph"/>
        <w:numPr>
          <w:ilvl w:val="0"/>
          <w:numId w:val="2"/>
        </w:numPr>
        <w:spacing w:after="40"/>
      </w:pPr>
      <w:r>
        <w:t xml:space="preserve">On approval: status transitions to 'Active,' and a new Sale Event can now be mapped.</w:t>
      </w:r>
    </w:p>
    <w:p>
      <w:pPr>
        <w:spacing w:after="200"/>
      </w:pPr>
      <w:r>
        <w:rPr>
          <w:b/>
          <w:bCs/>
          <w:i/>
          <w:iCs/>
        </w:rPr>
        <w:t xml:space="preserve">Governing Rules: </w:t>
      </w:r>
      <w:r>
        <w:t xml:space="preserve">BR-11, BR-13</w:t>
      </w:r>
    </w:p>
    <w:p>
      <w:pPr>
        <w:spacing w:after="80" w:before="240"/>
      </w:pPr>
      <w:r>
        <w:rPr>
          <w:b/>
          <w:bCs/>
          <w:color w:val="B5651D"/>
          <w:sz w:val="23"/>
          <w:szCs w:val="23"/>
        </w:rPr>
        <w:t xml:space="preserve">PR-13: </w:t>
      </w:r>
      <w:r>
        <w:rPr>
          <w:b/>
          <w:bCs/>
          <w:sz w:val="23"/>
          <w:szCs w:val="23"/>
        </w:rPr>
        <w:t xml:space="preserve">Sale Event Creation, Approval &amp; Post-Approval Lifecycle</w:t>
      </w:r>
    </w:p>
    <w:p>
      <w:pPr>
        <w:spacing w:after="80"/>
      </w:pPr>
      <w:r>
        <w:rPr>
          <w:b/>
          <w:bCs/>
          <w:i/>
          <w:iCs/>
        </w:rPr>
        <w:t xml:space="preserve">Description: </w:t>
      </w:r>
      <w:r>
        <w:t xml:space="preserve">Workflow to transition a listing into a live market transaction and manage subsequent changes.</w:t>
      </w:r>
    </w:p>
    <w:p>
      <w:pPr>
        <w:spacing w:after="40"/>
      </w:pPr>
      <w:r>
        <w:rPr>
          <w:b/>
          <w:bCs/>
        </w:rPr>
        <w:t xml:space="preserve">Operational Sequence Steps:</w:t>
      </w:r>
    </w:p>
    <w:p>
      <w:pPr>
        <w:pStyle w:val="ListParagraph"/>
        <w:numPr>
          <w:ilvl w:val="0"/>
          <w:numId w:val="2"/>
        </w:numPr>
        <w:spacing w:after="40"/>
      </w:pPr>
      <w:r>
        <w:t xml:space="preserve">Seller selects an approved listing and attaches one of the four Sale Systems.</w:t>
      </w:r>
    </w:p>
    <w:p>
      <w:pPr>
        <w:pStyle w:val="ListParagraph"/>
        <w:numPr>
          <w:ilvl w:val="0"/>
          <w:numId w:val="2"/>
        </w:numPr>
        <w:spacing w:after="40"/>
      </w:pPr>
      <w:r>
        <w:t xml:space="preserve">Seller inputs the required transactional parameters for that format.</w:t>
      </w:r>
    </w:p>
    <w:p>
      <w:pPr>
        <w:pStyle w:val="ListParagraph"/>
        <w:numPr>
          <w:ilvl w:val="0"/>
          <w:numId w:val="2"/>
        </w:numPr>
        <w:spacing w:after="40"/>
      </w:pPr>
      <w:r>
        <w:t xml:space="preserve">The system generates a unique Event Reference Number (ERN), status 'Pending Event Approval.'</w:t>
      </w:r>
    </w:p>
    <w:p>
      <w:pPr>
        <w:pStyle w:val="ListParagraph"/>
        <w:numPr>
          <w:ilvl w:val="0"/>
          <w:numId w:val="2"/>
        </w:numPr>
        <w:spacing w:after="40"/>
      </w:pPr>
      <w:r>
        <w:t xml:space="preserve">The Tenant Admin reviews compliance and clicks 'Approve Event' to publish it live.</w:t>
      </w:r>
    </w:p>
    <w:p>
      <w:pPr>
        <w:pStyle w:val="ListParagraph"/>
        <w:numPr>
          <w:ilvl w:val="0"/>
          <w:numId w:val="2"/>
        </w:numPr>
        <w:spacing w:after="40"/>
      </w:pPr>
      <w:r>
        <w:t xml:space="preserve">For Buy-Now or Tender: further changes require duplicate-clone into a new ERN for re-approval, archiving the original and refunding active bids.</w:t>
      </w:r>
    </w:p>
    <w:p>
      <w:pPr>
        <w:pStyle w:val="ListParagraph"/>
        <w:numPr>
          <w:ilvl w:val="0"/>
          <w:numId w:val="2"/>
        </w:numPr>
        <w:spacing w:after="40"/>
      </w:pPr>
      <w:r>
        <w:t xml:space="preserve">For Easy Auctions or Buy-Now: direct edits are allowed within a 60-minute post-approval grace window, triggering a delta/diff Quick Re-approval; beyond 60 minutes, parameters freeze permanently.</w:t>
      </w:r>
    </w:p>
    <w:p>
      <w:pPr>
        <w:pStyle w:val="ListParagraph"/>
        <w:numPr>
          <w:ilvl w:val="0"/>
          <w:numId w:val="2"/>
        </w:numPr>
        <w:spacing w:after="40"/>
      </w:pPr>
      <w:r>
        <w:t xml:space="preserve">For Express Auctions: no direct edits or cancellation by the seller at any point.</w:t>
      </w:r>
    </w:p>
    <w:p>
      <w:pPr>
        <w:pStyle w:val="ListParagraph"/>
        <w:numPr>
          <w:ilvl w:val="0"/>
          <w:numId w:val="2"/>
        </w:numPr>
        <w:spacing w:after="40"/>
      </w:pPr>
      <w:r>
        <w:t xml:space="preserve">Emergency Stop: the Tenant Admin or Super Admin may terminate any event with a mandatory audited reason, refunding all bids/escrows and alerting bidders.</w:t>
      </w:r>
    </w:p>
    <w:p>
      <w:pPr>
        <w:spacing w:after="200"/>
      </w:pPr>
      <w:r>
        <w:rPr>
          <w:b/>
          <w:bCs/>
          <w:i/>
          <w:iCs/>
        </w:rPr>
        <w:t xml:space="preserve">Governing Rules: </w:t>
      </w:r>
      <w:r>
        <w:t xml:space="preserve">BR-10, BR-12, BR-14</w:t>
      </w:r>
    </w:p>
    <w:p>
      <w:pPr>
        <w:spacing w:after="80" w:before="240"/>
      </w:pPr>
      <w:r>
        <w:rPr>
          <w:b/>
          <w:bCs/>
          <w:color w:val="B5651D"/>
          <w:sz w:val="23"/>
          <w:szCs w:val="23"/>
        </w:rPr>
        <w:t xml:space="preserve">PR-14: </w:t>
      </w:r>
      <w:r>
        <w:rPr>
          <w:b/>
          <w:bCs/>
          <w:sz w:val="23"/>
          <w:szCs w:val="23"/>
        </w:rPr>
        <w:t xml:space="preserve">Double-Blind Anonymity Enforcement</w:t>
      </w:r>
    </w:p>
    <w:p>
      <w:pPr>
        <w:spacing w:after="80"/>
      </w:pPr>
      <w:r>
        <w:rPr>
          <w:b/>
          <w:bCs/>
          <w:i/>
          <w:iCs/>
        </w:rPr>
        <w:t xml:space="preserve">Description: </w:t>
      </w:r>
      <w:r>
        <w:t xml:space="preserve">Algorithmic procedure to mask identities per event type and enforce role-based access restrictions.</w:t>
      </w:r>
    </w:p>
    <w:p>
      <w:pPr>
        <w:spacing w:after="40"/>
      </w:pPr>
      <w:r>
        <w:rPr>
          <w:b/>
          <w:bCs/>
        </w:rPr>
        <w:t xml:space="preserve">Operational Sequence Steps:</w:t>
      </w:r>
    </w:p>
    <w:p>
      <w:pPr>
        <w:pStyle w:val="ListParagraph"/>
        <w:numPr>
          <w:ilvl w:val="0"/>
          <w:numId w:val="2"/>
        </w:numPr>
        <w:spacing w:after="40"/>
      </w:pPr>
      <w:r>
        <w:t xml:space="preserve">Every registration, listing, and bid request passes role validation.</w:t>
      </w:r>
    </w:p>
    <w:p>
      <w:pPr>
        <w:pStyle w:val="ListParagraph"/>
        <w:numPr>
          <w:ilvl w:val="0"/>
          <w:numId w:val="2"/>
        </w:numPr>
        <w:spacing w:after="40"/>
      </w:pPr>
      <w:r>
        <w:t xml:space="preserve">If the actor holds the Super Admin role: block any bid/listing/configuration attempt with an explicit conflict warning.</w:t>
      </w:r>
    </w:p>
    <w:p>
      <w:pPr>
        <w:pStyle w:val="ListParagraph"/>
        <w:numPr>
          <w:ilvl w:val="0"/>
          <w:numId w:val="2"/>
        </w:numPr>
        <w:spacing w:after="40"/>
      </w:pPr>
      <w:r>
        <w:t xml:space="preserve">Live bidding (buyer view): strip all identifying fields from other bidders' feeds.</w:t>
      </w:r>
    </w:p>
    <w:p>
      <w:pPr>
        <w:pStyle w:val="ListParagraph"/>
        <w:numPr>
          <w:ilvl w:val="0"/>
          <w:numId w:val="2"/>
        </w:numPr>
        <w:spacing w:after="40"/>
      </w:pPr>
      <w:r>
        <w:t xml:space="preserve">Live bidding (seller view): strip names/contacts from the live bidder tracker, across every format.</w:t>
      </w:r>
    </w:p>
    <w:p>
      <w:pPr>
        <w:pStyle w:val="ListParagraph"/>
        <w:numPr>
          <w:ilvl w:val="0"/>
          <w:numId w:val="2"/>
        </w:numPr>
        <w:spacing w:after="40"/>
      </w:pPr>
      <w:r>
        <w:t xml:space="preserve">Buy-Now: keep both parties blind until the seller selects a winning offer, at which point both identities unlock simultaneously.</w:t>
      </w:r>
    </w:p>
    <w:p>
      <w:pPr>
        <w:pStyle w:val="ListParagraph"/>
        <w:numPr>
          <w:ilvl w:val="0"/>
          <w:numId w:val="2"/>
        </w:numPr>
        <w:spacing w:after="40"/>
      </w:pPr>
      <w:r>
        <w:t xml:space="preserve">Event termination (seller/Tenant Admin view): reveal only H1, H2, H3 standings with amounts; remaining bidders stay concealed.</w:t>
      </w:r>
    </w:p>
    <w:p>
      <w:pPr>
        <w:pStyle w:val="ListParagraph"/>
        <w:numPr>
          <w:ilvl w:val="0"/>
          <w:numId w:val="2"/>
        </w:numPr>
        <w:spacing w:after="40"/>
      </w:pPr>
      <w:r>
        <w:t xml:space="preserve">Post-auction (Super Admin): unlock full, unrestricted access to the complete transaction ledger.</w:t>
      </w:r>
    </w:p>
    <w:p>
      <w:pPr>
        <w:spacing w:after="200"/>
      </w:pPr>
      <w:r>
        <w:rPr>
          <w:b/>
          <w:bCs/>
          <w:i/>
          <w:iCs/>
        </w:rPr>
        <w:t xml:space="preserve">Governing Rules: </w:t>
      </w:r>
      <w:r>
        <w:t xml:space="preserve">BR-15, BR-16</w:t>
      </w:r>
    </w:p>
    <w:p>
      <w:pPr>
        <w:spacing w:after="80" w:before="240"/>
      </w:pPr>
      <w:r>
        <w:rPr>
          <w:b/>
          <w:bCs/>
          <w:color w:val="B5651D"/>
          <w:sz w:val="23"/>
          <w:szCs w:val="23"/>
        </w:rPr>
        <w:t xml:space="preserve">PR-15: </w:t>
      </w:r>
      <w:r>
        <w:rPr>
          <w:b/>
          <w:bCs/>
          <w:sz w:val="23"/>
          <w:szCs w:val="23"/>
        </w:rPr>
        <w:t xml:space="preserve">Multi-Address &amp; Document-Backed KYC Onboarding</w:t>
      </w:r>
    </w:p>
    <w:p>
      <w:pPr>
        <w:spacing w:after="80"/>
      </w:pPr>
      <w:r>
        <w:rPr>
          <w:b/>
          <w:bCs/>
          <w:i/>
          <w:iCs/>
        </w:rPr>
        <w:t xml:space="preserve">Description: </w:t>
      </w:r>
      <w:r>
        <w:t xml:space="preserve">Protocol to capture, encrypt, verify, and authorize individual and corporate identities.</w:t>
      </w:r>
    </w:p>
    <w:p>
      <w:pPr>
        <w:spacing w:after="40"/>
      </w:pPr>
      <w:r>
        <w:rPr>
          <w:b/>
          <w:bCs/>
        </w:rPr>
        <w:t xml:space="preserve">Operational Sequence Steps:</w:t>
      </w:r>
    </w:p>
    <w:p>
      <w:pPr>
        <w:pStyle w:val="ListParagraph"/>
        <w:numPr>
          <w:ilvl w:val="0"/>
          <w:numId w:val="2"/>
        </w:numPr>
        <w:spacing w:after="40"/>
      </w:pPr>
      <w:r>
        <w:t xml:space="preserve">Patron selects Entity Type (Individual or Organization).</w:t>
      </w:r>
    </w:p>
    <w:p>
      <w:pPr>
        <w:pStyle w:val="ListParagraph"/>
        <w:numPr>
          <w:ilvl w:val="0"/>
          <w:numId w:val="2"/>
        </w:numPr>
        <w:spacing w:after="40"/>
      </w:pPr>
      <w:r>
        <w:t xml:space="preserve">System displays the matching KYC questionnaire per BR-17.</w:t>
      </w:r>
    </w:p>
    <w:p>
      <w:pPr>
        <w:pStyle w:val="ListParagraph"/>
        <w:numPr>
          <w:ilvl w:val="0"/>
          <w:numId w:val="2"/>
        </w:numPr>
        <w:spacing w:after="40"/>
      </w:pPr>
      <w:r>
        <w:t xml:space="preserve">Patron uploads required documents to the secure document vault.</w:t>
      </w:r>
    </w:p>
    <w:p>
      <w:pPr>
        <w:pStyle w:val="ListParagraph"/>
        <w:numPr>
          <w:ilvl w:val="0"/>
          <w:numId w:val="2"/>
        </w:numPr>
        <w:spacing w:after="40"/>
      </w:pPr>
      <w:r>
        <w:t xml:space="preserve">System encrypts documents, tokenizes Aadhaar, and runs automated PAN/GSTIN registry checks.</w:t>
      </w:r>
    </w:p>
    <w:p>
      <w:pPr>
        <w:pStyle w:val="ListParagraph"/>
        <w:numPr>
          <w:ilvl w:val="0"/>
          <w:numId w:val="2"/>
        </w:numPr>
        <w:spacing w:after="40"/>
      </w:pPr>
      <w:r>
        <w:t xml:space="preserve">Patron registers their multi-address portfolio (BR-18).</w:t>
      </w:r>
    </w:p>
    <w:p>
      <w:pPr>
        <w:pStyle w:val="ListParagraph"/>
        <w:numPr>
          <w:ilvl w:val="0"/>
          <w:numId w:val="2"/>
        </w:numPr>
        <w:spacing w:after="40"/>
      </w:pPr>
      <w:r>
        <w:t xml:space="preserve">System updates compliance flags (PAN/GST/Email/Mobile/Bank Verified).</w:t>
      </w:r>
    </w:p>
    <w:p>
      <w:pPr>
        <w:pStyle w:val="ListParagraph"/>
        <w:numPr>
          <w:ilvl w:val="0"/>
          <w:numId w:val="2"/>
        </w:numPr>
        <w:spacing w:after="40"/>
      </w:pPr>
      <w:r>
        <w:t xml:space="preserve">Tenant Admin reviews the compliance dossier and transitions master KYC Status to Verified or Suspended.</w:t>
      </w:r>
    </w:p>
    <w:p>
      <w:pPr>
        <w:pStyle w:val="ListParagraph"/>
        <w:numPr>
          <w:ilvl w:val="0"/>
          <w:numId w:val="2"/>
        </w:numPr>
        <w:spacing w:after="40"/>
      </w:pPr>
      <w:r>
        <w:t xml:space="preserve">If Suspended: the Tenant Admin selects a reason from a closed list and logs it; the patron is notified of both the suspension and its stated reason.</w:t>
      </w:r>
    </w:p>
    <w:p>
      <w:pPr>
        <w:spacing w:after="200"/>
      </w:pPr>
      <w:r>
        <w:rPr>
          <w:b/>
          <w:bCs/>
          <w:i/>
          <w:iCs/>
        </w:rPr>
        <w:t xml:space="preserve">Governing Rules: </w:t>
      </w:r>
      <w:r>
        <w:t xml:space="preserve">BR-02, BR-03, BR-17, BR-18</w:t>
      </w:r>
    </w:p>
    <w:p>
      <w:pPr>
        <w:spacing w:after="80" w:before="240"/>
      </w:pPr>
      <w:r>
        <w:rPr>
          <w:b/>
          <w:bCs/>
          <w:color w:val="B5651D"/>
          <w:sz w:val="23"/>
          <w:szCs w:val="23"/>
        </w:rPr>
        <w:t xml:space="preserve">PR-16: </w:t>
      </w:r>
      <w:r>
        <w:rPr>
          <w:b/>
          <w:bCs/>
          <w:sz w:val="23"/>
          <w:szCs w:val="23"/>
        </w:rPr>
        <w:t xml:space="preserve">Polymorphic Role Provisioning &amp; Compliance Lockout</w:t>
      </w:r>
    </w:p>
    <w:p>
      <w:pPr>
        <w:spacing w:after="80"/>
      </w:pPr>
      <w:r>
        <w:rPr>
          <w:b/>
          <w:bCs/>
          <w:i/>
          <w:iCs/>
        </w:rPr>
        <w:t xml:space="preserve">Description: </w:t>
      </w:r>
      <w:r>
        <w:t xml:space="preserve">Workflow to assign multiple roles to a single verified entity and coordinate cascade locks.</w:t>
      </w:r>
    </w:p>
    <w:p>
      <w:pPr>
        <w:spacing w:after="40"/>
      </w:pPr>
      <w:r>
        <w:rPr>
          <w:b/>
          <w:bCs/>
        </w:rPr>
        <w:t xml:space="preserve">Operational Sequence Steps:</w:t>
      </w:r>
    </w:p>
    <w:p>
      <w:pPr>
        <w:pStyle w:val="ListParagraph"/>
        <w:numPr>
          <w:ilvl w:val="0"/>
          <w:numId w:val="2"/>
        </w:numPr>
        <w:spacing w:after="40"/>
      </w:pPr>
      <w:r>
        <w:t xml:space="preserve">A verified Party profile enters the central registry.</w:t>
      </w:r>
    </w:p>
    <w:p>
      <w:pPr>
        <w:pStyle w:val="ListParagraph"/>
        <w:numPr>
          <w:ilvl w:val="0"/>
          <w:numId w:val="2"/>
        </w:numPr>
        <w:spacing w:after="40"/>
      </w:pPr>
      <w:r>
        <w:t xml:space="preserve">The Party applies to play one or more roles (Buyer, Seller, Bidder, Vendor, Customer, Auctioneer, Service Provider, Surveyor, Financier).</w:t>
      </w:r>
    </w:p>
    <w:p>
      <w:pPr>
        <w:pStyle w:val="ListParagraph"/>
        <w:numPr>
          <w:ilvl w:val="0"/>
          <w:numId w:val="2"/>
        </w:numPr>
        <w:spacing w:after="40"/>
      </w:pPr>
      <w:r>
        <w:t xml:space="preserve">System asserts Super Admins are structurally locked out of any participant role (BR-15).</w:t>
      </w:r>
    </w:p>
    <w:p>
      <w:pPr>
        <w:pStyle w:val="ListParagraph"/>
        <w:numPr>
          <w:ilvl w:val="0"/>
          <w:numId w:val="2"/>
        </w:numPr>
        <w:spacing w:after="40"/>
      </w:pPr>
      <w:r>
        <w:t xml:space="preserve">On approval: the system provisions separate dashboards and access privileges per active role.</w:t>
      </w:r>
    </w:p>
    <w:p>
      <w:pPr>
        <w:pStyle w:val="ListParagraph"/>
        <w:numPr>
          <w:ilvl w:val="0"/>
          <w:numId w:val="2"/>
        </w:numPr>
        <w:spacing w:after="40"/>
      </w:pPr>
      <w:r>
        <w:t xml:space="preserve">If master KYC status is suspended or a compliance flag is revoked: an automatic global lockout cascades to every role held by that Party.</w:t>
      </w:r>
    </w:p>
    <w:p>
      <w:pPr>
        <w:spacing w:after="200"/>
      </w:pPr>
      <w:r>
        <w:rPr>
          <w:b/>
          <w:bCs/>
          <w:i/>
          <w:iCs/>
        </w:rPr>
        <w:t xml:space="preserve">Governing Rules: </w:t>
      </w:r>
      <w:r>
        <w:t xml:space="preserve">BR-09, BR-15, BR-19</w:t>
      </w:r>
    </w:p>
    <w:p>
      <w:pPr>
        <w:spacing w:after="80" w:before="240"/>
      </w:pPr>
      <w:r>
        <w:rPr>
          <w:b/>
          <w:bCs/>
          <w:color w:val="B5651D"/>
          <w:sz w:val="23"/>
          <w:szCs w:val="23"/>
        </w:rPr>
        <w:t xml:space="preserve">PR-17: </w:t>
      </w:r>
      <w:r>
        <w:rPr>
          <w:b/>
          <w:bCs/>
          <w:sz w:val="23"/>
          <w:szCs w:val="23"/>
        </w:rPr>
        <w:t xml:space="preserve">Super Admin Credential Recovery</w:t>
      </w:r>
    </w:p>
    <w:p>
      <w:pPr>
        <w:spacing w:after="80"/>
      </w:pPr>
      <w:r>
        <w:rPr>
          <w:b/>
          <w:bCs/>
          <w:i/>
          <w:iCs/>
        </w:rPr>
        <w:t xml:space="preserve">Description: </w:t>
      </w:r>
      <w:r>
        <w:t xml:space="preserve">Strict isolation procedure governing Super Admin credential modification.</w:t>
      </w:r>
    </w:p>
    <w:p>
      <w:pPr>
        <w:spacing w:after="40"/>
      </w:pPr>
      <w:r>
        <w:rPr>
          <w:b/>
          <w:bCs/>
        </w:rPr>
        <w:t xml:space="preserve">Operational Sequence Steps:</w:t>
      </w:r>
    </w:p>
    <w:p>
      <w:pPr>
        <w:pStyle w:val="ListParagraph"/>
        <w:numPr>
          <w:ilvl w:val="0"/>
          <w:numId w:val="2"/>
        </w:numPr>
        <w:spacing w:after="40"/>
      </w:pPr>
      <w:r>
        <w:t xml:space="preserve">Super Admin submits a credential modification request.</w:t>
      </w:r>
    </w:p>
    <w:p>
      <w:pPr>
        <w:pStyle w:val="ListParagraph"/>
        <w:numPr>
          <w:ilvl w:val="0"/>
          <w:numId w:val="2"/>
        </w:numPr>
        <w:spacing w:after="40"/>
      </w:pPr>
      <w:r>
        <w:t xml:space="preserve">The authentication engine identifies the target profile as Super Admin.</w:t>
      </w:r>
    </w:p>
    <w:p>
      <w:pPr>
        <w:pStyle w:val="ListParagraph"/>
        <w:numPr>
          <w:ilvl w:val="0"/>
          <w:numId w:val="2"/>
        </w:numPr>
        <w:spacing w:after="40"/>
      </w:pPr>
      <w:r>
        <w:t xml:space="preserve">Standard SMS-OTP/self-service channels are bypassed entirely.</w:t>
      </w:r>
    </w:p>
    <w:p>
      <w:pPr>
        <w:pStyle w:val="ListParagraph"/>
        <w:numPr>
          <w:ilvl w:val="0"/>
          <w:numId w:val="2"/>
        </w:numPr>
        <w:spacing w:after="40"/>
      </w:pPr>
      <w:r>
        <w:t xml:space="preserve">The request routes to the isolated TOTP/MFA verification path.</w:t>
      </w:r>
    </w:p>
    <w:p>
      <w:pPr>
        <w:pStyle w:val="ListParagraph"/>
        <w:numPr>
          <w:ilvl w:val="0"/>
          <w:numId w:val="2"/>
        </w:numPr>
        <w:spacing w:after="40"/>
      </w:pPr>
      <w:r>
        <w:t xml:space="preserve">The change requires successful TOTP confirmation before it is authorized.</w:t>
      </w:r>
    </w:p>
    <w:p>
      <w:pPr>
        <w:pStyle w:val="ListParagraph"/>
        <w:numPr>
          <w:ilvl w:val="0"/>
          <w:numId w:val="2"/>
        </w:numPr>
        <w:spacing w:after="40"/>
      </w:pPr>
      <w:r>
        <w:t xml:space="preserve">The system logs the credential change in the immutable audit registry.</w:t>
      </w:r>
    </w:p>
    <w:p>
      <w:pPr>
        <w:spacing w:after="200"/>
      </w:pPr>
      <w:r>
        <w:rPr>
          <w:b/>
          <w:bCs/>
          <w:i/>
          <w:iCs/>
        </w:rPr>
        <w:t xml:space="preserve">Governing Rules: </w:t>
      </w:r>
      <w:r>
        <w:t xml:space="preserve">BR-15, BR-20</w:t>
      </w:r>
    </w:p>
    <w:p>
      <w:pPr>
        <w:spacing w:after="80" w:before="240"/>
      </w:pPr>
      <w:r>
        <w:rPr>
          <w:b/>
          <w:bCs/>
          <w:color w:val="B5651D"/>
          <w:sz w:val="23"/>
          <w:szCs w:val="23"/>
        </w:rPr>
        <w:t xml:space="preserve">PR-18: </w:t>
      </w:r>
      <w:r>
        <w:rPr>
          <w:b/>
          <w:bCs/>
          <w:sz w:val="23"/>
          <w:szCs w:val="23"/>
        </w:rPr>
        <w:t xml:space="preserve">Asset-Level Role Exclusion Verification</w:t>
      </w:r>
    </w:p>
    <w:p>
      <w:pPr>
        <w:spacing w:after="80"/>
      </w:pPr>
      <w:r>
        <w:rPr>
          <w:b/>
          <w:bCs/>
          <w:i/>
          <w:iCs/>
        </w:rPr>
        <w:t xml:space="preserve">Description: </w:t>
      </w:r>
      <w:r>
        <w:t xml:space="preserve">Real-time check ensuring inspectors and custodians cannot bid on or finance their assigned listings.</w:t>
      </w:r>
    </w:p>
    <w:p>
      <w:pPr>
        <w:spacing w:after="40"/>
      </w:pPr>
      <w:r>
        <w:rPr>
          <w:b/>
          <w:bCs/>
        </w:rPr>
        <w:t xml:space="preserve">Operational Sequence Steps:</w:t>
      </w:r>
    </w:p>
    <w:p>
      <w:pPr>
        <w:pStyle w:val="ListParagraph"/>
        <w:numPr>
          <w:ilvl w:val="0"/>
          <w:numId w:val="2"/>
        </w:numPr>
        <w:spacing w:after="40"/>
      </w:pPr>
      <w:r>
        <w:t xml:space="preserve">A verified user attempts to bid, offer, or finance an active Sale Event.</w:t>
      </w:r>
    </w:p>
    <w:p>
      <w:pPr>
        <w:pStyle w:val="ListParagraph"/>
        <w:numPr>
          <w:ilvl w:val="0"/>
          <w:numId w:val="2"/>
        </w:numPr>
        <w:spacing w:after="40"/>
      </w:pPr>
      <w:r>
        <w:t xml:space="preserve">The engine fetches the targeted listing's bound-role metadata.</w:t>
      </w:r>
    </w:p>
    <w:p>
      <w:pPr>
        <w:pStyle w:val="ListParagraph"/>
        <w:numPr>
          <w:ilvl w:val="0"/>
          <w:numId w:val="2"/>
        </w:numPr>
        <w:spacing w:after="40"/>
      </w:pPr>
      <w:r>
        <w:t xml:space="preserve">The system checks whether the bidding user matches the bound Surveyor/Custodian/Inspector.</w:t>
      </w:r>
    </w:p>
    <w:p>
      <w:pPr>
        <w:pStyle w:val="ListParagraph"/>
        <w:numPr>
          <w:ilvl w:val="0"/>
          <w:numId w:val="2"/>
        </w:numPr>
        <w:spacing w:after="40"/>
      </w:pPr>
      <w:r>
        <w:t xml:space="preserve">If matched: the bid is instantly rejected with an explicit conflict message.</w:t>
      </w:r>
    </w:p>
    <w:p>
      <w:pPr>
        <w:pStyle w:val="ListParagraph"/>
        <w:numPr>
          <w:ilvl w:val="0"/>
          <w:numId w:val="2"/>
        </w:numPr>
        <w:spacing w:after="40"/>
      </w:pPr>
      <w:r>
        <w:t xml:space="preserve">The blocked attempt is logged to the security dashboard.</w:t>
      </w:r>
    </w:p>
    <w:p>
      <w:pPr>
        <w:spacing w:after="200"/>
      </w:pPr>
      <w:r>
        <w:rPr>
          <w:b/>
          <w:bCs/>
          <w:i/>
          <w:iCs/>
        </w:rPr>
        <w:t xml:space="preserve">Governing Rules: </w:t>
      </w:r>
      <w:r>
        <w:t xml:space="preserve">BR-11, BR-21</w:t>
      </w:r>
    </w:p>
    <w:p>
      <w:pPr>
        <w:spacing w:after="80" w:before="240"/>
      </w:pPr>
      <w:r>
        <w:rPr>
          <w:b/>
          <w:bCs/>
          <w:color w:val="B5651D"/>
          <w:sz w:val="23"/>
          <w:szCs w:val="23"/>
        </w:rPr>
        <w:t xml:space="preserve">PR-19: </w:t>
      </w:r>
      <w:r>
        <w:rPr>
          <w:b/>
          <w:bCs/>
          <w:sz w:val="23"/>
          <w:szCs w:val="23"/>
        </w:rPr>
        <w:t xml:space="preserve">Tenant-Scope Bidding Deactivation</w:t>
      </w:r>
    </w:p>
    <w:p>
      <w:pPr>
        <w:spacing w:after="80"/>
      </w:pPr>
      <w:r>
        <w:rPr>
          <w:b/>
          <w:bCs/>
          <w:i/>
          <w:iCs/>
        </w:rPr>
        <w:t xml:space="preserve">Description: </w:t>
      </w:r>
      <w:r>
        <w:t xml:space="preserve">Automated mechanism blocking a Tenant Admin from bidding on their own tenant's storefront.</w:t>
      </w:r>
    </w:p>
    <w:p>
      <w:pPr>
        <w:spacing w:after="40"/>
      </w:pPr>
      <w:r>
        <w:rPr>
          <w:b/>
          <w:bCs/>
        </w:rPr>
        <w:t xml:space="preserve">Operational Sequence Steps:</w:t>
      </w:r>
    </w:p>
    <w:p>
      <w:pPr>
        <w:pStyle w:val="ListParagraph"/>
        <w:numPr>
          <w:ilvl w:val="0"/>
          <w:numId w:val="2"/>
        </w:numPr>
        <w:spacing w:after="40"/>
      </w:pPr>
      <w:r>
        <w:t xml:space="preserve">A user is promoted to Tenant Admin for a specific tenant.</w:t>
      </w:r>
    </w:p>
    <w:p>
      <w:pPr>
        <w:pStyle w:val="ListParagraph"/>
        <w:numPr>
          <w:ilvl w:val="0"/>
          <w:numId w:val="2"/>
        </w:numPr>
        <w:spacing w:after="40"/>
      </w:pPr>
      <w:r>
        <w:t xml:space="preserve">The user-role matrix maps their admin context to that tenant ID.</w:t>
      </w:r>
    </w:p>
    <w:p>
      <w:pPr>
        <w:pStyle w:val="ListParagraph"/>
        <w:numPr>
          <w:ilvl w:val="0"/>
          <w:numId w:val="2"/>
        </w:numPr>
        <w:spacing w:after="40"/>
      </w:pPr>
      <w:r>
        <w:t xml:space="preserve">The user attempts to bid on that tenant's storefront.</w:t>
      </w:r>
    </w:p>
    <w:p>
      <w:pPr>
        <w:pStyle w:val="ListParagraph"/>
        <w:numPr>
          <w:ilvl w:val="0"/>
          <w:numId w:val="2"/>
        </w:numPr>
        <w:spacing w:after="40"/>
      </w:pPr>
      <w:r>
        <w:t xml:space="preserve">The bidding interface detects the matching tenant ID and disables bidding entirely for that storefront.</w:t>
      </w:r>
    </w:p>
    <w:p>
      <w:pPr>
        <w:pStyle w:val="ListParagraph"/>
        <w:numPr>
          <w:ilvl w:val="0"/>
          <w:numId w:val="2"/>
        </w:numPr>
        <w:spacing w:after="40"/>
      </w:pPr>
      <w:r>
        <w:t xml:space="preserve">On any other, independent tenant storefront: the system confirms zero admin overlap and permits standard bidding.</w:t>
      </w:r>
    </w:p>
    <w:p>
      <w:pPr>
        <w:spacing w:after="200"/>
      </w:pPr>
      <w:r>
        <w:rPr>
          <w:b/>
          <w:bCs/>
          <w:i/>
          <w:iCs/>
        </w:rPr>
        <w:t xml:space="preserve">Governing Rules: </w:t>
      </w:r>
      <w:r>
        <w:t xml:space="preserve">BR-09, BR-22</w:t>
      </w:r>
    </w:p>
    <w:p>
      <w:pPr>
        <w:spacing w:after="80" w:before="240"/>
      </w:pPr>
      <w:r>
        <w:rPr>
          <w:b/>
          <w:bCs/>
          <w:color w:val="B5651D"/>
          <w:sz w:val="23"/>
          <w:szCs w:val="23"/>
        </w:rPr>
        <w:t xml:space="preserve">PR-20: </w:t>
      </w:r>
      <w:r>
        <w:rPr>
          <w:b/>
          <w:bCs/>
          <w:sz w:val="23"/>
          <w:szCs w:val="23"/>
        </w:rPr>
        <w:t xml:space="preserve">Easy Auction / Buy-Now Grace Period Synchronization</w:t>
      </w:r>
    </w:p>
    <w:p>
      <w:pPr>
        <w:spacing w:after="80"/>
      </w:pPr>
      <w:r>
        <w:rPr>
          <w:b/>
          <w:bCs/>
          <w:i/>
          <w:iCs/>
        </w:rPr>
        <w:t xml:space="preserve">Description: </w:t>
      </w:r>
      <w:r>
        <w:t xml:space="preserve">Coordination sequence separating the 60-minute post-approval edit grace period from live bidding.</w:t>
      </w:r>
    </w:p>
    <w:p>
      <w:pPr>
        <w:spacing w:after="40"/>
      </w:pPr>
      <w:r>
        <w:rPr>
          <w:b/>
          <w:bCs/>
        </w:rPr>
        <w:t xml:space="preserve">Operational Sequence Steps:</w:t>
      </w:r>
    </w:p>
    <w:p>
      <w:pPr>
        <w:pStyle w:val="ListParagraph"/>
        <w:numPr>
          <w:ilvl w:val="0"/>
          <w:numId w:val="2"/>
        </w:numPr>
        <w:spacing w:after="40"/>
      </w:pPr>
      <w:r>
        <w:t xml:space="preserve">Tenant Admin clicks 'Approve' on a newly submitted Easy Auction or Buy-Now Sale Event.</w:t>
      </w:r>
    </w:p>
    <w:p>
      <w:pPr>
        <w:pStyle w:val="ListParagraph"/>
        <w:numPr>
          <w:ilvl w:val="0"/>
          <w:numId w:val="2"/>
        </w:numPr>
        <w:spacing w:after="40"/>
      </w:pPr>
      <w:r>
        <w:t xml:space="preserve">The event enters a 60-minute grace countdown; parameters remain editable.</w:t>
      </w:r>
    </w:p>
    <w:p>
      <w:pPr>
        <w:pStyle w:val="ListParagraph"/>
        <w:numPr>
          <w:ilvl w:val="0"/>
          <w:numId w:val="2"/>
        </w:numPr>
        <w:spacing w:after="40"/>
      </w:pPr>
      <w:r>
        <w:t xml:space="preserve">The event is fully published; buyers can view and, for Easy, begin monitoring the scheduled open.</w:t>
      </w:r>
    </w:p>
    <w:p>
      <w:pPr>
        <w:pStyle w:val="ListParagraph"/>
        <w:numPr>
          <w:ilvl w:val="0"/>
          <w:numId w:val="2"/>
        </w:numPr>
        <w:spacing w:after="40"/>
      </w:pPr>
      <w:r>
        <w:t xml:space="preserve">The seller may use this window to make direct edits, triggering the Quick Re-approval delta view.</w:t>
      </w:r>
    </w:p>
    <w:p>
      <w:pPr>
        <w:pStyle w:val="ListParagraph"/>
        <w:numPr>
          <w:ilvl w:val="0"/>
          <w:numId w:val="2"/>
        </w:numPr>
        <w:spacing w:after="40"/>
      </w:pPr>
      <w:r>
        <w:t xml:space="preserve">If edited: the 60-minute clock resets.</w:t>
      </w:r>
    </w:p>
    <w:p>
      <w:pPr>
        <w:pStyle w:val="ListParagraph"/>
        <w:numPr>
          <w:ilvl w:val="0"/>
          <w:numId w:val="2"/>
        </w:numPr>
        <w:spacing w:after="40"/>
      </w:pPr>
      <w:r>
        <w:t xml:space="preserve">If no edits: at 60 minutes, parameters freeze permanently and the event transitions to its live/active state.</w:t>
      </w:r>
    </w:p>
    <w:p>
      <w:pPr>
        <w:spacing w:after="200"/>
      </w:pPr>
      <w:r>
        <w:rPr>
          <w:b/>
          <w:bCs/>
          <w:i/>
          <w:iCs/>
        </w:rPr>
        <w:t xml:space="preserve">Governing Rules: </w:t>
      </w:r>
      <w:r>
        <w:t xml:space="preserve">BR-14, BR-23</w:t>
      </w:r>
    </w:p>
    <w:p>
      <w:pPr>
        <w:spacing w:after="80" w:before="240"/>
      </w:pPr>
      <w:r>
        <w:rPr>
          <w:b/>
          <w:bCs/>
          <w:color w:val="B5651D"/>
          <w:sz w:val="23"/>
          <w:szCs w:val="23"/>
        </w:rPr>
        <w:t xml:space="preserve">PR-21: </w:t>
      </w:r>
      <w:r>
        <w:rPr>
          <w:b/>
          <w:bCs/>
          <w:sz w:val="23"/>
          <w:szCs w:val="23"/>
        </w:rPr>
        <w:t xml:space="preserve">Cascading Baton-Pass Execution</w:t>
      </w:r>
    </w:p>
    <w:p>
      <w:pPr>
        <w:spacing w:after="80"/>
      </w:pPr>
      <w:r>
        <w:rPr>
          <w:b/>
          <w:bCs/>
          <w:i/>
          <w:iCs/>
        </w:rPr>
        <w:t xml:space="preserve">Description: </w:t>
      </w:r>
      <w:r>
        <w:t xml:space="preserve">Sequence executing the H1 to H2 to H3 default cascade and its forfeiture consequences.</w:t>
      </w:r>
    </w:p>
    <w:p>
      <w:pPr>
        <w:spacing w:after="40"/>
      </w:pPr>
      <w:r>
        <w:rPr>
          <w:b/>
          <w:bCs/>
        </w:rPr>
        <w:t xml:space="preserve">Operational Sequence Steps:</w:t>
      </w:r>
    </w:p>
    <w:p>
      <w:pPr>
        <w:pStyle w:val="ListParagraph"/>
        <w:numPr>
          <w:ilvl w:val="0"/>
          <w:numId w:val="2"/>
        </w:numPr>
        <w:spacing w:after="40"/>
      </w:pPr>
      <w:r>
        <w:t xml:space="preserve">Auction closes above Reserve; H1's EMD is recalculated against the actual closing value.</w:t>
      </w:r>
    </w:p>
    <w:p>
      <w:pPr>
        <w:pStyle w:val="ListParagraph"/>
        <w:numPr>
          <w:ilvl w:val="0"/>
          <w:numId w:val="2"/>
        </w:numPr>
        <w:spacing w:after="40"/>
      </w:pPr>
      <w:r>
        <w:t xml:space="preserve">System opens H1's top-up window (2hr Express / 24hr Easy).</w:t>
      </w:r>
    </w:p>
    <w:p>
      <w:pPr>
        <w:pStyle w:val="ListParagraph"/>
        <w:numPr>
          <w:ilvl w:val="0"/>
          <w:numId w:val="2"/>
        </w:numPr>
        <w:spacing w:after="40"/>
      </w:pPr>
      <w:r>
        <w:t xml:space="preserve">If H1 pays: deal proceeds to settlement (PR-22) normally.</w:t>
      </w:r>
    </w:p>
    <w:p>
      <w:pPr>
        <w:pStyle w:val="ListParagraph"/>
        <w:numPr>
          <w:ilvl w:val="0"/>
          <w:numId w:val="2"/>
        </w:numPr>
        <w:spacing w:after="40"/>
      </w:pPr>
      <w:r>
        <w:t xml:space="preserve">If H1's window lapses unpaid: H1 defaults, forfeits EMD, and the system opens H2's window at H2's own bid price.</w:t>
      </w:r>
    </w:p>
    <w:p>
      <w:pPr>
        <w:pStyle w:val="ListParagraph"/>
        <w:numPr>
          <w:ilvl w:val="0"/>
          <w:numId w:val="2"/>
        </w:numPr>
        <w:spacing w:after="40"/>
      </w:pPr>
      <w:r>
        <w:t xml:space="preserve">If H2's window lapses unpaid: H2 defaults, forfeits EMD, and the system opens H3's window at H3's own bid price.</w:t>
      </w:r>
    </w:p>
    <w:p>
      <w:pPr>
        <w:pStyle w:val="ListParagraph"/>
        <w:numPr>
          <w:ilvl w:val="0"/>
          <w:numId w:val="2"/>
        </w:numPr>
        <w:spacing w:after="40"/>
      </w:pPr>
      <w:r>
        <w:t xml:space="preserve">If H3's window also lapses unpaid: H3 defaults, forfeits EMD, and the auction is cancelled outright.</w:t>
      </w:r>
    </w:p>
    <w:p>
      <w:pPr>
        <w:pStyle w:val="ListParagraph"/>
        <w:numPr>
          <w:ilvl w:val="0"/>
          <w:numId w:val="2"/>
        </w:numPr>
        <w:spacing w:after="40"/>
      </w:pPr>
      <w:r>
        <w:t xml:space="preserve">On full cascade failure: all three forfeitures are retained by the platform (Tenant + SaaS split); zero share passes to the seller.</w:t>
      </w:r>
    </w:p>
    <w:p>
      <w:pPr>
        <w:pStyle w:val="ListParagraph"/>
        <w:numPr>
          <w:ilvl w:val="0"/>
          <w:numId w:val="2"/>
        </w:numPr>
        <w:spacing w:after="40"/>
      </w:pPr>
      <w:r>
        <w:t xml:space="preserve">The seller may then submit a standard edit-and-relist request (PR-12) for the item.</w:t>
      </w:r>
    </w:p>
    <w:p>
      <w:pPr>
        <w:spacing w:after="200"/>
      </w:pPr>
      <w:r>
        <w:rPr>
          <w:b/>
          <w:bCs/>
          <w:i/>
          <w:iCs/>
        </w:rPr>
        <w:t xml:space="preserve">Governing Rules: </w:t>
      </w:r>
      <w:r>
        <w:t xml:space="preserve">BR-28, BR-34</w:t>
      </w:r>
    </w:p>
    <w:p>
      <w:pPr>
        <w:spacing w:after="80" w:before="240"/>
      </w:pPr>
      <w:r>
        <w:rPr>
          <w:b/>
          <w:bCs/>
          <w:color w:val="B5651D"/>
          <w:sz w:val="23"/>
          <w:szCs w:val="23"/>
        </w:rPr>
        <w:t xml:space="preserve">PR-22: </w:t>
      </w:r>
      <w:r>
        <w:rPr>
          <w:b/>
          <w:bCs/>
          <w:sz w:val="23"/>
          <w:szCs w:val="23"/>
        </w:rPr>
        <w:t xml:space="preserve">Settlement — Dual NOC &amp; Mandatory Rating Gate</w:t>
      </w:r>
    </w:p>
    <w:p>
      <w:pPr>
        <w:spacing w:after="80"/>
      </w:pPr>
      <w:r>
        <w:rPr>
          <w:b/>
          <w:bCs/>
          <w:i/>
          <w:iCs/>
        </w:rPr>
        <w:t xml:space="preserve">Description: </w:t>
      </w:r>
      <w:r>
        <w:t xml:space="preserve">Sequence gating deal closure on both parties' confirmations and ratings.</w:t>
      </w:r>
    </w:p>
    <w:p>
      <w:pPr>
        <w:spacing w:after="40"/>
      </w:pPr>
      <w:r>
        <w:rPr>
          <w:b/>
          <w:bCs/>
        </w:rPr>
        <w:t xml:space="preserve">Operational Sequence Steps:</w:t>
      </w:r>
    </w:p>
    <w:p>
      <w:pPr>
        <w:pStyle w:val="ListParagraph"/>
        <w:numPr>
          <w:ilvl w:val="0"/>
          <w:numId w:val="2"/>
        </w:numPr>
        <w:spacing w:after="40"/>
      </w:pPr>
      <w:r>
        <w:t xml:space="preserve">Buyer pays the seller 100% of sale value directly, offline, after shipment or self-collection.</w:t>
      </w:r>
    </w:p>
    <w:p>
      <w:pPr>
        <w:pStyle w:val="ListParagraph"/>
        <w:numPr>
          <w:ilvl w:val="0"/>
          <w:numId w:val="2"/>
        </w:numPr>
        <w:spacing w:after="40"/>
      </w:pPr>
      <w:r>
        <w:t xml:space="preserve">Seller registers their NOC confirming full fund clearance.</w:t>
      </w:r>
    </w:p>
    <w:p>
      <w:pPr>
        <w:pStyle w:val="ListParagraph"/>
        <w:numPr>
          <w:ilvl w:val="0"/>
          <w:numId w:val="2"/>
        </w:numPr>
        <w:spacing w:after="40"/>
      </w:pPr>
      <w:r>
        <w:t xml:space="preserve">Buyer registers their NOC confirming goods received.</w:t>
      </w:r>
    </w:p>
    <w:p>
      <w:pPr>
        <w:pStyle w:val="ListParagraph"/>
        <w:numPr>
          <w:ilvl w:val="0"/>
          <w:numId w:val="2"/>
        </w:numPr>
        <w:spacing w:after="40"/>
      </w:pPr>
      <w:r>
        <w:t xml:space="preserve">Buyer submits a mandatory star rating of the seller.</w:t>
      </w:r>
    </w:p>
    <w:p>
      <w:pPr>
        <w:pStyle w:val="ListParagraph"/>
        <w:numPr>
          <w:ilvl w:val="0"/>
          <w:numId w:val="2"/>
        </w:numPr>
        <w:spacing w:after="40"/>
      </w:pPr>
      <w:r>
        <w:t xml:space="preserve">Seller submits a mandatory star rating of the buyer.</w:t>
      </w:r>
    </w:p>
    <w:p>
      <w:pPr>
        <w:pStyle w:val="ListParagraph"/>
        <w:numPr>
          <w:ilvl w:val="0"/>
          <w:numId w:val="2"/>
        </w:numPr>
        <w:spacing w:after="40"/>
      </w:pPr>
      <w:r>
        <w:t xml:space="preserve">Once all four are recorded: the system deducts commission/SaaS fee from the held EMD and refunds the remaining balance to the buyer.</w:t>
      </w:r>
    </w:p>
    <w:p>
      <w:pPr>
        <w:pStyle w:val="ListParagraph"/>
        <w:numPr>
          <w:ilvl w:val="0"/>
          <w:numId w:val="2"/>
        </w:numPr>
        <w:spacing w:after="40"/>
      </w:pPr>
      <w:r>
        <w:t xml:space="preserve">If any party fails to act within a reasonable window: the stall-resolution sequence (PR-23) is triggered.</w:t>
      </w:r>
    </w:p>
    <w:p>
      <w:pPr>
        <w:spacing w:after="200"/>
      </w:pPr>
      <w:r>
        <w:rPr>
          <w:b/>
          <w:bCs/>
          <w:i/>
          <w:iCs/>
        </w:rPr>
        <w:t xml:space="preserve">Governing Rules: </w:t>
      </w:r>
      <w:r>
        <w:t xml:space="preserve">BR-33</w:t>
      </w:r>
    </w:p>
    <w:p>
      <w:pPr>
        <w:spacing w:after="80" w:before="240"/>
      </w:pPr>
      <w:r>
        <w:rPr>
          <w:b/>
          <w:bCs/>
          <w:color w:val="B5651D"/>
          <w:sz w:val="23"/>
          <w:szCs w:val="23"/>
        </w:rPr>
        <w:t xml:space="preserve">PR-23: </w:t>
      </w:r>
      <w:r>
        <w:rPr>
          <w:b/>
          <w:bCs/>
          <w:sz w:val="23"/>
          <w:szCs w:val="23"/>
        </w:rPr>
        <w:t xml:space="preserve">Stall Resolution &amp; Forced Rating</w:t>
      </w:r>
    </w:p>
    <w:p>
      <w:pPr>
        <w:spacing w:after="80"/>
      </w:pPr>
      <w:r>
        <w:rPr>
          <w:b/>
          <w:bCs/>
          <w:i/>
          <w:iCs/>
        </w:rPr>
        <w:t xml:space="preserve">Description: </w:t>
      </w:r>
      <w:r>
        <w:t xml:space="preserve">Sequence resolving a party's failure to complete their settlement obligation.</w:t>
      </w:r>
    </w:p>
    <w:p>
      <w:pPr>
        <w:spacing w:after="40"/>
      </w:pPr>
      <w:r>
        <w:rPr>
          <w:b/>
          <w:bCs/>
        </w:rPr>
        <w:t xml:space="preserve">Operational Sequence Steps:</w:t>
      </w:r>
    </w:p>
    <w:p>
      <w:pPr>
        <w:pStyle w:val="ListParagraph"/>
        <w:numPr>
          <w:ilvl w:val="0"/>
          <w:numId w:val="2"/>
        </w:numPr>
        <w:spacing w:after="40"/>
      </w:pPr>
      <w:r>
        <w:t xml:space="preserve">System detects a party has not completed their required NOC or rating within the expected window.</w:t>
      </w:r>
    </w:p>
    <w:p>
      <w:pPr>
        <w:pStyle w:val="ListParagraph"/>
        <w:numPr>
          <w:ilvl w:val="0"/>
          <w:numId w:val="2"/>
        </w:numPr>
        <w:spacing w:after="40"/>
      </w:pPr>
      <w:r>
        <w:t xml:space="preserve">A time-bound warning message is sent to the non-responsive party.</w:t>
      </w:r>
    </w:p>
    <w:p>
      <w:pPr>
        <w:pStyle w:val="ListParagraph"/>
        <w:numPr>
          <w:ilvl w:val="0"/>
          <w:numId w:val="2"/>
        </w:numPr>
        <w:spacing w:after="40"/>
      </w:pPr>
      <w:r>
        <w:t xml:space="preserve">If a rating is what's missing and the party still does not respond: the relevant admin (Tenant Admin for seller, Super Admin for buyer) force-applies a neutral 3-star rating.</w:t>
      </w:r>
    </w:p>
    <w:p>
      <w:pPr>
        <w:pStyle w:val="ListParagraph"/>
        <w:numPr>
          <w:ilvl w:val="0"/>
          <w:numId w:val="2"/>
        </w:numPr>
        <w:spacing w:after="40"/>
      </w:pPr>
      <w:r>
        <w:t xml:space="preserve">If an NOC is what's missing (a factual attestation, not a score): the relevant admin investigates directly, contacting both parties as needed, before logging the NOC on the non-responsive party's behalf, only once satisfied the underlying fact is true.</w:t>
      </w:r>
    </w:p>
    <w:p>
      <w:pPr>
        <w:pStyle w:val="ListParagraph"/>
        <w:numPr>
          <w:ilvl w:val="0"/>
          <w:numId w:val="2"/>
        </w:numPr>
        <w:spacing w:after="40"/>
      </w:pPr>
      <w:r>
        <w:t xml:space="preserve">The admin logs the specific basis relied upon for that determination (e.g., bank statement cross-reference, direct contact with the other party, delivery record reviewed) alongside the NOC entry — the confirmation alone is not sufficient.</w:t>
      </w:r>
    </w:p>
    <w:p>
      <w:pPr>
        <w:pStyle w:val="ListParagraph"/>
        <w:numPr>
          <w:ilvl w:val="0"/>
          <w:numId w:val="2"/>
        </w:numPr>
        <w:spacing w:after="40"/>
      </w:pPr>
      <w:r>
        <w:t xml:space="preserve">If the admin cannot confirm the underlying fact (e.g., a genuine payment dispute): the case is routed to the Dispute Resolution Framework (PR-24) instead of being force-closed.</w:t>
      </w:r>
    </w:p>
    <w:p>
      <w:pPr>
        <w:pStyle w:val="ListParagraph"/>
        <w:numPr>
          <w:ilvl w:val="0"/>
          <w:numId w:val="2"/>
        </w:numPr>
        <w:spacing w:after="40"/>
      </w:pPr>
      <w:r>
        <w:t xml:space="preserve">The system logs each forced-rating instance against the user's record, tracked independently by role.</w:t>
      </w:r>
    </w:p>
    <w:p>
      <w:pPr>
        <w:pStyle w:val="ListParagraph"/>
        <w:numPr>
          <w:ilvl w:val="0"/>
          <w:numId w:val="2"/>
        </w:numPr>
        <w:spacing w:after="40"/>
      </w:pPr>
      <w:r>
        <w:t xml:space="preserve">On the 5th such instance against the same user in the same role: a real rating-damaging event is triggered.</w:t>
      </w:r>
    </w:p>
    <w:p>
      <w:pPr>
        <w:spacing w:after="200"/>
      </w:pPr>
      <w:r>
        <w:rPr>
          <w:b/>
          <w:bCs/>
          <w:i/>
          <w:iCs/>
        </w:rPr>
        <w:t xml:space="preserve">Governing Rules: </w:t>
      </w:r>
      <w:r>
        <w:t xml:space="preserve">BR-39</w:t>
      </w:r>
    </w:p>
    <w:p>
      <w:pPr>
        <w:spacing w:after="80" w:before="240"/>
      </w:pPr>
      <w:r>
        <w:rPr>
          <w:b/>
          <w:bCs/>
          <w:color w:val="B5651D"/>
          <w:sz w:val="23"/>
          <w:szCs w:val="23"/>
        </w:rPr>
        <w:t xml:space="preserve">PR-24: </w:t>
      </w:r>
      <w:r>
        <w:rPr>
          <w:b/>
          <w:bCs/>
          <w:sz w:val="23"/>
          <w:szCs w:val="23"/>
        </w:rPr>
        <w:t xml:space="preserve">Dispute Filing, Evidence &amp; Ruling</w:t>
      </w:r>
    </w:p>
    <w:p>
      <w:pPr>
        <w:spacing w:after="80"/>
      </w:pPr>
      <w:r>
        <w:rPr>
          <w:b/>
          <w:bCs/>
          <w:i/>
          <w:iCs/>
        </w:rPr>
        <w:t xml:space="preserve">Description: </w:t>
      </w:r>
      <w:r>
        <w:t xml:space="preserve">Sequence for filing, evidencing, and resolving a platform dispute.</w:t>
      </w:r>
    </w:p>
    <w:p>
      <w:pPr>
        <w:spacing w:after="40"/>
      </w:pPr>
      <w:r>
        <w:rPr>
          <w:b/>
          <w:bCs/>
        </w:rPr>
        <w:t xml:space="preserve">Operational Sequence Steps:</w:t>
      </w:r>
    </w:p>
    <w:p>
      <w:pPr>
        <w:pStyle w:val="ListParagraph"/>
        <w:numPr>
          <w:ilvl w:val="0"/>
          <w:numId w:val="2"/>
        </w:numPr>
        <w:spacing w:after="40"/>
      </w:pPr>
      <w:r>
        <w:t xml:space="preserve">A party files a dispute against a specific transaction, selecting a closed-list category (BR-40), within the filing window.</w:t>
      </w:r>
    </w:p>
    <w:p>
      <w:pPr>
        <w:pStyle w:val="ListParagraph"/>
        <w:numPr>
          <w:ilvl w:val="0"/>
          <w:numId w:val="2"/>
        </w:numPr>
        <w:spacing w:after="40"/>
      </w:pPr>
      <w:r>
        <w:t xml:space="preserve">The system opens an evidence window; both parties may upload supporting material.</w:t>
      </w:r>
    </w:p>
    <w:p>
      <w:pPr>
        <w:pStyle w:val="ListParagraph"/>
        <w:numPr>
          <w:ilvl w:val="0"/>
          <w:numId w:val="2"/>
        </w:numPr>
        <w:spacing w:after="40"/>
      </w:pPr>
      <w:r>
        <w:t xml:space="preserve">The ruling authority (Tenant Admin or Super Admin, per category) reviews the case as quickly as the evidence allows.</w:t>
      </w:r>
    </w:p>
    <w:p>
      <w:pPr>
        <w:pStyle w:val="ListParagraph"/>
        <w:numPr>
          <w:ilvl w:val="0"/>
          <w:numId w:val="2"/>
        </w:numPr>
        <w:spacing w:after="40"/>
      </w:pPr>
      <w:r>
        <w:t xml:space="preserve">The ruling authority issues a binding decision: force-log an NOC, order EMD forfeiture, apply a rating consequence, or dismiss the claim — together with a stated rationale identifying the specific evidence relied upon.</w:t>
      </w:r>
    </w:p>
    <w:p>
      <w:pPr>
        <w:pStyle w:val="ListParagraph"/>
        <w:numPr>
          <w:ilvl w:val="0"/>
          <w:numId w:val="2"/>
        </w:numPr>
        <w:spacing w:after="40"/>
      </w:pPr>
      <w:r>
        <w:t xml:space="preserve">The decision and its rationale are logged and shared with both parties.</w:t>
      </w:r>
    </w:p>
    <w:p>
      <w:pPr>
        <w:pStyle w:val="ListParagraph"/>
        <w:numPr>
          <w:ilvl w:val="0"/>
          <w:numId w:val="2"/>
        </w:numPr>
        <w:spacing w:after="40"/>
      </w:pPr>
      <w:r>
        <w:t xml:space="preserve">If the ruling was made by a Tenant Admin: either party may appeal once to the Super Admin within the appeal window, reviewed against the logged rationale.</w:t>
      </w:r>
    </w:p>
    <w:p>
      <w:pPr>
        <w:pStyle w:val="ListParagraph"/>
        <w:numPr>
          <w:ilvl w:val="0"/>
          <w:numId w:val="2"/>
        </w:numPr>
        <w:spacing w:after="40"/>
      </w:pPr>
      <w:r>
        <w:t xml:space="preserve">The Super Admin's decision, whether on direct ruling or on appeal, is final, and is itself logged with its own rationale.</w:t>
      </w:r>
    </w:p>
    <w:p>
      <w:pPr>
        <w:pStyle w:val="ListParagraph"/>
        <w:numPr>
          <w:ilvl w:val="0"/>
          <w:numId w:val="2"/>
        </w:numPr>
        <w:spacing w:after="40"/>
      </w:pPr>
      <w:r>
        <w:t xml:space="preserve">The system tracks any user with a pattern of repeated, baseless dispute-filing as its own behavioral signal.</w:t>
      </w:r>
    </w:p>
    <w:p>
      <w:pPr>
        <w:spacing w:after="200"/>
      </w:pPr>
      <w:r>
        <w:rPr>
          <w:b/>
          <w:bCs/>
          <w:i/>
          <w:iCs/>
        </w:rPr>
        <w:t xml:space="preserve">Governing Rules: </w:t>
      </w:r>
      <w:r>
        <w:t xml:space="preserve">BR-40</w:t>
      </w:r>
    </w:p>
    <w:p>
      <w:pPr>
        <w:spacing w:after="80" w:before="240"/>
      </w:pPr>
      <w:r>
        <w:rPr>
          <w:b/>
          <w:bCs/>
          <w:color w:val="B5651D"/>
          <w:sz w:val="23"/>
          <w:szCs w:val="23"/>
        </w:rPr>
        <w:t xml:space="preserve">PR-25: </w:t>
      </w:r>
      <w:r>
        <w:rPr>
          <w:b/>
          <w:bCs/>
          <w:sz w:val="23"/>
          <w:szCs w:val="23"/>
        </w:rPr>
        <w:t xml:space="preserve">Related Auctions Display</w:t>
      </w:r>
    </w:p>
    <w:p>
      <w:pPr>
        <w:spacing w:after="80"/>
      </w:pPr>
      <w:r>
        <w:rPr>
          <w:b/>
          <w:bCs/>
          <w:i/>
          <w:iCs/>
        </w:rPr>
        <w:t xml:space="preserve">Description: </w:t>
      </w:r>
      <w:r>
        <w:t xml:space="preserve">Sequence grouping and displaying related, independently-transacting auctions.</w:t>
      </w:r>
    </w:p>
    <w:p>
      <w:pPr>
        <w:spacing w:after="40"/>
      </w:pPr>
      <w:r>
        <w:rPr>
          <w:b/>
          <w:bCs/>
        </w:rPr>
        <w:t xml:space="preserve">Operational Sequence Steps:</w:t>
      </w:r>
    </w:p>
    <w:p>
      <w:pPr>
        <w:pStyle w:val="ListParagraph"/>
        <w:numPr>
          <w:ilvl w:val="0"/>
          <w:numId w:val="2"/>
        </w:numPr>
        <w:spacing w:after="40"/>
      </w:pPr>
      <w:r>
        <w:t xml:space="preserve">Seller tags multiple listings as belonging to one related group at listing time (e.g., a shared origin lot).</w:t>
      </w:r>
    </w:p>
    <w:p>
      <w:pPr>
        <w:pStyle w:val="ListParagraph"/>
        <w:numPr>
          <w:ilvl w:val="0"/>
          <w:numId w:val="2"/>
        </w:numPr>
        <w:spacing w:after="40"/>
      </w:pPr>
      <w:r>
        <w:t xml:space="preserve">The system verifies all items in the group share the same sale format.</w:t>
      </w:r>
    </w:p>
    <w:p>
      <w:pPr>
        <w:pStyle w:val="ListParagraph"/>
        <w:numPr>
          <w:ilvl w:val="0"/>
          <w:numId w:val="2"/>
        </w:numPr>
        <w:spacing w:after="40"/>
      </w:pPr>
      <w:r>
        <w:t xml:space="preserve">The related group is rendered as a scrollable strip of item cards (photo, current price/status, time remaining).</w:t>
      </w:r>
    </w:p>
    <w:p>
      <w:pPr>
        <w:pStyle w:val="ListParagraph"/>
        <w:numPr>
          <w:ilvl w:val="0"/>
          <w:numId w:val="2"/>
        </w:numPr>
        <w:spacing w:after="40"/>
      </w:pPr>
      <w:r>
        <w:t xml:space="preserve">A buyer taps any card to enter that specific item's full, independent auction view.</w:t>
      </w:r>
    </w:p>
    <w:p>
      <w:pPr>
        <w:pStyle w:val="ListParagraph"/>
        <w:numPr>
          <w:ilvl w:val="0"/>
          <w:numId w:val="2"/>
        </w:numPr>
        <w:spacing w:after="40"/>
      </w:pPr>
      <w:r>
        <w:t xml:space="preserve">Each item's EMD, bidding, close, and settlement proceed entirely independently of the others in the group.</w:t>
      </w:r>
    </w:p>
    <w:p>
      <w:pPr>
        <w:spacing w:after="200"/>
      </w:pPr>
      <w:r>
        <w:rPr>
          <w:b/>
          <w:bCs/>
          <w:i/>
          <w:iCs/>
        </w:rPr>
        <w:t xml:space="preserve">Governing Rules: </w:t>
      </w:r>
      <w:r>
        <w:t xml:space="preserve">BR-47</w:t>
      </w:r>
    </w:p>
    <w:p>
      <w:pPr>
        <w:spacing w:after="80" w:before="240"/>
      </w:pPr>
      <w:r>
        <w:rPr>
          <w:b/>
          <w:bCs/>
          <w:color w:val="B5651D"/>
          <w:sz w:val="23"/>
          <w:szCs w:val="23"/>
        </w:rPr>
        <w:t xml:space="preserve">PR-26: </w:t>
      </w:r>
      <w:r>
        <w:rPr>
          <w:b/>
          <w:bCs/>
          <w:sz w:val="23"/>
          <w:szCs w:val="23"/>
        </w:rPr>
        <w:t xml:space="preserve">Live Ticker Subscription &amp; Update</w:t>
      </w:r>
    </w:p>
    <w:p>
      <w:pPr>
        <w:spacing w:after="80"/>
      </w:pPr>
      <w:r>
        <w:rPr>
          <w:b/>
          <w:bCs/>
          <w:i/>
          <w:iCs/>
        </w:rPr>
        <w:t xml:space="preserve">Description: </w:t>
      </w:r>
      <w:r>
        <w:t xml:space="preserve">Sequence delivering the real-time ticker feed to a buyer.</w:t>
      </w:r>
    </w:p>
    <w:p>
      <w:pPr>
        <w:spacing w:after="40"/>
      </w:pPr>
      <w:r>
        <w:rPr>
          <w:b/>
          <w:bCs/>
        </w:rPr>
        <w:t xml:space="preserve">Operational Sequence Steps:</w:t>
      </w:r>
    </w:p>
    <w:p>
      <w:pPr>
        <w:pStyle w:val="ListParagraph"/>
        <w:numPr>
          <w:ilvl w:val="0"/>
          <w:numId w:val="2"/>
        </w:numPr>
        <w:spacing w:after="40"/>
      </w:pPr>
      <w:r>
        <w:t xml:space="preserve">On login, the client subscribes via WebSocket to the buyer's own active-bid set and their CAT-LOC-VAL match set.</w:t>
      </w:r>
    </w:p>
    <w:p>
      <w:pPr>
        <w:pStyle w:val="ListParagraph"/>
        <w:numPr>
          <w:ilvl w:val="0"/>
          <w:numId w:val="2"/>
        </w:numPr>
        <w:spacing w:after="40"/>
      </w:pPr>
      <w:r>
        <w:t xml:space="preserve">The server pushes price/status updates for the buyer's active bids as they occur.</w:t>
      </w:r>
    </w:p>
    <w:p>
      <w:pPr>
        <w:pStyle w:val="ListParagraph"/>
        <w:numPr>
          <w:ilvl w:val="0"/>
          <w:numId w:val="2"/>
        </w:numPr>
        <w:spacing w:after="40"/>
      </w:pPr>
      <w:r>
        <w:t xml:space="preserve">When no active bids exist, or space remains, the server fills the feed with new CAT-LOC-VAL interest matches.</w:t>
      </w:r>
    </w:p>
    <w:p>
      <w:pPr>
        <w:pStyle w:val="ListParagraph"/>
        <w:numPr>
          <w:ilvl w:val="0"/>
          <w:numId w:val="2"/>
        </w:numPr>
        <w:spacing w:after="40"/>
      </w:pPr>
      <w:r>
        <w:t xml:space="preserve">Any subscribed auction entering its anti-sniping window is flagged for urgency treatment on the ticker.</w:t>
      </w:r>
    </w:p>
    <w:p>
      <w:pPr>
        <w:pStyle w:val="ListParagraph"/>
        <w:numPr>
          <w:ilvl w:val="0"/>
          <w:numId w:val="2"/>
        </w:numPr>
        <w:spacing w:after="40"/>
      </w:pPr>
      <w:r>
        <w:t xml:space="preserve">Tapping any ticker item navigates the buyer directly into that auction's full view.</w:t>
      </w:r>
    </w:p>
    <w:p>
      <w:pPr>
        <w:pStyle w:val="ListParagraph"/>
        <w:numPr>
          <w:ilvl w:val="0"/>
          <w:numId w:val="2"/>
        </w:numPr>
        <w:spacing w:after="40"/>
      </w:pPr>
      <w:r>
        <w:t xml:space="preserve">If the buyer is Shadow Banned: their own active-bid updates continue unaffected; new interest-matches stop being pushed.</w:t>
      </w:r>
    </w:p>
    <w:p>
      <w:pPr>
        <w:spacing w:after="200"/>
      </w:pPr>
      <w:r>
        <w:rPr>
          <w:b/>
          <w:bCs/>
          <w:i/>
          <w:iCs/>
        </w:rPr>
        <w:t xml:space="preserve">Governing Rules: </w:t>
      </w:r>
      <w:r>
        <w:t xml:space="preserve">BR-23, BR-48</w:t>
      </w:r>
    </w:p>
    <w:p>
      <w:pPr>
        <w:spacing w:after="80" w:before="240"/>
      </w:pPr>
      <w:r>
        <w:rPr>
          <w:b/>
          <w:bCs/>
          <w:color w:val="B5651D"/>
          <w:sz w:val="23"/>
          <w:szCs w:val="23"/>
        </w:rPr>
        <w:t xml:space="preserve">PR-27: </w:t>
      </w:r>
      <w:r>
        <w:rPr>
          <w:b/>
          <w:bCs/>
          <w:sz w:val="23"/>
          <w:szCs w:val="23"/>
        </w:rPr>
        <w:t xml:space="preserve">High-Value Disposal Record Generation</w:t>
      </w:r>
    </w:p>
    <w:p>
      <w:pPr>
        <w:spacing w:after="80"/>
      </w:pPr>
      <w:r>
        <w:rPr>
          <w:b/>
          <w:bCs/>
          <w:i/>
          <w:iCs/>
        </w:rPr>
        <w:t xml:space="preserve">Description: </w:t>
      </w:r>
      <w:r>
        <w:t xml:space="preserve">Sequence automatically flagging and recording a completed sale that crosses the ₹10 Lakh reporting threshold.</w:t>
      </w:r>
    </w:p>
    <w:p>
      <w:pPr>
        <w:spacing w:after="40"/>
      </w:pPr>
      <w:r>
        <w:rPr>
          <w:b/>
          <w:bCs/>
        </w:rPr>
        <w:t xml:space="preserve">Operational Sequence Steps:</w:t>
      </w:r>
    </w:p>
    <w:p>
      <w:pPr>
        <w:pStyle w:val="ListParagraph"/>
        <w:numPr>
          <w:ilvl w:val="0"/>
          <w:numId w:val="2"/>
        </w:numPr>
        <w:spacing w:after="40"/>
      </w:pPr>
      <w:r>
        <w:t xml:space="preserve">On settlement close (per PR-22), the system checks the final sale value against the ₹10,00,000 threshold.</w:t>
      </w:r>
    </w:p>
    <w:p>
      <w:pPr>
        <w:pStyle w:val="ListParagraph"/>
        <w:numPr>
          <w:ilvl w:val="0"/>
          <w:numId w:val="2"/>
        </w:numPr>
        <w:spacing w:after="40"/>
      </w:pPr>
      <w:r>
        <w:t xml:space="preserve">If crossed: the system auto-generates a Reserve-vs-Sale-Price record — RV, final sale value, variance, tenant, sale format, and settlement date.</w:t>
      </w:r>
    </w:p>
    <w:p>
      <w:pPr>
        <w:pStyle w:val="ListParagraph"/>
        <w:numPr>
          <w:ilvl w:val="0"/>
          <w:numId w:val="2"/>
        </w:numPr>
        <w:spacing w:after="40"/>
      </w:pPr>
      <w:r>
        <w:t xml:space="preserve">The record is surfaced on the Tenant Admin's dashboard and included in the Super Admin's audit console.</w:t>
      </w:r>
    </w:p>
    <w:p>
      <w:pPr>
        <w:pStyle w:val="ListParagraph"/>
        <w:numPr>
          <w:ilvl w:val="0"/>
          <w:numId w:val="2"/>
        </w:numPr>
        <w:spacing w:after="40"/>
      </w:pPr>
      <w:r>
        <w:t xml:space="preserve">No manual trigger or admin action is required to generate the record — it is a deterministic system output, not a discretionary flag.</w:t>
      </w:r>
    </w:p>
    <w:p>
      <w:pPr>
        <w:spacing w:after="200"/>
      </w:pPr>
      <w:r>
        <w:rPr>
          <w:b/>
          <w:bCs/>
          <w:i/>
          <w:iCs/>
        </w:rPr>
        <w:t xml:space="preserve">Governing Rules: </w:t>
      </w:r>
      <w:r>
        <w:t xml:space="preserve">BR-49</w:t>
      </w:r>
    </w:p>
    <w:p>
      <w:pPr>
        <w:spacing w:after="80" w:before="240"/>
      </w:pPr>
      <w:r>
        <w:rPr>
          <w:b/>
          <w:bCs/>
          <w:color w:val="B5651D"/>
          <w:sz w:val="23"/>
          <w:szCs w:val="23"/>
        </w:rPr>
        <w:t xml:space="preserve">PR-28: </w:t>
      </w:r>
      <w:r>
        <w:rPr>
          <w:b/>
          <w:bCs/>
          <w:sz w:val="23"/>
          <w:szCs w:val="23"/>
        </w:rPr>
        <w:t xml:space="preserve">Payout Account Change Verification</w:t>
      </w:r>
    </w:p>
    <w:p>
      <w:pPr>
        <w:spacing w:after="80"/>
      </w:pPr>
      <w:r>
        <w:rPr>
          <w:b/>
          <w:bCs/>
          <w:i/>
          <w:iCs/>
        </w:rPr>
        <w:t xml:space="preserve">Description: </w:t>
      </w:r>
      <w:r>
        <w:t xml:space="preserve">Sequence governing any change to a patron's registered payout banking details.</w:t>
      </w:r>
    </w:p>
    <w:p>
      <w:pPr>
        <w:spacing w:after="40"/>
      </w:pPr>
      <w:r>
        <w:rPr>
          <w:b/>
          <w:bCs/>
        </w:rPr>
        <w:t xml:space="preserve">Operational Sequence Steps:</w:t>
      </w:r>
    </w:p>
    <w:p>
      <w:pPr>
        <w:pStyle w:val="ListParagraph"/>
        <w:numPr>
          <w:ilvl w:val="0"/>
          <w:numId w:val="2"/>
        </w:numPr>
        <w:spacing w:after="40"/>
      </w:pPr>
      <w:r>
        <w:t xml:space="preserve">Patron initiates a change to their registered bank account details.</w:t>
      </w:r>
    </w:p>
    <w:p>
      <w:pPr>
        <w:pStyle w:val="ListParagraph"/>
        <w:numPr>
          <w:ilvl w:val="0"/>
          <w:numId w:val="2"/>
        </w:numPr>
        <w:spacing w:after="40"/>
      </w:pPr>
      <w:r>
        <w:t xml:space="preserve">System triggers OTP re-verification of the account holder before accepting the change request.</w:t>
      </w:r>
    </w:p>
    <w:p>
      <w:pPr>
        <w:pStyle w:val="ListParagraph"/>
        <w:numPr>
          <w:ilvl w:val="0"/>
          <w:numId w:val="2"/>
        </w:numPr>
        <w:spacing w:after="40"/>
      </w:pPr>
      <w:r>
        <w:t xml:space="preserve">On successful OTP verification, the new account is recorded but marked inactive for payouts during a mandatory 24-hour cooling-off period.</w:t>
      </w:r>
    </w:p>
    <w:p>
      <w:pPr>
        <w:pStyle w:val="ListParagraph"/>
        <w:numPr>
          <w:ilvl w:val="0"/>
          <w:numId w:val="2"/>
        </w:numPr>
        <w:spacing w:after="40"/>
      </w:pPr>
      <w:r>
        <w:t xml:space="preserve">The system logs the change: old value, new value, timestamp, and initiating party, to the immutable audit trail.</w:t>
      </w:r>
    </w:p>
    <w:p>
      <w:pPr>
        <w:pStyle w:val="ListParagraph"/>
        <w:numPr>
          <w:ilvl w:val="0"/>
          <w:numId w:val="2"/>
        </w:numPr>
        <w:spacing w:after="40"/>
      </w:pPr>
      <w:r>
        <w:t xml:space="preserve">If any payout above the high-value threshold (BR-49) is pending against this patron during or after the cooling-off period, it is held for Tenant Admin or SaaS Admin review before release to the newly-changed account.</w:t>
      </w:r>
    </w:p>
    <w:p>
      <w:pPr>
        <w:pStyle w:val="ListParagraph"/>
        <w:numPr>
          <w:ilvl w:val="0"/>
          <w:numId w:val="2"/>
        </w:numPr>
        <w:spacing w:after="40"/>
      </w:pPr>
      <w:r>
        <w:t xml:space="preserve">After the cooling-off period lapses with no flagged review pending, the new account becomes active for standard payouts.</w:t>
      </w:r>
    </w:p>
    <w:p>
      <w:pPr>
        <w:spacing w:after="200"/>
      </w:pPr>
      <w:r>
        <w:rPr>
          <w:b/>
          <w:bCs/>
          <w:i/>
          <w:iCs/>
        </w:rPr>
        <w:t xml:space="preserve">Governing Rules: </w:t>
      </w:r>
      <w:r>
        <w:t xml:space="preserve">BR-50</w:t>
      </w:r>
    </w:p>
    <w:p>
      <w:r>
        <w:br w:type="page"/>
      </w:r>
    </w:p>
    <w:p>
      <w:pPr>
        <w:spacing w:before="240" w:after="80"/>
      </w:pPr>
      <w:r>
        <w:rPr>
          <w:b/>
          <w:color w:val="B5651D"/>
          <w:sz w:val="23"/>
        </w:rPr>
        <w:t xml:space="preserve">PR-29: </w:t>
      </w:r>
      <w:r>
        <w:rPr>
          <w:b/>
          <w:sz w:val="23"/>
        </w:rPr>
        <w:t>Consent Capture Workflow</w:t>
      </w:r>
    </w:p>
    <w:p>
      <w:pPr>
        <w:spacing w:after="80"/>
      </w:pPr>
      <w:r>
        <w:rPr>
          <w:b/>
          <w:i/>
        </w:rPr>
        <w:t xml:space="preserve">Description: </w:t>
      </w:r>
      <w:r>
        <w:t>Sequence capturing and logging each discrete consent event across registration, KYC, and per-bid EMD pledging.</w:t>
      </w:r>
    </w:p>
    <w:p>
      <w:pPr>
        <w:spacing w:after="40"/>
      </w:pPr>
      <w:r>
        <w:rPr>
          <w:b/>
        </w:rPr>
        <w:t>Operational Sequence Steps:</w:t>
      </w:r>
    </w:p>
    <w:p>
      <w:pPr>
        <w:pStyle w:val="ListParagraph"/>
        <w:numPr>
          <w:ilvl w:val="0"/>
          <w:numId w:val="2"/>
        </w:numPr>
        <w:spacing w:after="40"/>
      </w:pPr>
      <w:r>
        <w:t>At registration: system displays the current Terms of Usage and Privacy Policy in full; the user must take an explicit accept action (not a pre-ticked box) before a profile is created.</w:t>
      </w:r>
    </w:p>
    <w:p>
      <w:pPr>
        <w:pStyle w:val="ListParagraph"/>
        <w:numPr>
          <w:ilvl w:val="0"/>
          <w:numId w:val="2"/>
        </w:numPr>
        <w:spacing w:after="40"/>
      </w:pPr>
      <w:r>
        <w:t>During KYC: system displays a specific consent statement covering collection and processing of identity/verification data, separate from the general Terms acceptance, before documents are accepted.</w:t>
      </w:r>
    </w:p>
    <w:p>
      <w:pPr>
        <w:pStyle w:val="ListParagraph"/>
        <w:numPr>
          <w:ilvl w:val="0"/>
          <w:numId w:val="2"/>
        </w:numPr>
        <w:spacing w:after="40"/>
      </w:pPr>
      <w:r>
        <w:t>Before any EMD pledge: system displays a short, specific acknowledgment stating the exact deposit amount and the forfeiture consequence applicable to that bid; the buyer must explicitly confirm before the pledge is submitted to escrow.</w:t>
      </w:r>
    </w:p>
    <w:p>
      <w:pPr>
        <w:pStyle w:val="ListParagraph"/>
        <w:numPr>
          <w:ilvl w:val="0"/>
          <w:numId w:val="2"/>
        </w:numPr>
        <w:spacing w:after="40"/>
      </w:pPr>
      <w:r>
        <w:t>Each consent event (registration, KYC, per-pledge) is written to the immutable audit trail (BR-05), recording: user identity, consent type, the specific version of the terms/statement shown, a timestamp, and — for per-pledge consent — the specific bid/transaction reference.</w:t>
      </w:r>
    </w:p>
    <w:p>
      <w:pPr>
        <w:pStyle w:val="ListParagraph"/>
        <w:numPr>
          <w:ilvl w:val="0"/>
          <w:numId w:val="2"/>
        </w:numPr>
        <w:spacing w:after="40"/>
      </w:pPr>
      <w:r>
        <w:t>If the Terms of Usage or Privacy Policy are materially amended: the system flags all existing users as requiring re-consent, and blocks further bidding, listing, or account actions until the updated terms are explicitly re-accepted.</w:t>
      </w:r>
    </w:p>
    <w:p>
      <w:pPr>
        <w:pStyle w:val="ListParagraph"/>
        <w:numPr>
          <w:ilvl w:val="0"/>
          <w:numId w:val="2"/>
        </w:numPr>
        <w:spacing w:after="40"/>
      </w:pPr>
      <w:r>
        <w:t>Consent records are retrievable via the unified Log Reader (BR-05) for dispute, chargeback-representment, or regulatory review purposes.</w:t>
      </w:r>
    </w:p>
    <w:p>
      <w:pPr>
        <w:spacing w:after="200"/>
      </w:pPr>
      <w:r>
        <w:rPr>
          <w:b/>
          <w:i/>
        </w:rPr>
        <w:t xml:space="preserve">Governing Rules: </w:t>
      </w:r>
      <w:r>
        <w:t>BR-51</w:t>
      </w:r>
    </w:p>
    <w:p/>
    <w:p>
      <w:pPr>
        <w:spacing w:before="240" w:after="80"/>
      </w:pPr>
      <w:r>
        <w:rPr>
          <w:b/>
          <w:color w:val="B5651D"/>
          <w:sz w:val="23"/>
        </w:rPr>
        <w:t xml:space="preserve">PR-30: </w:t>
      </w:r>
      <w:r>
        <w:rPr>
          <w:b/>
          <w:sz w:val="23"/>
        </w:rPr>
        <w:t>Chargeback Handling &amp; Representment</w:t>
      </w:r>
    </w:p>
    <w:p>
      <w:pPr>
        <w:spacing w:after="80"/>
      </w:pPr>
      <w:r>
        <w:rPr>
          <w:b/>
          <w:i/>
        </w:rPr>
        <w:t xml:space="preserve">Description: </w:t>
      </w:r>
      <w:r>
        <w:t>Sequence managing card-funded EMD capture timing and responding to a filed chargeback.</w:t>
      </w:r>
    </w:p>
    <w:p>
      <w:pPr>
        <w:spacing w:after="40"/>
      </w:pPr>
      <w:r>
        <w:rPr>
          <w:b/>
        </w:rPr>
        <w:t>Operational Sequence Steps:</w:t>
      </w:r>
    </w:p>
    <w:p>
      <w:pPr>
        <w:pStyle w:val="ListParagraph"/>
        <w:numPr>
          <w:ilvl w:val="0"/>
          <w:numId w:val="2"/>
        </w:numPr>
        <w:spacing w:after="40"/>
      </w:pPr>
      <w:r>
        <w:t>On card-funded EMD pledge: system places an authorization hold only; no capture occurs at this stage.</w:t>
      </w:r>
    </w:p>
    <w:p>
      <w:pPr>
        <w:pStyle w:val="ListParagraph"/>
        <w:numPr>
          <w:ilvl w:val="0"/>
          <w:numId w:val="2"/>
        </w:numPr>
        <w:spacing w:after="40"/>
      </w:pPr>
      <w:r>
        <w:t>Capture is triggered only at settlement (fee deduction) or a confirmed forfeiture event (BR-28/34), whichever occurs first for that pledge.</w:t>
      </w:r>
    </w:p>
    <w:p>
      <w:pPr>
        <w:pStyle w:val="ListParagraph"/>
        <w:numPr>
          <w:ilvl w:val="0"/>
          <w:numId w:val="2"/>
        </w:numPr>
        <w:spacing w:after="40"/>
      </w:pPr>
      <w:r>
        <w:t>If a chargeback is filed: system assembles the evidence package automatically — timestamped per-pledge consent record (BR-51), bid/transaction history, and the forfeiture approval chain (BR-28), if applicable.</w:t>
      </w:r>
    </w:p>
    <w:p>
      <w:pPr>
        <w:pStyle w:val="ListParagraph"/>
        <w:numPr>
          <w:ilvl w:val="0"/>
          <w:numId w:val="2"/>
        </w:numPr>
        <w:spacing w:after="40"/>
      </w:pPr>
      <w:r>
        <w:t>The assembled package is submitted to the Payment Gateway for representment within the network's response window.</w:t>
      </w:r>
    </w:p>
    <w:p>
      <w:pPr>
        <w:pStyle w:val="ListParagraph"/>
        <w:numPr>
          <w:ilvl w:val="0"/>
          <w:numId w:val="2"/>
        </w:numPr>
        <w:spacing w:after="40"/>
      </w:pPr>
      <w:r>
        <w:t>If the chargeback is filed against a legitimate, already-approved forfeiture: the case is flagged for SaaS Admin review and logged as a distinct account-integrity event on the buyer's record, independent of the representment outcome.</w:t>
      </w:r>
    </w:p>
    <w:p>
      <w:pPr>
        <w:spacing w:after="200"/>
      </w:pPr>
      <w:r>
        <w:rPr>
          <w:b/>
          <w:i/>
        </w:rPr>
        <w:t xml:space="preserve">Governing Rules: </w:t>
      </w:r>
      <w:r>
        <w:t>BR-52</w:t>
      </w:r>
    </w:p>
    <w:p/>
    <w:p>
      <w:pPr>
        <w:spacing w:before="240" w:after="80"/>
      </w:pPr>
      <w:r>
        <w:rPr>
          <w:b/>
          <w:color w:val="B5651D"/>
          <w:sz w:val="23"/>
        </w:rPr>
        <w:t xml:space="preserve">PR-31: </w:t>
      </w:r>
      <w:r>
        <w:rPr>
          <w:b/>
          <w:sz w:val="23"/>
        </w:rPr>
        <w:t>AML Monitoring &amp; Suspicious Transaction Escalation</w:t>
      </w:r>
    </w:p>
    <w:p>
      <w:pPr>
        <w:spacing w:after="80"/>
      </w:pPr>
      <w:r>
        <w:rPr>
          <w:b/>
          <w:i/>
        </w:rPr>
        <w:t xml:space="preserve">Description: </w:t>
      </w:r>
      <w:r>
        <w:t>Sequence detecting and escalating transaction patterns consistent with money-laundering risk.</w:t>
      </w:r>
    </w:p>
    <w:p>
      <w:pPr>
        <w:spacing w:after="40"/>
      </w:pPr>
      <w:r>
        <w:rPr>
          <w:b/>
        </w:rPr>
        <w:t>Operational Sequence Steps:</w:t>
      </w:r>
    </w:p>
    <w:p>
      <w:pPr>
        <w:pStyle w:val="ListParagraph"/>
        <w:numPr>
          <w:ilvl w:val="0"/>
          <w:numId w:val="2"/>
        </w:numPr>
        <w:spacing w:after="40"/>
      </w:pPr>
      <w:r>
        <w:t>System continuously screens deposit, refund, and transfer activity against defined AML pattern rules (BR-54).</w:t>
      </w:r>
    </w:p>
    <w:p>
      <w:pPr>
        <w:pStyle w:val="ListParagraph"/>
        <w:numPr>
          <w:ilvl w:val="0"/>
          <w:numId w:val="2"/>
        </w:numPr>
        <w:spacing w:after="40"/>
      </w:pPr>
      <w:r>
        <w:t>A matching pattern generates a flag, visible only to SaaS Admin — not to the User or any Tenant Admin.</w:t>
      </w:r>
    </w:p>
    <w:p>
      <w:pPr>
        <w:pStyle w:val="ListParagraph"/>
        <w:numPr>
          <w:ilvl w:val="0"/>
          <w:numId w:val="2"/>
        </w:numPr>
        <w:spacing w:after="40"/>
      </w:pPr>
      <w:r>
        <w:t>SaaS Admin reviews the flagged activity and determines whether it is explainable (e.g., a legitimate high-frequency bidder) or warrants further action.</w:t>
      </w:r>
    </w:p>
    <w:p>
      <w:pPr>
        <w:pStyle w:val="ListParagraph"/>
        <w:numPr>
          <w:ilvl w:val="0"/>
          <w:numId w:val="2"/>
        </w:numPr>
        <w:spacing w:after="40"/>
      </w:pPr>
      <w:r>
        <w:t>Where warranted, SaaS Admin determines whether a Suspicious Transaction Report is required under applicable PMLA obligations, and files it through the appropriate regulatory channel.</w:t>
      </w:r>
    </w:p>
    <w:p>
      <w:pPr>
        <w:pStyle w:val="ListParagraph"/>
        <w:numPr>
          <w:ilvl w:val="0"/>
          <w:numId w:val="2"/>
        </w:numPr>
        <w:spacing w:after="40"/>
      </w:pPr>
      <w:r>
        <w:t>All flags and their resolution are logged to the immutable audit trail (BR-05), regardless of outcome.</w:t>
      </w:r>
    </w:p>
    <w:p>
      <w:pPr>
        <w:spacing w:after="200"/>
      </w:pPr>
      <w:r>
        <w:rPr>
          <w:b/>
          <w:i/>
        </w:rPr>
        <w:t xml:space="preserve">Governing Rules: </w:t>
      </w:r>
      <w:r>
        <w:t>BR-54</w:t>
      </w:r>
    </w:p>
    <w:p/>
    <w:p>
      <w:pPr>
        <w:spacing w:before="240" w:after="80"/>
      </w:pPr>
      <w:r>
        <w:rPr>
          <w:b/>
          <w:color w:val="B5651D"/>
          <w:sz w:val="23"/>
        </w:rPr>
        <w:t xml:space="preserve">PR-32: </w:t>
      </w:r>
      <w:r>
        <w:rPr>
          <w:b/>
          <w:sz w:val="23"/>
        </w:rPr>
        <w:t>Transaction Invoice Generation</w:t>
      </w:r>
    </w:p>
    <w:p>
      <w:pPr>
        <w:spacing w:after="80"/>
      </w:pPr>
      <w:r>
        <w:rPr>
          <w:b/>
          <w:i/>
        </w:rPr>
        <w:t xml:space="preserve">Description: </w:t>
      </w:r>
      <w:r>
        <w:t>Sequence auto-generating a GST-compliant invoice on transaction completion.</w:t>
      </w:r>
    </w:p>
    <w:p>
      <w:pPr>
        <w:spacing w:after="40"/>
      </w:pPr>
      <w:r>
        <w:rPr>
          <w:b/>
        </w:rPr>
        <w:t>Operational Sequence Steps:</w:t>
      </w:r>
    </w:p>
    <w:p>
      <w:pPr>
        <w:pStyle w:val="ListParagraph"/>
        <w:numPr>
          <w:ilvl w:val="0"/>
          <w:numId w:val="2"/>
        </w:numPr>
        <w:spacing w:after="40"/>
      </w:pPr>
      <w:r>
        <w:t>On formal settlement close (per the dual-NOC gate), the system calculates the final commission and any Payment Gateway charge passed through.</w:t>
      </w:r>
    </w:p>
    <w:p>
      <w:pPr>
        <w:pStyle w:val="ListParagraph"/>
        <w:numPr>
          <w:ilvl w:val="0"/>
          <w:numId w:val="2"/>
        </w:numPr>
        <w:spacing w:after="40"/>
      </w:pPr>
      <w:r>
        <w:t>A GST-compliant invoice is generated, itemising the Success Fee (per the session's Fee Payer Election, BR-32) and any gateway charge.</w:t>
      </w:r>
    </w:p>
    <w:p>
      <w:pPr>
        <w:pStyle w:val="ListParagraph"/>
        <w:numPr>
          <w:ilvl w:val="0"/>
          <w:numId w:val="2"/>
        </w:numPr>
        <w:spacing w:after="40"/>
      </w:pPr>
      <w:r>
        <w:t>The invoice is issued to the Buyer under the Tenant's name, as the legal supplier of the commission-bearing service.</w:t>
      </w:r>
    </w:p>
    <w:p>
      <w:pPr>
        <w:pStyle w:val="ListParagraph"/>
        <w:numPr>
          <w:ilvl w:val="0"/>
          <w:numId w:val="2"/>
        </w:numPr>
        <w:spacing w:after="40"/>
      </w:pPr>
      <w:r>
        <w:t>A corresponding invoice for SaaS's share is issued to the Tenant.</w:t>
      </w:r>
    </w:p>
    <w:p>
      <w:pPr>
        <w:pStyle w:val="ListParagraph"/>
        <w:numPr>
          <w:ilvl w:val="0"/>
          <w:numId w:val="2"/>
        </w:numPr>
        <w:spacing w:after="40"/>
      </w:pPr>
      <w:r>
        <w:t>Both invoices are stored against the transaction record and made available for download by the relevant party.</w:t>
      </w:r>
    </w:p>
    <w:p>
      <w:pPr>
        <w:spacing w:after="200"/>
      </w:pPr>
      <w:r>
        <w:rPr>
          <w:b/>
          <w:i/>
        </w:rPr>
        <w:t xml:space="preserve">Governing Rules: </w:t>
      </w:r>
      <w:r>
        <w:t>BR-56</w:t>
      </w:r>
    </w:p>
    <w:p/>
    <w:p>
      <w:pPr>
        <w:spacing w:before="240" w:after="80"/>
      </w:pPr>
      <w:r>
        <w:rPr>
          <w:b/>
          <w:color w:val="B5651D"/>
          <w:sz w:val="23"/>
        </w:rPr>
        <w:t xml:space="preserve">PR-33: </w:t>
      </w:r>
      <w:r>
        <w:rPr>
          <w:b/>
          <w:sz w:val="23"/>
        </w:rPr>
        <w:t>Express Listing Defect Disclosure Capture</w:t>
      </w:r>
    </w:p>
    <w:p>
      <w:pPr>
        <w:spacing w:after="80"/>
      </w:pPr>
      <w:r>
        <w:rPr>
          <w:b/>
          <w:i/>
        </w:rPr>
        <w:t xml:space="preserve">Description: </w:t>
      </w:r>
      <w:r>
        <w:t>Sequence capturing mandatory defect disclosure for Express Auction listings, given the absence of an inspection window.</w:t>
      </w:r>
    </w:p>
    <w:p>
      <w:pPr>
        <w:spacing w:after="40"/>
      </w:pPr>
      <w:r>
        <w:rPr>
          <w:b/>
        </w:rPr>
        <w:t>Operational Sequence Steps:</w:t>
      </w:r>
    </w:p>
    <w:p>
      <w:pPr>
        <w:pStyle w:val="ListParagraph"/>
        <w:numPr>
          <w:ilvl w:val="0"/>
          <w:numId w:val="2"/>
        </w:numPr>
        <w:spacing w:after="40"/>
      </w:pPr>
      <w:r>
        <w:t>Seller maps an approved listing to Express Auction (per PR-11).</w:t>
      </w:r>
    </w:p>
    <w:p>
      <w:pPr>
        <w:pStyle w:val="ListParagraph"/>
        <w:numPr>
          <w:ilvl w:val="0"/>
          <w:numId w:val="2"/>
        </w:numPr>
        <w:spacing w:after="40"/>
      </w:pPr>
      <w:r>
        <w:t>Before the listing can be submitted for Tenant Admin approval, the seller must complete a structured defect-disclosure checklist (known damage, missing components, non-functional aspects).</w:t>
      </w:r>
    </w:p>
    <w:p>
      <w:pPr>
        <w:pStyle w:val="ListParagraph"/>
        <w:numPr>
          <w:ilvl w:val="0"/>
          <w:numId w:val="2"/>
        </w:numPr>
        <w:spacing w:after="40"/>
      </w:pPr>
      <w:r>
        <w:t>The completed checklist is displayed to bidders alongside the listing throughout the live auction.</w:t>
      </w:r>
    </w:p>
    <w:p>
      <w:pPr>
        <w:pStyle w:val="ListParagraph"/>
        <w:numPr>
          <w:ilvl w:val="0"/>
          <w:numId w:val="2"/>
        </w:numPr>
        <w:spacing w:after="40"/>
      </w:pPr>
      <w:r>
        <w:t>If a buyer later demonstrates the disclosure was false: the case is filed as a Condition/Delivery Dispute under the Dispute Resolution Framework (PR-24), notwithstanding the format's general sight-unseen, buyer-beware posture.</w:t>
      </w:r>
    </w:p>
    <w:p>
      <w:pPr>
        <w:spacing w:after="200"/>
      </w:pPr>
      <w:r>
        <w:rPr>
          <w:b/>
          <w:i/>
        </w:rPr>
        <w:t xml:space="preserve">Governing Rules: </w:t>
      </w:r>
      <w:r>
        <w:t>BR-57</w:t>
      </w:r>
    </w:p>
    <w:p/>
    <w:p>
      <w:pPr>
        <w:spacing w:before="240" w:after="80"/>
      </w:pPr>
      <w:r>
        <w:rPr>
          <w:b/>
          <w:color w:val="B5651D"/>
          <w:sz w:val="23"/>
        </w:rPr>
        <w:t xml:space="preserve">PR-34: </w:t>
      </w:r>
      <w:r>
        <w:rPr>
          <w:b/>
          <w:sz w:val="23"/>
        </w:rPr>
        <w:t>Two-Tier Listing Media Capture</w:t>
      </w:r>
    </w:p>
    <w:p>
      <w:pPr>
        <w:spacing w:after="80"/>
      </w:pPr>
      <w:r>
        <w:rPr>
          <w:b/>
          <w:i/>
        </w:rPr>
        <w:t xml:space="preserve">Description: </w:t>
      </w:r>
      <w:r>
        <w:t>Sequence capturing listing media under either the Verified or Certified by Seller (CBS) tier.</w:t>
      </w:r>
    </w:p>
    <w:p>
      <w:pPr>
        <w:spacing w:after="40"/>
      </w:pPr>
      <w:r>
        <w:rPr>
          <w:b/>
        </w:rPr>
        <w:t>Operational Sequence Steps:</w:t>
      </w:r>
    </w:p>
    <w:p>
      <w:pPr>
        <w:pStyle w:val="ListParagraph"/>
        <w:numPr>
          <w:ilvl w:val="0"/>
          <w:numId w:val="2"/>
        </w:numPr>
        <w:spacing w:after="40"/>
      </w:pPr>
      <w:r>
        <w:t>Seller initiates a new listing and selects the applicable media tier — always the seller's own choice, for either tier.</w:t>
      </w:r>
    </w:p>
    <w:p>
      <w:pPr>
        <w:pStyle w:val="ListParagraph"/>
        <w:numPr>
          <w:ilvl w:val="0"/>
          <w:numId w:val="2"/>
        </w:numPr>
        <w:spacing w:after="40"/>
      </w:pPr>
      <w:r>
        <w:t>Verified: an inspection team member visits the item, captures photographs in-app, with GPS and timestamp recorded automatically at the moment of capture (per PR-09's compression pipeline).</w:t>
      </w:r>
    </w:p>
    <w:p>
      <w:pPr>
        <w:pStyle w:val="ListParagraph"/>
        <w:numPr>
          <w:ilvl w:val="0"/>
          <w:numId w:val="2"/>
        </w:numPr>
        <w:spacing w:after="40"/>
      </w:pPr>
      <w:r>
        <w:t>Verified: seller is charged the inspection fee published in the platform's Fee &amp; Charges Schedule before the inspection is scheduled.</w:t>
      </w:r>
    </w:p>
    <w:p>
      <w:pPr>
        <w:pStyle w:val="ListParagraph"/>
        <w:numPr>
          <w:ilvl w:val="0"/>
          <w:numId w:val="2"/>
        </w:numPr>
        <w:spacing w:after="40"/>
      </w:pPr>
      <w:r>
        <w:t>CBS: seller uploads photographs captured by any method or device; system checks only that images are not flagged as stock/catalogue/generated content, not for GPS/timestamp presence.</w:t>
      </w:r>
    </w:p>
    <w:p>
      <w:pPr>
        <w:pStyle w:val="ListParagraph"/>
        <w:numPr>
          <w:ilvl w:val="0"/>
          <w:numId w:val="2"/>
        </w:numPr>
        <w:spacing w:after="40"/>
      </w:pPr>
      <w:r>
        <w:t>System displays the applicable tier badge on the published listing, visible to all buyers.</w:t>
      </w:r>
    </w:p>
    <w:p>
      <w:pPr>
        <w:pStyle w:val="ListParagraph"/>
        <w:numPr>
          <w:ilvl w:val="0"/>
          <w:numId w:val="2"/>
        </w:numPr>
        <w:spacing w:after="40"/>
      </w:pPr>
      <w:r>
        <w:t>If a CBS listing is later found to use stock, catalogue, or generated imagery without an approved Tenant Media Waiver (PR-35): the case is logged as a CBS violation, feeding Seller Standing Review (PR-36).</w:t>
      </w:r>
    </w:p>
    <w:p>
      <w:pPr>
        <w:spacing w:after="200"/>
      </w:pPr>
      <w:r>
        <w:rPr>
          <w:b/>
          <w:i/>
        </w:rPr>
        <w:t xml:space="preserve">Governing Rules: </w:t>
      </w:r>
      <w:r>
        <w:t>BR-59</w:t>
      </w:r>
    </w:p>
    <w:p/>
    <w:p>
      <w:pPr>
        <w:spacing w:before="240" w:after="80"/>
      </w:pPr>
      <w:r>
        <w:rPr>
          <w:b/>
          <w:color w:val="B5651D"/>
          <w:sz w:val="23"/>
        </w:rPr>
        <w:t xml:space="preserve">PR-35: </w:t>
      </w:r>
      <w:r>
        <w:rPr>
          <w:b/>
          <w:sz w:val="23"/>
        </w:rPr>
        <w:t>Tenant Media Waiver Request &amp; Annual Review</w:t>
      </w:r>
    </w:p>
    <w:p>
      <w:pPr>
        <w:spacing w:after="80"/>
      </w:pPr>
      <w:r>
        <w:rPr>
          <w:b/>
          <w:i/>
        </w:rPr>
        <w:t xml:space="preserve">Description: </w:t>
      </w:r>
      <w:r>
        <w:t>Sequence for a Tenant to request, and SaaS Admin to review and maintain, a category-specific CBS media waiver.</w:t>
      </w:r>
    </w:p>
    <w:p>
      <w:pPr>
        <w:spacing w:after="40"/>
      </w:pPr>
      <w:r>
        <w:rPr>
          <w:b/>
        </w:rPr>
        <w:t>Operational Sequence Steps:</w:t>
      </w:r>
    </w:p>
    <w:p>
      <w:pPr>
        <w:pStyle w:val="ListParagraph"/>
        <w:numPr>
          <w:ilvl w:val="0"/>
          <w:numId w:val="2"/>
        </w:numPr>
        <w:spacing w:after="40"/>
      </w:pPr>
      <w:r>
        <w:t>Tenant submits a waiver request to SaaS Admin, specifying the single category and the business justification.</w:t>
      </w:r>
    </w:p>
    <w:p>
      <w:pPr>
        <w:pStyle w:val="ListParagraph"/>
        <w:numPr>
          <w:ilvl w:val="0"/>
          <w:numId w:val="2"/>
        </w:numPr>
        <w:spacing w:after="40"/>
      </w:pPr>
      <w:r>
        <w:t>SaaS Admin reviews the request and approves or declines, logging the decision and its stated rationale.</w:t>
      </w:r>
    </w:p>
    <w:p>
      <w:pPr>
        <w:pStyle w:val="ListParagraph"/>
        <w:numPr>
          <w:ilvl w:val="0"/>
          <w:numId w:val="2"/>
        </w:numPr>
        <w:spacing w:after="40"/>
      </w:pPr>
      <w:r>
        <w:t>On approval: the waiver is recorded with a 12-month expiry from grant date; listings in that category, under that Tenant, may use representative imagery, disclosed as such to buyers.</w:t>
      </w:r>
    </w:p>
    <w:p>
      <w:pPr>
        <w:pStyle w:val="ListParagraph"/>
        <w:numPr>
          <w:ilvl w:val="0"/>
          <w:numId w:val="2"/>
        </w:numPr>
        <w:spacing w:after="40"/>
      </w:pPr>
      <w:r>
        <w:t>At the 12-month mark: system prompts SaaS Admin to actively re-review, referencing usage history and any disputes/violations tied to waived listings during the period.</w:t>
      </w:r>
    </w:p>
    <w:p>
      <w:pPr>
        <w:pStyle w:val="ListParagraph"/>
        <w:numPr>
          <w:ilvl w:val="0"/>
          <w:numId w:val="2"/>
        </w:numPr>
        <w:spacing w:after="40"/>
      </w:pPr>
      <w:r>
        <w:t>If SaaS Admin takes no action by the expiry date: the waiver lapses automatically, and the Tenant's listings in that category revert to the standard CBS prohibition.</w:t>
      </w:r>
    </w:p>
    <w:p>
      <w:pPr>
        <w:pStyle w:val="ListParagraph"/>
        <w:numPr>
          <w:ilvl w:val="0"/>
          <w:numId w:val="2"/>
        </w:numPr>
        <w:spacing w:after="40"/>
      </w:pPr>
      <w:r>
        <w:t>At any point, independent of the annual cycle: SaaS Admin may revoke the waiver immediately if a serious issue arises, logged with reason.</w:t>
      </w:r>
    </w:p>
    <w:p>
      <w:pPr>
        <w:spacing w:after="200"/>
      </w:pPr>
      <w:r>
        <w:rPr>
          <w:b/>
          <w:i/>
        </w:rPr>
        <w:t xml:space="preserve">Governing Rules: </w:t>
      </w:r>
      <w:r>
        <w:t>BR-60</w:t>
      </w:r>
    </w:p>
    <w:p/>
    <w:p>
      <w:pPr>
        <w:spacing w:before="240" w:after="80"/>
      </w:pPr>
      <w:r>
        <w:rPr>
          <w:b/>
          <w:color w:val="B5651D"/>
          <w:sz w:val="23"/>
        </w:rPr>
        <w:t xml:space="preserve">PR-36: </w:t>
      </w:r>
      <w:r>
        <w:rPr>
          <w:b/>
          <w:sz w:val="23"/>
        </w:rPr>
        <w:t>Seller Standing Review Execution</w:t>
      </w:r>
    </w:p>
    <w:p>
      <w:pPr>
        <w:spacing w:after="80"/>
      </w:pPr>
      <w:r>
        <w:rPr>
          <w:b/>
          <w:i/>
        </w:rPr>
        <w:t xml:space="preserve">Description: </w:t>
      </w:r>
      <w:r>
        <w:t>Sequence aggregating recorded seller-side actions and executing the resulting Standing Review.</w:t>
      </w:r>
    </w:p>
    <w:p>
      <w:pPr>
        <w:spacing w:after="40"/>
      </w:pPr>
      <w:r>
        <w:rPr>
          <w:b/>
        </w:rPr>
        <w:t>Operational Sequence Steps:</w:t>
      </w:r>
    </w:p>
    <w:p>
      <w:pPr>
        <w:pStyle w:val="ListParagraph"/>
        <w:numPr>
          <w:ilvl w:val="0"/>
          <w:numId w:val="2"/>
        </w:numPr>
        <w:spacing w:after="40"/>
      </w:pPr>
      <w:r>
        <w:t>System continuously logs every recorded action against a seller — CBS violations, disputed rulings, rejected auctions — to a running Standing Review count, tracked globally against the seller's identity.</w:t>
      </w:r>
    </w:p>
    <w:p>
      <w:pPr>
        <w:pStyle w:val="ListParagraph"/>
        <w:numPr>
          <w:ilvl w:val="0"/>
          <w:numId w:val="2"/>
        </w:numPr>
        <w:spacing w:after="40"/>
      </w:pPr>
      <w:r>
        <w:t>System checks the count against the 10-complaint threshold on every new entry, and separately tracks the annual anniversary of the seller's first approval as a seller.</w:t>
      </w:r>
    </w:p>
    <w:p>
      <w:pPr>
        <w:pStyle w:val="ListParagraph"/>
        <w:numPr>
          <w:ilvl w:val="0"/>
          <w:numId w:val="2"/>
        </w:numPr>
        <w:spacing w:after="40"/>
      </w:pPr>
      <w:r>
        <w:t>Whichever trigger fires first opens a Standing Review case under the Dispute Resolution Framework (BR-40), with the seller as its subject.</w:t>
      </w:r>
    </w:p>
    <w:p>
      <w:pPr>
        <w:pStyle w:val="ListParagraph"/>
        <w:numPr>
          <w:ilvl w:val="0"/>
          <w:numId w:val="2"/>
        </w:numPr>
        <w:spacing w:after="40"/>
      </w:pPr>
      <w:r>
        <w:t>For CBS-specific offences within the review: 1st/2nd offence — warning logged, no further action. 3rd/4th offence — referred to Tenant Admin for a discretionary decision; SaaS Admin is notified regardless of the Tenant Admin's action. 5th offence onward — decision authority moves to SaaS Admin exclusively.</w:t>
      </w:r>
    </w:p>
    <w:p>
      <w:pPr>
        <w:pStyle w:val="ListParagraph"/>
        <w:numPr>
          <w:ilvl w:val="0"/>
          <w:numId w:val="2"/>
        </w:numPr>
        <w:spacing w:after="40"/>
      </w:pPr>
      <w:r>
        <w:t>Tenant Admin reviews the aggregated record for their own storefront's signal; SaaS Admin reviews the full cross-tenant picture in parallel.</w:t>
      </w:r>
    </w:p>
    <w:p>
      <w:pPr>
        <w:pStyle w:val="ListParagraph"/>
        <w:numPr>
          <w:ilvl w:val="0"/>
          <w:numId w:val="2"/>
        </w:numPr>
        <w:spacing w:after="40"/>
      </w:pPr>
      <w:r>
        <w:t>The review concludes in one of three outcomes — no action, formal escalation-ladder consequence, or suspension — each logged with a stated rationale.</w:t>
      </w:r>
    </w:p>
    <w:p>
      <w:pPr>
        <w:pStyle w:val="ListParagraph"/>
        <w:numPr>
          <w:ilvl w:val="0"/>
          <w:numId w:val="2"/>
        </w:numPr>
        <w:spacing w:after="40"/>
      </w:pPr>
      <w:r>
        <w:t>The seller may appeal the outcome once, to SaaS Admin, whose decision is final.</w:t>
      </w:r>
    </w:p>
    <w:p>
      <w:pPr>
        <w:pStyle w:val="ListParagraph"/>
        <w:numPr>
          <w:ilvl w:val="0"/>
          <w:numId w:val="2"/>
        </w:numPr>
        <w:spacing w:after="40"/>
      </w:pPr>
      <w:r>
        <w:t>On conclusion, the complaint counter resets to zero. The annual anniversary date itself does not change — it remains fixed to the seller's original approval date — so an early, count-triggered review does not reset or delay the next scheduled annual review; both triggers continue to operate independently going forward.</w:t>
      </w:r>
    </w:p>
    <w:p>
      <w:pPr>
        <w:spacing w:after="200"/>
      </w:pPr>
      <w:r>
        <w:rPr>
          <w:b/>
          <w:i/>
        </w:rPr>
        <w:t xml:space="preserve">Governing Rules: </w:t>
      </w:r>
      <w:r>
        <w:t>BR-61</w:t>
      </w:r>
    </w:p>
    <w:p/>
    <w:p>
      <w:pPr>
        <w:spacing w:before="240" w:after="80"/>
      </w:pPr>
      <w:r>
        <w:rPr>
          <w:b/>
          <w:color w:val="B5651D"/>
          <w:sz w:val="23"/>
        </w:rPr>
        <w:t xml:space="preserve">PR-37: </w:t>
      </w:r>
      <w:r>
        <w:rPr>
          <w:b/>
          <w:sz w:val="23"/>
        </w:rPr>
        <w:t>Tenant API Push, Approval &amp; Status Sync</w:t>
      </w:r>
    </w:p>
    <w:p>
      <w:pPr>
        <w:spacing w:after="80"/>
      </w:pPr>
      <w:r>
        <w:rPr>
          <w:b/>
          <w:i/>
        </w:rPr>
        <w:t xml:space="preserve">Description: </w:t>
      </w:r>
      <w:r>
        <w:t>Mirrors PR-13 (Sale Event Creation, Approval &amp; Post-Approval Lifecycle), with an authenticated Tenant API call as the entry point instead of the portal form, plus asynchronous status delivery so the Tenant's system is never left polling.</w:t>
      </w:r>
    </w:p>
    <w:p>
      <w:pPr>
        <w:spacing w:after="40"/>
      </w:pPr>
      <w:r>
        <w:rPr>
          <w:b/>
        </w:rPr>
        <w:t>Operational Sequence Steps:</w:t>
      </w:r>
    </w:p>
    <w:p>
      <w:pPr>
        <w:pStyle w:val="ListParagraph"/>
        <w:numPr>
          <w:ilvl w:val="0"/>
          <w:numId w:val="2"/>
        </w:numPr>
        <w:spacing w:after="40"/>
      </w:pPr>
      <w:r>
        <w:t>Tenant's system authenticates via OAuth2 client-credentials (BR-64), scoped to its own tenantId.</w:t>
      </w:r>
    </w:p>
    <w:p>
      <w:pPr>
        <w:pStyle w:val="ListParagraph"/>
        <w:numPr>
          <w:ilvl w:val="0"/>
          <w:numId w:val="2"/>
        </w:numPr>
        <w:spacing w:after="40"/>
      </w:pPr>
      <w:r>
        <w:t>Tenant's system pushes a Listing, specifying the acting sellerId. Listing enters PENDING_APPROVAL (BR-13), identical to a portal submission.</w:t>
      </w:r>
    </w:p>
    <w:p>
      <w:pPr>
        <w:pStyle w:val="ListParagraph"/>
        <w:numPr>
          <w:ilvl w:val="0"/>
          <w:numId w:val="2"/>
        </w:numPr>
        <w:spacing w:after="40"/>
      </w:pPr>
      <w:r>
        <w:t>Tenant Admin reviews and approves/rejects via the existing portal console — no API-side approval bypass exists (BR-62).</w:t>
      </w:r>
    </w:p>
    <w:p>
      <w:pPr>
        <w:pStyle w:val="ListParagraph"/>
        <w:numPr>
          <w:ilvl w:val="0"/>
          <w:numId w:val="2"/>
        </w:numPr>
        <w:spacing w:after="40"/>
      </w:pPr>
      <w:r>
        <w:t>On approval, a listing.approved webhook fires; listing status is UPCOMING.</w:t>
      </w:r>
    </w:p>
    <w:p>
      <w:pPr>
        <w:pStyle w:val="ListParagraph"/>
        <w:numPr>
          <w:ilvl w:val="0"/>
          <w:numId w:val="2"/>
        </w:numPr>
        <w:spacing w:after="40"/>
      </w:pPr>
      <w:r>
        <w:t>Tenant's system pushes a Sale System request against the approved listing. The same Tenant Admin approval gate applies; on approval, a sale_event.created webhook fires, and listing status becomes ACTIVE.</w:t>
      </w:r>
    </w:p>
    <w:p>
      <w:pPr>
        <w:pStyle w:val="ListParagraph"/>
        <w:numPr>
          <w:ilvl w:val="0"/>
          <w:numId w:val="2"/>
        </w:numPr>
        <w:spacing w:after="40"/>
      </w:pPr>
      <w:r>
        <w:t>Major-field edit requests trigger archive-and-recreate per BR-13: a listing.archived webhook fires on the old ID, carrying a supersededBy reference to the new ID; the new listing re-enters at UPCOMING and requires fresh Tenant Admin approval — no inherited approval status.</w:t>
      </w:r>
    </w:p>
    <w:p>
      <w:pPr>
        <w:pStyle w:val="ListParagraph"/>
        <w:numPr>
          <w:ilvl w:val="0"/>
          <w:numId w:val="2"/>
        </w:numPr>
        <w:spacing w:after="40"/>
      </w:pPr>
      <w:r>
        <w:t>Sale closure, settlement completion, and dispute-filed events each fire their own webhook, scoped to BR-63 visibility.</w:t>
      </w:r>
    </w:p>
    <w:p>
      <w:pPr>
        <w:pStyle w:val="ListParagraph"/>
        <w:numPr>
          <w:ilvl w:val="0"/>
          <w:numId w:val="2"/>
        </w:numPr>
        <w:spacing w:after="40"/>
      </w:pPr>
      <w:r>
        <w:t>Tender Auctions are excluded entirely from this workflow — Company Shop-managed only, per BR-12.</w:t>
      </w:r>
    </w:p>
    <w:p>
      <w:pPr>
        <w:spacing w:after="200"/>
      </w:pPr>
      <w:r>
        <w:rPr>
          <w:b/>
          <w:i/>
        </w:rPr>
        <w:t xml:space="preserve">Governing Rules: </w:t>
      </w:r>
      <w:r>
        <w:t>BR-09, BR-13, BR-14, BR-62, BR-63, BR-64, BR-65, BR-66</w:t>
      </w:r>
    </w:p>
    <w:p/>
    <w:p>
      <w:pPr>
        <w:pStyle w:val="Heading1"/>
        <w:spacing w:after="200" w:before="400"/>
      </w:pPr>
      <w:r>
        <w:t xml:space="preserve">SECTION 4: TECHNOLOGY STACK</w:t>
      </w:r>
    </w:p>
    <w:p>
      <w:pPr>
        <w:spacing w:after="120"/>
      </w:pPr>
      <w:r>
        <w:t xml:space="preserve">The stack is chosen to satisfy three hard constraints arising from the Business Rules above: (a) strict ACID integrity for every EMD, commission, and settlement transaction (BR-25 through BR-34); (b) sub-second real-time bid broadcasting across potentially thousands of concurrent bidders (BR-16, BR-48); and (c) full compliance with Indian payment/banking regulation, avoiding any unlicensed pooled-wallet (PPI) classification (BR-25).</w:t>
      </w:r>
    </w:p>
    <w:p>
      <w:pPr>
        <w:pStyle w:val="Heading2"/>
        <w:spacing w:after="120" w:before="260"/>
      </w:pPr>
      <w:r>
        <w:t xml:space="preserve">4.1 Master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B2A4A" w:val="clear"/>
            <w:tcMar>
              <w:top w:type="dxa" w:w="80"/>
              <w:left w:type="dxa" w:w="100"/>
              <w:bottom w:type="dxa" w:w="80"/>
              <w:right w:type="dxa" w:w="100"/>
            </w:tcMar>
          </w:tcPr>
          <w:p>
            <w:pPr>
              <w:jc w:val="left"/>
            </w:pPr>
            <w:r>
              <w:rPr>
                <w:b/>
                <w:bCs/>
              </w:rPr>
              <w:t xml:space="preserve">Layer</w:t>
            </w:r>
          </w:p>
        </w:tc>
        <w:tc>
          <w:tcPr>
            <w:tcW w:type="dxa" w:w="5800"/>
            <w:shd w:fill="1B2A4A" w:val="clear"/>
            <w:tcMar>
              <w:top w:type="dxa" w:w="80"/>
              <w:left w:type="dxa" w:w="100"/>
              <w:bottom w:type="dxa" w:w="80"/>
              <w:right w:type="dxa" w:w="100"/>
            </w:tcMar>
          </w:tcPr>
          <w:p>
            <w:pPr>
              <w:jc w:val="left"/>
            </w:pPr>
            <w:r>
              <w:rPr>
                <w:b/>
                <w:bCs/>
              </w:rPr>
              <w:t xml:space="preserve">Choice</w:t>
            </w:r>
          </w:p>
        </w:tc>
      </w:tr>
      <w:tr>
        <w:tc>
          <w:tcPr>
            <w:tcW w:type="dxa" w:w="3200"/>
            <w:tcMar>
              <w:top w:type="dxa" w:w="80"/>
              <w:left w:type="dxa" w:w="100"/>
              <w:bottom w:type="dxa" w:w="80"/>
              <w:right w:type="dxa" w:w="100"/>
            </w:tcMar>
          </w:tcPr>
          <w:p>
            <w:pPr>
              <w:jc w:val="left"/>
            </w:pPr>
            <w:r>
              <w:rPr>
                <w:b w:val="false"/>
                <w:bCs w:val="false"/>
              </w:rPr>
              <w:t xml:space="preserve">Frontend</w:t>
            </w:r>
          </w:p>
        </w:tc>
        <w:tc>
          <w:tcPr>
            <w:tcW w:type="dxa" w:w="5800"/>
            <w:tcMar>
              <w:top w:type="dxa" w:w="80"/>
              <w:left w:type="dxa" w:w="100"/>
              <w:bottom w:type="dxa" w:w="80"/>
              <w:right w:type="dxa" w:w="100"/>
            </w:tcMar>
          </w:tcPr>
          <w:p>
            <w:pPr>
              <w:jc w:val="left"/>
            </w:pPr>
            <w:r>
              <w:rPr>
                <w:b w:val="false"/>
                <w:bCs w:val="false"/>
              </w:rPr>
              <w:t xml:space="preserve">Vite + React (TypeScript), mobile-responsive web</w:t>
            </w:r>
          </w:p>
        </w:tc>
      </w:tr>
      <w:tr>
        <w:tc>
          <w:tcPr>
            <w:tcW w:type="dxa" w:w="3200"/>
            <w:shd w:fill="F2F2F2" w:val="clear"/>
            <w:tcMar>
              <w:top w:type="dxa" w:w="80"/>
              <w:left w:type="dxa" w:w="100"/>
              <w:bottom w:type="dxa" w:w="80"/>
              <w:right w:type="dxa" w:w="100"/>
            </w:tcMar>
          </w:tcPr>
          <w:p>
            <w:pPr>
              <w:jc w:val="left"/>
            </w:pPr>
            <w:r>
              <w:rPr>
                <w:b w:val="false"/>
                <w:bCs w:val="false"/>
              </w:rPr>
              <w:t xml:space="preserve">Real-time server</w:t>
            </w:r>
          </w:p>
        </w:tc>
        <w:tc>
          <w:tcPr>
            <w:tcW w:type="dxa" w:w="5800"/>
            <w:shd w:fill="F2F2F2" w:val="clear"/>
            <w:tcMar>
              <w:top w:type="dxa" w:w="80"/>
              <w:left w:type="dxa" w:w="100"/>
              <w:bottom w:type="dxa" w:w="80"/>
              <w:right w:type="dxa" w:w="100"/>
            </w:tcMar>
          </w:tcPr>
          <w:p>
            <w:pPr>
              <w:jc w:val="left"/>
            </w:pPr>
            <w:r>
              <w:rPr>
                <w:b w:val="false"/>
                <w:bCs w:val="false"/>
              </w:rPr>
              <w:t xml:space="preserve">Node.js (Express) + WebSockets / Socket.io</w:t>
            </w:r>
          </w:p>
        </w:tc>
      </w:tr>
      <w:tr>
        <w:tc>
          <w:tcPr>
            <w:tcW w:type="dxa" w:w="3200"/>
            <w:tcMar>
              <w:top w:type="dxa" w:w="80"/>
              <w:left w:type="dxa" w:w="100"/>
              <w:bottom w:type="dxa" w:w="80"/>
              <w:right w:type="dxa" w:w="100"/>
            </w:tcMar>
          </w:tcPr>
          <w:p>
            <w:pPr>
              <w:jc w:val="left"/>
            </w:pPr>
            <w:r>
              <w:rPr>
                <w:b w:val="false"/>
                <w:bCs w:val="false"/>
              </w:rPr>
              <w:t xml:space="preserve">Live bidding state</w:t>
            </w:r>
          </w:p>
        </w:tc>
        <w:tc>
          <w:tcPr>
            <w:tcW w:type="dxa" w:w="5800"/>
            <w:tcMar>
              <w:top w:type="dxa" w:w="80"/>
              <w:left w:type="dxa" w:w="100"/>
              <w:bottom w:type="dxa" w:w="80"/>
              <w:right w:type="dxa" w:w="100"/>
            </w:tcMar>
          </w:tcPr>
          <w:p>
            <w:pPr>
              <w:jc w:val="left"/>
            </w:pPr>
            <w:r>
              <w:rPr>
                <w:b w:val="false"/>
                <w:bCs w:val="false"/>
              </w:rPr>
              <w:t xml:space="preserve">Redis (in-memory)</w:t>
            </w:r>
          </w:p>
        </w:tc>
      </w:tr>
      <w:tr>
        <w:tc>
          <w:tcPr>
            <w:tcW w:type="dxa" w:w="3200"/>
            <w:shd w:fill="F2F2F2" w:val="clear"/>
            <w:tcMar>
              <w:top w:type="dxa" w:w="80"/>
              <w:left w:type="dxa" w:w="100"/>
              <w:bottom w:type="dxa" w:w="80"/>
              <w:right w:type="dxa" w:w="100"/>
            </w:tcMar>
          </w:tcPr>
          <w:p>
            <w:pPr>
              <w:jc w:val="left"/>
            </w:pPr>
            <w:r>
              <w:rPr>
                <w:b w:val="false"/>
                <w:bCs w:val="false"/>
              </w:rPr>
              <w:t xml:space="preserve">Background job queue</w:t>
            </w:r>
          </w:p>
        </w:tc>
        <w:tc>
          <w:tcPr>
            <w:tcW w:type="dxa" w:w="5800"/>
            <w:shd w:fill="F2F2F2" w:val="clear"/>
            <w:tcMar>
              <w:top w:type="dxa" w:w="80"/>
              <w:left w:type="dxa" w:w="100"/>
              <w:bottom w:type="dxa" w:w="80"/>
              <w:right w:type="dxa" w:w="100"/>
            </w:tcMar>
          </w:tcPr>
          <w:p>
            <w:pPr>
              <w:jc w:val="left"/>
            </w:pPr>
            <w:r>
              <w:rPr>
                <w:b w:val="false"/>
                <w:bCs w:val="false"/>
              </w:rPr>
              <w:t xml:space="preserve">BullMQ (Redis-backed)</w:t>
            </w:r>
          </w:p>
        </w:tc>
      </w:tr>
      <w:tr>
        <w:tc>
          <w:tcPr>
            <w:tcW w:type="dxa" w:w="3200"/>
            <w:tcMar>
              <w:top w:type="dxa" w:w="80"/>
              <w:left w:type="dxa" w:w="100"/>
              <w:bottom w:type="dxa" w:w="80"/>
              <w:right w:type="dxa" w:w="100"/>
            </w:tcMar>
          </w:tcPr>
          <w:p>
            <w:pPr>
              <w:jc w:val="left"/>
            </w:pPr>
            <w:r>
              <w:rPr>
                <w:b w:val="false"/>
                <w:bCs w:val="false"/>
              </w:rPr>
              <w:t xml:space="preserve">Primary database</w:t>
            </w:r>
          </w:p>
        </w:tc>
        <w:tc>
          <w:tcPr>
            <w:tcW w:type="dxa" w:w="5800"/>
            <w:tcMar>
              <w:top w:type="dxa" w:w="80"/>
              <w:left w:type="dxa" w:w="100"/>
              <w:bottom w:type="dxa" w:w="80"/>
              <w:right w:type="dxa" w:w="100"/>
            </w:tcMar>
          </w:tcPr>
          <w:p>
            <w:pPr>
              <w:jc w:val="left"/>
            </w:pPr>
            <w:r>
              <w:rPr>
                <w:b w:val="false"/>
                <w:bCs w:val="false"/>
              </w:rPr>
              <w:t xml:space="preserve">PostgreSQL (Cloud SQL)</w:t>
            </w:r>
          </w:p>
        </w:tc>
      </w:tr>
      <w:tr>
        <w:tc>
          <w:tcPr>
            <w:tcW w:type="dxa" w:w="3200"/>
            <w:shd w:fill="F2F2F2" w:val="clear"/>
            <w:tcMar>
              <w:top w:type="dxa" w:w="80"/>
              <w:left w:type="dxa" w:w="100"/>
              <w:bottom w:type="dxa" w:w="80"/>
              <w:right w:type="dxa" w:w="100"/>
            </w:tcMar>
          </w:tcPr>
          <w:p>
            <w:pPr>
              <w:jc w:val="left"/>
            </w:pPr>
            <w:r>
              <w:rPr>
                <w:b w:val="false"/>
                <w:bCs w:val="false"/>
              </w:rPr>
              <w:t xml:space="preserve">Auth — Super Admin</w:t>
            </w:r>
          </w:p>
        </w:tc>
        <w:tc>
          <w:tcPr>
            <w:tcW w:type="dxa" w:w="5800"/>
            <w:shd w:fill="F2F2F2" w:val="clear"/>
            <w:tcMar>
              <w:top w:type="dxa" w:w="80"/>
              <w:left w:type="dxa" w:w="100"/>
              <w:bottom w:type="dxa" w:w="80"/>
              <w:right w:type="dxa" w:w="100"/>
            </w:tcMar>
          </w:tcPr>
          <w:p>
            <w:pPr>
              <w:jc w:val="left"/>
            </w:pPr>
            <w:r>
              <w:rPr>
                <w:b w:val="false"/>
                <w:bCs w:val="false"/>
              </w:rPr>
              <w:t xml:space="preserve">Auth0 (OAuth 2.0, TOTP/MFA) — login + credential recovery only (BR-04, BR-20)</w:t>
            </w:r>
          </w:p>
        </w:tc>
      </w:tr>
      <w:tr>
        <w:tc>
          <w:tcPr>
            <w:tcW w:type="dxa" w:w="3200"/>
            <w:tcMar>
              <w:top w:type="dxa" w:w="80"/>
              <w:left w:type="dxa" w:w="100"/>
              <w:bottom w:type="dxa" w:w="80"/>
              <w:right w:type="dxa" w:w="100"/>
            </w:tcMar>
          </w:tcPr>
          <w:p>
            <w:pPr>
              <w:jc w:val="left"/>
            </w:pPr>
            <w:r>
              <w:rPr>
                <w:b w:val="false"/>
                <w:bCs w:val="false"/>
              </w:rPr>
              <w:t xml:space="preserve">Auth — all other users</w:t>
            </w:r>
          </w:p>
        </w:tc>
        <w:tc>
          <w:tcPr>
            <w:tcW w:type="dxa" w:w="5800"/>
            <w:tcMar>
              <w:top w:type="dxa" w:w="80"/>
              <w:left w:type="dxa" w:w="100"/>
              <w:bottom w:type="dxa" w:w="80"/>
              <w:right w:type="dxa" w:w="100"/>
            </w:tcMar>
          </w:tcPr>
          <w:p>
            <w:pPr>
              <w:jc w:val="left"/>
            </w:pPr>
            <w:r>
              <w:rPr>
                <w:b w:val="false"/>
                <w:bCs w:val="false"/>
              </w:rPr>
              <w:t xml:space="preserve">Custom mobile number + OTP + 4-digit mPIN flow (BR-02)</w:t>
            </w:r>
          </w:p>
        </w:tc>
      </w:tr>
      <w:tr>
        <w:tc>
          <w:tcPr>
            <w:tcW w:type="dxa" w:w="3200"/>
            <w:shd w:fill="F2F2F2" w:val="clear"/>
            <w:tcMar>
              <w:top w:type="dxa" w:w="80"/>
              <w:left w:type="dxa" w:w="100"/>
              <w:bottom w:type="dxa" w:w="80"/>
              <w:right w:type="dxa" w:w="100"/>
            </w:tcMar>
          </w:tcPr>
          <w:p>
            <w:pPr>
              <w:jc w:val="left"/>
            </w:pPr>
            <w:r>
              <w:rPr>
                <w:b w:val="false"/>
                <w:bCs w:val="false"/>
              </w:rPr>
              <w:t xml:space="preserve">SMS OTP provider</w:t>
            </w:r>
          </w:p>
        </w:tc>
        <w:tc>
          <w:tcPr>
            <w:tcW w:type="dxa" w:w="5800"/>
            <w:shd w:fill="F2F2F2" w:val="clear"/>
            <w:tcMar>
              <w:top w:type="dxa" w:w="80"/>
              <w:left w:type="dxa" w:w="100"/>
              <w:bottom w:type="dxa" w:w="80"/>
              <w:right w:type="dxa" w:w="100"/>
            </w:tcMar>
          </w:tcPr>
          <w:p>
            <w:pPr>
              <w:jc w:val="left"/>
            </w:pPr>
            <w:r>
              <w:rPr>
                <w:b w:val="false"/>
                <w:bCs w:val="false"/>
              </w:rPr>
              <w:t xml:space="preserve">TBD — candidates: MSG91, Twilio, Fast2SMS, Textlocal</w:t>
            </w:r>
          </w:p>
        </w:tc>
      </w:tr>
      <w:tr>
        <w:tc>
          <w:tcPr>
            <w:tcW w:type="dxa" w:w="3200"/>
            <w:tcMar>
              <w:top w:type="dxa" w:w="80"/>
              <w:left w:type="dxa" w:w="100"/>
              <w:bottom w:type="dxa" w:w="80"/>
              <w:right w:type="dxa" w:w="100"/>
            </w:tcMar>
          </w:tcPr>
          <w:p>
            <w:pPr>
              <w:jc w:val="left"/>
            </w:pPr>
            <w:r>
              <w:rPr>
                <w:b w:val="false"/>
                <w:bCs w:val="false"/>
              </w:rPr>
              <w:t xml:space="preserve">Payments / Escrow (Indian PG)</w:t>
            </w:r>
          </w:p>
        </w:tc>
        <w:tc>
          <w:tcPr>
            <w:tcW w:type="dxa" w:w="5800"/>
            <w:tcMar>
              <w:top w:type="dxa" w:w="80"/>
              <w:left w:type="dxa" w:w="100"/>
              <w:bottom w:type="dxa" w:w="80"/>
              <w:right w:type="dxa" w:w="100"/>
            </w:tcMar>
          </w:tcPr>
          <w:p>
            <w:pPr>
              <w:jc w:val="left"/>
            </w:pPr>
            <w:r>
              <w:rPr>
                <w:b w:val="false"/>
                <w:bCs w:val="false"/>
              </w:rPr>
              <w:t>SabPaisa (existing commercial relationship) — RBI-authorised Payment Aggregator, STQC/PCI-DSS-L1/ISO-27001 certified, B2B Virtual Account Number collection, Payouts API. Selected as default PG.</w:t>
            </w:r>
          </w:p>
        </w:tc>
      </w:tr>
      <w:tr>
        <w:tc>
          <w:tcPr>
            <w:tcW w:type="dxa" w:w="3200"/>
            <w:shd w:fill="F2F2F2" w:val="clear"/>
            <w:tcMar>
              <w:top w:type="dxa" w:w="80"/>
              <w:left w:type="dxa" w:w="100"/>
              <w:bottom w:type="dxa" w:w="80"/>
              <w:right w:type="dxa" w:w="100"/>
            </w:tcMar>
          </w:tcPr>
          <w:p>
            <w:pPr>
              <w:jc w:val="left"/>
            </w:pPr>
            <w:r>
              <w:rPr>
                <w:b w:val="false"/>
                <w:bCs w:val="false"/>
              </w:rPr>
              <w:t xml:space="preserve">Bank verification / penny-drop</w:t>
            </w:r>
          </w:p>
        </w:tc>
        <w:tc>
          <w:tcPr>
            <w:tcW w:type="dxa" w:w="5800"/>
            <w:shd w:fill="F2F2F2" w:val="clear"/>
            <w:tcMar>
              <w:top w:type="dxa" w:w="80"/>
              <w:left w:type="dxa" w:w="100"/>
              <w:bottom w:type="dxa" w:w="80"/>
              <w:right w:type="dxa" w:w="100"/>
            </w:tcMar>
          </w:tcPr>
          <w:p>
            <w:pPr>
              <w:jc w:val="left"/>
            </w:pPr>
            <w:r>
              <w:rPr>
                <w:b w:val="false"/>
                <w:bCs w:val="false"/>
              </w:rPr>
              <w:t xml:space="preserve">TBD — candidates: Signzy, Digio, Setu, IDfy</w:t>
            </w:r>
          </w:p>
        </w:tc>
      </w:tr>
      <w:tr>
        <w:tc>
          <w:tcPr>
            <w:tcW w:type="dxa" w:w="3200"/>
            <w:tcMar>
              <w:top w:type="dxa" w:w="80"/>
              <w:left w:type="dxa" w:w="100"/>
              <w:bottom w:type="dxa" w:w="80"/>
              <w:right w:type="dxa" w:w="100"/>
            </w:tcMar>
          </w:tcPr>
          <w:p>
            <w:pPr>
              <w:jc w:val="left"/>
            </w:pPr>
            <w:r>
              <w:rPr>
                <w:b w:val="false"/>
                <w:bCs w:val="false"/>
              </w:rPr>
              <w:t xml:space="preserve">KYC verification</w:t>
            </w:r>
          </w:p>
        </w:tc>
        <w:tc>
          <w:tcPr>
            <w:tcW w:type="dxa" w:w="5800"/>
            <w:tcMar>
              <w:top w:type="dxa" w:w="80"/>
              <w:left w:type="dxa" w:w="100"/>
              <w:bottom w:type="dxa" w:w="80"/>
              <w:right w:type="dxa" w:w="100"/>
            </w:tcMar>
          </w:tcPr>
          <w:p>
            <w:pPr>
              <w:jc w:val="left"/>
            </w:pPr>
            <w:r>
              <w:rPr>
                <w:b w:val="false"/>
                <w:bCs w:val="false"/>
              </w:rPr>
              <w:t xml:space="preserve">Manual — Tenant Admin / Super Admin review, no automated vendor</w:t>
            </w:r>
          </w:p>
        </w:tc>
      </w:tr>
      <w:tr>
        <w:tc>
          <w:tcPr>
            <w:tcW w:type="dxa" w:w="3200"/>
            <w:shd w:fill="F2F2F2" w:val="clear"/>
            <w:tcMar>
              <w:top w:type="dxa" w:w="80"/>
              <w:left w:type="dxa" w:w="100"/>
              <w:bottom w:type="dxa" w:w="80"/>
              <w:right w:type="dxa" w:w="100"/>
            </w:tcMar>
          </w:tcPr>
          <w:p>
            <w:pPr>
              <w:jc w:val="left"/>
            </w:pPr>
            <w:r>
              <w:rPr>
                <w:b w:val="false"/>
                <w:bCs w:val="false"/>
              </w:rPr>
              <w:t xml:space="preserve">AI listing pre-audit</w:t>
            </w:r>
          </w:p>
        </w:tc>
        <w:tc>
          <w:tcPr>
            <w:tcW w:type="dxa" w:w="5800"/>
            <w:shd w:fill="F2F2F2" w:val="clear"/>
            <w:tcMar>
              <w:top w:type="dxa" w:w="80"/>
              <w:left w:type="dxa" w:w="100"/>
              <w:bottom w:type="dxa" w:w="80"/>
              <w:right w:type="dxa" w:w="100"/>
            </w:tcMar>
          </w:tcPr>
          <w:p>
            <w:pPr>
              <w:jc w:val="left"/>
            </w:pPr>
            <w:r>
              <w:rPr>
                <w:b w:val="false"/>
                <w:bCs w:val="false"/>
              </w:rPr>
              <w:t xml:space="preserve">Gemini API (direct, server-side) — BR-46</w:t>
            </w:r>
          </w:p>
        </w:tc>
      </w:tr>
      <w:tr>
        <w:tc>
          <w:tcPr>
            <w:tcW w:type="dxa" w:w="3200"/>
            <w:tcMar>
              <w:top w:type="dxa" w:w="80"/>
              <w:left w:type="dxa" w:w="100"/>
              <w:bottom w:type="dxa" w:w="80"/>
              <w:right w:type="dxa" w:w="100"/>
            </w:tcMar>
          </w:tcPr>
          <w:p>
            <w:pPr>
              <w:jc w:val="left"/>
            </w:pPr>
            <w:r>
              <w:rPr>
                <w:b w:val="false"/>
                <w:bCs w:val="false"/>
              </w:rPr>
              <w:t xml:space="preserve">Push/alert delivery</w:t>
            </w:r>
          </w:p>
        </w:tc>
        <w:tc>
          <w:tcPr>
            <w:tcW w:type="dxa" w:w="5800"/>
            <w:tcMar>
              <w:top w:type="dxa" w:w="80"/>
              <w:left w:type="dxa" w:w="100"/>
              <w:bottom w:type="dxa" w:w="80"/>
              <w:right w:type="dxa" w:w="100"/>
            </w:tcMar>
          </w:tcPr>
          <w:p>
            <w:pPr>
              <w:jc w:val="left"/>
            </w:pPr>
            <w:r>
              <w:rPr>
                <w:b w:val="false"/>
                <w:bCs w:val="false"/>
              </w:rPr>
              <w:t xml:space="preserve">SMS + Web Push (dual channel)</w:t>
            </w:r>
          </w:p>
        </w:tc>
      </w:tr>
      <w:tr>
        <w:tc>
          <w:tcPr>
            <w:tcW w:type="dxa" w:w="3200"/>
            <w:shd w:fill="F2F2F2" w:val="clear"/>
            <w:tcMar>
              <w:top w:type="dxa" w:w="80"/>
              <w:left w:type="dxa" w:w="100"/>
              <w:bottom w:type="dxa" w:w="80"/>
              <w:right w:type="dxa" w:w="100"/>
            </w:tcMar>
          </w:tcPr>
          <w:p>
            <w:pPr>
              <w:jc w:val="left"/>
            </w:pPr>
            <w:r>
              <w:rPr>
                <w:b w:val="false"/>
                <w:bCs w:val="false"/>
              </w:rPr>
              <w:t xml:space="preserve">Email service</w:t>
            </w:r>
          </w:p>
        </w:tc>
        <w:tc>
          <w:tcPr>
            <w:tcW w:type="dxa" w:w="5800"/>
            <w:shd w:fill="F2F2F2" w:val="clear"/>
            <w:tcMar>
              <w:top w:type="dxa" w:w="80"/>
              <w:left w:type="dxa" w:w="100"/>
              <w:bottom w:type="dxa" w:w="80"/>
              <w:right w:type="dxa" w:w="100"/>
            </w:tcMar>
          </w:tcPr>
          <w:p>
            <w:pPr>
              <w:jc w:val="left"/>
            </w:pPr>
            <w:r>
              <w:rPr>
                <w:b w:val="false"/>
                <w:bCs w:val="false"/>
              </w:rPr>
              <w:t xml:space="preserve">TBD — candidates: SendGrid, Resend, AWS SES</w:t>
            </w:r>
          </w:p>
        </w:tc>
      </w:tr>
      <w:tr>
        <w:tc>
          <w:tcPr>
            <w:tcW w:type="dxa" w:w="3200"/>
            <w:tcMar>
              <w:top w:type="dxa" w:w="80"/>
              <w:left w:type="dxa" w:w="100"/>
              <w:bottom w:type="dxa" w:w="80"/>
              <w:right w:type="dxa" w:w="100"/>
            </w:tcMar>
          </w:tcPr>
          <w:p>
            <w:pPr>
              <w:jc w:val="left"/>
            </w:pPr>
            <w:r>
              <w:rPr>
                <w:b w:val="false"/>
                <w:bCs w:val="false"/>
              </w:rPr>
              <w:t xml:space="preserve">Error monitoring</w:t>
            </w:r>
          </w:p>
        </w:tc>
        <w:tc>
          <w:tcPr>
            <w:tcW w:type="dxa" w:w="5800"/>
            <w:tcMar>
              <w:top w:type="dxa" w:w="80"/>
              <w:left w:type="dxa" w:w="100"/>
              <w:bottom w:type="dxa" w:w="80"/>
              <w:right w:type="dxa" w:w="100"/>
            </w:tcMar>
          </w:tcPr>
          <w:p>
            <w:pPr>
              <w:jc w:val="left"/>
            </w:pPr>
            <w:r>
              <w:rPr>
                <w:b w:val="false"/>
                <w:bCs w:val="false"/>
              </w:rPr>
              <w:t xml:space="preserve">Sentry</w:t>
            </w:r>
          </w:p>
        </w:tc>
      </w:tr>
      <w:tr>
        <w:tc>
          <w:tcPr>
            <w:tcW w:type="dxa" w:w="3200"/>
            <w:shd w:fill="F2F2F2" w:val="clear"/>
            <w:tcMar>
              <w:top w:type="dxa" w:w="80"/>
              <w:left w:type="dxa" w:w="100"/>
              <w:bottom w:type="dxa" w:w="80"/>
              <w:right w:type="dxa" w:w="100"/>
            </w:tcMar>
          </w:tcPr>
          <w:p>
            <w:pPr>
              <w:jc w:val="left"/>
            </w:pPr>
            <w:r>
              <w:rPr>
                <w:b w:val="false"/>
                <w:bCs w:val="false"/>
              </w:rPr>
              <w:t xml:space="preserve">Secrets management</w:t>
            </w:r>
          </w:p>
        </w:tc>
        <w:tc>
          <w:tcPr>
            <w:tcW w:type="dxa" w:w="5800"/>
            <w:shd w:fill="F2F2F2" w:val="clear"/>
            <w:tcMar>
              <w:top w:type="dxa" w:w="80"/>
              <w:left w:type="dxa" w:w="100"/>
              <w:bottom w:type="dxa" w:w="80"/>
              <w:right w:type="dxa" w:w="100"/>
            </w:tcMar>
          </w:tcPr>
          <w:p>
            <w:pPr>
              <w:jc w:val="left"/>
            </w:pPr>
            <w:r>
              <w:rPr>
                <w:b w:val="false"/>
                <w:bCs w:val="false"/>
              </w:rPr>
              <w:t xml:space="preserve">Google Secret Manager</w:t>
            </w:r>
          </w:p>
        </w:tc>
      </w:tr>
      <w:tr>
        <w:tc>
          <w:tcPr>
            <w:tcW w:type="dxa" w:w="3200"/>
            <w:tcMar>
              <w:top w:type="dxa" w:w="80"/>
              <w:left w:type="dxa" w:w="100"/>
              <w:bottom w:type="dxa" w:w="80"/>
              <w:right w:type="dxa" w:w="100"/>
            </w:tcMar>
          </w:tcPr>
          <w:p>
            <w:pPr>
              <w:jc w:val="left"/>
            </w:pPr>
            <w:r>
              <w:rPr>
                <w:b w:val="false"/>
                <w:bCs w:val="false"/>
              </w:rPr>
              <w:t xml:space="preserve">CI/CD</w:t>
            </w:r>
          </w:p>
        </w:tc>
        <w:tc>
          <w:tcPr>
            <w:tcW w:type="dxa" w:w="5800"/>
            <w:tcMar>
              <w:top w:type="dxa" w:w="80"/>
              <w:left w:type="dxa" w:w="100"/>
              <w:bottom w:type="dxa" w:w="80"/>
              <w:right w:type="dxa" w:w="100"/>
            </w:tcMar>
          </w:tcPr>
          <w:p>
            <w:pPr>
              <w:jc w:val="left"/>
            </w:pPr>
            <w:r>
              <w:rPr>
                <w:b w:val="false"/>
                <w:bCs w:val="false"/>
              </w:rPr>
              <w:t xml:space="preserve">GitHub Actions to Cloud Build to Cloud Run</w:t>
            </w:r>
          </w:p>
        </w:tc>
      </w:tr>
      <w:tr>
        <w:tc>
          <w:tcPr>
            <w:tcW w:type="dxa" w:w="3200"/>
            <w:shd w:fill="F2F2F2" w:val="clear"/>
            <w:tcMar>
              <w:top w:type="dxa" w:w="80"/>
              <w:left w:type="dxa" w:w="100"/>
              <w:bottom w:type="dxa" w:w="80"/>
              <w:right w:type="dxa" w:w="100"/>
            </w:tcMar>
          </w:tcPr>
          <w:p>
            <w:pPr>
              <w:jc w:val="left"/>
            </w:pPr>
            <w:r>
              <w:rPr>
                <w:b w:val="false"/>
                <w:bCs w:val="false"/>
              </w:rPr>
              <w:t xml:space="preserve">Deployment</w:t>
            </w:r>
          </w:p>
        </w:tc>
        <w:tc>
          <w:tcPr>
            <w:tcW w:type="dxa" w:w="5800"/>
            <w:shd w:fill="F2F2F2" w:val="clear"/>
            <w:tcMar>
              <w:top w:type="dxa" w:w="80"/>
              <w:left w:type="dxa" w:w="100"/>
              <w:bottom w:type="dxa" w:w="80"/>
              <w:right w:type="dxa" w:w="100"/>
            </w:tcMar>
          </w:tcPr>
          <w:p>
            <w:pPr>
              <w:jc w:val="left"/>
            </w:pPr>
            <w:r>
              <w:rPr>
                <w:b w:val="false"/>
                <w:bCs w:val="false"/>
              </w:rPr>
              <w:t xml:space="preserve">Docker containers on Google Cloud Run</w:t>
            </w:r>
          </w:p>
        </w:tc>
      </w:tr>
      <w:tr>
        <w:tc>
          <w:tcPr>
            <w:tcW w:type="dxa" w:w="3200"/>
            <w:tcMar>
              <w:top w:type="dxa" w:w="80"/>
              <w:left w:type="dxa" w:w="100"/>
              <w:bottom w:type="dxa" w:w="80"/>
              <w:right w:type="dxa" w:w="100"/>
            </w:tcMar>
          </w:tcPr>
          <w:p>
            <w:pPr>
              <w:jc w:val="left"/>
            </w:pPr>
            <w:r>
              <w:rPr>
                <w:b w:val="false"/>
                <w:bCs w:val="false"/>
              </w:rPr>
              <w:t xml:space="preserve">CDN</w:t>
            </w:r>
          </w:p>
        </w:tc>
        <w:tc>
          <w:tcPr>
            <w:tcW w:type="dxa" w:w="5800"/>
            <w:tcMar>
              <w:top w:type="dxa" w:w="80"/>
              <w:left w:type="dxa" w:w="100"/>
              <w:bottom w:type="dxa" w:w="80"/>
              <w:right w:type="dxa" w:w="100"/>
            </w:tcMar>
          </w:tcPr>
          <w:p>
            <w:pPr>
              <w:jc w:val="left"/>
            </w:pPr>
            <w:r>
              <w:rPr>
                <w:b w:val="false"/>
                <w:bCs w:val="false"/>
              </w:rPr>
              <w:t xml:space="preserve">Cloudflare</w:t>
            </w:r>
          </w:p>
        </w:tc>
      </w:tr>
      <w:tr>
        <w:tc>
          <w:tcPr>
            <w:tcW w:type="dxa" w:w="3200"/>
            <w:shd w:fill="F2F2F2" w:val="clear"/>
            <w:tcMar>
              <w:top w:type="dxa" w:w="80"/>
              <w:left w:type="dxa" w:w="100"/>
              <w:bottom w:type="dxa" w:w="80"/>
              <w:right w:type="dxa" w:w="100"/>
            </w:tcMar>
          </w:tcPr>
          <w:p>
            <w:pPr>
              <w:jc w:val="left"/>
            </w:pPr>
            <w:r>
              <w:rPr>
                <w:b w:val="false"/>
                <w:bCs w:val="false"/>
              </w:rPr>
              <w:t xml:space="preserve">Cold storage / audit archive</w:t>
            </w:r>
          </w:p>
        </w:tc>
        <w:tc>
          <w:tcPr>
            <w:tcW w:type="dxa" w:w="5800"/>
            <w:shd w:fill="F2F2F2" w:val="clear"/>
            <w:tcMar>
              <w:top w:type="dxa" w:w="80"/>
              <w:left w:type="dxa" w:w="100"/>
              <w:bottom w:type="dxa" w:w="80"/>
              <w:right w:type="dxa" w:w="100"/>
            </w:tcMar>
          </w:tcPr>
          <w:p>
            <w:pPr>
              <w:jc w:val="left"/>
            </w:pPr>
            <w:r>
              <w:rPr>
                <w:b w:val="false"/>
                <w:bCs w:val="false"/>
              </w:rPr>
              <w:t xml:space="preserve">Google Cloud Storage, 5-year lifecycle policy (BR-05)</w:t>
            </w:r>
          </w:p>
        </w:tc>
      </w:tr>
    </w:tbl>
    <w:p>
      <w:pPr>
        <w:pStyle w:val="Heading2"/>
        <w:spacing w:after="120" w:before="260"/>
      </w:pPr>
      <w:r>
        <w:t xml:space="preserve">4.2 Real-Time Bidding Engine</w:t>
      </w:r>
    </w:p>
    <w:p>
      <w:pPr>
        <w:pStyle w:val="ListParagraph"/>
        <w:numPr>
          <w:ilvl w:val="0"/>
          <w:numId w:val="3"/>
        </w:numPr>
        <w:spacing w:after="60"/>
      </w:pPr>
      <w:r>
        <w:t xml:space="preserve">Node.js (Express) + WebSockets/Socket.io handles high-concurrency real-time bid broadcasts for every live auction (Easy, Express) and the Live Ticker (BR-48).</w:t>
      </w:r>
    </w:p>
    <w:p>
      <w:pPr>
        <w:pStyle w:val="ListParagraph"/>
        <w:numPr>
          <w:ilvl w:val="0"/>
          <w:numId w:val="3"/>
        </w:numPr>
        <w:spacing w:after="60"/>
      </w:pPr>
      <w:r>
        <w:t xml:space="preserve">Redis holds live bidding-room state — current high bid, leading-bidder reference, anti-sniping countdown clock — so high-frequency read/write during an auction's final seconds never touches the relational database directly.</w:t>
      </w:r>
    </w:p>
    <w:p>
      <w:pPr>
        <w:pStyle w:val="ListParagraph"/>
        <w:numPr>
          <w:ilvl w:val="0"/>
          <w:numId w:val="3"/>
        </w:numPr>
        <w:spacing w:after="60"/>
      </w:pPr>
      <w:r>
        <w:t xml:space="preserve">Anti-sniping is implemented as a database-lock pattern: lock the auction record, validate the incoming bid against the current price plus increment, record it to PostgreSQL, extend the close time if the bid landed inside the trigger window, and broadcast the new state to every subscribed client immediately.</w:t>
      </w:r>
    </w:p>
    <w:p>
      <w:pPr>
        <w:pStyle w:val="Heading2"/>
        <w:spacing w:after="120" w:before="260"/>
      </w:pPr>
      <w:r>
        <w:t xml:space="preserve">4.3 Data Storage &amp; Persistence</w:t>
      </w:r>
    </w:p>
    <w:p>
      <w:pPr>
        <w:pStyle w:val="ListParagraph"/>
        <w:numPr>
          <w:ilvl w:val="0"/>
          <w:numId w:val="3"/>
        </w:numPr>
        <w:spacing w:after="60"/>
      </w:pPr>
      <w:r>
        <w:t xml:space="preserve">PostgreSQL only — chosen over document-store alternatives specifically because every financial event (EMD pledge, forfeiture, commission split, refund) requires strict ACID transactions.</w:t>
      </w:r>
    </w:p>
    <w:p>
      <w:pPr>
        <w:pStyle w:val="ListParagraph"/>
        <w:numPr>
          <w:ilvl w:val="0"/>
          <w:numId w:val="3"/>
        </w:numPr>
        <w:spacing w:after="60"/>
      </w:pPr>
      <w:r>
        <w:t xml:space="preserve">The database enforces the same Listing-vs-Sale-Event architectural split as BR-10 — a Listing and a Sale Event are separate entities, with each Sale Event carrying its own immutable reference number.</w:t>
      </w:r>
    </w:p>
    <w:p>
      <w:pPr>
        <w:pStyle w:val="ListParagraph"/>
        <w:numPr>
          <w:ilvl w:val="0"/>
          <w:numId w:val="3"/>
        </w:numPr>
        <w:spacing w:after="60"/>
      </w:pPr>
      <w:r>
        <w:t xml:space="preserve">A dedicated, insert-only audit_log table, separate from transactional tables, captures every state change with microsecond-accurate UTC timestamps, per BR-05.</w:t>
      </w:r>
    </w:p>
    <w:p>
      <w:pPr>
        <w:pStyle w:val="Heading2"/>
        <w:spacing w:after="120" w:before="260"/>
      </w:pPr>
      <w:r>
        <w:t xml:space="preserve">4.4 Authentication &amp; Identity</w:t>
      </w:r>
    </w:p>
    <w:p>
      <w:pPr>
        <w:pStyle w:val="ListParagraph"/>
        <w:numPr>
          <w:ilvl w:val="0"/>
          <w:numId w:val="3"/>
        </w:numPr>
        <w:spacing w:after="60"/>
      </w:pPr>
      <w:r>
        <w:t xml:space="preserve">Super Admin: Auth0 (OAuth 2.0) with TOTP/MFA enabled, compatible with Google Authenticator and Microsoft Authenticator apps — used only for login and credential recovery, isolated from the standard user flow (BR-04, BR-20).</w:t>
      </w:r>
    </w:p>
    <w:p>
      <w:pPr>
        <w:pStyle w:val="ListParagraph"/>
        <w:numPr>
          <w:ilvl w:val="0"/>
          <w:numId w:val="3"/>
        </w:numPr>
        <w:spacing w:after="60"/>
      </w:pPr>
      <w:r>
        <w:t xml:space="preserve">All other users: a custom-built mobile number + OTP + 4-digit mPIN flow, not routed through any third-party identity platform, since this underpins the platform's "one identity = one verified mobile number" principle that the global rating and KYC model depends on (BR-02).</w:t>
      </w:r>
    </w:p>
    <w:p>
      <w:pPr>
        <w:pStyle w:val="Heading2"/>
        <w:spacing w:after="120" w:before="260"/>
      </w:pPr>
      <w:r>
        <w:t xml:space="preserve">4.5 Payments, Escrow &amp; Bank Verification</w:t>
      </w:r>
    </w:p>
    <w:p>
      <w:pPr>
        <w:spacing w:after="120"/>
      </w:pPr>
      <w:r>
        <w:t>Built around the segregated, per-pledge escrow model in BR-25/BR-26 — no pooled wallet balance anywhere in the system. SabPaisa is the selected Payment Gateway / Payment Aggregator (existing commercial relationship), providing RBI-mandated escrow account structure, B2B Virtual Account Number (VAN) collection for per-pledge segregation, UPI/QR and bank-transfer collection, and a Payouts API for refunds and forfeiture settlements. Card-based EMD collection, where offered, is treated as the secondary option to VAN/UPI, given its comparatively higher cost and chargeback exposure.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00"/>
              <w:bottom w:type="dxa" w:w="80"/>
              <w:right w:type="dxa" w:w="100"/>
            </w:tcMar>
          </w:tcPr>
          <w:p>
            <w:pPr>
              <w:jc w:val="left"/>
            </w:pPr>
            <w:r>
              <w:rPr>
                <w:b/>
                <w:bCs/>
              </w:rPr>
              <w:t xml:space="preserve">Sale Format</w:t>
            </w:r>
          </w:p>
        </w:tc>
        <w:tc>
          <w:tcPr>
            <w:tcW w:type="dxa" w:w="6800"/>
            <w:shd w:fill="1B2A4A" w:val="clear"/>
            <w:tcMar>
              <w:top w:type="dxa" w:w="80"/>
              <w:left w:type="dxa" w:w="100"/>
              <w:bottom w:type="dxa" w:w="80"/>
              <w:right w:type="dxa" w:w="100"/>
            </w:tcMar>
          </w:tcPr>
          <w:p>
            <w:pPr>
              <w:jc w:val="left"/>
            </w:pPr>
            <w:r>
              <w:rPr>
                <w:b/>
                <w:bCs/>
              </w:rPr>
              <w:t xml:space="preserve">EMD Routing</w:t>
            </w:r>
          </w:p>
        </w:tc>
      </w:tr>
      <w:tr>
        <w:tc>
          <w:tcPr>
            <w:tcW w:type="dxa" w:w="2200"/>
            <w:tcMar>
              <w:top w:type="dxa" w:w="80"/>
              <w:left w:type="dxa" w:w="100"/>
              <w:bottom w:type="dxa" w:w="80"/>
              <w:right w:type="dxa" w:w="100"/>
            </w:tcMar>
          </w:tcPr>
          <w:p>
            <w:pPr>
              <w:jc w:val="left"/>
            </w:pPr>
            <w:r>
              <w:rPr>
                <w:b w:val="false"/>
                <w:bCs w:val="false"/>
              </w:rPr>
              <w:t xml:space="preserve">Tender</w:t>
            </w:r>
          </w:p>
        </w:tc>
        <w:tc>
          <w:tcPr>
            <w:tcW w:type="dxa" w:w="6800"/>
            <w:tcMar>
              <w:top w:type="dxa" w:w="80"/>
              <w:left w:type="dxa" w:w="100"/>
              <w:bottom w:type="dxa" w:w="80"/>
              <w:right w:type="dxa" w:w="100"/>
            </w:tcMar>
          </w:tcPr>
          <w:p>
            <w:pPr>
              <w:jc w:val="left"/>
            </w:pPr>
            <w:r>
              <w:rPr>
                <w:b w:val="false"/>
                <w:bCs w:val="false"/>
              </w:rPr>
              <w:t xml:space="preserve">Manual offline bank transfer into the platform's corporate escrow account. No gateway. Refunds processed manually.</w:t>
            </w:r>
          </w:p>
        </w:tc>
      </w:tr>
      <w:tr>
        <w:tc>
          <w:tcPr>
            <w:tcW w:type="dxa" w:w="2200"/>
            <w:shd w:fill="F2F2F2" w:val="clear"/>
            <w:tcMar>
              <w:top w:type="dxa" w:w="80"/>
              <w:left w:type="dxa" w:w="100"/>
              <w:bottom w:type="dxa" w:w="80"/>
              <w:right w:type="dxa" w:w="100"/>
            </w:tcMar>
          </w:tcPr>
          <w:p>
            <w:pPr>
              <w:jc w:val="left"/>
            </w:pPr>
            <w:r>
              <w:rPr>
                <w:b w:val="false"/>
                <w:bCs w:val="false"/>
              </w:rPr>
              <w:t xml:space="preserve">Express &amp; Buy-Now</w:t>
            </w:r>
          </w:p>
        </w:tc>
        <w:tc>
          <w:tcPr>
            <w:tcW w:type="dxa" w:w="6800"/>
            <w:shd w:fill="F2F2F2" w:val="clear"/>
            <w:tcMar>
              <w:top w:type="dxa" w:w="80"/>
              <w:left w:type="dxa" w:w="100"/>
              <w:bottom w:type="dxa" w:w="80"/>
              <w:right w:type="dxa" w:w="100"/>
            </w:tcMar>
          </w:tcPr>
          <w:p>
            <w:pPr>
              <w:jc w:val="left"/>
            </w:pPr>
            <w:r>
              <w:rPr>
                <w:b w:val="false"/>
                <w:bCs w:val="false"/>
              </w:rPr>
              <w:t xml:space="preserve">Buyer's choice: Virtual Account Number (VAN) instant transfer, or Credit Card authorization hold.</w:t>
            </w:r>
          </w:p>
        </w:tc>
      </w:tr>
      <w:tr>
        <w:tc>
          <w:tcPr>
            <w:tcW w:type="dxa" w:w="2200"/>
            <w:tcMar>
              <w:top w:type="dxa" w:w="80"/>
              <w:left w:type="dxa" w:w="100"/>
              <w:bottom w:type="dxa" w:w="80"/>
              <w:right w:type="dxa" w:w="100"/>
            </w:tcMar>
          </w:tcPr>
          <w:p>
            <w:pPr>
              <w:jc w:val="left"/>
            </w:pPr>
            <w:r>
              <w:rPr>
                <w:b w:val="false"/>
                <w:bCs w:val="false"/>
              </w:rPr>
              <w:t xml:space="preserve">Easy</w:t>
            </w:r>
          </w:p>
        </w:tc>
        <w:tc>
          <w:tcPr>
            <w:tcW w:type="dxa" w:w="6800"/>
            <w:tcMar>
              <w:top w:type="dxa" w:w="80"/>
              <w:left w:type="dxa" w:w="100"/>
              <w:bottom w:type="dxa" w:w="80"/>
              <w:right w:type="dxa" w:w="100"/>
            </w:tcMar>
          </w:tcPr>
          <w:p>
            <w:pPr>
              <w:jc w:val="left"/>
            </w:pPr>
            <w:r>
              <w:rPr>
                <w:b w:val="false"/>
                <w:bCs w:val="false"/>
              </w:rPr>
              <w:t xml:space="preserve">VAN only. Credit card authorization is barred, to avoid chargeback exposure on high-velocity liquidations.</w:t>
            </w:r>
          </w:p>
        </w:tc>
      </w:tr>
    </w:tbl>
    <w:p>
      <w:pPr>
        <w:pStyle w:val="Heading2"/>
        <w:spacing w:after="120" w:before="260"/>
      </w:pPr>
      <w:r>
        <w:t xml:space="preserve">4.6 Audit Trail &amp; Long-Term Retention</w:t>
      </w:r>
    </w:p>
    <w:p>
      <w:pPr>
        <w:pStyle w:val="ListParagraph"/>
        <w:numPr>
          <w:ilvl w:val="0"/>
          <w:numId w:val="3"/>
        </w:numPr>
        <w:spacing w:after="60"/>
      </w:pPr>
      <w:r>
        <w:t xml:space="preserve">Hot tier: the append-only PostgreSQL audit_log table, holding all events under 1 year old.</w:t>
      </w:r>
    </w:p>
    <w:p>
      <w:pPr>
        <w:pStyle w:val="ListParagraph"/>
        <w:numPr>
          <w:ilvl w:val="0"/>
          <w:numId w:val="3"/>
        </w:numPr>
        <w:spacing w:after="60"/>
      </w:pPr>
      <w:r>
        <w:t xml:space="preserve">Cold tier: a scheduled monthly job Gzip-compresses and encrypts records older than 1 year and writes them to a dedicated Google Cloud Storage bucket with a 5-year lifecycle policy.</w:t>
      </w:r>
    </w:p>
    <w:p>
      <w:pPr>
        <w:pStyle w:val="ListParagraph"/>
        <w:numPr>
          <w:ilvl w:val="0"/>
          <w:numId w:val="3"/>
        </w:numPr>
        <w:spacing w:after="60"/>
      </w:pPr>
      <w:r>
        <w:t xml:space="preserve">A unified Log Reader service queries both tiers and merges results on one timeline, exposed exclusively to the Super Admin's audit console (BR-05).</w:t>
      </w:r>
    </w:p>
    <w:p>
      <w:pPr>
        <w:pStyle w:val="ListParagraph"/>
        <w:numPr>
          <w:ilvl w:val="0"/>
          <w:numId w:val="3"/>
        </w:numPr>
        <w:spacing w:after="60"/>
      </w:pPr>
      <w:r>
        <w:rPr>
          <w:b/>
          <w:bCs/>
        </w:rPr>
        <w:t xml:space="preserve">Tamper-evidence: </w:t>
      </w:r>
      <w:r>
        <w:t xml:space="preserve">the audit_log table is write-only at the application layer — no update or delete grant exists for any application role, including Super Admin's own operational database credentials. Each audit record includes a cryptographic hash chained to the previous record's hash, so any retroactive tampering — including by someone with raw database access — is detectable.</w:t>
      </w:r>
    </w:p>
    <w:p>
      <w:pPr>
        <w:pStyle w:val="ListParagraph"/>
        <w:numPr>
          <w:ilvl w:val="0"/>
          <w:numId w:val="3"/>
        </w:numPr>
        <w:spacing w:after="60"/>
      </w:pPr>
      <w:r>
        <w:rPr>
          <w:b/>
          <w:bCs/>
        </w:rPr>
        <w:t xml:space="preserve">Cold-tier immutability: </w:t>
      </w:r>
      <w:r>
        <w:t xml:space="preserve">archives in Google Cloud Storage are written with object-lock/retention-lock enabled, making them immutable for their retention period even against a compromised or malicious admin credential.</w:t>
      </w:r>
    </w:p>
    <w:p>
      <w:pPr>
        <w:pStyle w:val="ListParagraph"/>
        <w:numPr>
          <w:ilvl w:val="0"/>
          <w:numId w:val="3"/>
        </w:numPr>
        <w:spacing w:after="60"/>
      </w:pPr>
      <w:r>
        <w:rPr>
          <w:b/>
          <w:bCs/>
        </w:rPr>
        <w:t xml:space="preserve">Control separation: </w:t>
      </w:r>
      <w:r>
        <w:t xml:space="preserve">the audit/logging pathway is administratively separate from the primary application database — access credentials for the audit trail are distinct from, and not a superset of, general database administration credentials.</w:t>
      </w:r>
    </w:p>
    <w:p>
      <w:pPr>
        <w:pStyle w:val="Heading2"/>
        <w:spacing w:after="120" w:before="260"/>
      </w:pPr>
      <w:r>
        <w:t xml:space="preserve">4.7 Media Storage &amp; Delivery</w:t>
      </w:r>
    </w:p>
    <w:p>
      <w:pPr>
        <w:pStyle w:val="ListParagraph"/>
        <w:numPr>
          <w:ilvl w:val="0"/>
          <w:numId w:val="3"/>
        </w:numPr>
        <w:spacing w:after="60"/>
      </w:pPr>
      <w:r>
        <w:t xml:space="preserve">Photos, videos, and documents are compressed server-side on upload per BR-45 (photos to 300KB/WebP, video to 720p/120s/4Mbps, documents to a 2MB consolidated cap).</w:t>
      </w:r>
    </w:p>
    <w:p>
      <w:pPr>
        <w:pStyle w:val="ListParagraph"/>
        <w:numPr>
          <w:ilvl w:val="0"/>
          <w:numId w:val="3"/>
        </w:numPr>
        <w:spacing w:after="60"/>
      </w:pPr>
      <w:r>
        <w:t xml:space="preserve">Cloudflare CDN edge-caches all processed media and static frontend bundles.</w:t>
      </w:r>
    </w:p>
    <w:p>
      <w:pPr>
        <w:pStyle w:val="ListParagraph"/>
        <w:numPr>
          <w:ilvl w:val="0"/>
          <w:numId w:val="3"/>
        </w:numPr>
        <w:spacing w:after="60"/>
      </w:pPr>
      <w:r>
        <w:t xml:space="preserve">The original, uncompressed upload is used only transiently during processing — authenticity metadata (GPS + timestamp) is extracted and stored independently before compression runs, and the original file is discarded once the compressed version is generated.</w:t>
      </w:r>
    </w:p>
    <w:p>
      <w:pPr>
        <w:pStyle w:val="Heading2"/>
        <w:spacing w:after="120" w:before="260"/>
      </w:pPr>
      <w:r>
        <w:t xml:space="preserve">4.8 Notifications &amp; Alerts</w:t>
      </w:r>
    </w:p>
    <w:p>
      <w:pPr>
        <w:pStyle w:val="ListParagraph"/>
        <w:numPr>
          <w:ilvl w:val="0"/>
          <w:numId w:val="3"/>
        </w:numPr>
        <w:spacing w:after="60"/>
      </w:pPr>
      <w:r>
        <w:t xml:space="preserve">Dual-channel delivery — SMS (via the OTP provider, once selected) and Web Push — since the platform is mobile-responsive web with no native app, and time-sensitive events (CLV matches, anti-sniping "closing soon" nudges, H1/H2 baton-pass notices) need to reach a buyer who isn't actively looking at the screen.</w:t>
      </w:r>
    </w:p>
    <w:p>
      <w:pPr>
        <w:pStyle w:val="ListParagraph"/>
        <w:numPr>
          <w:ilvl w:val="0"/>
          <w:numId w:val="3"/>
        </w:numPr>
        <w:spacing w:after="60"/>
      </w:pPr>
      <w:r>
        <w:t xml:space="preserve">Email is used for lower-urgency, record-keeping communications (settlement confirmations, KYC status changes) rather than time-sensitive bidding alerts.</w:t>
      </w:r>
    </w:p>
    <w:p>
      <w:pPr>
        <w:pStyle w:val="ListParagraph"/>
        <w:numPr>
          <w:ilvl w:val="0"/>
          <w:numId w:val="3"/>
        </w:numPr>
        <w:spacing w:after="60"/>
      </w:pPr>
      <w:r>
        <w:t xml:space="preserve">All channels are dispatched via BullMQ background jobs, never synchronously in the request path.</w:t>
      </w:r>
    </w:p>
    <w:p>
      <w:pPr>
        <w:pStyle w:val="Heading2"/>
        <w:spacing w:after="120" w:before="260"/>
      </w:pPr>
      <w:r>
        <w:t xml:space="preserve">4.9 AI Listing Pre-Audit</w:t>
      </w:r>
    </w:p>
    <w:p>
      <w:pPr>
        <w:pStyle w:val="ListParagraph"/>
        <w:numPr>
          <w:ilvl w:val="0"/>
          <w:numId w:val="3"/>
        </w:numPr>
        <w:spacing w:after="60"/>
      </w:pPr>
      <w:r>
        <w:t xml:space="preserve">Gemini API, called directly server-side, implementing BR-46. Purely advisory — never gates or auto-approves a listing; Tenant Admin review remains the sole approval authority.</w:t>
      </w:r>
    </w:p>
    <w:p>
      <w:pPr>
        <w:pStyle w:val="Heading2"/>
        <w:spacing w:after="120" w:before="260"/>
      </w:pPr>
      <w:r>
        <w:t xml:space="preserve">4.10 Server Time Integrity</w:t>
      </w:r>
    </w:p>
    <w:p>
      <w:pPr>
        <w:pStyle w:val="ListParagraph"/>
        <w:numPr>
          <w:ilvl w:val="0"/>
          <w:numId w:val="3"/>
        </w:numPr>
        <w:spacing w:after="60"/>
      </w:pPr>
      <w:r>
        <w:t xml:space="preserve">All auction timing (Dynamic Time triggers, extension windows, EMD deadlines, cascading baton-pass windows per BR-28) is computed against a server clock synced to NTP against a verified time source, checked continuously.</w:t>
      </w:r>
    </w:p>
    <w:p>
      <w:pPr>
        <w:pStyle w:val="ListParagraph"/>
        <w:numPr>
          <w:ilvl w:val="0"/>
          <w:numId w:val="3"/>
        </w:numPr>
        <w:spacing w:after="60"/>
      </w:pPr>
      <w:r>
        <w:t xml:space="preserve">Any drift or manual clock adjustment beyond a defined tolerance triggers an automated alert to the Super Admin and is itself logged as an audit event.</w:t>
      </w:r>
    </w:p>
    <w:p>
      <w:pPr>
        <w:pStyle w:val="ListParagraph"/>
        <w:numPr>
          <w:ilvl w:val="0"/>
          <w:numId w:val="3"/>
        </w:numPr>
        <w:spacing w:after="60"/>
      </w:pPr>
      <w:r>
        <w:t xml:space="preserve">This protects the integrity of every timing-dependent mechanic on the platform against clock manipulation — a documented risk vector for online bidding systems, since an unsynced or tamperable server clock could otherwise be exploited to view bids before close or to manipulate auction-extension timing.</w:t>
      </w:r>
    </w:p>
    <w:p>
      <w:pPr>
        <w:pStyle w:val="Heading2"/>
        <w:spacing w:after="120" w:before="260"/>
      </w:pPr>
      <w:r>
        <w:t xml:space="preserve">4.11 Independent Security Audit</w:t>
      </w:r>
    </w:p>
    <w:p>
      <w:pPr>
        <w:pStyle w:val="ListParagraph"/>
        <w:numPr>
          <w:ilvl w:val="0"/>
          <w:numId w:val="3"/>
        </w:numPr>
        <w:spacing w:after="60"/>
      </w:pPr>
      <w:r>
        <w:t xml:space="preserve">An independent, third-party security audit — not performed by the platform's own development team — is conducted before go-live and at a minimum annual cadence thereafter.</w:t>
      </w:r>
    </w:p>
    <w:p>
      <w:pPr>
        <w:pStyle w:val="ListParagraph"/>
        <w:numPr>
          <w:ilvl w:val="0"/>
          <w:numId w:val="3"/>
        </w:numPr>
        <w:spacing w:after="60"/>
      </w:pPr>
      <w:r>
        <w:t xml:space="preserve">Scope covers the application layer, infrastructure, and payment-handling flows specifically.</w:t>
      </w:r>
    </w:p>
    <w:p>
      <w:pPr>
        <w:pStyle w:val="ListParagraph"/>
        <w:numPr>
          <w:ilvl w:val="0"/>
          <w:numId w:val="3"/>
        </w:numPr>
        <w:spacing w:after="60"/>
      </w:pPr>
      <w:r>
        <w:t xml:space="preserve">Audit findings and remediation status are tracked to closure, not just reported.</w:t>
      </w:r>
    </w:p>
    <w:p>
      <w:pPr>
        <w:pStyle w:val="ListParagraph"/>
        <w:numPr>
          <w:ilvl w:val="0"/>
          <w:numId w:val="3"/>
        </w:numPr>
        <w:spacing w:after="60"/>
      </w:pPr>
      <w:r>
        <w:t xml:space="preserve">This satisfies a maker-checker principle: the team that builds the system should not be the sole party certifying its security.</w:t>
      </w:r>
    </w:p>
    <w:p>
      <w:pPr>
        <w:pStyle w:val="Heading2"/>
        <w:spacing w:after="120" w:before="260"/>
      </w:pPr>
      <w:r>
        <w:t xml:space="preserve">4.12 Deployment &amp; Infrastructure</w:t>
      </w:r>
    </w:p>
    <w:p>
      <w:pPr>
        <w:pStyle w:val="ListParagraph"/>
        <w:numPr>
          <w:ilvl w:val="0"/>
          <w:numId w:val="3"/>
        </w:numPr>
        <w:spacing w:after="60"/>
      </w:pPr>
      <w:r>
        <w:t xml:space="preserve">Docker containers on Google Cloud Run — serverless, scales to zero during low traffic, scales out automatically under bidding-driven spikes.</w:t>
      </w:r>
    </w:p>
    <w:p>
      <w:pPr>
        <w:pStyle w:val="ListParagraph"/>
        <w:numPr>
          <w:ilvl w:val="0"/>
          <w:numId w:val="3"/>
        </w:numPr>
        <w:spacing w:after="60"/>
      </w:pPr>
      <w:r>
        <w:t xml:space="preserve">Cloudflare sits in front of Cloud Run for CDN, edge caching, and tenant domain/Host-header routing (BR-06).</w:t>
      </w:r>
    </w:p>
    <w:p>
      <w:pPr>
        <w:pStyle w:val="ListParagraph"/>
        <w:numPr>
          <w:ilvl w:val="0"/>
          <w:numId w:val="3"/>
        </w:numPr>
        <w:spacing w:after="60"/>
      </w:pPr>
      <w:r>
        <w:t xml:space="preserve">Google Secret Manager stores all third-party API credentials (Gemini, SMS, Payment Gateway, bank verification, Auth0) — never in environment files or source control.</w:t>
      </w:r>
    </w:p>
    <w:p>
      <w:pPr>
        <w:pStyle w:val="ListParagraph"/>
        <w:numPr>
          <w:ilvl w:val="0"/>
          <w:numId w:val="3"/>
        </w:numPr>
        <w:spacing w:after="60"/>
      </w:pPr>
      <w:r>
        <w:t xml:space="preserve">CI/CD: GitHub Actions builds and tests on every push; Cloud Build packages the container image; deployment to Cloud Run is automated on merge to the main branch.</w:t>
      </w:r>
    </w:p>
    <w:p>
      <w:pPr>
        <w:pStyle w:val="ListParagraph"/>
        <w:numPr>
          <w:ilvl w:val="0"/>
          <w:numId w:val="3"/>
        </w:numPr>
        <w:spacing w:after="60"/>
      </w:pPr>
      <w:r>
        <w:t xml:space="preserve">Sentry provides error monitoring across both frontend and backend.</w:t>
      </w:r>
    </w:p>
    <w:p>
      <w:pPr>
        <w:pStyle w:val="Heading2"/>
        <w:spacing w:after="120" w:before="260"/>
      </w:pPr>
      <w:r>
        <w:t xml:space="preserve">4.13 Open Technology Decisions</w:t>
      </w:r>
    </w:p>
    <w:p>
      <w:pPr>
        <w:pStyle w:val="ListParagraph"/>
        <w:numPr>
          <w:ilvl w:val="0"/>
          <w:numId w:val="3"/>
        </w:numPr>
        <w:spacing w:after="60"/>
      </w:pPr>
      <w:r>
        <w:t xml:space="preserve">Final selection of the SMS OTP provider.</w:t>
      </w:r>
    </w:p>
    <w:p>
      <w:pPr>
        <w:pStyle w:val="ListParagraph"/>
        <w:numPr>
          <w:ilvl w:val="0"/>
          <w:numId w:val="3"/>
        </w:numPr>
        <w:spacing w:after="60"/>
      </w:pPr>
      <w:r>
        <w:t xml:space="preserve">Final selection of the bank verification / penny-drop provider.</w:t>
      </w:r>
    </w:p>
    <w:p>
      <w:pPr>
        <w:pStyle w:val="ListParagraph"/>
        <w:numPr>
          <w:ilvl w:val="0"/>
          <w:numId w:val="3"/>
        </w:numPr>
        <w:spacing w:after="60"/>
      </w:pPr>
      <w:r>
        <w:t xml:space="preserve">Final selection of the email service provider.</w:t>
      </w:r>
    </w:p>
    <w:p>
      <w:pPr>
        <w:pStyle w:val="ListParagraph"/>
        <w:numPr>
          <w:ilvl w:val="0"/>
          <w:numId w:val="3"/>
        </w:numPr>
        <w:spacing w:after="60"/>
      </w:pPr>
      <w:r>
        <w:t xml:space="preserve">Final selection of the independent security audit firm (STQC/CERT-In empanelled, or equivalent).</w:t>
      </w:r>
    </w:p>
    <w:p>
      <w:r>
        <w:br w:type="page"/>
      </w:r>
    </w:p>
    <w:p>
      <w:pPr>
        <w:pStyle w:val="Heading1"/>
        <w:spacing w:after="200" w:before="400"/>
      </w:pPr>
      <w:r>
        <w:t xml:space="preserve">SECTION 5: PHASED ROADMAP</w:t>
      </w:r>
    </w:p>
    <w:p>
      <w:pPr>
        <w:spacing w:after="120"/>
      </w:pPr>
      <w:r>
        <w:t xml:space="preserve">This document specifies Phase 1 only. The items below are explicitly deferred to Phase 2 — noted here so the intent is preserved, not because they are active scope in this document.</w:t>
      </w:r>
    </w:p>
    <w:p>
      <w:pPr>
        <w:pStyle w:val="Heading2"/>
        <w:spacing w:after="120" w:before="260"/>
      </w:pPr>
      <w:r>
        <w:t xml:space="preserve">5.1 Phase 1 — Sales (this document)</w:t>
      </w:r>
    </w:p>
    <w:p>
      <w:pPr>
        <w:pStyle w:val="ListParagraph"/>
        <w:numPr>
          <w:ilvl w:val="0"/>
          <w:numId w:val="3"/>
        </w:numPr>
        <w:spacing w:after="60"/>
      </w:pPr>
      <w:r>
        <w:t xml:space="preserve">Buy-Now, Express, Easy, and Tender sale formats; the two-score Star Rating system (starRating, sellerStarRating); the General Tenant / Company Shop tenant model; EMD, commission, and settlement mechanics; the dispute resolution and stall-resolution frameworks; Related Auctions; the Live Ticker; all CVC-alignment safeguards (BR-42, BR-49, BR-50, and the tamper-evidence / server-time-integrity / independent-audit tech-stack additions); the Tenant API Access module (BR-62 through BR-66, PR-37) enabling Tenants to integrate their own systems as an alternative to the portal UI; and the full commercial model (Section 6) — the CoCo/TSX package ladder, the Success Fee schedule, and Fee Payer Election — which is now the sole authority on pricing, superseding the flat-fee figures originally stated in BR-08/BR-31.</w:t>
      </w:r>
    </w:p>
    <w:p>
      <w:pPr>
        <w:pStyle w:val="Heading2"/>
        <w:spacing w:after="120" w:before="260"/>
      </w:pPr>
      <w:r>
        <w:t xml:space="preserve">5.2 Phase 2 — Procurement (Reverse Auction)</w:t>
      </w:r>
    </w:p>
    <w:p>
      <w:pPr>
        <w:pStyle w:val="ListParagraph"/>
        <w:numPr>
          <w:ilvl w:val="0"/>
          <w:numId w:val="3"/>
        </w:numPr>
        <w:spacing w:after="60"/>
      </w:pPr>
      <w:r>
        <w:t xml:space="preserve">A role-inverted sale format: buyers post procurement requirements; sellers (suppliers) compete to fulfil them; the lowest qualified quote (L1) wins.</w:t>
      </w:r>
    </w:p>
    <w:p>
      <w:pPr>
        <w:pStyle w:val="ListParagraph"/>
        <w:numPr>
          <w:ilvl w:val="0"/>
          <w:numId w:val="3"/>
        </w:numPr>
        <w:spacing w:after="60"/>
      </w:pPr>
      <w:r>
        <w:t xml:space="preserve">Two additional rating scores — supplierRating and procurerRating — fully independent of starRating and sellerStarRating.</w:t>
      </w:r>
    </w:p>
    <w:p>
      <w:pPr>
        <w:pStyle w:val="ListParagraph"/>
        <w:numPr>
          <w:ilvl w:val="0"/>
          <w:numId w:val="3"/>
        </w:numPr>
        <w:spacing w:after="60"/>
      </w:pPr>
      <w:r>
        <w:t xml:space="preserve">A third tenant tier (Institutional Tenant) and a third floor (Floor 2 — Procurement), sitting alongside the Phase 1 General Tenant / Company Shop model.</w:t>
      </w:r>
    </w:p>
    <w:p>
      <w:pPr>
        <w:pStyle w:val="ListParagraph"/>
        <w:numPr>
          <w:ilvl w:val="0"/>
          <w:numId w:val="3"/>
        </w:numPr>
        <w:spacing w:after="60"/>
      </w:pPr>
      <w:r>
        <w:t xml:space="preserve">EMD and Performance Deposit mechanics, a buyer-run qualification gateway, and multi-line-item listing support.</w:t>
      </w:r>
    </w:p>
    <w:p>
      <w:pPr>
        <w:pStyle w:val="ListParagraph"/>
        <w:numPr>
          <w:ilvl w:val="0"/>
          <w:numId w:val="3"/>
        </w:numPr>
        <w:spacing w:after="60"/>
      </w:pPr>
      <w:r>
        <w:t xml:space="preserve">This format was fully designed in an earlier working session; the design is preserved and ready to be reinstated into this document when Phase 2 begins, rather than needing to be re-specified from scratch.</w:t>
      </w:r>
    </w:p>
    <w:p>
      <w:pPr>
        <w:pStyle w:val="Heading2"/>
        <w:spacing w:after="120" w:before="260"/>
      </w:pPr>
      <w:r>
        <w:t xml:space="preserve">5.3 Phase 2 — Market Intelligence</w:t>
      </w:r>
    </w:p>
    <w:p>
      <w:pPr>
        <w:pStyle w:val="ListParagraph"/>
        <w:numPr>
          <w:ilvl w:val="0"/>
          <w:numId w:val="3"/>
        </w:numPr>
        <w:spacing w:after="60"/>
      </w:pPr>
      <w:r>
        <w:t xml:space="preserve">A unified selling/buying price-guide feature, built on the platform's existing closed-transaction data (RV, EV, final sale price, CAT, LOC, condition, date) — no new data capture required, only aggregation and surfacing.</w:t>
      </w:r>
    </w:p>
    <w:p>
      <w:pPr>
        <w:pStyle w:val="ListParagraph"/>
        <w:numPr>
          <w:ilvl w:val="0"/>
          <w:numId w:val="3"/>
        </w:numPr>
        <w:spacing w:after="60"/>
      </w:pPr>
      <w:r>
        <w:rPr>
          <w:b/>
          <w:bCs/>
        </w:rPr>
        <w:t xml:space="preserve">Selling guide: </w:t>
      </w:r>
      <w:r>
        <w:t xml:space="preserve">comparable-price suggestions at listing time, post-listing pricing feedback if a listing underperforms, and category/location demand trend visibility.</w:t>
      </w:r>
    </w:p>
    <w:p>
      <w:pPr>
        <w:pStyle w:val="ListParagraph"/>
        <w:numPr>
          <w:ilvl w:val="0"/>
          <w:numId w:val="3"/>
        </w:numPr>
        <w:spacing w:after="60"/>
      </w:pPr>
      <w:r>
        <w:rPr>
          <w:b/>
          <w:bCs/>
        </w:rPr>
        <w:t xml:space="preserve">Buying guide: </w:t>
      </w:r>
      <w:r>
        <w:t xml:space="preserve">side-by-side comparison of selected listings, a read-only "what similar items sold for" panel, and a fair-price indicator on listing pages.</w:t>
      </w:r>
    </w:p>
    <w:p>
      <w:pPr>
        <w:pStyle w:val="ListParagraph"/>
        <w:numPr>
          <w:ilvl w:val="0"/>
          <w:numId w:val="3"/>
        </w:numPr>
        <w:spacing w:after="60"/>
      </w:pPr>
      <w:r>
        <w:t xml:space="preserve">Open for Phase 2 scoping: real-time vs. periodic (daily/weekly) refresh cadence for comparable-price aggregates.</w:t>
      </w:r>
    </w:p>
    <w:p>
      <w:pPr>
        <w:sectPr>
          <w:headerReference w:type="default" r:id="rId7"/>
          <w:footerReference w:type="default" r:id="rId8"/>
          <w:pgSz w:w="12240" w:h="15840" w:orient="portrait"/>
          <w:pgMar w:top="1080" w:right="1080" w:bottom="1080" w:left="1080" w:header="708" w:footer="708" w:gutter="0"/>
          <w:pgNumType/>
          <w:docGrid w:linePitch="360"/>
        </w:sectPr>
      </w:pPr>
    </w:p>
    <w:p>
      <w:r>
        <w:br w:type="page"/>
      </w:r>
    </w:p>
    <w:p>
      <w:pPr>
        <w:pStyle w:val="Heading1"/>
        <w:spacing w:after="200" w:before="400"/>
      </w:pPr>
      <w:r>
        <w:t xml:space="preserve">SECTION 6: BUSINESS MODEL</w:t>
      </w:r>
    </w:p>
    <w:p>
      <w:pPr>
        <w:spacing w:after="120"/>
      </w:pPr>
      <w:r>
        <w:rPr>
          <w:i/>
        </w:rPr>
        <w:t xml:space="preserve">Status: Production. Values marked † are TSX Growth working defaults, approved for production use and revisable later without a document version bump. All prices exclude GST unless stated.</w:t>
      </w:r>
    </w:p>
    <w:p/>
    <w:p>
      <w:pPr>
        <w:spacing w:before="240" w:after="80"/>
      </w:pPr>
      <w:r>
        <w:rPr>
          <w:b/>
          <w:color w:val="B5651D"/>
          <w:sz w:val="23"/>
        </w:rPr>
        <w:t xml:space="preserve">6.1 Vision</w:t>
      </w:r>
    </w:p>
    <w:p>
      <w:pPr>
        <w:spacing w:after="120"/>
      </w:pPr>
      <w:r>
        <w:t xml:space="preserve">ADWITIX is a Marketplace Operating System that enables organizations to build, operate, and scale trusted digital marketplaces for asset disposal, recovery, auctions, and secondary commerce. Core philosophy: marketplace growth should never be taxed — customers are free to grow without restrictions on sellers, buyers, listings, events, or bids.</w:t>
      </w:r>
    </w:p>
    <w:p/>
    <w:p>
      <w:pPr>
        <w:spacing w:before="240" w:after="80"/>
      </w:pPr>
      <w:r>
        <w:rPr>
          <w:b/>
          <w:color w:val="B5651D"/>
          <w:sz w:val="23"/>
        </w:rPr>
        <w:t xml:space="preserve">6.2 Product Portfolio</w:t>
      </w:r>
    </w:p>
    <w:p>
      <w:pPr>
        <w:spacing w:after="120"/>
      </w:pPr>
      <w:r>
        <w:rPr>
          <w:b/>
        </w:rPr>
        <w:t xml:space="preserve">CoCo Starter (Free): </w:t>
      </w:r>
      <w:r>
        <w:t xml:space="preserve">For individual sellers and one-time sellers. Free registration; unlimited Lots, Trading Sessions, Market Makers and Traders; standard auction engine; all three automated Sale Systems (Buy Now, Express, Easy Auction). The Success Fee (5.3) applies to every completed sale — free to join, not free to transact.</w:t>
      </w:r>
    </w:p>
    <w:p>
      <w:pPr>
        <w:spacing w:after="120"/>
      </w:pPr>
      <w:r>
        <w:rPr>
          <w:b/>
        </w:rPr>
        <w:t xml:space="preserve">CoCo Concierge: </w:t>
      </w:r>
      <w:r>
        <w:t xml:space="preserve">A fully managed listing path for Tender Auctions — not a tier in the growth ladder, but a separate path that exists only because Tender Auctions are reserved for Company Shop (Salvage Managers) management, per BR-12. Exclusive to the Salvage Managers TSX; not configurable on any other Tenant's TSX and not exposed via the API. No subscription fee; a concierge service fee applies per engagement in addition to the standard Success Fee (proposed, pending confirmation).</w:t>
      </w:r>
    </w:p>
    <w:p>
      <w:pPr>
        <w:spacing w:after="120"/>
      </w:pPr>
      <w:r>
        <w:rPr>
          <w:b/>
        </w:rPr>
        <w:t xml:space="preserve">TSX Launch — ₹10,000/month list (₹1,20,000/yr): </w:t>
      </w:r>
      <w:r>
        <w:t xml:space="preserve">Branded marketplace, one TSX Master (+ add-on), read-only API access.</w:t>
      </w:r>
    </w:p>
    <w:p>
      <w:pPr>
        <w:spacing w:after="120"/>
      </w:pPr>
      <w:r>
        <w:rPr>
          <w:b/>
        </w:rPr>
        <w:t xml:space="preserve">TSX Growth — ₹25,000/month list (₹3,00,000/yr): </w:t>
      </w:r>
      <w:r>
        <w:t xml:space="preserve">Branded marketplace, one TSX Master (+ add-on), basic RBAC (view/approve), API read + push listings.</w:t>
      </w:r>
    </w:p>
    <w:p>
      <w:pPr>
        <w:spacing w:after="120"/>
      </w:pPr>
      <w:r>
        <w:rPr>
          <w:b/>
        </w:rPr>
        <w:t xml:space="preserve">TSX Enterprise — ₹60,000/month list (₹7,20,000/yr): </w:t>
      </w:r>
      <w:r>
        <w:t xml:space="preserve">Enterprise marketplace, full RBAC, full push/pull API, SSO, audit logs, workflow configuration (Coming Soon for all tiers).</w:t>
      </w:r>
    </w:p>
    <w:p/>
    <w:p>
      <w:pPr>
        <w:spacing w:before="240" w:after="80"/>
      </w:pPr>
      <w:r>
        <w:rPr>
          <w:b/>
          <w:color w:val="B5651D"/>
          <w:sz w:val="23"/>
        </w:rPr>
        <w:t xml:space="preserve">6.3 Subscription Discount Ladder</w:t>
      </w:r>
    </w:p>
    <w:p>
      <w:pPr>
        <w:spacing w:after="120"/>
      </w:pPr>
      <w:r>
        <w:t xml:space="preserve">Tenants who prepay for a longer commitment receive a standing discount off the monthly list rate, on the same percentage terms across all three paid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rPr>
          <w:tblHeader/>
        </w:trPr>
        <w:tc>
          <w:tcPr>
            <w:tcW w:type="dxa" w:w="2400"/>
            <w:shd w:fill="1B2A4A" w:val="clear"/>
            <w:tcMar>
              <w:top w:type="dxa" w:w="80"/>
              <w:left w:type="dxa" w:w="100"/>
              <w:bottom w:type="dxa" w:w="80"/>
              <w:right w:type="dxa" w:w="100"/>
            </w:tcMar>
          </w:tcPr>
          <w:p>
            <w:pPr>
              <w:jc w:val="left"/>
            </w:pPr>
            <w:r>
              <w:rPr>
                <w:b/>
                <w:bCs/>
              </w:rPr>
              <w:t xml:space="preserve">Commitment</w:t>
            </w:r>
          </w:p>
        </w:tc>
        <w:tc>
          <w:tcPr>
            <w:tcW w:type="dxa" w:w="1600"/>
            <w:shd w:fill="1B2A4A" w:val="clear"/>
            <w:tcMar>
              <w:top w:type="dxa" w:w="80"/>
              <w:left w:type="dxa" w:w="100"/>
              <w:bottom w:type="dxa" w:w="80"/>
              <w:right w:type="dxa" w:w="100"/>
            </w:tcMar>
          </w:tcPr>
          <w:p>
            <w:pPr>
              <w:jc w:val="left"/>
            </w:pPr>
            <w:r>
              <w:rPr>
                <w:b/>
                <w:bCs/>
              </w:rPr>
              <w:t xml:space="preserve">Discount off List</w:t>
            </w:r>
          </w:p>
        </w:tc>
        <w:tc>
          <w:tcPr>
            <w:tcW w:type="dxa" w:w="1600"/>
            <w:shd w:fill="1B2A4A" w:val="clear"/>
            <w:tcMar>
              <w:top w:type="dxa" w:w="80"/>
              <w:left w:type="dxa" w:w="100"/>
              <w:bottom w:type="dxa" w:w="80"/>
              <w:right w:type="dxa" w:w="100"/>
            </w:tcMar>
          </w:tcPr>
          <w:p>
            <w:pPr>
              <w:jc w:val="left"/>
            </w:pPr>
            <w:r>
              <w:rPr>
                <w:b/>
                <w:bCs/>
              </w:rPr>
              <w:t xml:space="preserve">TSX Launch (₹/yr)</w:t>
            </w:r>
          </w:p>
        </w:tc>
        <w:tc>
          <w:tcPr>
            <w:tcW w:type="dxa" w:w="1600"/>
            <w:shd w:fill="1B2A4A" w:val="clear"/>
            <w:tcMar>
              <w:top w:type="dxa" w:w="80"/>
              <w:left w:type="dxa" w:w="100"/>
              <w:bottom w:type="dxa" w:w="80"/>
              <w:right w:type="dxa" w:w="100"/>
            </w:tcMar>
          </w:tcPr>
          <w:p>
            <w:pPr>
              <w:jc w:val="left"/>
            </w:pPr>
            <w:r>
              <w:rPr>
                <w:b/>
                <w:bCs/>
              </w:rPr>
              <w:t xml:space="preserve">TSX Growth (₹/yr)</w:t>
            </w:r>
          </w:p>
        </w:tc>
        <w:tc>
          <w:tcPr>
            <w:tcW w:type="dxa" w:w="1800"/>
            <w:shd w:fill="1B2A4A" w:val="clear"/>
            <w:tcMar>
              <w:top w:type="dxa" w:w="80"/>
              <w:left w:type="dxa" w:w="100"/>
              <w:bottom w:type="dxa" w:w="80"/>
              <w:right w:type="dxa" w:w="100"/>
            </w:tcMar>
          </w:tcPr>
          <w:p>
            <w:pPr>
              <w:jc w:val="left"/>
            </w:pPr>
            <w:r>
              <w:rPr>
                <w:b/>
                <w:bCs/>
              </w:rPr>
              <w:t xml:space="preserve">TSX Enterprise (₹/yr)</w:t>
            </w:r>
          </w:p>
        </w:tc>
      </w:tr>
      <w:tr>
        <w:tc>
          <w:tcPr>
            <w:tcW w:type="dxa" w:w="2400"/>
            <w:tcMar>
              <w:top w:type="dxa" w:w="80"/>
              <w:left w:type="dxa" w:w="100"/>
              <w:bottom w:type="dxa" w:w="80"/>
              <w:right w:type="dxa" w:w="100"/>
            </w:tcMar>
          </w:tcPr>
          <w:p>
            <w:pPr>
              <w:jc w:val="left"/>
            </w:pPr>
            <w:r>
              <w:rPr/>
              <w:t xml:space="preserve">Monthly (no lock-in)</w:t>
            </w:r>
          </w:p>
        </w:tc>
        <w:tc>
          <w:tcPr>
            <w:tcW w:type="dxa" w:w="1600"/>
            <w:tcMar>
              <w:top w:type="dxa" w:w="80"/>
              <w:left w:type="dxa" w:w="100"/>
              <w:bottom w:type="dxa" w:w="80"/>
              <w:right w:type="dxa" w:w="100"/>
            </w:tcMar>
          </w:tcPr>
          <w:p>
            <w:pPr>
              <w:jc w:val="left"/>
            </w:pPr>
            <w:r>
              <w:rPr/>
              <w:t xml:space="preserve">0%</w:t>
            </w:r>
          </w:p>
        </w:tc>
        <w:tc>
          <w:tcPr>
            <w:tcW w:type="dxa" w:w="1600"/>
            <w:tcMar>
              <w:top w:type="dxa" w:w="80"/>
              <w:left w:type="dxa" w:w="100"/>
              <w:bottom w:type="dxa" w:w="80"/>
              <w:right w:type="dxa" w:w="100"/>
            </w:tcMar>
          </w:tcPr>
          <w:p>
            <w:pPr>
              <w:jc w:val="left"/>
            </w:pPr>
            <w:r>
              <w:rPr/>
              <w:t xml:space="preserve">1,20,000</w:t>
            </w:r>
          </w:p>
        </w:tc>
        <w:tc>
          <w:tcPr>
            <w:tcW w:type="dxa" w:w="1600"/>
            <w:tcMar>
              <w:top w:type="dxa" w:w="80"/>
              <w:left w:type="dxa" w:w="100"/>
              <w:bottom w:type="dxa" w:w="80"/>
              <w:right w:type="dxa" w:w="100"/>
            </w:tcMar>
          </w:tcPr>
          <w:p>
            <w:pPr>
              <w:jc w:val="left"/>
            </w:pPr>
            <w:r>
              <w:rPr/>
              <w:t xml:space="preserve">3,00,000</w:t>
            </w:r>
          </w:p>
        </w:tc>
        <w:tc>
          <w:tcPr>
            <w:tcW w:type="dxa" w:w="1800"/>
            <w:tcMar>
              <w:top w:type="dxa" w:w="80"/>
              <w:left w:type="dxa" w:w="100"/>
              <w:bottom w:type="dxa" w:w="80"/>
              <w:right w:type="dxa" w:w="100"/>
            </w:tcMar>
          </w:tcPr>
          <w:p>
            <w:pPr>
              <w:jc w:val="left"/>
            </w:pPr>
            <w:r>
              <w:rPr/>
              <w:t xml:space="preserve">7,20,000</w:t>
            </w:r>
          </w:p>
        </w:tc>
      </w:tr>
      <w:tr>
        <w:tc>
          <w:tcPr>
            <w:tcW w:type="dxa" w:w="2400"/>
            <w:tcMar>
              <w:top w:type="dxa" w:w="80"/>
              <w:left w:type="dxa" w:w="100"/>
              <w:bottom w:type="dxa" w:w="80"/>
              <w:right w:type="dxa" w:w="100"/>
            </w:tcMar>
          </w:tcPr>
          <w:p>
            <w:pPr>
              <w:jc w:val="left"/>
            </w:pPr>
            <w:r>
              <w:rPr/>
              <w:t xml:space="preserve">1-year prepaid</w:t>
            </w:r>
          </w:p>
        </w:tc>
        <w:tc>
          <w:tcPr>
            <w:tcW w:type="dxa" w:w="1600"/>
            <w:tcMar>
              <w:top w:type="dxa" w:w="80"/>
              <w:left w:type="dxa" w:w="100"/>
              <w:bottom w:type="dxa" w:w="80"/>
              <w:right w:type="dxa" w:w="100"/>
            </w:tcMar>
          </w:tcPr>
          <w:p>
            <w:pPr>
              <w:jc w:val="left"/>
            </w:pPr>
            <w:r>
              <w:rPr/>
              <w:t xml:space="preserve">20%</w:t>
            </w:r>
          </w:p>
        </w:tc>
        <w:tc>
          <w:tcPr>
            <w:tcW w:type="dxa" w:w="1600"/>
            <w:tcMar>
              <w:top w:type="dxa" w:w="80"/>
              <w:left w:type="dxa" w:w="100"/>
              <w:bottom w:type="dxa" w:w="80"/>
              <w:right w:type="dxa" w:w="100"/>
            </w:tcMar>
          </w:tcPr>
          <w:p>
            <w:pPr>
              <w:jc w:val="left"/>
            </w:pPr>
            <w:r>
              <w:rPr/>
              <w:t xml:space="preserve">96,000</w:t>
            </w:r>
          </w:p>
        </w:tc>
        <w:tc>
          <w:tcPr>
            <w:tcW w:type="dxa" w:w="1600"/>
            <w:tcMar>
              <w:top w:type="dxa" w:w="80"/>
              <w:left w:type="dxa" w:w="100"/>
              <w:bottom w:type="dxa" w:w="80"/>
              <w:right w:type="dxa" w:w="100"/>
            </w:tcMar>
          </w:tcPr>
          <w:p>
            <w:pPr>
              <w:jc w:val="left"/>
            </w:pPr>
            <w:r>
              <w:rPr/>
              <w:t xml:space="preserve">2,40,000</w:t>
            </w:r>
          </w:p>
        </w:tc>
        <w:tc>
          <w:tcPr>
            <w:tcW w:type="dxa" w:w="1800"/>
            <w:tcMar>
              <w:top w:type="dxa" w:w="80"/>
              <w:left w:type="dxa" w:w="100"/>
              <w:bottom w:type="dxa" w:w="80"/>
              <w:right w:type="dxa" w:w="100"/>
            </w:tcMar>
          </w:tcPr>
          <w:p>
            <w:pPr>
              <w:jc w:val="left"/>
            </w:pPr>
            <w:r>
              <w:rPr/>
              <w:t xml:space="preserve">5,76,000</w:t>
            </w:r>
          </w:p>
        </w:tc>
      </w:tr>
      <w:tr>
        <w:tc>
          <w:tcPr>
            <w:tcW w:type="dxa" w:w="2400"/>
            <w:tcMar>
              <w:top w:type="dxa" w:w="80"/>
              <w:left w:type="dxa" w:w="100"/>
              <w:bottom w:type="dxa" w:w="80"/>
              <w:right w:type="dxa" w:w="100"/>
            </w:tcMar>
          </w:tcPr>
          <w:p>
            <w:pPr>
              <w:jc w:val="left"/>
            </w:pPr>
            <w:r>
              <w:rPr/>
              <w:t xml:space="preserve">2-year prepaid</w:t>
            </w:r>
          </w:p>
        </w:tc>
        <w:tc>
          <w:tcPr>
            <w:tcW w:type="dxa" w:w="1600"/>
            <w:tcMar>
              <w:top w:type="dxa" w:w="80"/>
              <w:left w:type="dxa" w:w="100"/>
              <w:bottom w:type="dxa" w:w="80"/>
              <w:right w:type="dxa" w:w="100"/>
            </w:tcMar>
          </w:tcPr>
          <w:p>
            <w:pPr>
              <w:jc w:val="left"/>
            </w:pPr>
            <w:r>
              <w:rPr/>
              <w:t xml:space="preserve">30%</w:t>
            </w:r>
          </w:p>
        </w:tc>
        <w:tc>
          <w:tcPr>
            <w:tcW w:type="dxa" w:w="1600"/>
            <w:tcMar>
              <w:top w:type="dxa" w:w="80"/>
              <w:left w:type="dxa" w:w="100"/>
              <w:bottom w:type="dxa" w:w="80"/>
              <w:right w:type="dxa" w:w="100"/>
            </w:tcMar>
          </w:tcPr>
          <w:p>
            <w:pPr>
              <w:jc w:val="left"/>
            </w:pPr>
            <w:r>
              <w:rPr/>
              <w:t xml:space="preserve">84,000</w:t>
            </w:r>
          </w:p>
        </w:tc>
        <w:tc>
          <w:tcPr>
            <w:tcW w:type="dxa" w:w="1600"/>
            <w:tcMar>
              <w:top w:type="dxa" w:w="80"/>
              <w:left w:type="dxa" w:w="100"/>
              <w:bottom w:type="dxa" w:w="80"/>
              <w:right w:type="dxa" w:w="100"/>
            </w:tcMar>
          </w:tcPr>
          <w:p>
            <w:pPr>
              <w:jc w:val="left"/>
            </w:pPr>
            <w:r>
              <w:rPr/>
              <w:t xml:space="preserve">2,10,000</w:t>
            </w:r>
          </w:p>
        </w:tc>
        <w:tc>
          <w:tcPr>
            <w:tcW w:type="dxa" w:w="1800"/>
            <w:tcMar>
              <w:top w:type="dxa" w:w="80"/>
              <w:left w:type="dxa" w:w="100"/>
              <w:bottom w:type="dxa" w:w="80"/>
              <w:right w:type="dxa" w:w="100"/>
            </w:tcMar>
          </w:tcPr>
          <w:p>
            <w:pPr>
              <w:jc w:val="left"/>
            </w:pPr>
            <w:r>
              <w:rPr/>
              <w:t xml:space="preserve">5,04,000</w:t>
            </w:r>
          </w:p>
        </w:tc>
      </w:tr>
      <w:tr>
        <w:tc>
          <w:tcPr>
            <w:tcW w:type="dxa" w:w="2400"/>
            <w:tcMar>
              <w:top w:type="dxa" w:w="80"/>
              <w:left w:type="dxa" w:w="100"/>
              <w:bottom w:type="dxa" w:w="80"/>
              <w:right w:type="dxa" w:w="100"/>
            </w:tcMar>
          </w:tcPr>
          <w:p>
            <w:pPr>
              <w:jc w:val="left"/>
            </w:pPr>
            <w:r>
              <w:rPr/>
              <w:t xml:space="preserve">3-year prepaid</w:t>
            </w:r>
          </w:p>
        </w:tc>
        <w:tc>
          <w:tcPr>
            <w:tcW w:type="dxa" w:w="1600"/>
            <w:tcMar>
              <w:top w:type="dxa" w:w="80"/>
              <w:left w:type="dxa" w:w="100"/>
              <w:bottom w:type="dxa" w:w="80"/>
              <w:right w:type="dxa" w:w="100"/>
            </w:tcMar>
          </w:tcPr>
          <w:p>
            <w:pPr>
              <w:jc w:val="left"/>
            </w:pPr>
            <w:r>
              <w:rPr/>
              <w:t xml:space="preserve">40%</w:t>
            </w:r>
          </w:p>
        </w:tc>
        <w:tc>
          <w:tcPr>
            <w:tcW w:type="dxa" w:w="1600"/>
            <w:tcMar>
              <w:top w:type="dxa" w:w="80"/>
              <w:left w:type="dxa" w:w="100"/>
              <w:bottom w:type="dxa" w:w="80"/>
              <w:right w:type="dxa" w:w="100"/>
            </w:tcMar>
          </w:tcPr>
          <w:p>
            <w:pPr>
              <w:jc w:val="left"/>
            </w:pPr>
            <w:r>
              <w:rPr/>
              <w:t xml:space="preserve">72,000</w:t>
            </w:r>
          </w:p>
        </w:tc>
        <w:tc>
          <w:tcPr>
            <w:tcW w:type="dxa" w:w="1600"/>
            <w:tcMar>
              <w:top w:type="dxa" w:w="80"/>
              <w:left w:type="dxa" w:w="100"/>
              <w:bottom w:type="dxa" w:w="80"/>
              <w:right w:type="dxa" w:w="100"/>
            </w:tcMar>
          </w:tcPr>
          <w:p>
            <w:pPr>
              <w:jc w:val="left"/>
            </w:pPr>
            <w:r>
              <w:rPr/>
              <w:t xml:space="preserve">1,80,000</w:t>
            </w:r>
          </w:p>
        </w:tc>
        <w:tc>
          <w:tcPr>
            <w:tcW w:type="dxa" w:w="1800"/>
            <w:tcMar>
              <w:top w:type="dxa" w:w="80"/>
              <w:left w:type="dxa" w:w="100"/>
              <w:bottom w:type="dxa" w:w="80"/>
              <w:right w:type="dxa" w:w="100"/>
            </w:tcMar>
          </w:tcPr>
          <w:p>
            <w:pPr>
              <w:jc w:val="left"/>
            </w:pPr>
            <w:r>
              <w:rPr/>
              <w:t xml:space="preserve">4,32,000</w:t>
            </w:r>
          </w:p>
        </w:tc>
      </w:tr>
      <w:tr>
        <w:tc>
          <w:tcPr>
            <w:tcW w:type="dxa" w:w="2400"/>
            <w:tcMar>
              <w:top w:type="dxa" w:w="80"/>
              <w:left w:type="dxa" w:w="100"/>
              <w:bottom w:type="dxa" w:w="80"/>
              <w:right w:type="dxa" w:w="100"/>
            </w:tcMar>
          </w:tcPr>
          <w:p>
            <w:pPr>
              <w:jc w:val="left"/>
            </w:pPr>
            <w:r>
              <w:rPr/>
              <w:t xml:space="preserve">5-year prepaid</w:t>
            </w:r>
          </w:p>
        </w:tc>
        <w:tc>
          <w:tcPr>
            <w:tcW w:type="dxa" w:w="1600"/>
            <w:tcMar>
              <w:top w:type="dxa" w:w="80"/>
              <w:left w:type="dxa" w:w="100"/>
              <w:bottom w:type="dxa" w:w="80"/>
              <w:right w:type="dxa" w:w="100"/>
            </w:tcMar>
          </w:tcPr>
          <w:p>
            <w:pPr>
              <w:jc w:val="left"/>
            </w:pPr>
            <w:r>
              <w:rPr/>
              <w:t xml:space="preserve">50%</w:t>
            </w:r>
          </w:p>
        </w:tc>
        <w:tc>
          <w:tcPr>
            <w:tcW w:type="dxa" w:w="1600"/>
            <w:tcMar>
              <w:top w:type="dxa" w:w="80"/>
              <w:left w:type="dxa" w:w="100"/>
              <w:bottom w:type="dxa" w:w="80"/>
              <w:right w:type="dxa" w:w="100"/>
            </w:tcMar>
          </w:tcPr>
          <w:p>
            <w:pPr>
              <w:jc w:val="left"/>
            </w:pPr>
            <w:r>
              <w:rPr/>
              <w:t xml:space="preserve">60,000</w:t>
            </w:r>
          </w:p>
        </w:tc>
        <w:tc>
          <w:tcPr>
            <w:tcW w:type="dxa" w:w="1600"/>
            <w:tcMar>
              <w:top w:type="dxa" w:w="80"/>
              <w:left w:type="dxa" w:w="100"/>
              <w:bottom w:type="dxa" w:w="80"/>
              <w:right w:type="dxa" w:w="100"/>
            </w:tcMar>
          </w:tcPr>
          <w:p>
            <w:pPr>
              <w:jc w:val="left"/>
            </w:pPr>
            <w:r>
              <w:rPr/>
              <w:t xml:space="preserve">1,50,000</w:t>
            </w:r>
          </w:p>
        </w:tc>
        <w:tc>
          <w:tcPr>
            <w:tcW w:type="dxa" w:w="1800"/>
            <w:tcMar>
              <w:top w:type="dxa" w:w="80"/>
              <w:left w:type="dxa" w:w="100"/>
              <w:bottom w:type="dxa" w:w="80"/>
              <w:right w:type="dxa" w:w="100"/>
            </w:tcMar>
          </w:tcPr>
          <w:p>
            <w:pPr>
              <w:jc w:val="left"/>
            </w:pPr>
            <w:r>
              <w:rPr/>
              <w:t xml:space="preserve">3,60,000</w:t>
            </w:r>
          </w:p>
        </w:tc>
      </w:tr>
    </w:tbl>
    <w:p>
      <w:pPr>
        <w:spacing w:after="80"/>
      </w:pPr>
      <w:r>
        <w:t xml:space="preserve">The discount ladder is promoted under a rotating set of named seasonal campaigns — New Year Offer (Jan), Financial Year-End Offer (Mar), Independence Day Offer (Aug), Festive/Year-End Offer (Nov–Dec) — the underlying ladder never changes, only the name and window do.</w:t>
      </w:r>
    </w:p>
    <w:p>
      <w:pPr>
        <w:spacing w:after="120"/>
      </w:pPr>
      <w:r>
        <w:rPr>
          <w:b/>
        </w:rPr>
        <w:t xml:space="preserve">Sales discretion: </w:t>
      </w:r>
      <w:r>
        <w:t xml:space="preserve">Sales and account teams may quote below the published ladder for offline/negotiated deals at their own discretion, down to a floor of 50% of list price. Any quote below that floor requires finance/Custodian sign-off. Subscription pricing is a lead-qualification and anchoring mechanism, not the platform's primary revenue driver (see 5.8).</w:t>
      </w:r>
    </w:p>
    <w:p/>
    <w:p>
      <w:pPr>
        <w:spacing w:before="240" w:after="80"/>
      </w:pPr>
      <w:r>
        <w:rPr>
          <w:b/>
          <w:color w:val="B5651D"/>
          <w:sz w:val="23"/>
        </w:rPr>
        <w:t xml:space="preserve">6.4 Success Fee</w:t>
      </w:r>
    </w:p>
    <w:p>
      <w:pPr>
        <w:spacing w:after="120"/>
      </w:pPr>
      <w:r>
        <w:t xml:space="preserve">ADWITIX earns only when a transaction is successfully completed. This applies uniformly across every tier, including CoCo.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B2A4A" w:val="clear"/>
            <w:tcMar>
              <w:top w:type="dxa" w:w="80"/>
              <w:left w:type="dxa" w:w="100"/>
              <w:bottom w:type="dxa" w:w="80"/>
              <w:right w:type="dxa" w:w="100"/>
            </w:tcMar>
          </w:tcPr>
          <w:p>
            <w:pPr>
              <w:jc w:val="left"/>
            </w:pPr>
            <w:r>
              <w:rPr>
                <w:b/>
                <w:bCs/>
              </w:rPr>
              <w:t xml:space="preserve">Final Sale Value</w:t>
            </w:r>
          </w:p>
        </w:tc>
        <w:tc>
          <w:tcPr>
            <w:tcW w:type="dxa" w:w="3600"/>
            <w:shd w:fill="1B2A4A" w:val="clear"/>
            <w:tcMar>
              <w:top w:type="dxa" w:w="80"/>
              <w:left w:type="dxa" w:w="100"/>
              <w:bottom w:type="dxa" w:w="80"/>
              <w:right w:type="dxa" w:w="100"/>
            </w:tcMar>
          </w:tcPr>
          <w:p>
            <w:pPr>
              <w:jc w:val="left"/>
            </w:pPr>
            <w:r>
              <w:rPr>
                <w:b/>
                <w:bCs/>
              </w:rPr>
              <w:t xml:space="preserve">Fee</w:t>
            </w:r>
          </w:p>
        </w:tc>
      </w:tr>
      <w:tr>
        <w:tc>
          <w:tcPr>
            <w:tcW w:type="dxa" w:w="5400"/>
            <w:tcMar>
              <w:top w:type="dxa" w:w="80"/>
              <w:left w:type="dxa" w:w="100"/>
              <w:bottom w:type="dxa" w:w="80"/>
              <w:right w:type="dxa" w:w="100"/>
            </w:tcMar>
          </w:tcPr>
          <w:p>
            <w:pPr>
              <w:jc w:val="left"/>
            </w:pPr>
            <w:r>
              <w:rPr/>
              <w:t xml:space="preserve">Up to ₹10 lakh</w:t>
            </w:r>
          </w:p>
        </w:tc>
        <w:tc>
          <w:tcPr>
            <w:tcW w:type="dxa" w:w="3600"/>
            <w:tcMar>
              <w:top w:type="dxa" w:w="80"/>
              <w:left w:type="dxa" w:w="100"/>
              <w:bottom w:type="dxa" w:w="80"/>
              <w:right w:type="dxa" w:w="100"/>
            </w:tcMar>
          </w:tcPr>
          <w:p>
            <w:pPr>
              <w:jc w:val="left"/>
            </w:pPr>
            <w:r>
              <w:rPr/>
              <w:t xml:space="preserve">2.00%</w:t>
            </w:r>
          </w:p>
        </w:tc>
      </w:tr>
      <w:tr>
        <w:tc>
          <w:tcPr>
            <w:tcW w:type="dxa" w:w="5400"/>
            <w:tcMar>
              <w:top w:type="dxa" w:w="80"/>
              <w:left w:type="dxa" w:w="100"/>
              <w:bottom w:type="dxa" w:w="80"/>
              <w:right w:type="dxa" w:w="100"/>
            </w:tcMar>
          </w:tcPr>
          <w:p>
            <w:pPr>
              <w:jc w:val="left"/>
            </w:pPr>
            <w:r>
              <w:rPr/>
              <w:t xml:space="preserve">Above ₹10 lakh to ₹50 lakh</w:t>
            </w:r>
          </w:p>
        </w:tc>
        <w:tc>
          <w:tcPr>
            <w:tcW w:type="dxa" w:w="3600"/>
            <w:tcMar>
              <w:top w:type="dxa" w:w="80"/>
              <w:left w:type="dxa" w:w="100"/>
              <w:bottom w:type="dxa" w:w="80"/>
              <w:right w:type="dxa" w:w="100"/>
            </w:tcMar>
          </w:tcPr>
          <w:p>
            <w:pPr>
              <w:jc w:val="left"/>
            </w:pPr>
            <w:r>
              <w:rPr/>
              <w:t xml:space="preserve">1.50%</w:t>
            </w:r>
          </w:p>
        </w:tc>
      </w:tr>
      <w:tr>
        <w:tc>
          <w:tcPr>
            <w:tcW w:type="dxa" w:w="5400"/>
            <w:tcMar>
              <w:top w:type="dxa" w:w="80"/>
              <w:left w:type="dxa" w:w="100"/>
              <w:bottom w:type="dxa" w:w="80"/>
              <w:right w:type="dxa" w:w="100"/>
            </w:tcMar>
          </w:tcPr>
          <w:p>
            <w:pPr>
              <w:jc w:val="left"/>
            </w:pPr>
            <w:r>
              <w:rPr/>
              <w:t xml:space="preserve">Above ₹50 lakh to ₹2 crore</w:t>
            </w:r>
          </w:p>
        </w:tc>
        <w:tc>
          <w:tcPr>
            <w:tcW w:type="dxa" w:w="3600"/>
            <w:tcMar>
              <w:top w:type="dxa" w:w="80"/>
              <w:left w:type="dxa" w:w="100"/>
              <w:bottom w:type="dxa" w:w="80"/>
              <w:right w:type="dxa" w:w="100"/>
            </w:tcMar>
          </w:tcPr>
          <w:p>
            <w:pPr>
              <w:jc w:val="left"/>
            </w:pPr>
            <w:r>
              <w:rPr/>
              <w:t xml:space="preserve">1.00%</w:t>
            </w:r>
          </w:p>
        </w:tc>
      </w:tr>
      <w:tr>
        <w:tc>
          <w:tcPr>
            <w:tcW w:type="dxa" w:w="5400"/>
            <w:tcMar>
              <w:top w:type="dxa" w:w="80"/>
              <w:left w:type="dxa" w:w="100"/>
              <w:bottom w:type="dxa" w:w="80"/>
              <w:right w:type="dxa" w:w="100"/>
            </w:tcMar>
          </w:tcPr>
          <w:p>
            <w:pPr>
              <w:jc w:val="left"/>
            </w:pPr>
            <w:r>
              <w:rPr/>
              <w:t xml:space="preserve">Above ₹2 crore to ₹10 crore</w:t>
            </w:r>
          </w:p>
        </w:tc>
        <w:tc>
          <w:tcPr>
            <w:tcW w:type="dxa" w:w="3600"/>
            <w:tcMar>
              <w:top w:type="dxa" w:w="80"/>
              <w:left w:type="dxa" w:w="100"/>
              <w:bottom w:type="dxa" w:w="80"/>
              <w:right w:type="dxa" w:w="100"/>
            </w:tcMar>
          </w:tcPr>
          <w:p>
            <w:pPr>
              <w:jc w:val="left"/>
            </w:pPr>
            <w:r>
              <w:rPr/>
              <w:t xml:space="preserve">0.75%</w:t>
            </w:r>
          </w:p>
        </w:tc>
      </w:tr>
      <w:tr>
        <w:tc>
          <w:tcPr>
            <w:tcW w:type="dxa" w:w="5400"/>
            <w:tcMar>
              <w:top w:type="dxa" w:w="80"/>
              <w:left w:type="dxa" w:w="100"/>
              <w:bottom w:type="dxa" w:w="80"/>
              <w:right w:type="dxa" w:w="100"/>
            </w:tcMar>
          </w:tcPr>
          <w:p>
            <w:pPr>
              <w:jc w:val="left"/>
            </w:pPr>
            <w:r>
              <w:rPr/>
              <w:t xml:space="preserve">Above ₹10 crore</w:t>
            </w:r>
          </w:p>
        </w:tc>
        <w:tc>
          <w:tcPr>
            <w:tcW w:type="dxa" w:w="3600"/>
            <w:tcMar>
              <w:top w:type="dxa" w:w="80"/>
              <w:left w:type="dxa" w:w="100"/>
              <w:bottom w:type="dxa" w:w="80"/>
              <w:right w:type="dxa" w:w="100"/>
            </w:tcMar>
          </w:tcPr>
          <w:p>
            <w:pPr>
              <w:jc w:val="left"/>
            </w:pPr>
            <w:r>
              <w:rPr/>
              <w:t xml:space="preserve">0.50% (Negotiable)</w:t>
            </w:r>
          </w:p>
        </w:tc>
      </w:tr>
    </w:tbl>
    <w:p>
      <w:pPr>
        <w:spacing w:after="160"/>
      </w:pPr>
      <w:r>
        <w:t xml:space="preserve">Minimum Success Fee: ₹500 + GST. This rate never varies by tier or segment.</w:t>
      </w:r>
    </w:p>
    <w:p>
      <w:pPr>
        <w:spacing w:after="120"/>
      </w:pPr>
      <w:r>
        <w:rPr>
          <w:b/>
        </w:rPr>
        <w:t xml:space="preserve">Fee Payer Election: </w:t>
      </w:r>
      <w:r>
        <w:t xml:space="preserve">The Success Fee rate itself never changes. What is configurable, per Trading Session, is who pays it — Buyer-Pays (default: Trader's total = Trade Value + Success Fee + GST) or Seller-Pays (Trader pays only the Trade Value, a 0% visible premium). Because the platform never touches the Market Maker's 100% sale-value proceeds (BR-33 — payment passes directly and offline, Trader to Market Maker), a Seller-Pays fee cannot be deducted from those proceeds in real time; instead it is recorded against the Trading Session's TSX and consolidated into one GST-compliant invoice per TSX per calendar month, which the TSX Master settles directly with ADWITIX — a genuine ongoing billing relationship a CoCo Starter TSX does not have. Seller-Pays is therefore available on every paid tier (TSX Launch, TSX Growth, TSX Enterprise); a CoCo Starter TSX only ever runs Buyer-Pays. Must be locked before a Trading Session opens and cannot change once bidding is live. The platform's Success Fee revenue is identical either way — only who it is billed to changes, letting a Market Maker on a paid tier match a 0%-buyer-premium competitor (e.g. BAANKNET) without the platform discounting its own take.</w:t>
      </w:r>
    </w:p>
    <w:p/>
    <w:p>
      <w:pPr>
        <w:spacing w:before="240" w:after="80"/>
      </w:pPr>
      <w:r>
        <w:rPr>
          <w:b/>
          <w:color w:val="B5651D"/>
          <w:sz w:val="23"/>
        </w:rPr>
        <w:t xml:space="preserve">6.5 Storage, Media &amp; Data Retention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1B2A4A" w:val="clear"/>
            <w:tcMar>
              <w:top w:type="dxa" w:w="80"/>
              <w:left w:type="dxa" w:w="100"/>
              <w:bottom w:type="dxa" w:w="80"/>
              <w:right w:type="dxa" w:w="100"/>
            </w:tcMar>
          </w:tcPr>
          <w:p>
            <w:pPr>
              <w:jc w:val="left"/>
            </w:pPr>
            <w:r>
              <w:rPr>
                <w:b/>
                <w:bCs/>
              </w:rPr>
              <w:t xml:space="preserve">Feature</w:t>
            </w:r>
          </w:p>
        </w:tc>
        <w:tc>
          <w:tcPr>
            <w:tcW w:type="dxa" w:w="1600"/>
            <w:shd w:fill="1B2A4A" w:val="clear"/>
            <w:tcMar>
              <w:top w:type="dxa" w:w="80"/>
              <w:left w:type="dxa" w:w="100"/>
              <w:bottom w:type="dxa" w:w="80"/>
              <w:right w:type="dxa" w:w="100"/>
            </w:tcMar>
          </w:tcPr>
          <w:p>
            <w:pPr>
              <w:jc w:val="left"/>
            </w:pPr>
            <w:r>
              <w:rPr>
                <w:b/>
                <w:bCs/>
              </w:rPr>
              <w:t xml:space="preserve">CoCo Starter</w:t>
            </w:r>
          </w:p>
        </w:tc>
        <w:tc>
          <w:tcPr>
            <w:tcW w:type="dxa" w:w="1600"/>
            <w:shd w:fill="1B2A4A" w:val="clear"/>
            <w:tcMar>
              <w:top w:type="dxa" w:w="80"/>
              <w:left w:type="dxa" w:w="100"/>
              <w:bottom w:type="dxa" w:w="80"/>
              <w:right w:type="dxa" w:w="100"/>
            </w:tcMar>
          </w:tcPr>
          <w:p>
            <w:pPr>
              <w:jc w:val="left"/>
            </w:pPr>
            <w:r>
              <w:rPr>
                <w:b/>
                <w:bCs/>
              </w:rPr>
              <w:t xml:space="preserve">TSX Launch</w:t>
            </w:r>
          </w:p>
        </w:tc>
        <w:tc>
          <w:tcPr>
            <w:tcW w:type="dxa" w:w="1600"/>
            <w:shd w:fill="1B2A4A" w:val="clear"/>
            <w:tcMar>
              <w:top w:type="dxa" w:w="80"/>
              <w:left w:type="dxa" w:w="100"/>
              <w:bottom w:type="dxa" w:w="80"/>
              <w:right w:type="dxa" w:w="100"/>
            </w:tcMar>
          </w:tcPr>
          <w:p>
            <w:pPr>
              <w:jc w:val="left"/>
            </w:pPr>
            <w:r>
              <w:rPr>
                <w:b/>
                <w:bCs/>
              </w:rPr>
              <w:t xml:space="preserve">TSX Growth</w:t>
            </w:r>
          </w:p>
        </w:tc>
        <w:tc>
          <w:tcPr>
            <w:tcW w:type="dxa" w:w="1600"/>
            <w:shd w:fill="1B2A4A" w:val="clear"/>
            <w:tcMar>
              <w:top w:type="dxa" w:w="80"/>
              <w:left w:type="dxa" w:w="100"/>
              <w:bottom w:type="dxa" w:w="80"/>
              <w:right w:type="dxa" w:w="100"/>
            </w:tcMar>
          </w:tcPr>
          <w:p>
            <w:pPr>
              <w:jc w:val="left"/>
            </w:pPr>
            <w:r>
              <w:rPr>
                <w:b/>
                <w:bCs/>
              </w:rPr>
              <w:t xml:space="preserve">TSX Enterprise</w:t>
            </w:r>
          </w:p>
        </w:tc>
      </w:tr>
      <w:tr>
        <w:tc>
          <w:tcPr>
            <w:tcW w:type="dxa" w:w="2600"/>
            <w:tcMar>
              <w:top w:type="dxa" w:w="80"/>
              <w:left w:type="dxa" w:w="100"/>
              <w:bottom w:type="dxa" w:w="80"/>
              <w:right w:type="dxa" w:w="100"/>
            </w:tcMar>
          </w:tcPr>
          <w:p>
            <w:pPr>
              <w:jc w:val="left"/>
            </w:pPr>
            <w:r>
              <w:rPr/>
              <w:t xml:space="preserve">Included storage</w:t>
            </w:r>
          </w:p>
        </w:tc>
        <w:tc>
          <w:tcPr>
            <w:tcW w:type="dxa" w:w="1600"/>
            <w:tcMar>
              <w:top w:type="dxa" w:w="80"/>
              <w:left w:type="dxa" w:w="100"/>
              <w:bottom w:type="dxa" w:w="80"/>
              <w:right w:type="dxa" w:w="100"/>
            </w:tcMar>
          </w:tcPr>
          <w:p>
            <w:pPr>
              <w:jc w:val="left"/>
            </w:pPr>
            <w:r>
              <w:rPr/>
              <w:t xml:space="preserve">5 GB</w:t>
            </w:r>
          </w:p>
        </w:tc>
        <w:tc>
          <w:tcPr>
            <w:tcW w:type="dxa" w:w="1600"/>
            <w:tcMar>
              <w:top w:type="dxa" w:w="80"/>
              <w:left w:type="dxa" w:w="100"/>
              <w:bottom w:type="dxa" w:w="80"/>
              <w:right w:type="dxa" w:w="100"/>
            </w:tcMar>
          </w:tcPr>
          <w:p>
            <w:pPr>
              <w:jc w:val="left"/>
            </w:pPr>
            <w:r>
              <w:rPr/>
              <w:t xml:space="preserve">100 GB</w:t>
            </w:r>
          </w:p>
        </w:tc>
        <w:tc>
          <w:tcPr>
            <w:tcW w:type="dxa" w:w="1600"/>
            <w:tcMar>
              <w:top w:type="dxa" w:w="80"/>
              <w:left w:type="dxa" w:w="100"/>
              <w:bottom w:type="dxa" w:w="80"/>
              <w:right w:type="dxa" w:w="100"/>
            </w:tcMar>
          </w:tcPr>
          <w:p>
            <w:pPr>
              <w:jc w:val="left"/>
            </w:pPr>
            <w:r>
              <w:rPr/>
              <w:t xml:space="preserve">400 GB †</w:t>
            </w:r>
          </w:p>
        </w:tc>
        <w:tc>
          <w:tcPr>
            <w:tcW w:type="dxa" w:w="1600"/>
            <w:tcMar>
              <w:top w:type="dxa" w:w="80"/>
              <w:left w:type="dxa" w:w="100"/>
              <w:bottom w:type="dxa" w:w="80"/>
              <w:right w:type="dxa" w:w="100"/>
            </w:tcMar>
          </w:tcPr>
          <w:p>
            <w:pPr>
              <w:jc w:val="left"/>
            </w:pPr>
            <w:r>
              <w:rPr/>
              <w:t xml:space="preserve">1 TB</w:t>
            </w:r>
          </w:p>
        </w:tc>
      </w:tr>
      <w:tr>
        <w:tc>
          <w:tcPr>
            <w:tcW w:type="dxa" w:w="2600"/>
            <w:tcMar>
              <w:top w:type="dxa" w:w="80"/>
              <w:left w:type="dxa" w:w="100"/>
              <w:bottom w:type="dxa" w:w="80"/>
              <w:right w:type="dxa" w:w="100"/>
            </w:tcMar>
          </w:tcPr>
          <w:p>
            <w:pPr>
              <w:jc w:val="left"/>
            </w:pPr>
            <w:r>
              <w:rPr/>
              <w:t xml:space="preserve">Maximum file size</w:t>
            </w:r>
          </w:p>
        </w:tc>
        <w:tc>
          <w:tcPr>
            <w:tcW w:type="dxa" w:w="1600"/>
            <w:tcMar>
              <w:top w:type="dxa" w:w="80"/>
              <w:left w:type="dxa" w:w="100"/>
              <w:bottom w:type="dxa" w:w="80"/>
              <w:right w:type="dxa" w:w="100"/>
            </w:tcMar>
          </w:tcPr>
          <w:p>
            <w:pPr>
              <w:jc w:val="left"/>
            </w:pPr>
            <w:r>
              <w:rPr/>
              <w:t xml:space="preserve">25 MB</w:t>
            </w:r>
          </w:p>
        </w:tc>
        <w:tc>
          <w:tcPr>
            <w:tcW w:type="dxa" w:w="1600"/>
            <w:tcMar>
              <w:top w:type="dxa" w:w="80"/>
              <w:left w:type="dxa" w:w="100"/>
              <w:bottom w:type="dxa" w:w="80"/>
              <w:right w:type="dxa" w:w="100"/>
            </w:tcMar>
          </w:tcPr>
          <w:p>
            <w:pPr>
              <w:jc w:val="left"/>
            </w:pPr>
            <w:r>
              <w:rPr/>
              <w:t xml:space="preserve">100 MB</w:t>
            </w:r>
          </w:p>
        </w:tc>
        <w:tc>
          <w:tcPr>
            <w:tcW w:type="dxa" w:w="1600"/>
            <w:tcMar>
              <w:top w:type="dxa" w:w="80"/>
              <w:left w:type="dxa" w:w="100"/>
              <w:bottom w:type="dxa" w:w="80"/>
              <w:right w:type="dxa" w:w="100"/>
            </w:tcMar>
          </w:tcPr>
          <w:p>
            <w:pPr>
              <w:jc w:val="left"/>
            </w:pPr>
            <w:r>
              <w:rPr/>
              <w:t xml:space="preserve">250 MB †</w:t>
            </w:r>
          </w:p>
        </w:tc>
        <w:tc>
          <w:tcPr>
            <w:tcW w:type="dxa" w:w="1600"/>
            <w:tcMar>
              <w:top w:type="dxa" w:w="80"/>
              <w:left w:type="dxa" w:w="100"/>
              <w:bottom w:type="dxa" w:w="80"/>
              <w:right w:type="dxa" w:w="100"/>
            </w:tcMar>
          </w:tcPr>
          <w:p>
            <w:pPr>
              <w:jc w:val="left"/>
            </w:pPr>
            <w:r>
              <w:rPr/>
              <w:t xml:space="preserve">500 MB</w:t>
            </w:r>
          </w:p>
        </w:tc>
      </w:tr>
      <w:tr>
        <w:tc>
          <w:tcPr>
            <w:tcW w:type="dxa" w:w="2600"/>
            <w:tcMar>
              <w:top w:type="dxa" w:w="80"/>
              <w:left w:type="dxa" w:w="100"/>
              <w:bottom w:type="dxa" w:w="80"/>
              <w:right w:type="dxa" w:w="100"/>
            </w:tcMar>
          </w:tcPr>
          <w:p>
            <w:pPr>
              <w:jc w:val="left"/>
            </w:pPr>
            <w:r>
              <w:rPr/>
              <w:t xml:space="preserve">Images per Lot</w:t>
            </w:r>
          </w:p>
        </w:tc>
        <w:tc>
          <w:tcPr>
            <w:tcW w:type="dxa" w:w="1600"/>
            <w:tcMar>
              <w:top w:type="dxa" w:w="80"/>
              <w:left w:type="dxa" w:w="100"/>
              <w:bottom w:type="dxa" w:w="80"/>
              <w:right w:type="dxa" w:w="100"/>
            </w:tcMar>
          </w:tcPr>
          <w:p>
            <w:pPr>
              <w:jc w:val="left"/>
            </w:pPr>
            <w:r>
              <w:rPr/>
              <w:t xml:space="preserve">20</w:t>
            </w:r>
          </w:p>
        </w:tc>
        <w:tc>
          <w:tcPr>
            <w:tcW w:type="dxa" w:w="1600"/>
            <w:tcMar>
              <w:top w:type="dxa" w:w="80"/>
              <w:left w:type="dxa" w:w="100"/>
              <w:bottom w:type="dxa" w:w="80"/>
              <w:right w:type="dxa" w:w="100"/>
            </w:tcMar>
          </w:tcPr>
          <w:p>
            <w:pPr>
              <w:jc w:val="left"/>
            </w:pPr>
            <w:r>
              <w:rPr/>
              <w:t xml:space="preserve">100</w:t>
            </w:r>
          </w:p>
        </w:tc>
        <w:tc>
          <w:tcPr>
            <w:tcW w:type="dxa" w:w="1600"/>
            <w:tcMar>
              <w:top w:type="dxa" w:w="80"/>
              <w:left w:type="dxa" w:w="100"/>
              <w:bottom w:type="dxa" w:w="80"/>
              <w:right w:type="dxa" w:w="100"/>
            </w:tcMar>
          </w:tcPr>
          <w:p>
            <w:pPr>
              <w:jc w:val="left"/>
            </w:pPr>
            <w:r>
              <w:rPr/>
              <w:t xml:space="preserve">300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Videos per Lot</w:t>
            </w:r>
          </w:p>
        </w:tc>
        <w:tc>
          <w:tcPr>
            <w:tcW w:type="dxa" w:w="1600"/>
            <w:tcMar>
              <w:top w:type="dxa" w:w="80"/>
              <w:left w:type="dxa" w:w="100"/>
              <w:bottom w:type="dxa" w:w="80"/>
              <w:right w:type="dxa" w:w="100"/>
            </w:tcMar>
          </w:tcPr>
          <w:p>
            <w:pPr>
              <w:jc w:val="left"/>
            </w:pPr>
            <w:r>
              <w:rPr/>
              <w:t xml:space="preserve">1</w:t>
            </w:r>
          </w:p>
        </w:tc>
        <w:tc>
          <w:tcPr>
            <w:tcW w:type="dxa" w:w="1600"/>
            <w:tcMar>
              <w:top w:type="dxa" w:w="80"/>
              <w:left w:type="dxa" w:w="100"/>
              <w:bottom w:type="dxa" w:w="80"/>
              <w:right w:type="dxa" w:w="100"/>
            </w:tcMar>
          </w:tcPr>
          <w:p>
            <w:pPr>
              <w:jc w:val="left"/>
            </w:pPr>
            <w:r>
              <w:rPr/>
              <w:t xml:space="preserve">5</w:t>
            </w:r>
          </w:p>
        </w:tc>
        <w:tc>
          <w:tcPr>
            <w:tcW w:type="dxa" w:w="1600"/>
            <w:tcMar>
              <w:top w:type="dxa" w:w="80"/>
              <w:left w:type="dxa" w:w="100"/>
              <w:bottom w:type="dxa" w:w="80"/>
              <w:right w:type="dxa" w:w="100"/>
            </w:tcMar>
          </w:tcPr>
          <w:p>
            <w:pPr>
              <w:jc w:val="left"/>
            </w:pPr>
            <w:r>
              <w:rPr/>
              <w:t xml:space="preserve">10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Documents per Lot</w:t>
            </w:r>
          </w:p>
        </w:tc>
        <w:tc>
          <w:tcPr>
            <w:tcW w:type="dxa" w:w="1600"/>
            <w:tcMar>
              <w:top w:type="dxa" w:w="80"/>
              <w:left w:type="dxa" w:w="100"/>
              <w:bottom w:type="dxa" w:w="80"/>
              <w:right w:type="dxa" w:w="100"/>
            </w:tcMar>
          </w:tcPr>
          <w:p>
            <w:pPr>
              <w:jc w:val="left"/>
            </w:pPr>
            <w:r>
              <w:rPr/>
              <w:t xml:space="preserve">10</w:t>
            </w:r>
          </w:p>
        </w:tc>
        <w:tc>
          <w:tcPr>
            <w:tcW w:type="dxa" w:w="1600"/>
            <w:tcMar>
              <w:top w:type="dxa" w:w="80"/>
              <w:left w:type="dxa" w:w="100"/>
              <w:bottom w:type="dxa" w:w="80"/>
              <w:right w:type="dxa" w:w="100"/>
            </w:tcMar>
          </w:tcPr>
          <w:p>
            <w:pPr>
              <w:jc w:val="left"/>
            </w:pPr>
            <w:r>
              <w:rPr/>
              <w:t xml:space="preserve">50</w:t>
            </w:r>
          </w:p>
        </w:tc>
        <w:tc>
          <w:tcPr>
            <w:tcW w:type="dxa" w:w="1600"/>
            <w:tcMar>
              <w:top w:type="dxa" w:w="80"/>
              <w:left w:type="dxa" w:w="100"/>
              <w:bottom w:type="dxa" w:w="80"/>
              <w:right w:type="dxa" w:w="100"/>
            </w:tcMar>
          </w:tcPr>
          <w:p>
            <w:pPr>
              <w:jc w:val="left"/>
            </w:pPr>
            <w:r>
              <w:rPr/>
              <w:t xml:space="preserve">150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Data retention</w:t>
            </w:r>
          </w:p>
        </w:tc>
        <w:tc>
          <w:tcPr>
            <w:tcW w:type="dxa" w:w="1600"/>
            <w:tcMar>
              <w:top w:type="dxa" w:w="80"/>
              <w:left w:type="dxa" w:w="100"/>
              <w:bottom w:type="dxa" w:w="80"/>
              <w:right w:type="dxa" w:w="100"/>
            </w:tcMar>
          </w:tcPr>
          <w:p>
            <w:pPr>
              <w:jc w:val="left"/>
            </w:pPr>
            <w:r>
              <w:rPr/>
              <w:t xml:space="preserve">1 Year</w:t>
            </w:r>
          </w:p>
        </w:tc>
        <w:tc>
          <w:tcPr>
            <w:tcW w:type="dxa" w:w="1600"/>
            <w:tcMar>
              <w:top w:type="dxa" w:w="80"/>
              <w:left w:type="dxa" w:w="100"/>
              <w:bottom w:type="dxa" w:w="80"/>
              <w:right w:type="dxa" w:w="100"/>
            </w:tcMar>
          </w:tcPr>
          <w:p>
            <w:pPr>
              <w:jc w:val="left"/>
            </w:pPr>
            <w:r>
              <w:rPr/>
              <w:t xml:space="preserve">5 Years</w:t>
            </w:r>
          </w:p>
        </w:tc>
        <w:tc>
          <w:tcPr>
            <w:tcW w:type="dxa" w:w="1600"/>
            <w:tcMar>
              <w:top w:type="dxa" w:w="80"/>
              <w:left w:type="dxa" w:w="100"/>
              <w:bottom w:type="dxa" w:w="80"/>
              <w:right w:type="dxa" w:w="100"/>
            </w:tcMar>
          </w:tcPr>
          <w:p>
            <w:pPr>
              <w:jc w:val="left"/>
            </w:pPr>
            <w:r>
              <w:rPr/>
              <w:t xml:space="preserve">7 Years †</w:t>
            </w:r>
          </w:p>
        </w:tc>
        <w:tc>
          <w:tcPr>
            <w:tcW w:type="dxa" w:w="1600"/>
            <w:tcMar>
              <w:top w:type="dxa" w:w="80"/>
              <w:left w:type="dxa" w:w="100"/>
              <w:bottom w:type="dxa" w:w="80"/>
              <w:right w:type="dxa" w:w="100"/>
            </w:tcMar>
          </w:tcPr>
          <w:p>
            <w:pPr>
              <w:jc w:val="left"/>
            </w:pPr>
            <w:r>
              <w:rPr/>
              <w:t xml:space="preserve">10 Years / Unlimited</w:t>
            </w:r>
          </w:p>
        </w:tc>
      </w:tr>
      <w:tr>
        <w:tc>
          <w:tcPr>
            <w:tcW w:type="dxa" w:w="2600"/>
            <w:tcMar>
              <w:top w:type="dxa" w:w="80"/>
              <w:left w:type="dxa" w:w="100"/>
              <w:bottom w:type="dxa" w:w="80"/>
              <w:right w:type="dxa" w:w="100"/>
            </w:tcMar>
          </w:tcPr>
          <w:p>
            <w:pPr>
              <w:jc w:val="left"/>
            </w:pPr>
            <w:r>
              <w:rPr/>
              <w:t xml:space="preserve">Draft retention</w:t>
            </w:r>
          </w:p>
        </w:tc>
        <w:tc>
          <w:tcPr>
            <w:tcW w:type="dxa" w:w="1600"/>
            <w:tcMar>
              <w:top w:type="dxa" w:w="80"/>
              <w:left w:type="dxa" w:w="100"/>
              <w:bottom w:type="dxa" w:w="80"/>
              <w:right w:type="dxa" w:w="100"/>
            </w:tcMar>
          </w:tcPr>
          <w:p>
            <w:pPr>
              <w:jc w:val="left"/>
            </w:pPr>
            <w:r>
              <w:rPr/>
              <w:t xml:space="preserve">30 Days</w:t>
            </w:r>
          </w:p>
        </w:tc>
        <w:tc>
          <w:tcPr>
            <w:tcW w:type="dxa" w:w="1600"/>
            <w:tcMar>
              <w:top w:type="dxa" w:w="80"/>
              <w:left w:type="dxa" w:w="100"/>
              <w:bottom w:type="dxa" w:w="80"/>
              <w:right w:type="dxa" w:w="100"/>
            </w:tcMar>
          </w:tcPr>
          <w:p>
            <w:pPr>
              <w:jc w:val="left"/>
            </w:pPr>
            <w:r>
              <w:rPr/>
              <w:t xml:space="preserve">180 Days</w:t>
            </w:r>
          </w:p>
        </w:tc>
        <w:tc>
          <w:tcPr>
            <w:tcW w:type="dxa" w:w="1600"/>
            <w:tcMar>
              <w:top w:type="dxa" w:w="80"/>
              <w:left w:type="dxa" w:w="100"/>
              <w:bottom w:type="dxa" w:w="80"/>
              <w:right w:type="dxa" w:w="100"/>
            </w:tcMar>
          </w:tcPr>
          <w:p>
            <w:pPr>
              <w:jc w:val="left"/>
            </w:pPr>
            <w:r>
              <w:rPr/>
              <w:t xml:space="preserve">1 Year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Deleted-data recovery</w:t>
            </w:r>
          </w:p>
        </w:tc>
        <w:tc>
          <w:tcPr>
            <w:tcW w:type="dxa" w:w="1600"/>
            <w:tcMar>
              <w:top w:type="dxa" w:w="80"/>
              <w:left w:type="dxa" w:w="100"/>
              <w:bottom w:type="dxa" w:w="80"/>
              <w:right w:type="dxa" w:w="100"/>
            </w:tcMar>
          </w:tcPr>
          <w:p>
            <w:pPr>
              <w:jc w:val="left"/>
            </w:pPr>
            <w:r>
              <w:rPr/>
              <w:t xml:space="preserve">7 Days</w:t>
            </w:r>
          </w:p>
        </w:tc>
        <w:tc>
          <w:tcPr>
            <w:tcW w:type="dxa" w:w="1600"/>
            <w:tcMar>
              <w:top w:type="dxa" w:w="80"/>
              <w:left w:type="dxa" w:w="100"/>
              <w:bottom w:type="dxa" w:w="80"/>
              <w:right w:type="dxa" w:w="100"/>
            </w:tcMar>
          </w:tcPr>
          <w:p>
            <w:pPr>
              <w:jc w:val="left"/>
            </w:pPr>
            <w:r>
              <w:rPr/>
              <w:t xml:space="preserve">30 Days</w:t>
            </w:r>
          </w:p>
        </w:tc>
        <w:tc>
          <w:tcPr>
            <w:tcW w:type="dxa" w:w="1600"/>
            <w:tcMar>
              <w:top w:type="dxa" w:w="80"/>
              <w:left w:type="dxa" w:w="100"/>
              <w:bottom w:type="dxa" w:w="80"/>
              <w:right w:type="dxa" w:w="100"/>
            </w:tcMar>
          </w:tcPr>
          <w:p>
            <w:pPr>
              <w:jc w:val="left"/>
            </w:pPr>
            <w:r>
              <w:rPr/>
              <w:t xml:space="preserve">90 Days †</w:t>
            </w:r>
          </w:p>
        </w:tc>
        <w:tc>
          <w:tcPr>
            <w:tcW w:type="dxa" w:w="1600"/>
            <w:tcMar>
              <w:top w:type="dxa" w:w="80"/>
              <w:left w:type="dxa" w:w="100"/>
              <w:bottom w:type="dxa" w:w="80"/>
              <w:right w:type="dxa" w:w="100"/>
            </w:tcMar>
          </w:tcPr>
          <w:p>
            <w:pPr>
              <w:jc w:val="left"/>
            </w:pPr>
            <w:r>
              <w:rPr/>
              <w:t xml:space="preserve">180 Days</w:t>
            </w:r>
          </w:p>
        </w:tc>
      </w:tr>
      <w:tr>
        <w:tc>
          <w:tcPr>
            <w:tcW w:type="dxa" w:w="2600"/>
            <w:tcMar>
              <w:top w:type="dxa" w:w="80"/>
              <w:left w:type="dxa" w:w="100"/>
              <w:bottom w:type="dxa" w:w="80"/>
              <w:right w:type="dxa" w:w="100"/>
            </w:tcMar>
          </w:tcPr>
          <w:p>
            <w:pPr>
              <w:jc w:val="left"/>
            </w:pPr>
            <w:r>
              <w:rPr/>
              <w:t xml:space="preserve">Archive access</w:t>
            </w:r>
          </w:p>
        </w:tc>
        <w:tc>
          <w:tcPr>
            <w:tcW w:type="dxa" w:w="1600"/>
            <w:tcMar>
              <w:top w:type="dxa" w:w="80"/>
              <w:left w:type="dxa" w:w="100"/>
              <w:bottom w:type="dxa" w:w="80"/>
              <w:right w:type="dxa" w:w="100"/>
            </w:tcMar>
          </w:tcPr>
          <w:p>
            <w:pPr>
              <w:jc w:val="left"/>
            </w:pPr>
            <w:r>
              <w:rPr/>
              <w:t xml:space="preserve">—</w:t>
            </w:r>
          </w:p>
        </w:tc>
        <w:tc>
          <w:tcPr>
            <w:tcW w:type="dxa" w:w="1600"/>
            <w:tcMar>
              <w:top w:type="dxa" w:w="80"/>
              <w:left w:type="dxa" w:w="100"/>
              <w:bottom w:type="dxa" w:w="80"/>
              <w:right w:type="dxa" w:w="100"/>
            </w:tcMar>
          </w:tcPr>
          <w:p>
            <w:pPr>
              <w:jc w:val="left"/>
            </w:pPr>
            <w:r>
              <w:rPr/>
              <w:t xml:space="preserve">Yes</w:t>
            </w:r>
          </w:p>
        </w:tc>
        <w:tc>
          <w:tcPr>
            <w:tcW w:type="dxa" w:w="1600"/>
            <w:tcMar>
              <w:top w:type="dxa" w:w="80"/>
              <w:left w:type="dxa" w:w="100"/>
              <w:bottom w:type="dxa" w:w="80"/>
              <w:right w:type="dxa" w:w="100"/>
            </w:tcMar>
          </w:tcPr>
          <w:p>
            <w:pPr>
              <w:jc w:val="left"/>
            </w:pPr>
            <w:r>
              <w:rPr/>
              <w:t xml:space="preserve">Yes †</w:t>
            </w:r>
          </w:p>
        </w:tc>
        <w:tc>
          <w:tcPr>
            <w:tcW w:type="dxa" w:w="1600"/>
            <w:tcMar>
              <w:top w:type="dxa" w:w="80"/>
              <w:left w:type="dxa" w:w="100"/>
              <w:bottom w:type="dxa" w:w="80"/>
              <w:right w:type="dxa" w:w="100"/>
            </w:tcMar>
          </w:tcPr>
          <w:p>
            <w:pPr>
              <w:jc w:val="left"/>
            </w:pPr>
            <w:r>
              <w:rPr/>
              <w:t xml:space="preserve">Yes</w:t>
            </w:r>
          </w:p>
        </w:tc>
      </w:tr>
      <w:tr>
        <w:tc>
          <w:tcPr>
            <w:tcW w:type="dxa" w:w="2600"/>
            <w:tcMar>
              <w:top w:type="dxa" w:w="80"/>
              <w:left w:type="dxa" w:w="100"/>
              <w:bottom w:type="dxa" w:w="80"/>
              <w:right w:type="dxa" w:w="100"/>
            </w:tcMar>
          </w:tcPr>
          <w:p>
            <w:pPr>
              <w:jc w:val="left"/>
            </w:pPr>
            <w:r>
              <w:rPr/>
              <w:t xml:space="preserve">Purge policy</w:t>
            </w:r>
          </w:p>
        </w:tc>
        <w:tc>
          <w:tcPr>
            <w:tcW w:type="dxa" w:w="1600"/>
            <w:tcMar>
              <w:top w:type="dxa" w:w="80"/>
              <w:left w:type="dxa" w:w="100"/>
              <w:bottom w:type="dxa" w:w="80"/>
              <w:right w:type="dxa" w:w="100"/>
            </w:tcMar>
          </w:tcPr>
          <w:p>
            <w:pPr>
              <w:jc w:val="left"/>
            </w:pPr>
            <w:r>
              <w:rPr/>
              <w:t xml:space="preserve">Automatic</w:t>
            </w:r>
          </w:p>
        </w:tc>
        <w:tc>
          <w:tcPr>
            <w:tcW w:type="dxa" w:w="1600"/>
            <w:tcMar>
              <w:top w:type="dxa" w:w="80"/>
              <w:left w:type="dxa" w:w="100"/>
              <w:bottom w:type="dxa" w:w="80"/>
              <w:right w:type="dxa" w:w="100"/>
            </w:tcMar>
          </w:tcPr>
          <w:p>
            <w:pPr>
              <w:jc w:val="left"/>
            </w:pPr>
            <w:r>
              <w:rPr/>
              <w:t xml:space="preserve">Configurable</w:t>
            </w:r>
          </w:p>
        </w:tc>
        <w:tc>
          <w:tcPr>
            <w:tcW w:type="dxa" w:w="1600"/>
            <w:tcMar>
              <w:top w:type="dxa" w:w="80"/>
              <w:left w:type="dxa" w:w="100"/>
              <w:bottom w:type="dxa" w:w="80"/>
              <w:right w:type="dxa" w:w="100"/>
            </w:tcMar>
          </w:tcPr>
          <w:p>
            <w:pPr>
              <w:jc w:val="left"/>
            </w:pPr>
            <w:r>
              <w:rPr/>
              <w:t xml:space="preserve">Configurable †</w:t>
            </w:r>
          </w:p>
        </w:tc>
        <w:tc>
          <w:tcPr>
            <w:tcW w:type="dxa" w:w="1600"/>
            <w:tcMar>
              <w:top w:type="dxa" w:w="80"/>
              <w:left w:type="dxa" w:w="100"/>
              <w:bottom w:type="dxa" w:w="80"/>
              <w:right w:type="dxa" w:w="100"/>
            </w:tcMar>
          </w:tcPr>
          <w:p>
            <w:pPr>
              <w:jc w:val="left"/>
            </w:pPr>
            <w:r>
              <w:rPr/>
              <w:t xml:space="preserve">Customer Defined</w:t>
            </w:r>
          </w:p>
        </w:tc>
      </w:tr>
      <w:tr>
        <w:tc>
          <w:tcPr>
            <w:tcW w:type="dxa" w:w="2600"/>
            <w:tcMar>
              <w:top w:type="dxa" w:w="80"/>
              <w:left w:type="dxa" w:w="100"/>
              <w:bottom w:type="dxa" w:w="80"/>
              <w:right w:type="dxa" w:w="100"/>
            </w:tcMar>
          </w:tcPr>
          <w:p>
            <w:pPr>
              <w:jc w:val="left"/>
            </w:pPr>
            <w:r>
              <w:rPr/>
              <w:t xml:space="preserve">Backup frequency</w:t>
            </w:r>
          </w:p>
        </w:tc>
        <w:tc>
          <w:tcPr>
            <w:tcW w:type="dxa" w:w="1600"/>
            <w:tcMar>
              <w:top w:type="dxa" w:w="80"/>
              <w:left w:type="dxa" w:w="100"/>
              <w:bottom w:type="dxa" w:w="80"/>
              <w:right w:type="dxa" w:w="100"/>
            </w:tcMar>
          </w:tcPr>
          <w:p>
            <w:pPr>
              <w:jc w:val="left"/>
            </w:pPr>
            <w:r>
              <w:rPr/>
              <w:t xml:space="preserve">Daily</w:t>
            </w:r>
          </w:p>
        </w:tc>
        <w:tc>
          <w:tcPr>
            <w:tcW w:type="dxa" w:w="1600"/>
            <w:tcMar>
              <w:top w:type="dxa" w:w="80"/>
              <w:left w:type="dxa" w:w="100"/>
              <w:bottom w:type="dxa" w:w="80"/>
              <w:right w:type="dxa" w:w="100"/>
            </w:tcMar>
          </w:tcPr>
          <w:p>
            <w:pPr>
              <w:jc w:val="left"/>
            </w:pPr>
            <w:r>
              <w:rPr/>
              <w:t xml:space="preserve">Daily</w:t>
            </w:r>
          </w:p>
        </w:tc>
        <w:tc>
          <w:tcPr>
            <w:tcW w:type="dxa" w:w="1600"/>
            <w:tcMar>
              <w:top w:type="dxa" w:w="80"/>
              <w:left w:type="dxa" w:w="100"/>
              <w:bottom w:type="dxa" w:w="80"/>
              <w:right w:type="dxa" w:w="100"/>
            </w:tcMar>
          </w:tcPr>
          <w:p>
            <w:pPr>
              <w:jc w:val="left"/>
            </w:pPr>
            <w:r>
              <w:rPr/>
              <w:t xml:space="preserve">Daily †</w:t>
            </w:r>
          </w:p>
        </w:tc>
        <w:tc>
          <w:tcPr>
            <w:tcW w:type="dxa" w:w="1600"/>
            <w:tcMar>
              <w:top w:type="dxa" w:w="80"/>
              <w:left w:type="dxa" w:w="100"/>
              <w:bottom w:type="dxa" w:w="80"/>
              <w:right w:type="dxa" w:w="100"/>
            </w:tcMar>
          </w:tcPr>
          <w:p>
            <w:pPr>
              <w:jc w:val="left"/>
            </w:pPr>
            <w:r>
              <w:rPr/>
              <w:t xml:space="preserve">Real-time + Daily</w:t>
            </w:r>
          </w:p>
        </w:tc>
      </w:tr>
      <w:tr>
        <w:tc>
          <w:tcPr>
            <w:tcW w:type="dxa" w:w="2600"/>
            <w:tcMar>
              <w:top w:type="dxa" w:w="80"/>
              <w:left w:type="dxa" w:w="100"/>
              <w:bottom w:type="dxa" w:w="80"/>
              <w:right w:type="dxa" w:w="100"/>
            </w:tcMar>
          </w:tcPr>
          <w:p>
            <w:pPr>
              <w:jc w:val="left"/>
            </w:pPr>
            <w:r>
              <w:rPr/>
              <w:t xml:space="preserve">Restore requests</w:t>
            </w:r>
          </w:p>
        </w:tc>
        <w:tc>
          <w:tcPr>
            <w:tcW w:type="dxa" w:w="1600"/>
            <w:tcMar>
              <w:top w:type="dxa" w:w="80"/>
              <w:left w:type="dxa" w:w="100"/>
              <w:bottom w:type="dxa" w:w="80"/>
              <w:right w:type="dxa" w:w="100"/>
            </w:tcMar>
          </w:tcPr>
          <w:p>
            <w:pPr>
              <w:jc w:val="left"/>
            </w:pPr>
            <w:r>
              <w:rPr/>
              <w:t xml:space="preserve">Chargeable</w:t>
            </w:r>
          </w:p>
        </w:tc>
        <w:tc>
          <w:tcPr>
            <w:tcW w:type="dxa" w:w="1600"/>
            <w:tcMar>
              <w:top w:type="dxa" w:w="80"/>
              <w:left w:type="dxa" w:w="100"/>
              <w:bottom w:type="dxa" w:w="80"/>
              <w:right w:type="dxa" w:w="100"/>
            </w:tcMar>
          </w:tcPr>
          <w:p>
            <w:pPr>
              <w:jc w:val="left"/>
            </w:pPr>
            <w:r>
              <w:rPr/>
              <w:t xml:space="preserve">Included</w:t>
            </w:r>
          </w:p>
        </w:tc>
        <w:tc>
          <w:tcPr>
            <w:tcW w:type="dxa" w:w="1600"/>
            <w:tcMar>
              <w:top w:type="dxa" w:w="80"/>
              <w:left w:type="dxa" w:w="100"/>
              <w:bottom w:type="dxa" w:w="80"/>
              <w:right w:type="dxa" w:w="100"/>
            </w:tcMar>
          </w:tcPr>
          <w:p>
            <w:pPr>
              <w:jc w:val="left"/>
            </w:pPr>
            <w:r>
              <w:rPr/>
              <w:t xml:space="preserve">Included †</w:t>
            </w:r>
          </w:p>
        </w:tc>
        <w:tc>
          <w:tcPr>
            <w:tcW w:type="dxa" w:w="1600"/>
            <w:tcMar>
              <w:top w:type="dxa" w:w="80"/>
              <w:left w:type="dxa" w:w="100"/>
              <w:bottom w:type="dxa" w:w="80"/>
              <w:right w:type="dxa" w:w="100"/>
            </w:tcMar>
          </w:tcPr>
          <w:p>
            <w:pPr>
              <w:jc w:val="left"/>
            </w:pPr>
            <w:r>
              <w:rPr/>
              <w:t xml:space="preserve">Priority</w:t>
            </w:r>
          </w:p>
        </w:tc>
      </w:tr>
      <w:tr>
        <w:tc>
          <w:tcPr>
            <w:tcW w:type="dxa" w:w="2600"/>
            <w:tcMar>
              <w:top w:type="dxa" w:w="80"/>
              <w:left w:type="dxa" w:w="100"/>
              <w:bottom w:type="dxa" w:w="80"/>
              <w:right w:type="dxa" w:w="100"/>
            </w:tcMar>
          </w:tcPr>
          <w:p>
            <w:pPr>
              <w:jc w:val="left"/>
            </w:pPr>
            <w:r>
              <w:rPr/>
              <w:t xml:space="preserve">Audit trail retention</w:t>
            </w:r>
          </w:p>
        </w:tc>
        <w:tc>
          <w:tcPr>
            <w:tcW w:type="dxa" w:w="1600"/>
            <w:tcMar>
              <w:top w:type="dxa" w:w="80"/>
              <w:left w:type="dxa" w:w="100"/>
              <w:bottom w:type="dxa" w:w="80"/>
              <w:right w:type="dxa" w:w="100"/>
            </w:tcMar>
          </w:tcPr>
          <w:p>
            <w:pPr>
              <w:jc w:val="left"/>
            </w:pPr>
            <w:r>
              <w:rPr/>
              <w:t xml:space="preserve">90 Days</w:t>
            </w:r>
          </w:p>
        </w:tc>
        <w:tc>
          <w:tcPr>
            <w:tcW w:type="dxa" w:w="1600"/>
            <w:tcMar>
              <w:top w:type="dxa" w:w="80"/>
              <w:left w:type="dxa" w:w="100"/>
              <w:bottom w:type="dxa" w:w="80"/>
              <w:right w:type="dxa" w:w="100"/>
            </w:tcMar>
          </w:tcPr>
          <w:p>
            <w:pPr>
              <w:jc w:val="left"/>
            </w:pPr>
            <w:r>
              <w:rPr/>
              <w:t xml:space="preserve">2 Years</w:t>
            </w:r>
          </w:p>
        </w:tc>
        <w:tc>
          <w:tcPr>
            <w:tcW w:type="dxa" w:w="1600"/>
            <w:tcMar>
              <w:top w:type="dxa" w:w="80"/>
              <w:left w:type="dxa" w:w="100"/>
              <w:bottom w:type="dxa" w:w="80"/>
              <w:right w:type="dxa" w:w="100"/>
            </w:tcMar>
          </w:tcPr>
          <w:p>
            <w:pPr>
              <w:jc w:val="left"/>
            </w:pPr>
            <w:r>
              <w:rPr/>
              <w:t xml:space="preserve">5 Years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Activity history</w:t>
            </w:r>
          </w:p>
        </w:tc>
        <w:tc>
          <w:tcPr>
            <w:tcW w:type="dxa" w:w="1600"/>
            <w:tcMar>
              <w:top w:type="dxa" w:w="80"/>
              <w:left w:type="dxa" w:w="100"/>
              <w:bottom w:type="dxa" w:w="80"/>
              <w:right w:type="dxa" w:w="100"/>
            </w:tcMar>
          </w:tcPr>
          <w:p>
            <w:pPr>
              <w:jc w:val="left"/>
            </w:pPr>
            <w:r>
              <w:rPr/>
              <w:t xml:space="preserve">1 Year</w:t>
            </w:r>
          </w:p>
        </w:tc>
        <w:tc>
          <w:tcPr>
            <w:tcW w:type="dxa" w:w="1600"/>
            <w:tcMar>
              <w:top w:type="dxa" w:w="80"/>
              <w:left w:type="dxa" w:w="100"/>
              <w:bottom w:type="dxa" w:w="80"/>
              <w:right w:type="dxa" w:w="100"/>
            </w:tcMar>
          </w:tcPr>
          <w:p>
            <w:pPr>
              <w:jc w:val="left"/>
            </w:pPr>
            <w:r>
              <w:rPr/>
              <w:t xml:space="preserve">5 Years</w:t>
            </w:r>
          </w:p>
        </w:tc>
        <w:tc>
          <w:tcPr>
            <w:tcW w:type="dxa" w:w="1600"/>
            <w:tcMar>
              <w:top w:type="dxa" w:w="80"/>
              <w:left w:type="dxa" w:w="100"/>
              <w:bottom w:type="dxa" w:w="80"/>
              <w:right w:type="dxa" w:w="100"/>
            </w:tcMar>
          </w:tcPr>
          <w:p>
            <w:pPr>
              <w:jc w:val="left"/>
            </w:pPr>
            <w:r>
              <w:rPr/>
              <w:t xml:space="preserve">7 Years †</w:t>
            </w:r>
          </w:p>
        </w:tc>
        <w:tc>
          <w:tcPr>
            <w:tcW w:type="dxa" w:w="1600"/>
            <w:tcMar>
              <w:top w:type="dxa" w:w="80"/>
              <w:left w:type="dxa" w:w="100"/>
              <w:bottom w:type="dxa" w:w="80"/>
              <w:right w:type="dxa" w:w="100"/>
            </w:tcMar>
          </w:tcPr>
          <w:p>
            <w:pPr>
              <w:jc w:val="left"/>
            </w:pPr>
            <w:r>
              <w:rPr/>
              <w:t xml:space="preserve">Unlimited</w:t>
            </w:r>
          </w:p>
        </w:tc>
      </w:tr>
    </w:tbl>
    <w:p>
      <w:pPr>
        <w:spacing w:after="200"/>
      </w:pPr>
      <w:r>
        <w:t xml:space="preserve">Additional storage beyond the included allowance: ₹2,000 per 100 GB/year + GST, the same rate across every tier. TSX Growth values (†) are working interpolations pending confirmed usage data.</w:t>
      </w:r>
    </w:p>
    <w:p>
      <w:pPr>
        <w:spacing w:before="240" w:after="80"/>
      </w:pPr>
      <w:r>
        <w:rPr>
          <w:b/>
          <w:color w:val="B5651D"/>
          <w:sz w:val="23"/>
        </w:rPr>
        <w:t xml:space="preserve">6.6 Optional Marketplace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B2A4A" w:val="clear"/>
            <w:tcMar>
              <w:top w:type="dxa" w:w="80"/>
              <w:left w:type="dxa" w:w="100"/>
              <w:bottom w:type="dxa" w:w="80"/>
              <w:right w:type="dxa" w:w="100"/>
            </w:tcMar>
          </w:tcPr>
          <w:p>
            <w:pPr>
              <w:jc w:val="left"/>
            </w:pPr>
            <w:r>
              <w:rPr>
                <w:b/>
                <w:bCs/>
              </w:rPr>
              <w:t xml:space="preserve">Service</w:t>
            </w:r>
          </w:p>
        </w:tc>
        <w:tc>
          <w:tcPr>
            <w:tcW w:type="dxa" w:w="3600"/>
            <w:shd w:fill="1B2A4A" w:val="clear"/>
            <w:tcMar>
              <w:top w:type="dxa" w:w="80"/>
              <w:left w:type="dxa" w:w="100"/>
              <w:bottom w:type="dxa" w:w="80"/>
              <w:right w:type="dxa" w:w="100"/>
            </w:tcMar>
          </w:tcPr>
          <w:p>
            <w:pPr>
              <w:jc w:val="left"/>
            </w:pPr>
            <w:r>
              <w:rPr>
                <w:b/>
                <w:bCs/>
              </w:rPr>
              <w:t xml:space="preserve">Price</w:t>
            </w:r>
          </w:p>
        </w:tc>
      </w:tr>
      <w:tr>
        <w:tc>
          <w:tcPr>
            <w:tcW w:type="dxa" w:w="5400"/>
            <w:tcMar>
              <w:top w:type="dxa" w:w="80"/>
              <w:left w:type="dxa" w:w="100"/>
              <w:bottom w:type="dxa" w:w="80"/>
              <w:right w:type="dxa" w:w="100"/>
            </w:tcMar>
          </w:tcPr>
          <w:p>
            <w:pPr>
              <w:jc w:val="left"/>
            </w:pPr>
            <w:r>
              <w:rPr/>
              <w:t xml:space="preserve">Additional Storage</w:t>
            </w:r>
          </w:p>
        </w:tc>
        <w:tc>
          <w:tcPr>
            <w:tcW w:type="dxa" w:w="3600"/>
            <w:tcMar>
              <w:top w:type="dxa" w:w="80"/>
              <w:left w:type="dxa" w:w="100"/>
              <w:bottom w:type="dxa" w:w="80"/>
              <w:right w:type="dxa" w:w="100"/>
            </w:tcMar>
          </w:tcPr>
          <w:p>
            <w:pPr>
              <w:jc w:val="left"/>
            </w:pPr>
            <w:r>
              <w:rPr/>
              <w:t xml:space="preserve">₹2,000 per 100 GB/year + GST</w:t>
            </w:r>
          </w:p>
        </w:tc>
      </w:tr>
      <w:tr>
        <w:tc>
          <w:tcPr>
            <w:tcW w:type="dxa" w:w="5400"/>
            <w:tcMar>
              <w:top w:type="dxa" w:w="80"/>
              <w:left w:type="dxa" w:w="100"/>
              <w:bottom w:type="dxa" w:w="80"/>
              <w:right w:type="dxa" w:w="100"/>
            </w:tcMar>
          </w:tcPr>
          <w:p>
            <w:pPr>
              <w:jc w:val="left"/>
            </w:pPr>
            <w:r>
              <w:rPr/>
              <w:t xml:space="preserve">Marketplace Setup &amp; Branding</w:t>
            </w:r>
          </w:p>
        </w:tc>
        <w:tc>
          <w:tcPr>
            <w:tcW w:type="dxa" w:w="3600"/>
            <w:tcMar>
              <w:top w:type="dxa" w:w="80"/>
              <w:left w:type="dxa" w:w="100"/>
              <w:bottom w:type="dxa" w:w="80"/>
              <w:right w:type="dxa" w:w="100"/>
            </w:tcMar>
          </w:tcPr>
          <w:p>
            <w:pPr>
              <w:jc w:val="left"/>
            </w:pPr>
            <w:r>
              <w:rPr/>
              <w:t xml:space="preserve">₹50,000 onwards + GST</w:t>
            </w:r>
          </w:p>
        </w:tc>
      </w:tr>
      <w:tr>
        <w:tc>
          <w:tcPr>
            <w:tcW w:type="dxa" w:w="5400"/>
            <w:tcMar>
              <w:top w:type="dxa" w:w="80"/>
              <w:left w:type="dxa" w:w="100"/>
              <w:bottom w:type="dxa" w:w="80"/>
              <w:right w:type="dxa" w:w="100"/>
            </w:tcMar>
          </w:tcPr>
          <w:p>
            <w:pPr>
              <w:jc w:val="left"/>
            </w:pPr>
            <w:r>
              <w:rPr/>
              <w:t xml:space="preserve">Data Migration</w:t>
            </w:r>
          </w:p>
        </w:tc>
        <w:tc>
          <w:tcPr>
            <w:tcW w:type="dxa" w:w="3600"/>
            <w:tcMar>
              <w:top w:type="dxa" w:w="80"/>
              <w:left w:type="dxa" w:w="100"/>
              <w:bottom w:type="dxa" w:w="80"/>
              <w:right w:type="dxa" w:w="100"/>
            </w:tcMar>
          </w:tcPr>
          <w:p>
            <w:pPr>
              <w:jc w:val="left"/>
            </w:pPr>
            <w:r>
              <w:rPr/>
              <w:t xml:space="preserve">₹25,000 onwards + GST</w:t>
            </w:r>
          </w:p>
        </w:tc>
      </w:tr>
      <w:tr>
        <w:tc>
          <w:tcPr>
            <w:tcW w:type="dxa" w:w="5400"/>
            <w:tcMar>
              <w:top w:type="dxa" w:w="80"/>
              <w:left w:type="dxa" w:w="100"/>
              <w:bottom w:type="dxa" w:w="80"/>
              <w:right w:type="dxa" w:w="100"/>
            </w:tcMar>
          </w:tcPr>
          <w:p>
            <w:pPr>
              <w:jc w:val="left"/>
            </w:pPr>
            <w:r>
              <w:rPr/>
              <w:t xml:space="preserve">API Integration Setup (one-time)</w:t>
            </w:r>
          </w:p>
        </w:tc>
        <w:tc>
          <w:tcPr>
            <w:tcW w:type="dxa" w:w="3600"/>
            <w:tcMar>
              <w:top w:type="dxa" w:w="80"/>
              <w:left w:type="dxa" w:w="100"/>
              <w:bottom w:type="dxa" w:w="80"/>
              <w:right w:type="dxa" w:w="100"/>
            </w:tcMar>
          </w:tcPr>
          <w:p>
            <w:pPr>
              <w:jc w:val="left"/>
            </w:pPr>
            <w:r>
              <w:rPr/>
              <w:t xml:space="preserve">₹1,00,000 onwards + GST</w:t>
            </w:r>
          </w:p>
        </w:tc>
      </w:tr>
      <w:tr>
        <w:tc>
          <w:tcPr>
            <w:tcW w:type="dxa" w:w="5400"/>
            <w:tcMar>
              <w:top w:type="dxa" w:w="80"/>
              <w:left w:type="dxa" w:w="100"/>
              <w:bottom w:type="dxa" w:w="80"/>
              <w:right w:type="dxa" w:w="100"/>
            </w:tcMar>
          </w:tcPr>
          <w:p>
            <w:pPr>
              <w:jc w:val="left"/>
            </w:pPr>
            <w:r>
              <w:rPr/>
              <w:t xml:space="preserve">Online Training</w:t>
            </w:r>
          </w:p>
        </w:tc>
        <w:tc>
          <w:tcPr>
            <w:tcW w:type="dxa" w:w="3600"/>
            <w:tcMar>
              <w:top w:type="dxa" w:w="80"/>
              <w:left w:type="dxa" w:w="100"/>
              <w:bottom w:type="dxa" w:w="80"/>
              <w:right w:type="dxa" w:w="100"/>
            </w:tcMar>
          </w:tcPr>
          <w:p>
            <w:pPr>
              <w:jc w:val="left"/>
            </w:pPr>
            <w:r>
              <w:rPr/>
              <w:t xml:space="preserve">₹10,000/day + GST</w:t>
            </w:r>
          </w:p>
        </w:tc>
      </w:tr>
      <w:tr>
        <w:tc>
          <w:tcPr>
            <w:tcW w:type="dxa" w:w="5400"/>
            <w:tcMar>
              <w:top w:type="dxa" w:w="80"/>
              <w:left w:type="dxa" w:w="100"/>
              <w:bottom w:type="dxa" w:w="80"/>
              <w:right w:type="dxa" w:w="100"/>
            </w:tcMar>
          </w:tcPr>
          <w:p>
            <w:pPr>
              <w:jc w:val="left"/>
            </w:pPr>
            <w:r>
              <w:rPr/>
              <w:t xml:space="preserve">Onsite Training</w:t>
            </w:r>
          </w:p>
        </w:tc>
        <w:tc>
          <w:tcPr>
            <w:tcW w:type="dxa" w:w="3600"/>
            <w:tcMar>
              <w:top w:type="dxa" w:w="80"/>
              <w:left w:type="dxa" w:w="100"/>
              <w:bottom w:type="dxa" w:w="80"/>
              <w:right w:type="dxa" w:w="100"/>
            </w:tcMar>
          </w:tcPr>
          <w:p>
            <w:pPr>
              <w:jc w:val="left"/>
            </w:pPr>
            <w:r>
              <w:rPr/>
              <w:t xml:space="preserve">₹25,000/day + expenses + GST</w:t>
            </w:r>
          </w:p>
        </w:tc>
      </w:tr>
      <w:tr>
        <w:tc>
          <w:tcPr>
            <w:tcW w:type="dxa" w:w="5400"/>
            <w:tcMar>
              <w:top w:type="dxa" w:w="80"/>
              <w:left w:type="dxa" w:w="100"/>
              <w:bottom w:type="dxa" w:w="80"/>
              <w:right w:type="dxa" w:w="100"/>
            </w:tcMar>
          </w:tcPr>
          <w:p>
            <w:pPr>
              <w:jc w:val="left"/>
            </w:pPr>
            <w:r>
              <w:rPr/>
              <w:t xml:space="preserve">Custom Development</w:t>
            </w:r>
          </w:p>
        </w:tc>
        <w:tc>
          <w:tcPr>
            <w:tcW w:type="dxa" w:w="3600"/>
            <w:tcMar>
              <w:top w:type="dxa" w:w="80"/>
              <w:left w:type="dxa" w:w="100"/>
              <w:bottom w:type="dxa" w:w="80"/>
              <w:right w:type="dxa" w:w="100"/>
            </w:tcMar>
          </w:tcPr>
          <w:p>
            <w:pPr>
              <w:jc w:val="left"/>
            </w:pPr>
            <w:r>
              <w:rPr/>
              <w:t xml:space="preserve">₹2,500/hour + GST</w:t>
            </w:r>
          </w:p>
        </w:tc>
      </w:tr>
      <w:tr>
        <w:tc>
          <w:tcPr>
            <w:tcW w:type="dxa" w:w="5400"/>
            <w:tcMar>
              <w:top w:type="dxa" w:w="80"/>
              <w:left w:type="dxa" w:w="100"/>
              <w:bottom w:type="dxa" w:w="80"/>
              <w:right w:type="dxa" w:w="100"/>
            </w:tcMar>
          </w:tcPr>
          <w:p>
            <w:pPr>
              <w:jc w:val="left"/>
            </w:pPr>
            <w:r>
              <w:rPr/>
              <w:t xml:space="preserve">AI Services</w:t>
            </w:r>
          </w:p>
        </w:tc>
        <w:tc>
          <w:tcPr>
            <w:tcW w:type="dxa" w:w="3600"/>
            <w:tcMar>
              <w:top w:type="dxa" w:w="80"/>
              <w:left w:type="dxa" w:w="100"/>
              <w:bottom w:type="dxa" w:w="80"/>
              <w:right w:type="dxa" w:w="100"/>
            </w:tcMar>
          </w:tcPr>
          <w:p>
            <w:pPr>
              <w:jc w:val="left"/>
            </w:pPr>
            <w:r>
              <w:rPr/>
              <w:t xml:space="preserve">Future</w:t>
            </w:r>
          </w:p>
        </w:tc>
      </w:tr>
    </w:tbl>
    <w:p/>
    <w:p>
      <w:pPr>
        <w:spacing w:before="240" w:after="80"/>
      </w:pPr>
      <w:r>
        <w:rPr>
          <w:b/>
          <w:color w:val="B5651D"/>
          <w:sz w:val="23"/>
        </w:rPr>
        <w:t xml:space="preserve">6.7 Enterprise Add-ons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B2A4A" w:val="clear"/>
            <w:tcMar>
              <w:top w:type="dxa" w:w="80"/>
              <w:left w:type="dxa" w:w="100"/>
              <w:bottom w:type="dxa" w:w="80"/>
              <w:right w:type="dxa" w:w="100"/>
            </w:tcMar>
          </w:tcPr>
          <w:p>
            <w:pPr>
              <w:jc w:val="left"/>
            </w:pPr>
            <w:r>
              <w:rPr>
                <w:b/>
                <w:bCs/>
              </w:rPr>
              <w:t xml:space="preserve">Service</w:t>
            </w:r>
          </w:p>
        </w:tc>
        <w:tc>
          <w:tcPr>
            <w:tcW w:type="dxa" w:w="3600"/>
            <w:shd w:fill="1B2A4A" w:val="clear"/>
            <w:tcMar>
              <w:top w:type="dxa" w:w="80"/>
              <w:left w:type="dxa" w:w="100"/>
              <w:bottom w:type="dxa" w:w="80"/>
              <w:right w:type="dxa" w:w="100"/>
            </w:tcMar>
          </w:tcPr>
          <w:p>
            <w:pPr>
              <w:jc w:val="left"/>
            </w:pPr>
            <w:r>
              <w:rPr>
                <w:b/>
                <w:bCs/>
              </w:rPr>
              <w:t xml:space="preserve">Price</w:t>
            </w:r>
          </w:p>
        </w:tc>
      </w:tr>
      <w:tr>
        <w:tc>
          <w:tcPr>
            <w:tcW w:type="dxa" w:w="5400"/>
            <w:tcMar>
              <w:top w:type="dxa" w:w="80"/>
              <w:left w:type="dxa" w:w="100"/>
              <w:bottom w:type="dxa" w:w="80"/>
              <w:right w:type="dxa" w:w="100"/>
            </w:tcMar>
          </w:tcPr>
          <w:p>
            <w:pPr>
              <w:jc w:val="left"/>
            </w:pPr>
            <w:r>
              <w:rPr/>
              <w:t xml:space="preserve">Additional Administrator</w:t>
            </w:r>
          </w:p>
        </w:tc>
        <w:tc>
          <w:tcPr>
            <w:tcW w:type="dxa" w:w="3600"/>
            <w:tcMar>
              <w:top w:type="dxa" w:w="80"/>
              <w:left w:type="dxa" w:w="100"/>
              <w:bottom w:type="dxa" w:w="80"/>
              <w:right w:type="dxa" w:w="100"/>
            </w:tcMar>
          </w:tcPr>
          <w:p>
            <w:pPr>
              <w:jc w:val="left"/>
            </w:pPr>
            <w:r>
              <w:rPr/>
              <w:t xml:space="preserve">₹25,000/year + GST</w:t>
            </w:r>
          </w:p>
        </w:tc>
      </w:tr>
      <w:tr>
        <w:tc>
          <w:tcPr>
            <w:tcW w:type="dxa" w:w="5400"/>
            <w:tcMar>
              <w:top w:type="dxa" w:w="80"/>
              <w:left w:type="dxa" w:w="100"/>
              <w:bottom w:type="dxa" w:w="80"/>
              <w:right w:type="dxa" w:w="100"/>
            </w:tcMar>
          </w:tcPr>
          <w:p>
            <w:pPr>
              <w:jc w:val="left"/>
            </w:pPr>
            <w:r>
              <w:rPr/>
              <w:t xml:space="preserve">Additional Business Unit</w:t>
            </w:r>
          </w:p>
        </w:tc>
        <w:tc>
          <w:tcPr>
            <w:tcW w:type="dxa" w:w="3600"/>
            <w:tcMar>
              <w:top w:type="dxa" w:w="80"/>
              <w:left w:type="dxa" w:w="100"/>
              <w:bottom w:type="dxa" w:w="80"/>
              <w:right w:type="dxa" w:w="100"/>
            </w:tcMar>
          </w:tcPr>
          <w:p>
            <w:pPr>
              <w:jc w:val="left"/>
            </w:pPr>
            <w:r>
              <w:rPr/>
              <w:t xml:space="preserve">₹50,000/year + GST</w:t>
            </w:r>
          </w:p>
        </w:tc>
      </w:tr>
      <w:tr>
        <w:tc>
          <w:tcPr>
            <w:tcW w:type="dxa" w:w="5400"/>
            <w:tcMar>
              <w:top w:type="dxa" w:w="80"/>
              <w:left w:type="dxa" w:w="100"/>
              <w:bottom w:type="dxa" w:w="80"/>
              <w:right w:type="dxa" w:w="100"/>
            </w:tcMar>
          </w:tcPr>
          <w:p>
            <w:pPr>
              <w:jc w:val="left"/>
            </w:pPr>
            <w:r>
              <w:rPr/>
              <w:t xml:space="preserve">Dedicated Account Manager</w:t>
            </w:r>
          </w:p>
        </w:tc>
        <w:tc>
          <w:tcPr>
            <w:tcW w:type="dxa" w:w="3600"/>
            <w:tcMar>
              <w:top w:type="dxa" w:w="80"/>
              <w:left w:type="dxa" w:w="100"/>
              <w:bottom w:type="dxa" w:w="80"/>
              <w:right w:type="dxa" w:w="100"/>
            </w:tcMar>
          </w:tcPr>
          <w:p>
            <w:pPr>
              <w:jc w:val="left"/>
            </w:pPr>
            <w:r>
              <w:rPr/>
              <w:t xml:space="preserve">₹1,00,000/year + GST</w:t>
            </w:r>
          </w:p>
        </w:tc>
      </w:tr>
      <w:tr>
        <w:tc>
          <w:tcPr>
            <w:tcW w:type="dxa" w:w="5400"/>
            <w:tcMar>
              <w:top w:type="dxa" w:w="80"/>
              <w:left w:type="dxa" w:w="100"/>
              <w:bottom w:type="dxa" w:w="80"/>
              <w:right w:type="dxa" w:w="100"/>
            </w:tcMar>
          </w:tcPr>
          <w:p>
            <w:pPr>
              <w:jc w:val="left"/>
            </w:pPr>
            <w:r>
              <w:rPr/>
              <w:t xml:space="preserve">Premium SLA</w:t>
            </w:r>
          </w:p>
        </w:tc>
        <w:tc>
          <w:tcPr>
            <w:tcW w:type="dxa" w:w="3600"/>
            <w:tcMar>
              <w:top w:type="dxa" w:w="80"/>
              <w:left w:type="dxa" w:w="100"/>
              <w:bottom w:type="dxa" w:w="80"/>
              <w:right w:type="dxa" w:w="100"/>
            </w:tcMar>
          </w:tcPr>
          <w:p>
            <w:pPr>
              <w:jc w:val="left"/>
            </w:pPr>
            <w:r>
              <w:rPr/>
              <w:t xml:space="preserve">₹2,00,000/year + GST</w:t>
            </w:r>
          </w:p>
        </w:tc>
      </w:tr>
      <w:tr>
        <w:tc>
          <w:tcPr>
            <w:tcW w:type="dxa" w:w="5400"/>
            <w:tcMar>
              <w:top w:type="dxa" w:w="80"/>
              <w:left w:type="dxa" w:w="100"/>
              <w:bottom w:type="dxa" w:w="80"/>
              <w:right w:type="dxa" w:w="100"/>
            </w:tcMar>
          </w:tcPr>
          <w:p>
            <w:pPr>
              <w:jc w:val="left"/>
            </w:pPr>
            <w:r>
              <w:rPr/>
              <w:t xml:space="preserve">Private Cloud / On-Premise</w:t>
            </w:r>
          </w:p>
        </w:tc>
        <w:tc>
          <w:tcPr>
            <w:tcW w:type="dxa" w:w="3600"/>
            <w:tcMar>
              <w:top w:type="dxa" w:w="80"/>
              <w:left w:type="dxa" w:w="100"/>
              <w:bottom w:type="dxa" w:w="80"/>
              <w:right w:type="dxa" w:w="100"/>
            </w:tcMar>
          </w:tcPr>
          <w:p>
            <w:pPr>
              <w:jc w:val="left"/>
            </w:pPr>
            <w:r>
              <w:rPr/>
              <w:t xml:space="preserve">On Quotation</w:t>
            </w:r>
          </w:p>
        </w:tc>
      </w:tr>
    </w:tbl>
    <w:p>
      <w:pPr>
        <w:spacing w:after="120"/>
      </w:pPr>
      <w:r>
        <w:rPr>
          <w:b/>
        </w:rPr>
        <w:t xml:space="preserve">Roadmap note: </w:t>
      </w:r>
      <w:r>
        <w:t xml:space="preserve">Dedicated Account Manager and Premium SLA remain paid add-ons on every tier, including TSX Enterprise, for now. Bundling them free into TSX Enterprise's subscription is a planned future enhancement, not a current commercial term.</w:t>
      </w:r>
    </w:p>
    <w:p/>
    <w:p>
      <w:pPr>
        <w:spacing w:before="240" w:after="80"/>
      </w:pPr>
      <w:r>
        <w:rPr>
          <w:b/>
          <w:color w:val="B5651D"/>
          <w:sz w:val="23"/>
        </w:rPr>
        <w:t xml:space="preserve">6.8 Revenue Model</w:t>
      </w:r>
    </w:p>
    <w:p>
      <w:pPr>
        <w:spacing w:after="120"/>
      </w:pPr>
      <w:r>
        <w:t xml:space="preserve">Listed in order of expected contribution to total revenue. Subscription is intentionally last among current lines — a qualification and anchoring mechanism, priced with discretion down to a 50% floor (5.3) — while Success Fee and Professional Services carry the platform's actual margin.</w:t>
      </w:r>
    </w:p>
    <w:p>
      <w:pPr>
        <w:spacing w:after="120"/>
      </w:pPr>
      <w:r>
        <w:rPr>
          <w:b/>
        </w:rPr>
        <w:t xml:space="preserve">A. Success Fee: </w:t>
      </w:r>
      <w:r>
        <w:t xml:space="preserve">Buyer Premium / Marketplace Success Fee — the platform's primary revenue line.</w:t>
      </w:r>
    </w:p>
    <w:p>
      <w:pPr>
        <w:spacing w:after="120"/>
      </w:pPr>
      <w:r>
        <w:rPr>
          <w:b/>
        </w:rPr>
        <w:t xml:space="preserve">B. Professional Services: </w:t>
      </w:r>
      <w:r>
        <w:t xml:space="preserve">Training, Migration, API Integration Setup, Custom Development — high-margin, often larger than subscription for Enterprise accounts.</w:t>
      </w:r>
    </w:p>
    <w:p>
      <w:pPr>
        <w:spacing w:after="120"/>
      </w:pPr>
      <w:r>
        <w:rPr>
          <w:b/>
        </w:rPr>
        <w:t xml:space="preserve">C. Subscription Revenue: </w:t>
      </w:r>
      <w:r>
        <w:t xml:space="preserve">TSX Launch / Growth / Enterprise — a lead-qualification and relationship anchor, not the primary driver.</w:t>
      </w:r>
    </w:p>
    <w:p>
      <w:pPr>
        <w:spacing w:after="120"/>
      </w:pPr>
      <w:r>
        <w:rPr>
          <w:b/>
        </w:rPr>
        <w:t xml:space="preserve">D. Future Revenue Streams: </w:t>
      </w:r>
      <w:r>
        <w:t xml:space="preserve">Escrow, Payment Services, Financing, Logistics, Insurance, Marketplace Intelligence, AI Services.</w:t>
      </w:r>
    </w:p>
    <w:p/>
    <w:p>
      <w:pPr>
        <w:spacing w:before="240" w:after="80"/>
      </w:pPr>
      <w:r>
        <w:rPr>
          <w:b/>
          <w:color w:val="B5651D"/>
          <w:sz w:val="23"/>
        </w:rPr>
        <w:t xml:space="preserve">6.9 Future Roadmap</w:t>
      </w:r>
    </w:p>
    <w:p>
      <w:pPr>
        <w:spacing w:after="120"/>
      </w:pPr>
      <w:r>
        <w:t xml:space="preserve">Not available on any tier today — listed for an accurate, honest picture of what's built versus planned. None should be sold or promised as a current feature.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1B2A4A" w:val="clear"/>
            <w:tcMar>
              <w:top w:type="dxa" w:w="80"/>
              <w:left w:type="dxa" w:w="100"/>
              <w:bottom w:type="dxa" w:w="80"/>
              <w:right w:type="dxa" w:w="100"/>
            </w:tcMar>
          </w:tcPr>
          <w:p>
            <w:pPr>
              <w:jc w:val="left"/>
            </w:pPr>
            <w:r>
              <w:rPr>
                <w:b/>
                <w:bCs/>
              </w:rPr>
              <w:t xml:space="preserve">Feature</w:t>
            </w:r>
          </w:p>
        </w:tc>
        <w:tc>
          <w:tcPr>
            <w:tcW w:type="dxa" w:w="1600"/>
            <w:shd w:fill="1B2A4A" w:val="clear"/>
            <w:tcMar>
              <w:top w:type="dxa" w:w="80"/>
              <w:left w:type="dxa" w:w="100"/>
              <w:bottom w:type="dxa" w:w="80"/>
              <w:right w:type="dxa" w:w="100"/>
            </w:tcMar>
          </w:tcPr>
          <w:p>
            <w:pPr>
              <w:jc w:val="left"/>
            </w:pPr>
            <w:r>
              <w:rPr>
                <w:b/>
                <w:bCs/>
              </w:rPr>
              <w:t xml:space="preserve">CoCo Starter</w:t>
            </w:r>
          </w:p>
        </w:tc>
        <w:tc>
          <w:tcPr>
            <w:tcW w:type="dxa" w:w="1600"/>
            <w:shd w:fill="1B2A4A" w:val="clear"/>
            <w:tcMar>
              <w:top w:type="dxa" w:w="80"/>
              <w:left w:type="dxa" w:w="100"/>
              <w:bottom w:type="dxa" w:w="80"/>
              <w:right w:type="dxa" w:w="100"/>
            </w:tcMar>
          </w:tcPr>
          <w:p>
            <w:pPr>
              <w:jc w:val="left"/>
            </w:pPr>
            <w:r>
              <w:rPr>
                <w:b/>
                <w:bCs/>
              </w:rPr>
              <w:t xml:space="preserve">TSX Launch</w:t>
            </w:r>
          </w:p>
        </w:tc>
        <w:tc>
          <w:tcPr>
            <w:tcW w:type="dxa" w:w="1600"/>
            <w:shd w:fill="1B2A4A" w:val="clear"/>
            <w:tcMar>
              <w:top w:type="dxa" w:w="80"/>
              <w:left w:type="dxa" w:w="100"/>
              <w:bottom w:type="dxa" w:w="80"/>
              <w:right w:type="dxa" w:w="100"/>
            </w:tcMar>
          </w:tcPr>
          <w:p>
            <w:pPr>
              <w:jc w:val="left"/>
            </w:pPr>
            <w:r>
              <w:rPr>
                <w:b/>
                <w:bCs/>
              </w:rPr>
              <w:t xml:space="preserve">TSX Growth</w:t>
            </w:r>
          </w:p>
        </w:tc>
        <w:tc>
          <w:tcPr>
            <w:tcW w:type="dxa" w:w="1600"/>
            <w:shd w:fill="1B2A4A" w:val="clear"/>
            <w:tcMar>
              <w:top w:type="dxa" w:w="80"/>
              <w:left w:type="dxa" w:w="100"/>
              <w:bottom w:type="dxa" w:w="80"/>
              <w:right w:type="dxa" w:w="100"/>
            </w:tcMar>
          </w:tcPr>
          <w:p>
            <w:pPr>
              <w:jc w:val="left"/>
            </w:pPr>
            <w:r>
              <w:rPr>
                <w:b/>
                <w:bCs/>
              </w:rPr>
              <w:t xml:space="preserve">TSX Enterprise</w:t>
            </w:r>
          </w:p>
        </w:tc>
      </w:tr>
      <w:tr>
        <w:tc>
          <w:tcPr>
            <w:tcW w:type="dxa" w:w="2600"/>
            <w:tcMar>
              <w:top w:type="dxa" w:w="80"/>
              <w:left w:type="dxa" w:w="100"/>
              <w:bottom w:type="dxa" w:w="80"/>
              <w:right w:type="dxa" w:w="100"/>
            </w:tcMar>
          </w:tcPr>
          <w:p>
            <w:pPr>
              <w:jc w:val="left"/>
            </w:pPr>
            <w:r>
              <w:rPr/>
              <w:t xml:space="preserve">AI Services</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planned included</w:t>
            </w:r>
          </w:p>
        </w:tc>
      </w:tr>
      <w:tr>
        <w:tc>
          <w:tcPr>
            <w:tcW w:type="dxa" w:w="2600"/>
            <w:tcMar>
              <w:top w:type="dxa" w:w="80"/>
              <w:left w:type="dxa" w:w="100"/>
              <w:bottom w:type="dxa" w:w="80"/>
              <w:right w:type="dxa" w:w="100"/>
            </w:tcMar>
          </w:tcPr>
          <w:p>
            <w:pPr>
              <w:jc w:val="left"/>
            </w:pPr>
            <w:r>
              <w:rPr/>
              <w:t xml:space="preserve">Marketplace Intelligence</w:t>
            </w:r>
          </w:p>
        </w:tc>
        <w:tc>
          <w:tcPr>
            <w:tcW w:type="dxa" w:w="1600"/>
            <w:tcMar>
              <w:top w:type="dxa" w:w="80"/>
              <w:left w:type="dxa" w:w="100"/>
              <w:bottom w:type="dxa" w:w="80"/>
              <w:right w:type="dxa" w:w="100"/>
            </w:tcMar>
          </w:tcPr>
          <w:p>
            <w:pPr>
              <w:jc w:val="left"/>
            </w:pPr>
            <w:r>
              <w:rPr/>
              <w:t xml:space="preserv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planned included</w:t>
            </w:r>
          </w:p>
        </w:tc>
      </w:tr>
      <w:tr>
        <w:tc>
          <w:tcPr>
            <w:tcW w:type="dxa" w:w="2600"/>
            <w:tcMar>
              <w:top w:type="dxa" w:w="80"/>
              <w:left w:type="dxa" w:w="100"/>
              <w:bottom w:type="dxa" w:w="80"/>
              <w:right w:type="dxa" w:w="100"/>
            </w:tcMar>
          </w:tcPr>
          <w:p>
            <w:pPr>
              <w:jc w:val="left"/>
            </w:pPr>
            <w:r>
              <w:rPr/>
              <w:t xml:space="preserve">Escrow Services</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r>
      <w:tr>
        <w:tc>
          <w:tcPr>
            <w:tcW w:type="dxa" w:w="2600"/>
            <w:tcMar>
              <w:top w:type="dxa" w:w="80"/>
              <w:left w:type="dxa" w:w="100"/>
              <w:bottom w:type="dxa" w:w="80"/>
              <w:right w:type="dxa" w:w="100"/>
            </w:tcMar>
          </w:tcPr>
          <w:p>
            <w:pPr>
              <w:jc w:val="left"/>
            </w:pPr>
            <w:r>
              <w:rPr/>
              <w:t xml:space="preserve">Marketplace Finance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r>
    </w:tbl>
    <w:p/>
    <w:p>
      <w:pPr>
        <w:spacing w:before="240" w:after="80"/>
      </w:pPr>
      <w:r>
        <w:rPr>
          <w:b/>
          <w:color w:val="B5651D"/>
          <w:sz w:val="23"/>
        </w:rPr>
        <w:t xml:space="preserve">6.10 Commercial Principles</w:t>
      </w:r>
    </w:p>
    <w:p>
      <w:pPr>
        <w:pStyle w:val="ListParagraph"/>
        <w:numPr>
          <w:ilvl w:val="0"/>
          <w:numId w:val="3"/>
        </w:numPr>
        <w:spacing w:after="60"/>
      </w:pPr>
      <w:r>
        <w:t xml:space="preserve">No Sale = No Success Fee.</w:t>
      </w:r>
    </w:p>
    <w:p>
      <w:pPr>
        <w:pStyle w:val="ListParagraph"/>
        <w:numPr>
          <w:ilvl w:val="0"/>
          <w:numId w:val="3"/>
        </w:numPr>
        <w:spacing w:after="60"/>
      </w:pPr>
      <w:r>
        <w:t xml:space="preserve">Low entry barrier through CoCo — free to join, Success Fee applies on every completed sale.</w:t>
      </w:r>
    </w:p>
    <w:p>
      <w:pPr>
        <w:pStyle w:val="ListParagraph"/>
        <w:numPr>
          <w:ilvl w:val="0"/>
          <w:numId w:val="3"/>
        </w:numPr>
        <w:spacing w:after="60"/>
      </w:pPr>
      <w:r>
        <w:t xml:space="preserve">Predictable subscription pricing in three steps (Launch → Growth → Enterprise), with a published discount ladder for longer commitments.</w:t>
      </w:r>
    </w:p>
    <w:p>
      <w:pPr>
        <w:pStyle w:val="ListParagraph"/>
        <w:numPr>
          <w:ilvl w:val="0"/>
          <w:numId w:val="3"/>
        </w:numPr>
        <w:spacing w:after="60"/>
      </w:pPr>
      <w:r>
        <w:t xml:space="preserve">Declining transaction fee for higher-value transactions, with Fee Payer Election available to every tier.</w:t>
      </w:r>
    </w:p>
    <w:p>
      <w:pPr>
        <w:pStyle w:val="ListParagraph"/>
        <w:numPr>
          <w:ilvl w:val="0"/>
          <w:numId w:val="3"/>
        </w:numPr>
        <w:spacing w:after="60"/>
      </w:pPr>
      <w:r>
        <w:t xml:space="preserve">High-margin professional services, including one-time API Integration Setup.</w:t>
      </w:r>
    </w:p>
    <w:p>
      <w:pPr>
        <w:pStyle w:val="ListParagraph"/>
        <w:numPr>
          <w:ilvl w:val="0"/>
          <w:numId w:val="3"/>
        </w:numPr>
        <w:spacing w:after="60"/>
      </w:pPr>
      <w:r>
        <w:t xml:space="preserve">Future expansion into financial and data services.</w:t>
      </w:r>
    </w:p>
    <w:p/>
    <w:p>
      <w:pPr>
        <w:spacing w:before="240" w:after="80"/>
      </w:pPr>
      <w:r>
        <w:rPr>
          <w:b/>
          <w:color w:val="B5651D"/>
          <w:sz w:val="23"/>
        </w:rPr>
        <w:t xml:space="preserve">6.11 Long-Term Vision</w:t>
      </w:r>
    </w:p>
    <w:p>
      <w:pPr>
        <w:spacing w:after="120"/>
      </w:pPr>
      <w:r>
        <w:t xml:space="preserve">ADWITIX aims to become India's leading Digital Asset Disposal &amp; Recovery Network, serving insurance, banking, manufacturing, government, insolvency, exports, logistics and industrial surplus markets through a unified Marketplace Operating System.</w:t>
      </w:r>
    </w:p>
    <w:p>
      <w:r>
        <w:br w:type="page"/>
      </w:r>
    </w:p>
    <w:p>
      <w:pPr>
        <w:pStyle w:val="Heading1"/>
        <w:spacing w:after="200" w:before="400"/>
      </w:pPr>
      <w:r>
        <w:t xml:space="preserve">SECTION 7: AX KNOWLEDGE &amp; CHRONICLE FRAMEWORK</w:t>
      </w:r>
    </w:p>
    <w:p>
      <w:pPr>
        <w:spacing w:after="120"/>
      </w:pPr>
      <w:r>
        <w:rPr>
          <w:i/>
        </w:rPr>
        <w:t xml:space="preserve">Status: Phase 1 — AX Chronicle ("Capture. Certify. Preserve.") — is the Trading Session Chronicle (7.10), active and built into this release. Phase 2 — AX Intelligence ("Understand. Learn. Recommend.") — covers everything else in this section as design reference (7.11), the same way Section 5 defers Procurement and Market Intelligence. Adapted from the AX Knowledge &amp; Chronicle Framework concept paper (v1.0).</w:t>
      </w:r>
    </w:p>
    <w:p>
      <w:pPr>
        <w:spacing w:before="240" w:after="80"/>
      </w:pPr>
      <w:r>
        <w:rPr>
          <w:b/>
          <w:color w:val="B5651D"/>
          <w:sz w:val="23"/>
        </w:rPr>
        <w:t xml:space="preserve">7.1 Vision</w:t>
      </w:r>
    </w:p>
    <w:p>
      <w:pPr>
        <w:spacing w:after="120"/>
      </w:pPr>
      <w:r>
        <w:rPr/>
        <w:t xml:space="preserve">Every transaction creates information; every decision creates knowledge. Most organisations preserve the transaction and lose the reasoning behind it — inspection reports in one folder, approvals in emails, photographs on mobile phones, audit observations in separate files. The AX Knowledge &amp; Chronicle Framework turns operational information into a permanent, searchable, trustworthy record that supports management, auditors, regulators, and future decision-makers — not just recording that an event happened, but preserving the complete lifecycle of the decisions behind it.</w:t>
      </w:r>
    </w:p>
    <w:p>
      <w:pPr>
        <w:spacing w:before="240" w:after="80"/>
      </w:pPr>
      <w:r>
        <w:rPr>
          <w:b/>
          <w:color w:val="B5651D"/>
          <w:sz w:val="23"/>
        </w:rPr>
        <w:t xml:space="preserve">7.2 Guiding Principles</w:t>
      </w:r>
    </w:p>
    <w:p>
      <w:pPr>
        <w:pStyle w:val="ListParagraph"/>
        <w:numPr>
          <w:ilvl w:val="0"/>
          <w:numId w:val="3"/>
        </w:numPr>
        <w:spacing w:after="60"/>
      </w:pPr>
      <w:r>
        <w:rPr>
          <w:b/>
        </w:rPr>
        <w:t xml:space="preserve">Facts before Opinions — </w:t>
      </w:r>
      <w:r>
        <w:t xml:space="preserve">facts are recorded first, interpretation comes later; AI may assist interpretation but never creates facts.</w:t>
      </w:r>
    </w:p>
    <w:p>
      <w:pPr>
        <w:pStyle w:val="ListParagraph"/>
        <w:numPr>
          <w:ilvl w:val="0"/>
          <w:numId w:val="3"/>
        </w:numPr>
        <w:spacing w:after="60"/>
      </w:pPr>
      <w:r>
        <w:rPr>
          <w:b/>
        </w:rPr>
        <w:t xml:space="preserve">Human Accountability — </w:t>
      </w:r>
      <w:r>
        <w:t xml:space="preserve">technology assists, people remain accountable; only authorised Contributors certify information.</w:t>
      </w:r>
    </w:p>
    <w:p>
      <w:pPr>
        <w:pStyle w:val="ListParagraph"/>
        <w:numPr>
          <w:ilvl w:val="0"/>
          <w:numId w:val="3"/>
        </w:numPr>
        <w:spacing w:after="60"/>
      </w:pPr>
      <w:r>
        <w:rPr>
          <w:b/>
        </w:rPr>
        <w:t xml:space="preserve">Single Source of Truth — </w:t>
      </w:r>
      <w:r>
        <w:t xml:space="preserve">information exists once; every report, dashboard, audit, and certificate references the same underlying data.</w:t>
      </w:r>
    </w:p>
    <w:p>
      <w:pPr>
        <w:pStyle w:val="ListParagraph"/>
        <w:numPr>
          <w:ilvl w:val="0"/>
          <w:numId w:val="3"/>
        </w:numPr>
        <w:spacing w:after="60"/>
      </w:pPr>
      <w:r>
        <w:rPr>
          <w:b/>
        </w:rPr>
        <w:t xml:space="preserve">Preserve Everything — </w:t>
      </w:r>
      <w:r>
        <w:t xml:space="preserve">no information is discarded for not appearing in the final report; working information stays archived, certified information stays visible.</w:t>
      </w:r>
    </w:p>
    <w:p>
      <w:pPr>
        <w:pStyle w:val="ListParagraph"/>
        <w:numPr>
          <w:ilvl w:val="0"/>
          <w:numId w:val="3"/>
        </w:numPr>
        <w:spacing w:after="60"/>
      </w:pPr>
      <w:r>
        <w:rPr>
          <w:b/>
        </w:rPr>
        <w:t xml:space="preserve">Knowledge over Documents — </w:t>
      </w:r>
      <w:r>
        <w:t xml:space="preserve">reports are outputs; the knowledge behind them is the asset.</w:t>
      </w:r>
    </w:p>
    <w:p>
      <w:pPr>
        <w:pStyle w:val="ListParagraph"/>
        <w:numPr>
          <w:ilvl w:val="0"/>
          <w:numId w:val="3"/>
        </w:numPr>
        <w:spacing w:after="60"/>
      </w:pPr>
      <w:r>
        <w:rPr>
          <w:b/>
        </w:rPr>
        <w:t xml:space="preserve">Governance by Design — </w:t>
      </w:r>
      <w:r>
        <w:t xml:space="preserve">transparency is embedded into workflows, not dependent on individual behaviour.</w:t>
      </w:r>
    </w:p>
    <w:p>
      <w:pPr>
        <w:pStyle w:val="ListParagraph"/>
        <w:numPr>
          <w:ilvl w:val="0"/>
          <w:numId w:val="3"/>
        </w:numPr>
        <w:spacing w:after="120"/>
      </w:pPr>
      <w:r>
        <w:rPr>
          <w:b/>
        </w:rPr>
        <w:t xml:space="preserve">Information Creates Value — </w:t>
      </w:r>
      <w:r>
        <w:t xml:space="preserve">every transaction should increase the organisation's knowledge.</w:t>
      </w:r>
    </w:p>
    <w:p>
      <w:pPr>
        <w:spacing w:before="240" w:after="80"/>
      </w:pPr>
      <w:r>
        <w:rPr>
          <w:b/>
          <w:color w:val="B5651D"/>
          <w:sz w:val="23"/>
        </w:rPr>
        <w:t xml:space="preserve">7.3 Information Hierarchy</w:t>
      </w:r>
    </w:p>
    <w:p>
      <w:pPr>
        <w:spacing w:after="120"/>
      </w:pPr>
      <w:r>
        <w:rPr/>
        <w:t xml:space="preserve">Information is organised into progressively richer business objects: Case → Asset → Lot → Event → Transaction → Evidence → Observation → Finding → Decision → Chronicle → Dossier → Knowledge Vault. Three of these already exist under different names: Lot is this document's existing Listing (Section 1); Event is this document's existing Sale Event / Trading Session; Transaction is this document's existing Settlement. Evidence already exists as the media captured by PR-09's upload pipeline, not yet formally classified as such. Case, Asset (as a lifecycle entity spanning multiple Lots — distinct from BR-47's lighter Related Auctions grouping), Observation, Finding, Decision, Chronicle, Dossier, and Knowledge Vault are new concepts introduced by this framework; only the Chronicle level is in Phase 1 (AX Chronicle) scope (7.10).</w:t>
      </w:r>
    </w:p>
    <w:p>
      <w:pPr>
        <w:spacing w:before="240" w:after="80"/>
      </w:pPr>
      <w:r>
        <w:rPr>
          <w:b/>
          <w:color w:val="B5651D"/>
          <w:sz w:val="23"/>
        </w:rPr>
        <w:t xml:space="preserve">7.4 Chronicle Hierarchy</w:t>
      </w:r>
    </w:p>
    <w:p>
      <w:pPr>
        <w:spacing w:after="120"/>
      </w:pPr>
      <w:r>
        <w:rPr/>
        <w:t xml:space="preserve">Different stakeholders need different levels of reporting, so the framework supports multiple Chronicle types, each building on the last:</w:t>
      </w:r>
    </w:p>
    <w:p>
      <w:pPr>
        <w:pStyle w:val="ListParagraph"/>
        <w:numPr>
          <w:ilvl w:val="0"/>
          <w:numId w:val="3"/>
        </w:numPr>
        <w:spacing w:after="60"/>
      </w:pPr>
      <w:r>
        <w:rPr>
          <w:b/>
        </w:rPr>
        <w:t xml:space="preserve">Event Chronicle (Trading Session Chronicle) — </w:t>
      </w:r>
      <w:r>
        <w:t xml:space="preserve">the history of one Auction, Tender, Buy Now, or Negotiation. This is Phase 1 — AX Chronicle (7.10).</w:t>
      </w:r>
    </w:p>
    <w:p>
      <w:pPr>
        <w:pStyle w:val="ListParagraph"/>
        <w:numPr>
          <w:ilvl w:val="0"/>
          <w:numId w:val="3"/>
        </w:numPr>
        <w:spacing w:after="60"/>
      </w:pPr>
      <w:r>
        <w:rPr>
          <w:b/>
        </w:rPr>
        <w:t xml:space="preserve">Lot Chronicle — </w:t>
      </w:r>
      <w:r>
        <w:t xml:space="preserve">the complete lifecycle of a Lot across multiple Events. Phase 2 — AX Intelligence.</w:t>
      </w:r>
    </w:p>
    <w:p>
      <w:pPr>
        <w:pStyle w:val="ListParagraph"/>
        <w:numPr>
          <w:ilvl w:val="0"/>
          <w:numId w:val="3"/>
        </w:numPr>
        <w:spacing w:after="60"/>
      </w:pPr>
      <w:r>
        <w:rPr>
          <w:b/>
        </w:rPr>
        <w:t xml:space="preserve">Asset Chronicle — </w:t>
      </w:r>
      <w:r>
        <w:t xml:space="preserve">the history of all Lots belonging to an Asset. Phase 2 — AX Intelligence.</w:t>
      </w:r>
    </w:p>
    <w:p>
      <w:pPr>
        <w:pStyle w:val="ListParagraph"/>
        <w:numPr>
          <w:ilvl w:val="0"/>
          <w:numId w:val="3"/>
        </w:numPr>
        <w:spacing w:after="60"/>
      </w:pPr>
      <w:r>
        <w:rPr>
          <w:b/>
        </w:rPr>
        <w:t xml:space="preserve">Case Chronicle — </w:t>
      </w:r>
      <w:r>
        <w:t xml:space="preserve">the complete history of one insurance claim, insolvency matter, recovery case, or disposal project. Phase 2 — AX Intelligence.</w:t>
      </w:r>
    </w:p>
    <w:p>
      <w:pPr>
        <w:pStyle w:val="ListParagraph"/>
        <w:numPr>
          <w:ilvl w:val="0"/>
          <w:numId w:val="3"/>
        </w:numPr>
        <w:spacing w:after="120"/>
      </w:pPr>
      <w:r>
        <w:rPr>
          <w:b/>
        </w:rPr>
        <w:t xml:space="preserve">Enterprise Chronicle — </w:t>
      </w:r>
      <w:r>
        <w:t xml:space="preserve">portfolio-level reporting for management. Phase 2 — AX Intelligence.</w:t>
      </w:r>
    </w:p>
    <w:p>
      <w:pPr>
        <w:spacing w:before="240" w:after="80"/>
      </w:pPr>
      <w:r>
        <w:rPr>
          <w:b/>
          <w:color w:val="B5651D"/>
          <w:sz w:val="23"/>
        </w:rPr>
        <w:t xml:space="preserve">7.5 Contributors</w:t>
      </w:r>
    </w:p>
    <w:p>
      <w:pPr>
        <w:spacing w:after="120"/>
      </w:pPr>
      <w:r>
        <w:rPr/>
        <w:t xml:space="preserve">Rather than departments, the framework organises certification authority around Contributors — Asset Owner, Surveyor, Valuer, Technical Expert, Event Manager, Finance, Compliance, Logistics — each certifying only the information they own; AI compiles, humans certify. This overlaps with, but is not identical to, BR-21's existing bound asset-level roles (Surveyor, Yard Inspector, Physical Custodian). Whether Contributors extends BR-21's role system or is built as a separate certification layer is explicitly undecided and needs its own dedicated design discussion before any Contributor-related capability is scoped into a build — not part of Phase 1.</w:t>
      </w:r>
    </w:p>
    <w:p>
      <w:pPr>
        <w:spacing w:before="240" w:after="80"/>
      </w:pPr>
      <w:r>
        <w:rPr>
          <w:b/>
          <w:color w:val="B5651D"/>
          <w:sz w:val="23"/>
        </w:rPr>
        <w:t xml:space="preserve">7.6 Information Classification</w:t>
      </w:r>
    </w:p>
    <w:p>
      <w:pPr>
        <w:spacing w:after="120"/>
      </w:pPr>
      <w:r>
        <w:rPr/>
        <w:t xml:space="preserve">Every record is classified as one of: Fact, Observation, Decision, Action, Recommendation, Exception, Evidence, Approval, Conclusion, or AI Insight. This classification is what makes a Chronicle more than a document dump — it is what lets a Dossier (7.7) filter the same underlying knowledge differently for different audiences. Full adoption of this taxonomy across every existing decision point (dispute rulings, Standing Review outcomes, KYC review decisions, rating events) is Phase 2 (AX Intelligence); the Phase 1 (AX Chronicle) Trading Session Chronicle (7.10) draws directly from existing tables and the audit trail rather than requiring this taxonomy to exist first.</w:t>
      </w:r>
    </w:p>
    <w:p>
      <w:pPr>
        <w:spacing w:before="240" w:after="80"/>
      </w:pPr>
      <w:r>
        <w:rPr>
          <w:b/>
          <w:color w:val="B5651D"/>
          <w:sz w:val="23"/>
        </w:rPr>
        <w:t xml:space="preserve">7.7 Dossiers</w:t>
      </w:r>
    </w:p>
    <w:p>
      <w:pPr>
        <w:spacing w:after="120"/>
      </w:pPr>
      <w:r>
        <w:rPr/>
        <w:t xml:space="preserve">A Dossier is a purpose-built information package presenting only what's relevant to its intended audience, while every Dossier still draws from the same single source of truth. Named Dossier types: Audit Dossier, Legal Dossier, Claim Dossier, Management Dossier, Buyer Dossier, and Compliance Dossier — this last one is this document's existing KYC verification packet (BR-17/18's dossier review, already built), reclassified as one instance of this general Dossier concept rather than a separate, unrelated thing. Building the other Dossier types is Phase 2; they depend on Chronicles existing first.</w:t>
      </w:r>
    </w:p>
    <w:p>
      <w:pPr>
        <w:spacing w:before="240" w:after="80"/>
      </w:pPr>
      <w:r>
        <w:rPr>
          <w:b/>
          <w:color w:val="B5651D"/>
          <w:sz w:val="23"/>
        </w:rPr>
        <w:t xml:space="preserve">7.8 Access &amp; Visibility</w:t>
      </w:r>
    </w:p>
    <w:p>
      <w:pPr>
        <w:spacing w:after="120"/>
      </w:pPr>
      <w:r>
        <w:rPr/>
        <w:t xml:space="preserve">Information is protected along three dimensions — Role (who is accessing), Scope (which organisation, case, or marketplace), and Permission (what level of access) — plus a classification tier: Public, Internal, Confidential, Privileged, Regulatory, or Court Access. Different users see different views of the same underlying record without the record being duplicated. Phase 1's (AX Chronicle) Trading Session Chronicle uses the existing role-based access already governing its source data (the Seller and Tenant Admin who can already see the Sale Event) plus one deliberate exception — the QR-linked public verification page (7.10) — rather than building this full six-tier model now. The full classification system is Phase 2 (AX Intelligence).</w:t>
      </w:r>
    </w:p>
    <w:p>
      <w:pPr>
        <w:spacing w:before="240" w:after="80"/>
      </w:pPr>
      <w:r>
        <w:rPr>
          <w:b/>
          <w:color w:val="B5651D"/>
          <w:sz w:val="23"/>
        </w:rPr>
        <w:t xml:space="preserve">7.9 AI Within the Framework</w:t>
      </w:r>
    </w:p>
    <w:p>
      <w:pPr>
        <w:spacing w:after="120"/>
      </w:pPr>
      <w:r>
        <w:rPr/>
        <w:t xml:space="preserve">AI performs five functions here: Compilation, Summarisation, Correlation, Insight Generation, and Predictive Analytics. AI does not certify facts and does not replace an authorised decision-maker. Any of these functions, wherever built, needs a real LLM credential — the same external dependency BR-46 (AI Listing Quality Pre-Audit) is already blocked on, not a second, separate blocker. Phase 1's Trading Session Chronicle (7.10) is deliberately template-based, not AI-authored, specifically so it isn't waiting on that dependency.</w:t>
      </w:r>
    </w:p>
    <w:p>
      <w:pPr>
        <w:spacing w:before="240" w:after="80"/>
      </w:pPr>
      <w:r>
        <w:rPr>
          <w:b/>
          <w:color w:val="B5651D"/>
          <w:sz w:val="23"/>
        </w:rPr>
        <w:t xml:space="preserve">7.10 AX Chronicle (Phase 1) — the Trading Session Chronicle</w:t>
      </w:r>
    </w:p>
    <w:p>
      <w:pPr>
        <w:spacing w:after="80"/>
      </w:pPr>
      <w:r>
        <w:rPr>
          <w:i/>
        </w:rPr>
        <w:t xml:space="preserve">Capture. Certify. Preserve.</w:t>
      </w:r>
    </w:p>
    <w:p>
      <w:pPr>
        <w:spacing w:after="120"/>
      </w:pPr>
      <w:r>
        <w:rPr/>
        <w:t xml:space="preserve">The first Chronicle built is the Event Chronicle, scoped concretely as a Trading Session Chronicle: a system-authenticated report generated automatically the moment a Sale Event's Settlement completes, downloadable by the Market Maker (Seller) and the Tenant Admin. It contains:</w:t>
      </w:r>
    </w:p>
    <w:p>
      <w:pPr>
        <w:pStyle w:val="ListParagraph"/>
        <w:numPr>
          <w:ilvl w:val="0"/>
          <w:numId w:val="3"/>
        </w:numPr>
        <w:spacing w:after="60"/>
      </w:pPr>
      <w:r>
        <w:rPr>
          <w:b/>
        </w:rPr>
        <w:t xml:space="preserve">What was listed — </w:t>
      </w:r>
      <w:r>
        <w:t xml:space="preserve">the Lot's category, condition, Reserve Value, Expected Value, and description, as recorded at listing time.</w:t>
      </w:r>
    </w:p>
    <w:p>
      <w:pPr>
        <w:pStyle w:val="ListParagraph"/>
        <w:numPr>
          <w:ilvl w:val="0"/>
          <w:numId w:val="3"/>
        </w:numPr>
        <w:spacing w:after="60"/>
      </w:pPr>
      <w:r>
        <w:rPr>
          <w:b/>
        </w:rPr>
        <w:t xml:space="preserve">What happened, chronologically — </w:t>
      </w:r>
      <w:r>
        <w:t xml:space="preserve">a timeline drawn from the existing BR-05 hash-chained audit trail: listing approval, bids or offers placed, any material edits, close, and settlement.</w:t>
      </w:r>
    </w:p>
    <w:p>
      <w:pPr>
        <w:pStyle w:val="ListParagraph"/>
        <w:numPr>
          <w:ilvl w:val="0"/>
          <w:numId w:val="3"/>
        </w:numPr>
        <w:spacing w:after="60"/>
      </w:pPr>
      <w:r>
        <w:rPr>
          <w:b/>
        </w:rPr>
        <w:t xml:space="preserve">The result — </w:t>
      </w:r>
      <w:r>
        <w:t xml:space="preserve">final price, winner status, and settlement outcome.</w:t>
      </w:r>
    </w:p>
    <w:p>
      <w:pPr>
        <w:pStyle w:val="ListParagraph"/>
        <w:numPr>
          <w:ilvl w:val="0"/>
          <w:numId w:val="3"/>
        </w:numPr>
        <w:spacing w:after="60"/>
      </w:pPr>
      <w:r>
        <w:rPr>
          <w:b/>
        </w:rPr>
        <w:t xml:space="preserve">Participation and bidding — </w:t>
      </w:r>
      <w:r>
        <w:t xml:space="preserve">how many distinct parties participated and the bid or offer progression, shown as counts and amounts only — never buyer names, mobile numbers, or Party IDs, matching BR-16's existing double-blind masking exactly as it already applies elsewhere in this document.</w:t>
      </w:r>
    </w:p>
    <w:p>
      <w:pPr>
        <w:pStyle w:val="ListParagraph"/>
        <w:numPr>
          <w:ilvl w:val="0"/>
          <w:numId w:val="3"/>
        </w:numPr>
        <w:spacing w:after="60"/>
      </w:pPr>
      <w:r>
        <w:rPr>
          <w:b/>
        </w:rPr>
        <w:t xml:space="preserve">Improvement achieved — </w:t>
      </w:r>
      <w:r>
        <w:t xml:space="preserve">the final price against the Reserve Value.</w:t>
      </w:r>
    </w:p>
    <w:p>
      <w:pPr>
        <w:pStyle w:val="ListParagraph"/>
        <w:numPr>
          <w:ilvl w:val="0"/>
          <w:numId w:val="3"/>
        </w:numPr>
        <w:spacing w:after="60"/>
      </w:pPr>
      <w:r>
        <w:rPr>
          <w:b/>
        </w:rPr>
        <w:t xml:space="preserve">The transaction — </w:t>
      </w:r>
      <w:r>
        <w:t xml:space="preserve">TDS (BR-53), Success Fee, and payout, as already computed by Settlement.</w:t>
      </w:r>
    </w:p>
    <w:p>
      <w:pPr>
        <w:pStyle w:val="ListParagraph"/>
        <w:numPr>
          <w:ilvl w:val="0"/>
          <w:numId w:val="3"/>
        </w:numPr>
        <w:spacing w:after="120"/>
      </w:pPr>
      <w:r>
        <w:rPr>
          <w:b/>
        </w:rPr>
        <w:t xml:space="preserve">Transparency and privacy — </w:t>
      </w:r>
      <w:r>
        <w:t xml:space="preserve">a plain statement of how BR-16's double-blind mechanism kept participant identity masked while the process itself remained fully auditable.</w:t>
      </w:r>
    </w:p>
    <w:p>
      <w:pPr>
        <w:spacing w:after="120"/>
      </w:pPr>
      <w:r>
        <w:rPr/>
        <w:t xml:space="preserve">The report's narrative is template-based, not AI-authored (7.9) — real, computed data filled into fixed prose, so generation has no external dependency. It is authenticated, not merely generated: certified via a content hash tied to the existing BR-05 audit trail, a unique reference number, and a QR code. The QR opens a public, token-based digital verification page — reachable only with the exact unguessable token embedded in the QR, not by ordinary login — showing the certified PDF, the Lot's photographs and documents, the relevant audit-trail excerpt, and a hash-match confirmation that the certified copy hasn't been altered. Once certified, a Chronicle is immutable; a later correction creates a new version rather than editing the original, the same principle BR-13 already applies to Listings.</w:t>
      </w:r>
    </w:p>
    <w:p>
      <w:pPr>
        <w:spacing w:before="240" w:after="80"/>
      </w:pPr>
      <w:r>
        <w:rPr>
          <w:b/>
          <w:color w:val="B5651D"/>
          <w:sz w:val="23"/>
        </w:rPr>
        <w:t xml:space="preserve">7.11 AX Intelligence (Phase 2) — Deferred Scope</w:t>
      </w:r>
    </w:p>
    <w:p>
      <w:pPr>
        <w:spacing w:after="80"/>
      </w:pPr>
      <w:r>
        <w:rPr>
          <w:i/>
        </w:rPr>
        <w:t xml:space="preserve">Understand. Learn. Recommend.</w:t>
      </w:r>
    </w:p>
    <w:p>
      <w:pPr>
        <w:spacing w:after="120"/>
      </w:pPr>
      <w:r>
        <w:rPr/>
        <w:t xml:space="preserve">Everything below is preserved design intent, not active scope in this document — the same treatment Section 5 already gives Procurement and Market Intelligence. Whether AX Intelligence becomes a paid, Enterprise-tier-gated capability (Section 6) — every customer receiving AX Chronicle from day one, with AX Intelligence sold as the differentiator for higher-tier plans — is a real commercial question raised by the project owner and explicitly left open here, not yet a commercial term of this document.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000"/>
      </w:tblGrid>
      <w:tr>
        <w:trPr>
          <w:tblHeader/>
        </w:trPr>
        <w:tc>
          <w:tcPr>
            <w:tcW w:type="dxa" w:w="3200"/>
            <w:shd w:fill="1B2A4A" w:val="clear"/>
            <w:tcMar>
              <w:top w:type="dxa" w:w="80"/>
              <w:left w:type="dxa" w:w="100"/>
              <w:bottom w:type="dxa" w:w="80"/>
              <w:right w:type="dxa" w:w="100"/>
            </w:tcMar>
          </w:tcPr>
          <w:p>
            <w:pPr>
              <w:jc w:val="left"/>
            </w:pPr>
            <w:r>
              <w:rPr>
                <w:b/>
                <w:bCs/>
              </w:rPr>
              <w:t xml:space="preserve">Deferred item</w:t>
            </w:r>
          </w:p>
        </w:tc>
        <w:tc>
          <w:tcPr>
            <w:tcW w:type="dxa" w:w="3200"/>
            <w:shd w:fill="1B2A4A" w:val="clear"/>
            <w:tcMar>
              <w:top w:type="dxa" w:w="80"/>
              <w:left w:type="dxa" w:w="100"/>
              <w:bottom w:type="dxa" w:w="80"/>
              <w:right w:type="dxa" w:w="100"/>
            </w:tcMar>
          </w:tcPr>
          <w:p>
            <w:pPr>
              <w:jc w:val="left"/>
            </w:pPr>
            <w:r>
              <w:rPr>
                <w:b/>
                <w:bCs/>
              </w:rPr>
              <w:t xml:space="preserve">What it needs first</w:t>
            </w:r>
          </w:p>
        </w:tc>
        <w:tc>
          <w:tcPr>
            <w:tcW w:type="dxa" w:w="2000"/>
            <w:shd w:fill="1B2A4A" w:val="clear"/>
            <w:tcMar>
              <w:top w:type="dxa" w:w="80"/>
              <w:left w:type="dxa" w:w="100"/>
              <w:bottom w:type="dxa" w:w="80"/>
              <w:right w:type="dxa" w:w="100"/>
            </w:tcMar>
          </w:tcPr>
          <w:p>
            <w:pPr>
              <w:jc w:val="left"/>
            </w:pPr>
            <w:r>
              <w:rPr>
                <w:b/>
                <w:bCs/>
              </w:rPr>
              <w:t xml:space="preserve">Section</w:t>
            </w:r>
          </w:p>
        </w:tc>
      </w:tr>
      <w:tr>
        <w:tc>
          <w:tcPr>
            <w:tcW w:type="dxa" w:w="3200"/>
            <w:tcMar>
              <w:top w:type="dxa" w:w="80"/>
              <w:left w:type="dxa" w:w="100"/>
              <w:bottom w:type="dxa" w:w="80"/>
              <w:right w:type="dxa" w:w="100"/>
            </w:tcMar>
          </w:tcPr>
          <w:p>
            <w:pPr>
              <w:jc w:val="left"/>
            </w:pPr>
            <w:r>
              <w:rPr/>
              <w:t xml:space="preserve">Case &amp; Asset as entities</w:t>
            </w:r>
          </w:p>
        </w:tc>
        <w:tc>
          <w:tcPr>
            <w:tcW w:type="dxa" w:w="3200"/>
            <w:tcMar>
              <w:top w:type="dxa" w:w="80"/>
              <w:left w:type="dxa" w:w="100"/>
              <w:bottom w:type="dxa" w:w="80"/>
              <w:right w:type="dxa" w:w="100"/>
            </w:tcMar>
          </w:tcPr>
          <w:p>
            <w:pPr>
              <w:jc w:val="left"/>
            </w:pPr>
            <w:r>
              <w:rPr/>
              <w:t xml:space="preserve">New data model — does a Case span Tenants? What creates one?</w:t>
            </w:r>
          </w:p>
        </w:tc>
        <w:tc>
          <w:tcPr>
            <w:tcW w:type="dxa" w:w="2000"/>
            <w:tcMar>
              <w:top w:type="dxa" w:w="80"/>
              <w:left w:type="dxa" w:w="100"/>
              <w:bottom w:type="dxa" w:w="80"/>
              <w:right w:type="dxa" w:w="100"/>
            </w:tcMar>
          </w:tcPr>
          <w:p>
            <w:pPr>
              <w:jc w:val="left"/>
            </w:pPr>
            <w:r>
              <w:rPr/>
              <w:t xml:space="preserve">7.3</w:t>
            </w:r>
          </w:p>
        </w:tc>
      </w:tr>
      <w:tr>
        <w:tc>
          <w:tcPr>
            <w:tcW w:type="dxa" w:w="3200"/>
            <w:tcMar>
              <w:top w:type="dxa" w:w="80"/>
              <w:left w:type="dxa" w:w="100"/>
              <w:bottom w:type="dxa" w:w="80"/>
              <w:right w:type="dxa" w:w="100"/>
            </w:tcMar>
          </w:tcPr>
          <w:p>
            <w:pPr>
              <w:jc w:val="left"/>
            </w:pPr>
            <w:r>
              <w:rPr/>
              <w:t xml:space="preserve">Lot / Asset / Case / Enterprise Chronicles</w:t>
            </w:r>
          </w:p>
        </w:tc>
        <w:tc>
          <w:tcPr>
            <w:tcW w:type="dxa" w:w="3200"/>
            <w:tcMar>
              <w:top w:type="dxa" w:w="80"/>
              <w:left w:type="dxa" w:w="100"/>
              <w:bottom w:type="dxa" w:w="80"/>
              <w:right w:type="dxa" w:w="100"/>
            </w:tcMar>
          </w:tcPr>
          <w:p>
            <w:pPr>
              <w:jc w:val="left"/>
            </w:pPr>
            <w:r>
              <w:rPr/>
              <w:t xml:space="preserve">Case &amp; Asset entities to exist first</w:t>
            </w:r>
          </w:p>
        </w:tc>
        <w:tc>
          <w:tcPr>
            <w:tcW w:type="dxa" w:w="2000"/>
            <w:tcMar>
              <w:top w:type="dxa" w:w="80"/>
              <w:left w:type="dxa" w:w="100"/>
              <w:bottom w:type="dxa" w:w="80"/>
              <w:right w:type="dxa" w:w="100"/>
            </w:tcMar>
          </w:tcPr>
          <w:p>
            <w:pPr>
              <w:jc w:val="left"/>
            </w:pPr>
            <w:r>
              <w:rPr/>
              <w:t xml:space="preserve">7.4</w:t>
            </w:r>
          </w:p>
        </w:tc>
      </w:tr>
      <w:tr>
        <w:tc>
          <w:tcPr>
            <w:tcW w:type="dxa" w:w="3200"/>
            <w:tcMar>
              <w:top w:type="dxa" w:w="80"/>
              <w:left w:type="dxa" w:w="100"/>
              <w:bottom w:type="dxa" w:w="80"/>
              <w:right w:type="dxa" w:w="100"/>
            </w:tcMar>
          </w:tcPr>
          <w:p>
            <w:pPr>
              <w:jc w:val="left"/>
            </w:pPr>
            <w:r>
              <w:rPr/>
              <w:t xml:space="preserve">Contributors (certification authority)</w:t>
            </w:r>
          </w:p>
        </w:tc>
        <w:tc>
          <w:tcPr>
            <w:tcW w:type="dxa" w:w="3200"/>
            <w:tcMar>
              <w:top w:type="dxa" w:w="80"/>
              <w:left w:type="dxa" w:w="100"/>
              <w:bottom w:type="dxa" w:w="80"/>
              <w:right w:type="dxa" w:w="100"/>
            </w:tcMar>
          </w:tcPr>
          <w:p>
            <w:pPr>
              <w:jc w:val="left"/>
            </w:pPr>
            <w:r>
              <w:rPr/>
              <w:t xml:space="preserve">Dedicated design discussion — extend BR-21 or build separately</w:t>
            </w:r>
          </w:p>
        </w:tc>
        <w:tc>
          <w:tcPr>
            <w:tcW w:type="dxa" w:w="2000"/>
            <w:tcMar>
              <w:top w:type="dxa" w:w="80"/>
              <w:left w:type="dxa" w:w="100"/>
              <w:bottom w:type="dxa" w:w="80"/>
              <w:right w:type="dxa" w:w="100"/>
            </w:tcMar>
          </w:tcPr>
          <w:p>
            <w:pPr>
              <w:jc w:val="left"/>
            </w:pPr>
            <w:r>
              <w:rPr/>
              <w:t xml:space="preserve">7.5</w:t>
            </w:r>
          </w:p>
        </w:tc>
      </w:tr>
      <w:tr>
        <w:tc>
          <w:tcPr>
            <w:tcW w:type="dxa" w:w="3200"/>
            <w:tcMar>
              <w:top w:type="dxa" w:w="80"/>
              <w:left w:type="dxa" w:w="100"/>
              <w:bottom w:type="dxa" w:w="80"/>
              <w:right w:type="dxa" w:w="100"/>
            </w:tcMar>
          </w:tcPr>
          <w:p>
            <w:pPr>
              <w:jc w:val="left"/>
            </w:pPr>
            <w:r>
              <w:rPr/>
              <w:t xml:space="preserve">Full Information Classification taxonomy</w:t>
            </w:r>
          </w:p>
        </w:tc>
        <w:tc>
          <w:tcPr>
            <w:tcW w:type="dxa" w:w="3200"/>
            <w:tcMar>
              <w:top w:type="dxa" w:w="80"/>
              <w:left w:type="dxa" w:w="100"/>
              <w:bottom w:type="dxa" w:w="80"/>
              <w:right w:type="dxa" w:w="100"/>
            </w:tcMar>
          </w:tcPr>
          <w:p>
            <w:pPr>
              <w:jc w:val="left"/>
            </w:pPr>
            <w:r>
              <w:rPr/>
              <w:t xml:space="preserve">Applying it across every existing decision point</w:t>
            </w:r>
          </w:p>
        </w:tc>
        <w:tc>
          <w:tcPr>
            <w:tcW w:type="dxa" w:w="2000"/>
            <w:tcMar>
              <w:top w:type="dxa" w:w="80"/>
              <w:left w:type="dxa" w:w="100"/>
              <w:bottom w:type="dxa" w:w="80"/>
              <w:right w:type="dxa" w:w="100"/>
            </w:tcMar>
          </w:tcPr>
          <w:p>
            <w:pPr>
              <w:jc w:val="left"/>
            </w:pPr>
            <w:r>
              <w:rPr/>
              <w:t xml:space="preserve">7.6</w:t>
            </w:r>
          </w:p>
        </w:tc>
      </w:tr>
      <w:tr>
        <w:tc>
          <w:tcPr>
            <w:tcW w:type="dxa" w:w="3200"/>
            <w:tcMar>
              <w:top w:type="dxa" w:w="80"/>
              <w:left w:type="dxa" w:w="100"/>
              <w:bottom w:type="dxa" w:w="80"/>
              <w:right w:type="dxa" w:w="100"/>
            </w:tcMar>
          </w:tcPr>
          <w:p>
            <w:pPr>
              <w:jc w:val="left"/>
            </w:pPr>
            <w:r>
              <w:rPr/>
              <w:t xml:space="preserve">Audit / Legal / Claim / Management / Buyer Dossiers</w:t>
            </w:r>
          </w:p>
        </w:tc>
        <w:tc>
          <w:tcPr>
            <w:tcW w:type="dxa" w:w="3200"/>
            <w:tcMar>
              <w:top w:type="dxa" w:w="80"/>
              <w:left w:type="dxa" w:w="100"/>
              <w:bottom w:type="dxa" w:w="80"/>
              <w:right w:type="dxa" w:w="100"/>
            </w:tcMar>
          </w:tcPr>
          <w:p>
            <w:pPr>
              <w:jc w:val="left"/>
            </w:pPr>
            <w:r>
              <w:rPr/>
              <w:t xml:space="preserve">Chronicles to exist first</w:t>
            </w:r>
          </w:p>
        </w:tc>
        <w:tc>
          <w:tcPr>
            <w:tcW w:type="dxa" w:w="2000"/>
            <w:tcMar>
              <w:top w:type="dxa" w:w="80"/>
              <w:left w:type="dxa" w:w="100"/>
              <w:bottom w:type="dxa" w:w="80"/>
              <w:right w:type="dxa" w:w="100"/>
            </w:tcMar>
          </w:tcPr>
          <w:p>
            <w:pPr>
              <w:jc w:val="left"/>
            </w:pPr>
            <w:r>
              <w:rPr/>
              <w:t xml:space="preserve">7.7</w:t>
            </w:r>
          </w:p>
        </w:tc>
      </w:tr>
      <w:tr>
        <w:tc>
          <w:tcPr>
            <w:tcW w:type="dxa" w:w="3200"/>
            <w:tcMar>
              <w:top w:type="dxa" w:w="80"/>
              <w:left w:type="dxa" w:w="100"/>
              <w:bottom w:type="dxa" w:w="80"/>
              <w:right w:type="dxa" w:w="100"/>
            </w:tcMar>
          </w:tcPr>
          <w:p>
            <w:pPr>
              <w:jc w:val="left"/>
            </w:pPr>
            <w:r>
              <w:rPr/>
              <w:t xml:space="preserve">Full six-tier Access &amp; Visibility model</w:t>
            </w:r>
          </w:p>
        </w:tc>
        <w:tc>
          <w:tcPr>
            <w:tcW w:type="dxa" w:w="3200"/>
            <w:tcMar>
              <w:top w:type="dxa" w:w="80"/>
              <w:left w:type="dxa" w:w="100"/>
              <w:bottom w:type="dxa" w:w="80"/>
              <w:right w:type="dxa" w:w="100"/>
            </w:tcMar>
          </w:tcPr>
          <w:p>
            <w:pPr>
              <w:jc w:val="left"/>
            </w:pPr>
            <w:r>
              <w:rPr/>
              <w:t xml:space="preserve">Dossiers to exist first</w:t>
            </w:r>
          </w:p>
        </w:tc>
        <w:tc>
          <w:tcPr>
            <w:tcW w:type="dxa" w:w="2000"/>
            <w:tcMar>
              <w:top w:type="dxa" w:w="80"/>
              <w:left w:type="dxa" w:w="100"/>
              <w:bottom w:type="dxa" w:w="80"/>
              <w:right w:type="dxa" w:w="100"/>
            </w:tcMar>
          </w:tcPr>
          <w:p>
            <w:pPr>
              <w:jc w:val="left"/>
            </w:pPr>
            <w:r>
              <w:rPr/>
              <w:t xml:space="preserve">7.8</w:t>
            </w:r>
          </w:p>
        </w:tc>
      </w:tr>
      <w:tr>
        <w:tc>
          <w:tcPr>
            <w:tcW w:type="dxa" w:w="3200"/>
            <w:tcMar>
              <w:top w:type="dxa" w:w="80"/>
              <w:left w:type="dxa" w:w="100"/>
              <w:bottom w:type="dxa" w:w="80"/>
              <w:right w:type="dxa" w:w="100"/>
            </w:tcMar>
          </w:tcPr>
          <w:p>
            <w:pPr>
              <w:jc w:val="left"/>
            </w:pPr>
            <w:r>
              <w:rPr/>
              <w:t xml:space="preserve">AI-authored Chronicle narrative</w:t>
            </w:r>
          </w:p>
        </w:tc>
        <w:tc>
          <w:tcPr>
            <w:tcW w:type="dxa" w:w="3200"/>
            <w:tcMar>
              <w:top w:type="dxa" w:w="80"/>
              <w:left w:type="dxa" w:w="100"/>
              <w:bottom w:type="dxa" w:w="80"/>
              <w:right w:type="dxa" w:w="100"/>
            </w:tcMar>
          </w:tcPr>
          <w:p>
            <w:pPr>
              <w:jc w:val="left"/>
            </w:pPr>
            <w:r>
              <w:rPr/>
              <w:t xml:space="preserve">A real LLM credential — same blocker as BR-46</w:t>
            </w:r>
          </w:p>
        </w:tc>
        <w:tc>
          <w:tcPr>
            <w:tcW w:type="dxa" w:w="2000"/>
            <w:tcMar>
              <w:top w:type="dxa" w:w="80"/>
              <w:left w:type="dxa" w:w="100"/>
              <w:bottom w:type="dxa" w:w="80"/>
              <w:right w:type="dxa" w:w="100"/>
            </w:tcMar>
          </w:tcPr>
          <w:p>
            <w:pPr>
              <w:jc w:val="left"/>
            </w:pPr>
            <w:r>
              <w:rPr/>
              <w:t xml:space="preserve">7.9</w:t>
            </w:r>
          </w:p>
        </w:tc>
      </w:tr>
      <w:tr>
        <w:tc>
          <w:tcPr>
            <w:tcW w:type="dxa" w:w="3200"/>
            <w:tcMar>
              <w:top w:type="dxa" w:w="80"/>
              <w:left w:type="dxa" w:w="100"/>
              <w:bottom w:type="dxa" w:w="80"/>
              <w:right w:type="dxa" w:w="100"/>
            </w:tcMar>
          </w:tcPr>
          <w:p>
            <w:pPr>
              <w:jc w:val="left"/>
            </w:pPr>
            <w:r>
              <w:rPr/>
              <w:t xml:space="preserve">Knowledge Vault</w:t>
            </w:r>
          </w:p>
        </w:tc>
        <w:tc>
          <w:tcPr>
            <w:tcW w:type="dxa" w:w="3200"/>
            <w:tcMar>
              <w:top w:type="dxa" w:w="80"/>
              <w:left w:type="dxa" w:w="100"/>
              <w:bottom w:type="dxa" w:w="80"/>
              <w:right w:type="dxa" w:w="100"/>
            </w:tcMar>
          </w:tcPr>
          <w:p>
            <w:pPr>
              <w:jc w:val="left"/>
            </w:pPr>
            <w:r>
              <w:rPr/>
              <w:t xml:space="preserve">A critical mass of completed Chronicles; overlaps Section 5.3 Market Intelligence</w:t>
            </w:r>
          </w:p>
        </w:tc>
        <w:tc>
          <w:tcPr>
            <w:tcW w:type="dxa" w:w="2000"/>
            <w:tcMar>
              <w:top w:type="dxa" w:w="80"/>
              <w:left w:type="dxa" w:w="100"/>
              <w:bottom w:type="dxa" w:w="80"/>
              <w:right w:type="dxa" w:w="100"/>
            </w:tcMar>
          </w:tcPr>
          <w:p>
            <w:pPr>
              <w:jc w:val="left"/>
            </w:pPr>
            <w:r>
              <w:rPr/>
              <w:t xml:space="preserve">7.3</w:t>
            </w:r>
          </w:p>
        </w:tc>
      </w:tr>
    </w:tbl>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ADWITIX — Unified Business Rules &amp; Process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B2A4A"/>
      <w:sz w:val="48"/>
      <w:szCs w:val="48"/>
    </w:rPr>
  </w:style>
  <w:style w:type="paragraph" w:styleId="Heading1">
    <w:name w:val="Heading 1"/>
    <w:basedOn w:val="Normal"/>
    <w:next w:val="Normal"/>
    <w:qFormat/>
    <w:pPr>
      <w:pBdr>
        <w:bottom w:val="single" w:color="1B2A4A"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rPr>
      <w:rFonts w:ascii="Calibri" w:cs="Calibri" w:eastAsia="Calibri" w:hAnsi="Calibri"/>
      <w:b/>
      <w:bCs/>
      <w:color w:val="B5651D"/>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2026-07-15T08:04:26.844Z</dcterms:created>
  <dcterms:modified xsi:type="dcterms:W3CDTF">2026-07-15T08:04:26.859Z</dcterms:modified>
</cp:coreProperties>
</file>

<file path=docProps/custom.xml><?xml version="1.0" encoding="utf-8"?>
<Properties xmlns="http://schemas.openxmlformats.org/officeDocument/2006/custom-properties" xmlns:vt="http://schemas.openxmlformats.org/officeDocument/2006/docPropsVTypes"/>
</file>