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64771" w14:textId="77777777" w:rsidR="008D196F" w:rsidRPr="000635F5" w:rsidRDefault="008D196F" w:rsidP="008D196F">
      <w:pPr>
        <w:pStyle w:val="PlainText"/>
        <w:rPr>
          <w:rFonts w:ascii="Times New Roman" w:hAnsi="Times New Roman"/>
          <w:szCs w:val="24"/>
        </w:rPr>
      </w:pPr>
      <w:r w:rsidRPr="000635F5">
        <w:rPr>
          <w:rFonts w:ascii="Times New Roman" w:hAnsi="Times New Roman"/>
          <w:szCs w:val="24"/>
        </w:rPr>
        <w:t>*Reviewers' Comments to Authors*</w:t>
      </w:r>
    </w:p>
    <w:p w14:paraId="1DBF72D9" w14:textId="77777777" w:rsidR="008D196F" w:rsidRPr="000635F5" w:rsidRDefault="008D196F" w:rsidP="008D196F">
      <w:pPr>
        <w:pStyle w:val="PlainText"/>
        <w:rPr>
          <w:rFonts w:ascii="Times New Roman" w:hAnsi="Times New Roman"/>
          <w:szCs w:val="24"/>
        </w:rPr>
      </w:pPr>
    </w:p>
    <w:p w14:paraId="54A5BC88" w14:textId="77135AB2" w:rsidR="008D196F" w:rsidRPr="000635F5" w:rsidRDefault="008D196F" w:rsidP="008D196F">
      <w:pPr>
        <w:pStyle w:val="PlainText"/>
        <w:rPr>
          <w:rFonts w:ascii="Times New Roman" w:hAnsi="Times New Roman"/>
          <w:szCs w:val="24"/>
        </w:rPr>
      </w:pPr>
      <w:r w:rsidRPr="000635F5">
        <w:rPr>
          <w:rFonts w:ascii="Times New Roman" w:hAnsi="Times New Roman"/>
          <w:szCs w:val="24"/>
        </w:rPr>
        <w:t xml:space="preserve">*Reviewer </w:t>
      </w:r>
      <w:r w:rsidR="00FE0756" w:rsidRPr="000635F5">
        <w:rPr>
          <w:rFonts w:ascii="Times New Roman" w:hAnsi="Times New Roman"/>
          <w:szCs w:val="24"/>
        </w:rPr>
        <w:t>1</w:t>
      </w:r>
      <w:r w:rsidRPr="000635F5">
        <w:rPr>
          <w:rFonts w:ascii="Times New Roman" w:hAnsi="Times New Roman"/>
          <w:szCs w:val="24"/>
        </w:rPr>
        <w:t>*</w:t>
      </w:r>
    </w:p>
    <w:p w14:paraId="753E951B" w14:textId="77777777" w:rsidR="008D196F" w:rsidRPr="000635F5" w:rsidRDefault="008D196F" w:rsidP="008D196F">
      <w:pPr>
        <w:pStyle w:val="PlainText"/>
        <w:rPr>
          <w:rFonts w:ascii="Times New Roman" w:hAnsi="Times New Roman"/>
          <w:szCs w:val="24"/>
        </w:rPr>
      </w:pPr>
    </w:p>
    <w:p w14:paraId="7CEB15A1" w14:textId="77777777" w:rsidR="008D196F" w:rsidRPr="000635F5" w:rsidRDefault="008D196F" w:rsidP="008D196F">
      <w:pPr>
        <w:pStyle w:val="PlainText"/>
        <w:rPr>
          <w:rFonts w:ascii="Times New Roman" w:hAnsi="Times New Roman"/>
          <w:szCs w:val="24"/>
        </w:rPr>
      </w:pPr>
      <w:r w:rsidRPr="000635F5">
        <w:rPr>
          <w:rFonts w:ascii="Times New Roman" w:hAnsi="Times New Roman"/>
          <w:szCs w:val="24"/>
        </w:rPr>
        <w:t>Comments to the Authors:</w:t>
      </w:r>
    </w:p>
    <w:p w14:paraId="61A9C62F" w14:textId="77777777" w:rsidR="008D196F" w:rsidRPr="000635F5" w:rsidRDefault="008D196F" w:rsidP="008D196F">
      <w:pPr>
        <w:pStyle w:val="PlainText"/>
        <w:rPr>
          <w:rFonts w:ascii="Times New Roman" w:hAnsi="Times New Roman"/>
          <w:szCs w:val="24"/>
        </w:rPr>
      </w:pPr>
    </w:p>
    <w:p w14:paraId="49996075" w14:textId="4D70F2E8" w:rsidR="008D196F" w:rsidRPr="000635F5" w:rsidRDefault="00FE0756" w:rsidP="00365B05">
      <w:pPr>
        <w:pStyle w:val="PlainText"/>
        <w:rPr>
          <w:rFonts w:ascii="Times New Roman" w:hAnsi="Times New Roman"/>
          <w:szCs w:val="24"/>
        </w:rPr>
      </w:pPr>
      <w:r w:rsidRPr="000635F5">
        <w:rPr>
          <w:rFonts w:ascii="Times New Roman" w:hAnsi="Times New Roman"/>
          <w:szCs w:val="24"/>
        </w:rPr>
        <w:drawing>
          <wp:inline distT="0" distB="0" distL="0" distR="0" wp14:anchorId="2B9DB5E7" wp14:editId="0584A9C1">
            <wp:extent cx="5943600" cy="1619885"/>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619885"/>
                    </a:xfrm>
                    <a:prstGeom prst="rect">
                      <a:avLst/>
                    </a:prstGeom>
                  </pic:spPr>
                </pic:pic>
              </a:graphicData>
            </a:graphic>
          </wp:inline>
        </w:drawing>
      </w:r>
    </w:p>
    <w:p w14:paraId="158458B0" w14:textId="77777777" w:rsidR="00366DD8" w:rsidRPr="000635F5" w:rsidRDefault="00366DD8" w:rsidP="00366DD8">
      <w:pPr>
        <w:pBdr>
          <w:bottom w:val="single" w:sz="4" w:space="1" w:color="auto"/>
        </w:pBdr>
      </w:pPr>
    </w:p>
    <w:p w14:paraId="763D7E3A" w14:textId="77777777" w:rsidR="00366DD8" w:rsidRPr="000635F5" w:rsidRDefault="00366DD8" w:rsidP="00365B05">
      <w:pPr>
        <w:pStyle w:val="PlainText"/>
        <w:rPr>
          <w:rFonts w:ascii="Times New Roman" w:hAnsi="Times New Roman"/>
          <w:b/>
          <w:bCs/>
          <w:szCs w:val="24"/>
        </w:rPr>
      </w:pPr>
    </w:p>
    <w:p w14:paraId="5225924D" w14:textId="0B2DC725" w:rsidR="0064249E" w:rsidRPr="000635F5" w:rsidRDefault="0064249E" w:rsidP="00365B05">
      <w:pPr>
        <w:pStyle w:val="PlainText"/>
        <w:rPr>
          <w:rFonts w:ascii="Times New Roman" w:hAnsi="Times New Roman"/>
          <w:b/>
          <w:bCs/>
          <w:szCs w:val="24"/>
        </w:rPr>
      </w:pPr>
      <w:r w:rsidRPr="000635F5">
        <w:rPr>
          <w:rFonts w:ascii="Times New Roman" w:hAnsi="Times New Roman"/>
          <w:b/>
          <w:bCs/>
          <w:szCs w:val="24"/>
        </w:rPr>
        <w:t>[Comment 1]</w:t>
      </w:r>
    </w:p>
    <w:p w14:paraId="36518451" w14:textId="22C53318" w:rsidR="00B20A15" w:rsidRPr="000635F5" w:rsidRDefault="00DC72B0" w:rsidP="00365B05">
      <w:pPr>
        <w:pStyle w:val="PlainText"/>
        <w:rPr>
          <w:rFonts w:ascii="Times New Roman" w:hAnsi="Times New Roman"/>
          <w:szCs w:val="24"/>
        </w:rPr>
      </w:pPr>
      <w:r w:rsidRPr="000635F5">
        <w:rPr>
          <w:rFonts w:ascii="Times New Roman" w:hAnsi="Times New Roman"/>
          <w:szCs w:val="24"/>
        </w:rPr>
        <w:drawing>
          <wp:inline distT="0" distB="0" distL="0" distR="0" wp14:anchorId="54057163" wp14:editId="7A842B11">
            <wp:extent cx="5943600" cy="13385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38580"/>
                    </a:xfrm>
                    <a:prstGeom prst="rect">
                      <a:avLst/>
                    </a:prstGeom>
                  </pic:spPr>
                </pic:pic>
              </a:graphicData>
            </a:graphic>
          </wp:inline>
        </w:drawing>
      </w:r>
    </w:p>
    <w:p w14:paraId="0245E87A" w14:textId="77777777" w:rsidR="00A01332" w:rsidRPr="000635F5" w:rsidRDefault="00A01332" w:rsidP="00365B05">
      <w:pPr>
        <w:pStyle w:val="PlainText"/>
        <w:rPr>
          <w:rFonts w:ascii="Times New Roman" w:hAnsi="Times New Roman"/>
          <w:szCs w:val="24"/>
        </w:rPr>
      </w:pPr>
    </w:p>
    <w:p w14:paraId="70C01B37" w14:textId="456DD6FB" w:rsidR="00BB71D3" w:rsidRPr="000635F5" w:rsidRDefault="0064249E" w:rsidP="00BB71D3">
      <w:r w:rsidRPr="000635F5">
        <w:rPr>
          <w:b/>
        </w:rPr>
        <w:t>[Response by Authors]</w:t>
      </w:r>
      <w:r w:rsidR="00CF0AF5" w:rsidRPr="000635F5">
        <w:rPr>
          <w:b/>
        </w:rPr>
        <w:t xml:space="preserve"> </w:t>
      </w:r>
      <w:r w:rsidR="00C60857" w:rsidRPr="000635F5">
        <w:rPr>
          <w:bCs/>
        </w:rPr>
        <w:t>The authors added</w:t>
      </w:r>
      <w:r w:rsidR="00BB71D3" w:rsidRPr="000635F5">
        <w:rPr>
          <w:bCs/>
        </w:rPr>
        <w:t xml:space="preserve"> the paragraph below to the introduction to describe how external evidence is incorporated through the prior distributions used for analysis. Based on our framework,</w:t>
      </w:r>
      <w:r w:rsidR="00183354" w:rsidRPr="000635F5">
        <w:rPr>
          <w:bCs/>
        </w:rPr>
        <w:t xml:space="preserve"> </w:t>
      </w:r>
      <m:oMath>
        <m:sSub>
          <m:sSubPr>
            <m:ctrlPr>
              <w:rPr>
                <w:rFonts w:ascii="Cambria Math" w:hAnsi="Cambria Math"/>
                <w:bCs/>
                <w:i/>
              </w:rPr>
            </m:ctrlPr>
          </m:sSubPr>
          <m:e>
            <m:r>
              <w:rPr>
                <w:rFonts w:ascii="Cambria Math" w:hAnsi="Cambria Math"/>
              </w:rPr>
              <m:t>θ</m:t>
            </m:r>
          </m:e>
          <m:sub>
            <m:r>
              <w:rPr>
                <w:rFonts w:ascii="Cambria Math" w:hAnsi="Cambria Math"/>
              </w:rPr>
              <m:t>1</m:t>
            </m:r>
          </m:sub>
        </m:sSub>
      </m:oMath>
      <w:r w:rsidR="00BB71D3" w:rsidRPr="000635F5">
        <w:t xml:space="preserve">is set according to external evidence, the enthusiastic monitoring prior represents external evidence about the treatment effect, and the mixing proportion </w:t>
      </w:r>
      <m:oMath>
        <m:r>
          <w:rPr>
            <w:rFonts w:ascii="Cambria Math" w:hAnsi="Cambria Math"/>
          </w:rPr>
          <m:t>ω</m:t>
        </m:r>
      </m:oMath>
      <w:r w:rsidR="00BB71D3" w:rsidRPr="000635F5">
        <w:t xml:space="preserve"> </w:t>
      </w:r>
      <w:r w:rsidR="00B05433" w:rsidRPr="000635F5">
        <w:t xml:space="preserve">represents the applicability of external evidence in the analysis. Typically, </w:t>
      </w:r>
      <m:oMath>
        <m:sSub>
          <m:sSubPr>
            <m:ctrlPr>
              <w:rPr>
                <w:rFonts w:ascii="Cambria Math" w:hAnsi="Cambria Math"/>
                <w:bCs/>
                <w:i/>
              </w:rPr>
            </m:ctrlPr>
          </m:sSubPr>
          <m:e>
            <m:r>
              <w:rPr>
                <w:rFonts w:ascii="Cambria Math" w:hAnsi="Cambria Math"/>
              </w:rPr>
              <m:t>θ</m:t>
            </m:r>
          </m:e>
          <m:sub>
            <m:r>
              <w:rPr>
                <w:rFonts w:ascii="Cambria Math" w:hAnsi="Cambria Math"/>
              </w:rPr>
              <m:t>0</m:t>
            </m:r>
          </m:sub>
        </m:sSub>
      </m:oMath>
      <w:r w:rsidR="00B05433" w:rsidRPr="000635F5">
        <w:rPr>
          <w:vertAlign w:val="subscript"/>
        </w:rPr>
        <w:t xml:space="preserve"> </w:t>
      </w:r>
      <w:r w:rsidR="00B05433" w:rsidRPr="000635F5">
        <w:t>represents a null treatment effect that is not informed by external evidence.</w:t>
      </w:r>
    </w:p>
    <w:p w14:paraId="771011F7" w14:textId="14E10BE9" w:rsidR="00BB71D3" w:rsidRPr="000635F5" w:rsidRDefault="00BB71D3" w:rsidP="00BB71D3"/>
    <w:p w14:paraId="79960F90" w14:textId="3E8E2DF0" w:rsidR="00D57658" w:rsidRPr="000635F5" w:rsidRDefault="00D57658" w:rsidP="00D57658">
      <w:pPr>
        <w:pBdr>
          <w:bottom w:val="single" w:sz="4" w:space="1" w:color="auto"/>
        </w:pBdr>
        <w:rPr>
          <w:bCs/>
        </w:rPr>
      </w:pPr>
    </w:p>
    <w:p w14:paraId="5E56BF5F" w14:textId="18446804" w:rsidR="00C60857" w:rsidRPr="000635F5" w:rsidRDefault="00510155" w:rsidP="00C60857">
      <w:pPr>
        <w:pBdr>
          <w:bottom w:val="single" w:sz="4" w:space="1" w:color="auto"/>
        </w:pBdr>
        <w:spacing w:before="60"/>
        <w:rPr>
          <w:bCs/>
        </w:rPr>
      </w:pPr>
      <w:r w:rsidRPr="000635F5">
        <w:rPr>
          <w:bCs/>
        </w:rPr>
        <w:lastRenderedPageBreak/>
        <w:drawing>
          <wp:inline distT="0" distB="0" distL="0" distR="0" wp14:anchorId="135727D0" wp14:editId="5EEC27FD">
            <wp:extent cx="5943600" cy="26797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79700"/>
                    </a:xfrm>
                    <a:prstGeom prst="rect">
                      <a:avLst/>
                    </a:prstGeom>
                  </pic:spPr>
                </pic:pic>
              </a:graphicData>
            </a:graphic>
          </wp:inline>
        </w:drawing>
      </w:r>
    </w:p>
    <w:p w14:paraId="128D3A45" w14:textId="77777777" w:rsidR="00475340" w:rsidRPr="000635F5" w:rsidRDefault="00475340" w:rsidP="00C60857">
      <w:pPr>
        <w:pBdr>
          <w:bottom w:val="single" w:sz="4" w:space="1" w:color="auto"/>
        </w:pBdr>
        <w:spacing w:before="120"/>
        <w:rPr>
          <w:bCs/>
        </w:rPr>
      </w:pPr>
    </w:p>
    <w:p w14:paraId="062ECB80" w14:textId="77777777" w:rsidR="00D57658" w:rsidRPr="000635F5" w:rsidRDefault="00D57658" w:rsidP="00D57658">
      <w:pPr>
        <w:pBdr>
          <w:bottom w:val="single" w:sz="4" w:space="1" w:color="auto"/>
        </w:pBdr>
      </w:pPr>
    </w:p>
    <w:p w14:paraId="78790AC5" w14:textId="77777777" w:rsidR="00366DD8" w:rsidRPr="000635F5" w:rsidRDefault="00366DD8" w:rsidP="00365B05">
      <w:pPr>
        <w:pStyle w:val="PlainText"/>
        <w:rPr>
          <w:rFonts w:ascii="Times New Roman" w:hAnsi="Times New Roman"/>
          <w:b/>
          <w:bCs/>
          <w:szCs w:val="24"/>
        </w:rPr>
      </w:pPr>
    </w:p>
    <w:p w14:paraId="74D8ED78" w14:textId="6756654C" w:rsidR="0064249E" w:rsidRPr="000635F5" w:rsidRDefault="0064249E" w:rsidP="00365B05">
      <w:pPr>
        <w:pStyle w:val="PlainText"/>
        <w:rPr>
          <w:rFonts w:ascii="Times New Roman" w:hAnsi="Times New Roman"/>
          <w:b/>
          <w:bCs/>
          <w:szCs w:val="24"/>
        </w:rPr>
      </w:pPr>
      <w:r w:rsidRPr="000635F5">
        <w:rPr>
          <w:rFonts w:ascii="Times New Roman" w:hAnsi="Times New Roman"/>
          <w:b/>
          <w:bCs/>
          <w:szCs w:val="24"/>
        </w:rPr>
        <w:t>[Comment 2]</w:t>
      </w:r>
    </w:p>
    <w:p w14:paraId="7B1B7929" w14:textId="70BDA91C" w:rsidR="00DC72B0" w:rsidRPr="000635F5" w:rsidRDefault="00DC72B0" w:rsidP="00365B05">
      <w:pPr>
        <w:pStyle w:val="PlainText"/>
        <w:rPr>
          <w:rFonts w:ascii="Times New Roman" w:hAnsi="Times New Roman"/>
          <w:szCs w:val="24"/>
        </w:rPr>
      </w:pPr>
      <w:r w:rsidRPr="000635F5">
        <w:rPr>
          <w:rFonts w:ascii="Times New Roman" w:hAnsi="Times New Roman"/>
          <w:szCs w:val="24"/>
        </w:rPr>
        <w:drawing>
          <wp:inline distT="0" distB="0" distL="0" distR="0" wp14:anchorId="780676BC" wp14:editId="775DBC99">
            <wp:extent cx="5943600" cy="15868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86865"/>
                    </a:xfrm>
                    <a:prstGeom prst="rect">
                      <a:avLst/>
                    </a:prstGeom>
                  </pic:spPr>
                </pic:pic>
              </a:graphicData>
            </a:graphic>
          </wp:inline>
        </w:drawing>
      </w:r>
    </w:p>
    <w:p w14:paraId="370D7AC1" w14:textId="77777777" w:rsidR="003E5F1C" w:rsidRPr="000635F5" w:rsidRDefault="003E5F1C" w:rsidP="00365B05">
      <w:pPr>
        <w:pStyle w:val="PlainText"/>
        <w:rPr>
          <w:rFonts w:ascii="Times New Roman" w:hAnsi="Times New Roman"/>
          <w:szCs w:val="24"/>
        </w:rPr>
      </w:pPr>
    </w:p>
    <w:p w14:paraId="46BBDE11" w14:textId="42D8BC95" w:rsidR="0064249E" w:rsidRPr="000635F5" w:rsidRDefault="0064249E" w:rsidP="0064249E">
      <w:pPr>
        <w:pBdr>
          <w:bottom w:val="single" w:sz="4" w:space="1" w:color="auto"/>
        </w:pBdr>
        <w:rPr>
          <w:b/>
        </w:rPr>
      </w:pPr>
      <w:r w:rsidRPr="000635F5">
        <w:rPr>
          <w:b/>
        </w:rPr>
        <w:t>[Response by Authors]</w:t>
      </w:r>
    </w:p>
    <w:p w14:paraId="0FC772EE" w14:textId="4CA7FB88" w:rsidR="000F0B51" w:rsidRPr="000635F5" w:rsidRDefault="00B05433" w:rsidP="0064249E">
      <w:pPr>
        <w:pBdr>
          <w:bottom w:val="single" w:sz="4" w:space="1" w:color="auto"/>
        </w:pBdr>
        <w:rPr>
          <w:bCs/>
        </w:rPr>
      </w:pPr>
      <w:r w:rsidRPr="000635F5">
        <w:rPr>
          <w:bCs/>
        </w:rPr>
        <w:t xml:space="preserve">To show how the monitoring </w:t>
      </w:r>
      <w:r w:rsidR="00826A6F" w:rsidRPr="000635F5">
        <w:rPr>
          <w:bCs/>
        </w:rPr>
        <w:t>prior,</w:t>
      </w:r>
      <w:r w:rsidR="00183354" w:rsidRPr="000635F5">
        <w:rPr>
          <w:bCs/>
        </w:rPr>
        <w:t xml:space="preserve"> </w:t>
      </w:r>
      <m:oMath>
        <m:sSub>
          <m:sSubPr>
            <m:ctrlPr>
              <w:rPr>
                <w:rFonts w:ascii="Cambria Math" w:hAnsi="Cambria Math"/>
                <w:bCs/>
                <w:i/>
              </w:rPr>
            </m:ctrlPr>
          </m:sSubPr>
          <m:e>
            <m:r>
              <w:rPr>
                <w:rFonts w:ascii="Cambria Math" w:hAnsi="Cambria Math"/>
              </w:rPr>
              <m:t>π</m:t>
            </m:r>
          </m:e>
          <m:sub>
            <m:r>
              <w:rPr>
                <w:rFonts w:ascii="Cambria Math" w:hAnsi="Cambria Math"/>
              </w:rPr>
              <m:t>AE</m:t>
            </m:r>
          </m:sub>
        </m:sSub>
        <m:r>
          <w:rPr>
            <w:rFonts w:ascii="Cambria Math" w:hAnsi="Cambria Math"/>
          </w:rPr>
          <m:t>(θ)</m:t>
        </m:r>
      </m:oMath>
      <w:r w:rsidRPr="000635F5">
        <w:t xml:space="preserve"> is used in the proposed approach, the stopping criteria was given its own line in</w:t>
      </w:r>
      <w:r w:rsidRPr="000635F5">
        <w:rPr>
          <w:bCs/>
        </w:rPr>
        <w:t xml:space="preserve"> </w:t>
      </w:r>
      <w:r w:rsidR="000201C3" w:rsidRPr="000635F5">
        <w:rPr>
          <w:bCs/>
        </w:rPr>
        <w:t xml:space="preserve">Equation (3) </w:t>
      </w:r>
      <w:r w:rsidRPr="000635F5">
        <w:rPr>
          <w:bCs/>
        </w:rPr>
        <w:t>of</w:t>
      </w:r>
      <w:r w:rsidR="000201C3" w:rsidRPr="000635F5">
        <w:rPr>
          <w:bCs/>
        </w:rPr>
        <w:t xml:space="preserve"> Section 2.1.4</w:t>
      </w:r>
      <w:r w:rsidRPr="000635F5">
        <w:rPr>
          <w:bCs/>
        </w:rPr>
        <w:t xml:space="preserve">, and was generally defined with </w:t>
      </w:r>
      <w:r w:rsidR="000201C3" w:rsidRPr="000635F5">
        <w:rPr>
          <w:bCs/>
        </w:rPr>
        <w:t>respect to any prior distribution:</w:t>
      </w:r>
    </w:p>
    <w:p w14:paraId="78A85AC5" w14:textId="71DFD1DC" w:rsidR="0064249E" w:rsidRPr="000635F5" w:rsidRDefault="003E5F1C" w:rsidP="0064249E">
      <w:pPr>
        <w:pBdr>
          <w:bottom w:val="single" w:sz="4" w:space="1" w:color="auto"/>
        </w:pBdr>
        <w:rPr>
          <w:bCs/>
        </w:rPr>
      </w:pPr>
      <w:r w:rsidRPr="000635F5">
        <w:rPr>
          <w:bCs/>
        </w:rPr>
        <w:drawing>
          <wp:inline distT="0" distB="0" distL="0" distR="0" wp14:anchorId="7DEB5472" wp14:editId="4D4E1255">
            <wp:extent cx="5943600" cy="1254125"/>
            <wp:effectExtent l="0" t="0" r="0" b="31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254125"/>
                    </a:xfrm>
                    <a:prstGeom prst="rect">
                      <a:avLst/>
                    </a:prstGeom>
                  </pic:spPr>
                </pic:pic>
              </a:graphicData>
            </a:graphic>
          </wp:inline>
        </w:drawing>
      </w:r>
    </w:p>
    <w:p w14:paraId="03F1DD26" w14:textId="43129DA0" w:rsidR="003E5F1C" w:rsidRPr="000635F5" w:rsidRDefault="00216DE3" w:rsidP="0064249E">
      <w:pPr>
        <w:pBdr>
          <w:bottom w:val="single" w:sz="4" w:space="1" w:color="auto"/>
        </w:pBdr>
        <w:rPr>
          <w:bCs/>
        </w:rPr>
      </w:pPr>
      <w:r w:rsidRPr="000635F5">
        <w:rPr>
          <w:bCs/>
        </w:rPr>
        <w:t>T</w:t>
      </w:r>
      <w:r w:rsidR="000201C3" w:rsidRPr="000635F5">
        <w:rPr>
          <w:bCs/>
        </w:rPr>
        <w:t>he following sentence was added to Section 2.2.3 to show what calculation uses the adaptive monitoring prior:</w:t>
      </w:r>
    </w:p>
    <w:p w14:paraId="5CBABBC9" w14:textId="3C35CFA1" w:rsidR="0093307A" w:rsidRPr="000635F5" w:rsidRDefault="00802C06" w:rsidP="0064249E">
      <w:pPr>
        <w:pBdr>
          <w:bottom w:val="single" w:sz="4" w:space="1" w:color="auto"/>
        </w:pBdr>
        <w:rPr>
          <w:bCs/>
        </w:rPr>
      </w:pPr>
      <w:r w:rsidRPr="000635F5">
        <w:rPr>
          <w:bCs/>
        </w:rPr>
        <w:lastRenderedPageBreak/>
        <w:drawing>
          <wp:inline distT="0" distB="0" distL="0" distR="0" wp14:anchorId="5E140CEB" wp14:editId="46E5EA01">
            <wp:extent cx="5943600" cy="8255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825500"/>
                    </a:xfrm>
                    <a:prstGeom prst="rect">
                      <a:avLst/>
                    </a:prstGeom>
                  </pic:spPr>
                </pic:pic>
              </a:graphicData>
            </a:graphic>
          </wp:inline>
        </w:drawing>
      </w:r>
    </w:p>
    <w:p w14:paraId="776B186B" w14:textId="70DE9DDC" w:rsidR="00216DE3" w:rsidRPr="000635F5" w:rsidRDefault="00216DE3" w:rsidP="0064249E">
      <w:pPr>
        <w:pBdr>
          <w:bottom w:val="single" w:sz="4" w:space="1" w:color="auto"/>
        </w:pBdr>
        <w:rPr>
          <w:bCs/>
        </w:rPr>
      </w:pPr>
      <w:r w:rsidRPr="000635F5">
        <w:rPr>
          <w:bCs/>
        </w:rPr>
        <w:t>Equivalently stated, the probability</w:t>
      </w:r>
      <w:r w:rsidR="00605DD6" w:rsidRPr="000635F5">
        <w:rPr>
          <w:bCs/>
        </w:rPr>
        <w:t xml:space="preserve"> </w:t>
      </w:r>
      <m:oMath>
        <m:sSub>
          <m:sSubPr>
            <m:ctrlPr>
              <w:rPr>
                <w:rFonts w:ascii="Cambria Math" w:hAnsi="Cambria Math"/>
                <w:bCs/>
                <w:i/>
              </w:rPr>
            </m:ctrlPr>
          </m:sSubPr>
          <m:e>
            <m:r>
              <w:rPr>
                <w:rFonts w:ascii="Cambria Math" w:hAnsi="Cambria Math"/>
              </w:rPr>
              <m:t>P</m:t>
            </m:r>
          </m:e>
          <m:sub>
            <m:r>
              <w:rPr>
                <w:rFonts w:ascii="Cambria Math" w:hAnsi="Cambria Math"/>
              </w:rPr>
              <m:t>S</m:t>
            </m:r>
          </m:sub>
        </m:sSub>
        <m:r>
          <w:rPr>
            <w:rFonts w:ascii="Cambria Math" w:hAnsi="Cambria Math"/>
          </w:rPr>
          <m:t>(⋯)</m:t>
        </m:r>
      </m:oMath>
      <w:r w:rsidR="00605DD6" w:rsidRPr="000635F5">
        <w:rPr>
          <w:bCs/>
        </w:rPr>
        <w:t xml:space="preserve"> </w:t>
      </w:r>
      <w:r w:rsidRPr="000635F5">
        <w:rPr>
          <w:bCs/>
        </w:rPr>
        <w:t xml:space="preserve">for decisions about efficacy is replaced with </w:t>
      </w:r>
      <m:oMath>
        <m:sSub>
          <m:sSubPr>
            <m:ctrlPr>
              <w:rPr>
                <w:rFonts w:ascii="Cambria Math" w:hAnsi="Cambria Math"/>
                <w:bCs/>
                <w:i/>
              </w:rPr>
            </m:ctrlPr>
          </m:sSubPr>
          <m:e>
            <m:r>
              <w:rPr>
                <w:rFonts w:ascii="Cambria Math" w:hAnsi="Cambria Math"/>
              </w:rPr>
              <m:t>P</m:t>
            </m:r>
          </m:e>
          <m:sub>
            <m:r>
              <w:rPr>
                <w:rFonts w:ascii="Cambria Math" w:hAnsi="Cambria Math"/>
              </w:rPr>
              <m:t>AE</m:t>
            </m:r>
          </m:sub>
        </m:sSub>
        <m:r>
          <w:rPr>
            <w:rFonts w:ascii="Cambria Math" w:hAnsi="Cambria Math"/>
          </w:rPr>
          <m:t>(⋯)</m:t>
        </m:r>
      </m:oMath>
      <w:r w:rsidR="003A0188" w:rsidRPr="000635F5">
        <w:rPr>
          <w:bCs/>
        </w:rPr>
        <w:t>.</w:t>
      </w:r>
    </w:p>
    <w:p w14:paraId="0BFD8E73" w14:textId="77777777" w:rsidR="0093307A" w:rsidRPr="000635F5" w:rsidRDefault="0093307A" w:rsidP="0064249E">
      <w:pPr>
        <w:pBdr>
          <w:bottom w:val="single" w:sz="4" w:space="1" w:color="auto"/>
        </w:pBdr>
      </w:pPr>
    </w:p>
    <w:p w14:paraId="2F9806D7" w14:textId="77777777" w:rsidR="00366DD8" w:rsidRPr="000635F5" w:rsidRDefault="00366DD8" w:rsidP="00365B05">
      <w:pPr>
        <w:pStyle w:val="PlainText"/>
        <w:rPr>
          <w:rFonts w:ascii="Times New Roman" w:hAnsi="Times New Roman"/>
          <w:szCs w:val="24"/>
        </w:rPr>
      </w:pPr>
    </w:p>
    <w:p w14:paraId="1D05F329" w14:textId="569F1290" w:rsidR="00DC72B0" w:rsidRPr="000635F5" w:rsidRDefault="0064249E" w:rsidP="00365B05">
      <w:pPr>
        <w:pStyle w:val="PlainText"/>
        <w:rPr>
          <w:rFonts w:ascii="Times New Roman" w:hAnsi="Times New Roman"/>
          <w:szCs w:val="24"/>
        </w:rPr>
      </w:pPr>
      <w:r w:rsidRPr="000635F5">
        <w:rPr>
          <w:rFonts w:ascii="Times New Roman" w:hAnsi="Times New Roman"/>
          <w:szCs w:val="24"/>
        </w:rPr>
        <w:t>[</w:t>
      </w:r>
      <w:r w:rsidRPr="000635F5">
        <w:rPr>
          <w:rFonts w:ascii="Times New Roman" w:hAnsi="Times New Roman"/>
          <w:b/>
          <w:bCs/>
          <w:szCs w:val="24"/>
        </w:rPr>
        <w:t>Comment 3]</w:t>
      </w:r>
      <w:r w:rsidR="00FE0756" w:rsidRPr="000635F5">
        <w:rPr>
          <w:rFonts w:ascii="Times New Roman" w:hAnsi="Times New Roman"/>
          <w:noProof/>
          <w:szCs w:val="24"/>
        </w:rPr>
        <w:t xml:space="preserve"> </w:t>
      </w:r>
      <w:r w:rsidR="00FE0756" w:rsidRPr="000635F5">
        <w:rPr>
          <w:rFonts w:ascii="Times New Roman" w:hAnsi="Times New Roman"/>
          <w:b/>
          <w:bCs/>
          <w:szCs w:val="24"/>
        </w:rPr>
        <w:drawing>
          <wp:inline distT="0" distB="0" distL="0" distR="0" wp14:anchorId="5A278072" wp14:editId="4A06AFB6">
            <wp:extent cx="5943600" cy="732155"/>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732155"/>
                    </a:xfrm>
                    <a:prstGeom prst="rect">
                      <a:avLst/>
                    </a:prstGeom>
                  </pic:spPr>
                </pic:pic>
              </a:graphicData>
            </a:graphic>
          </wp:inline>
        </w:drawing>
      </w:r>
    </w:p>
    <w:p w14:paraId="40853DEA" w14:textId="4D1B2FC6" w:rsidR="00DC72B0" w:rsidRPr="000635F5" w:rsidRDefault="00DC72B0" w:rsidP="00365B05">
      <w:pPr>
        <w:pStyle w:val="PlainText"/>
        <w:rPr>
          <w:rFonts w:ascii="Times New Roman" w:hAnsi="Times New Roman"/>
          <w:szCs w:val="24"/>
        </w:rPr>
      </w:pPr>
      <w:r w:rsidRPr="000635F5">
        <w:rPr>
          <w:rFonts w:ascii="Times New Roman" w:hAnsi="Times New Roman"/>
          <w:szCs w:val="24"/>
        </w:rPr>
        <w:drawing>
          <wp:inline distT="0" distB="0" distL="0" distR="0" wp14:anchorId="055B02B8" wp14:editId="2A5D4AB7">
            <wp:extent cx="5943600" cy="403860"/>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03860"/>
                    </a:xfrm>
                    <a:prstGeom prst="rect">
                      <a:avLst/>
                    </a:prstGeom>
                  </pic:spPr>
                </pic:pic>
              </a:graphicData>
            </a:graphic>
          </wp:inline>
        </w:drawing>
      </w:r>
    </w:p>
    <w:p w14:paraId="186B2983" w14:textId="77777777" w:rsidR="00F17E09" w:rsidRPr="000635F5" w:rsidRDefault="00F17E09" w:rsidP="0064249E">
      <w:pPr>
        <w:pBdr>
          <w:bottom w:val="single" w:sz="4" w:space="1" w:color="auto"/>
        </w:pBdr>
        <w:rPr>
          <w:b/>
        </w:rPr>
      </w:pPr>
    </w:p>
    <w:p w14:paraId="17984279" w14:textId="62243711" w:rsidR="0064249E" w:rsidRPr="000635F5" w:rsidRDefault="0064249E" w:rsidP="0064249E">
      <w:pPr>
        <w:pBdr>
          <w:bottom w:val="single" w:sz="4" w:space="1" w:color="auto"/>
        </w:pBdr>
        <w:rPr>
          <w:b/>
        </w:rPr>
      </w:pPr>
      <w:r w:rsidRPr="000635F5">
        <w:rPr>
          <w:b/>
        </w:rPr>
        <w:t>[Response by Authors]</w:t>
      </w:r>
    </w:p>
    <w:p w14:paraId="22617506" w14:textId="40DD0AA1" w:rsidR="00F17E09" w:rsidRPr="000635F5" w:rsidRDefault="00F17E09" w:rsidP="0064249E">
      <w:pPr>
        <w:pBdr>
          <w:bottom w:val="single" w:sz="4" w:space="1" w:color="auto"/>
        </w:pBdr>
        <w:rPr>
          <w:bCs/>
        </w:rPr>
      </w:pPr>
      <w:r w:rsidRPr="000635F5">
        <w:rPr>
          <w:bCs/>
        </w:rPr>
        <w:t xml:space="preserve">This comment, in addition to Reviewer </w:t>
      </w:r>
      <w:r w:rsidR="003E5F1C" w:rsidRPr="000635F5">
        <w:rPr>
          <w:bCs/>
        </w:rPr>
        <w:t>#</w:t>
      </w:r>
      <w:r w:rsidRPr="000635F5">
        <w:rPr>
          <w:bCs/>
        </w:rPr>
        <w:t xml:space="preserve">2 </w:t>
      </w:r>
      <w:r w:rsidR="003E5F1C" w:rsidRPr="000635F5">
        <w:rPr>
          <w:bCs/>
        </w:rPr>
        <w:t>[</w:t>
      </w:r>
      <w:r w:rsidRPr="000635F5">
        <w:rPr>
          <w:bCs/>
        </w:rPr>
        <w:t>Comments 3</w:t>
      </w:r>
      <w:r w:rsidR="003E5F1C" w:rsidRPr="000635F5">
        <w:rPr>
          <w:bCs/>
        </w:rPr>
        <w:t>]</w:t>
      </w:r>
      <w:r w:rsidRPr="000635F5">
        <w:rPr>
          <w:bCs/>
        </w:rPr>
        <w:t xml:space="preserve"> led to the creation of </w:t>
      </w:r>
      <w:r w:rsidRPr="000635F5">
        <w:rPr>
          <w:bCs/>
        </w:rPr>
        <w:t>Appendix C “Step-by-Step Implementation Guide” to address</w:t>
      </w:r>
      <w:r w:rsidRPr="000635F5">
        <w:rPr>
          <w:bCs/>
        </w:rPr>
        <w:t xml:space="preserve"> how exactly the formulas used in the Methods section can be applied in a trial. </w:t>
      </w:r>
    </w:p>
    <w:p w14:paraId="7AEDA8C3" w14:textId="4BAAEAE6" w:rsidR="00397962" w:rsidRPr="000635F5" w:rsidRDefault="00397962" w:rsidP="0064249E">
      <w:pPr>
        <w:pBdr>
          <w:bottom w:val="single" w:sz="4" w:space="1" w:color="auto"/>
        </w:pBdr>
        <w:rPr>
          <w:bCs/>
        </w:rPr>
      </w:pPr>
    </w:p>
    <w:p w14:paraId="77026287" w14:textId="154B5D1A" w:rsidR="00397962" w:rsidRPr="000635F5" w:rsidRDefault="00397962" w:rsidP="0064249E">
      <w:pPr>
        <w:pBdr>
          <w:bottom w:val="single" w:sz="4" w:space="1" w:color="auto"/>
        </w:pBdr>
        <w:rPr>
          <w:bCs/>
        </w:rPr>
      </w:pPr>
      <w:r w:rsidRPr="000635F5">
        <w:rPr>
          <w:bCs/>
        </w:rPr>
        <w:drawing>
          <wp:inline distT="0" distB="0" distL="0" distR="0" wp14:anchorId="073F7961" wp14:editId="79A086DD">
            <wp:extent cx="5943600" cy="1570990"/>
            <wp:effectExtent l="0" t="0" r="0" b="381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570990"/>
                    </a:xfrm>
                    <a:prstGeom prst="rect">
                      <a:avLst/>
                    </a:prstGeom>
                  </pic:spPr>
                </pic:pic>
              </a:graphicData>
            </a:graphic>
          </wp:inline>
        </w:drawing>
      </w:r>
    </w:p>
    <w:p w14:paraId="200A13CE" w14:textId="3DA68D9E" w:rsidR="00F17E09" w:rsidRPr="000635F5" w:rsidRDefault="00F17E09" w:rsidP="0064249E">
      <w:pPr>
        <w:pBdr>
          <w:bottom w:val="single" w:sz="4" w:space="1" w:color="auto"/>
        </w:pBdr>
        <w:rPr>
          <w:bCs/>
        </w:rPr>
      </w:pPr>
    </w:p>
    <w:p w14:paraId="580AC7E8" w14:textId="77777777" w:rsidR="00826A6F" w:rsidRDefault="00D918B7" w:rsidP="0064249E">
      <w:pPr>
        <w:pBdr>
          <w:bottom w:val="single" w:sz="4" w:space="1" w:color="auto"/>
        </w:pBdr>
        <w:rPr>
          <w:bCs/>
        </w:rPr>
      </w:pPr>
      <w:r w:rsidRPr="000635F5">
        <w:rPr>
          <w:bCs/>
        </w:rPr>
        <w:t xml:space="preserve">As originally formulated, the adaptive monitoring prior uses </w:t>
      </w:r>
      <w:r w:rsidRPr="000635F5">
        <w:rPr>
          <w:bCs/>
          <w:i/>
          <w:iCs/>
        </w:rPr>
        <w:t>D</w:t>
      </w:r>
      <w:r w:rsidRPr="000635F5">
        <w:rPr>
          <w:bCs/>
          <w:i/>
          <w:iCs/>
          <w:vertAlign w:val="subscript"/>
        </w:rPr>
        <w:t>obs</w:t>
      </w:r>
      <w:r w:rsidRPr="000635F5">
        <w:rPr>
          <w:bCs/>
        </w:rPr>
        <w:t xml:space="preserve"> twice at point for the ongoing trial: in computing the mixing weight </w:t>
      </w:r>
      <m:oMath>
        <m:r>
          <w:rPr>
            <w:rFonts w:ascii="Cambria Math" w:hAnsi="Cambria Math"/>
          </w:rPr>
          <m:t>ω</m:t>
        </m:r>
      </m:oMath>
      <w:r w:rsidR="00826A6F" w:rsidRPr="000635F5">
        <w:rPr>
          <w:bCs/>
        </w:rPr>
        <w:t xml:space="preserve"> </w:t>
      </w:r>
      <w:r w:rsidRPr="000635F5">
        <w:rPr>
          <w:bCs/>
        </w:rPr>
        <w:t xml:space="preserve">given to the enthusiastic prior component (EQ 6), and in the assessment of the stopping criteria (EQ3). </w:t>
      </w:r>
    </w:p>
    <w:p w14:paraId="1D63A2B8" w14:textId="77777777" w:rsidR="00826A6F" w:rsidRDefault="00826A6F" w:rsidP="0064249E">
      <w:pPr>
        <w:pBdr>
          <w:bottom w:val="single" w:sz="4" w:space="1" w:color="auto"/>
        </w:pBdr>
        <w:rPr>
          <w:bCs/>
        </w:rPr>
      </w:pPr>
    </w:p>
    <w:p w14:paraId="3993C0B0" w14:textId="739B19E0" w:rsidR="00F17E09" w:rsidRPr="000635F5" w:rsidRDefault="00826A6F" w:rsidP="0064249E">
      <w:pPr>
        <w:pBdr>
          <w:bottom w:val="single" w:sz="4" w:space="1" w:color="auto"/>
        </w:pBdr>
        <w:rPr>
          <w:bCs/>
        </w:rPr>
      </w:pPr>
      <w:r w:rsidRPr="00826A6F">
        <w:rPr>
          <w:bCs/>
        </w:rPr>
        <w:lastRenderedPageBreak/>
        <w:drawing>
          <wp:inline distT="0" distB="0" distL="0" distR="0" wp14:anchorId="6D1B5ECD" wp14:editId="4E10BFCE">
            <wp:extent cx="5943600" cy="261874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618740"/>
                    </a:xfrm>
                    <a:prstGeom prst="rect">
                      <a:avLst/>
                    </a:prstGeom>
                  </pic:spPr>
                </pic:pic>
              </a:graphicData>
            </a:graphic>
          </wp:inline>
        </w:drawing>
      </w:r>
      <w:r w:rsidRPr="00826A6F">
        <w:rPr>
          <w:bCs/>
        </w:rPr>
        <w:t xml:space="preserve"> </w:t>
      </w:r>
      <w:r w:rsidR="008A40EA" w:rsidRPr="000635F5">
        <w:rPr>
          <w:bCs/>
        </w:rPr>
        <w:t>The authors appreciated the chance to clarify the use of</w:t>
      </w:r>
      <w:r w:rsidR="00F17E09" w:rsidRPr="000635F5">
        <w:rPr>
          <w:bCs/>
        </w:rPr>
        <w:t xml:space="preserve"> </w:t>
      </w:r>
      <w:r w:rsidR="00F17E09" w:rsidRPr="000635F5">
        <w:rPr>
          <w:bCs/>
          <w:i/>
          <w:iCs/>
        </w:rPr>
        <w:t>D</w:t>
      </w:r>
      <w:r w:rsidR="00F17E09" w:rsidRPr="000635F5">
        <w:rPr>
          <w:bCs/>
          <w:i/>
          <w:iCs/>
          <w:vertAlign w:val="subscript"/>
        </w:rPr>
        <w:t>obs</w:t>
      </w:r>
      <w:r w:rsidR="00F17E09" w:rsidRPr="000635F5">
        <w:rPr>
          <w:bCs/>
          <w:i/>
          <w:iCs/>
        </w:rPr>
        <w:t xml:space="preserve"> </w:t>
      </w:r>
      <w:r w:rsidR="008A40EA" w:rsidRPr="000635F5">
        <w:rPr>
          <w:bCs/>
        </w:rPr>
        <w:t xml:space="preserve">and </w:t>
      </w:r>
      <w:r w:rsidR="008A40EA" w:rsidRPr="000635F5">
        <w:rPr>
          <w:bCs/>
          <w:i/>
          <w:iCs/>
        </w:rPr>
        <w:t>D</w:t>
      </w:r>
      <w:r w:rsidR="008A40EA" w:rsidRPr="000635F5">
        <w:rPr>
          <w:bCs/>
        </w:rPr>
        <w:t xml:space="preserve">, and it was correctly pointed out that </w:t>
      </w:r>
      <w:proofErr w:type="gramStart"/>
      <w:r w:rsidR="008A40EA" w:rsidRPr="000635F5">
        <w:rPr>
          <w:bCs/>
          <w:i/>
          <w:iCs/>
        </w:rPr>
        <w:t>D</w:t>
      </w:r>
      <w:r w:rsidR="008A40EA" w:rsidRPr="000635F5">
        <w:rPr>
          <w:bCs/>
          <w:i/>
          <w:iCs/>
          <w:vertAlign w:val="subscript"/>
        </w:rPr>
        <w:t>obs</w:t>
      </w:r>
      <w:proofErr w:type="gramEnd"/>
      <w:r w:rsidR="008A40EA" w:rsidRPr="000635F5">
        <w:rPr>
          <w:bCs/>
          <w:i/>
          <w:iCs/>
        </w:rPr>
        <w:t xml:space="preserve"> </w:t>
      </w:r>
      <w:r w:rsidR="008A40EA" w:rsidRPr="000635F5">
        <w:rPr>
          <w:bCs/>
        </w:rPr>
        <w:t xml:space="preserve">would be equivalent to </w:t>
      </w:r>
      <w:r w:rsidR="008A40EA" w:rsidRPr="000635F5">
        <w:rPr>
          <w:bCs/>
          <w:i/>
          <w:iCs/>
        </w:rPr>
        <w:t xml:space="preserve">D </w:t>
      </w:r>
      <w:r w:rsidR="008A40EA" w:rsidRPr="000635F5">
        <w:rPr>
          <w:bCs/>
        </w:rPr>
        <w:t xml:space="preserve">in that instance. </w:t>
      </w:r>
      <w:r w:rsidR="003E5F1C" w:rsidRPr="000635F5">
        <w:rPr>
          <w:bCs/>
        </w:rPr>
        <w:t>This presented an opportunity to</w:t>
      </w:r>
      <w:r w:rsidR="008A40EA" w:rsidRPr="000635F5">
        <w:rPr>
          <w:bCs/>
        </w:rPr>
        <w:t xml:space="preserve"> rectify the ambiguous use of notation</w:t>
      </w:r>
      <w:r w:rsidR="003E5F1C" w:rsidRPr="000635F5">
        <w:rPr>
          <w:bCs/>
        </w:rPr>
        <w:t xml:space="preserve"> throughout the entire manuscript. Th</w:t>
      </w:r>
      <w:r w:rsidR="008A40EA" w:rsidRPr="000635F5">
        <w:rPr>
          <w:bCs/>
        </w:rPr>
        <w:t xml:space="preserve">e term </w:t>
      </w:r>
      <w:r w:rsidR="008A40EA" w:rsidRPr="000635F5">
        <w:rPr>
          <w:bCs/>
          <w:i/>
          <w:iCs/>
        </w:rPr>
        <w:t>D</w:t>
      </w:r>
      <w:r w:rsidR="008A40EA" w:rsidRPr="000635F5">
        <w:rPr>
          <w:bCs/>
          <w:i/>
          <w:iCs/>
          <w:vertAlign w:val="subscript"/>
        </w:rPr>
        <w:t>obs</w:t>
      </w:r>
      <w:r w:rsidR="008A40EA" w:rsidRPr="000635F5">
        <w:rPr>
          <w:bCs/>
          <w:i/>
          <w:iCs/>
          <w:vertAlign w:val="subscript"/>
        </w:rPr>
        <w:t xml:space="preserve"> </w:t>
      </w:r>
      <w:r w:rsidR="008A40EA" w:rsidRPr="000635F5">
        <w:rPr>
          <w:bCs/>
        </w:rPr>
        <w:t xml:space="preserve">was dropped completely; </w:t>
      </w:r>
      <w:r w:rsidR="003E5F1C" w:rsidRPr="000635F5">
        <w:rPr>
          <w:bCs/>
        </w:rPr>
        <w:t>instead,</w:t>
      </w:r>
      <w:r w:rsidR="008A40EA" w:rsidRPr="000635F5">
        <w:rPr>
          <w:bCs/>
        </w:rPr>
        <w:t xml:space="preserve"> </w:t>
      </w:r>
      <w:r w:rsidR="008A40EA" w:rsidRPr="000635F5">
        <w:rPr>
          <w:bCs/>
          <w:i/>
          <w:iCs/>
        </w:rPr>
        <w:t>D</w:t>
      </w:r>
      <w:r w:rsidR="008A40EA" w:rsidRPr="000635F5">
        <w:rPr>
          <w:bCs/>
        </w:rPr>
        <w:t xml:space="preserve"> always refers to observed data and the term </w:t>
      </w:r>
      <w:r w:rsidR="008A40EA" w:rsidRPr="000635F5">
        <w:rPr>
          <w:bCs/>
          <w:i/>
          <w:iCs/>
        </w:rPr>
        <w:t>D</w:t>
      </w:r>
      <w:r w:rsidR="008A40EA" w:rsidRPr="000635F5">
        <w:rPr>
          <w:bCs/>
          <w:i/>
          <w:iCs/>
          <w:vertAlign w:val="subscript"/>
        </w:rPr>
        <w:t>rep</w:t>
      </w:r>
      <w:r w:rsidR="008A40EA" w:rsidRPr="000635F5">
        <w:rPr>
          <w:bCs/>
          <w:vertAlign w:val="subscript"/>
        </w:rPr>
        <w:t xml:space="preserve"> </w:t>
      </w:r>
      <w:r w:rsidR="008A40EA" w:rsidRPr="000635F5">
        <w:rPr>
          <w:bCs/>
        </w:rPr>
        <w:t>refers to hypothetical data used in the expression for the predictive distribution and Box’s p-value</w:t>
      </w:r>
      <w:r>
        <w:rPr>
          <w:bCs/>
        </w:rPr>
        <w:t>.</w:t>
      </w:r>
    </w:p>
    <w:p w14:paraId="351C891F" w14:textId="77777777" w:rsidR="00A01332" w:rsidRPr="000635F5" w:rsidRDefault="00A01332" w:rsidP="0064249E">
      <w:pPr>
        <w:pBdr>
          <w:bottom w:val="single" w:sz="4" w:space="1" w:color="auto"/>
        </w:pBdr>
        <w:rPr>
          <w:bCs/>
        </w:rPr>
      </w:pPr>
    </w:p>
    <w:p w14:paraId="3C5D4111" w14:textId="77777777" w:rsidR="00366DD8" w:rsidRPr="000635F5" w:rsidRDefault="00366DD8" w:rsidP="00365B05">
      <w:pPr>
        <w:pStyle w:val="PlainText"/>
        <w:rPr>
          <w:rFonts w:ascii="Times New Roman" w:hAnsi="Times New Roman"/>
          <w:b/>
          <w:bCs/>
          <w:szCs w:val="24"/>
        </w:rPr>
      </w:pPr>
    </w:p>
    <w:p w14:paraId="43FF4A56" w14:textId="3DC58847" w:rsidR="0064249E" w:rsidRPr="000635F5" w:rsidRDefault="0064249E" w:rsidP="00365B05">
      <w:pPr>
        <w:pStyle w:val="PlainText"/>
        <w:rPr>
          <w:rFonts w:ascii="Times New Roman" w:hAnsi="Times New Roman"/>
          <w:b/>
          <w:bCs/>
          <w:szCs w:val="24"/>
        </w:rPr>
      </w:pPr>
      <w:r w:rsidRPr="000635F5">
        <w:rPr>
          <w:rFonts w:ascii="Times New Roman" w:hAnsi="Times New Roman"/>
          <w:b/>
          <w:bCs/>
          <w:szCs w:val="24"/>
        </w:rPr>
        <w:t>[Comment 4]</w:t>
      </w:r>
      <w:r w:rsidRPr="000635F5">
        <w:rPr>
          <w:rFonts w:ascii="Times New Roman" w:hAnsi="Times New Roman"/>
          <w:szCs w:val="24"/>
        </w:rPr>
        <w:drawing>
          <wp:inline distT="0" distB="0" distL="0" distR="0" wp14:anchorId="79BD30E5" wp14:editId="314C09A8">
            <wp:extent cx="5943600" cy="441960"/>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41960"/>
                    </a:xfrm>
                    <a:prstGeom prst="rect">
                      <a:avLst/>
                    </a:prstGeom>
                  </pic:spPr>
                </pic:pic>
              </a:graphicData>
            </a:graphic>
          </wp:inline>
        </w:drawing>
      </w:r>
    </w:p>
    <w:p w14:paraId="5E09D871" w14:textId="77777777" w:rsidR="00A01332" w:rsidRPr="000635F5" w:rsidRDefault="00A01332" w:rsidP="00365B05">
      <w:pPr>
        <w:pStyle w:val="PlainText"/>
        <w:rPr>
          <w:rFonts w:ascii="Times New Roman" w:hAnsi="Times New Roman"/>
          <w:szCs w:val="24"/>
        </w:rPr>
      </w:pPr>
    </w:p>
    <w:p w14:paraId="47703717" w14:textId="392A56AA" w:rsidR="00FE0756" w:rsidRPr="000635F5" w:rsidRDefault="0064249E" w:rsidP="0052176C">
      <w:pPr>
        <w:pStyle w:val="PlainText"/>
        <w:rPr>
          <w:rFonts w:ascii="Times New Roman" w:hAnsi="Times New Roman"/>
          <w:b/>
          <w:szCs w:val="24"/>
        </w:rPr>
      </w:pPr>
      <w:r w:rsidRPr="000635F5">
        <w:rPr>
          <w:rFonts w:ascii="Times New Roman" w:hAnsi="Times New Roman"/>
          <w:b/>
          <w:szCs w:val="24"/>
        </w:rPr>
        <w:t>[Response by Authors]</w:t>
      </w:r>
      <w:r w:rsidR="0044307A" w:rsidRPr="000635F5">
        <w:rPr>
          <w:rFonts w:ascii="Times New Roman" w:hAnsi="Times New Roman"/>
          <w:b/>
          <w:szCs w:val="24"/>
        </w:rPr>
        <w:t xml:space="preserve"> </w:t>
      </w:r>
    </w:p>
    <w:p w14:paraId="6D4BE1DE" w14:textId="0AD510C1" w:rsidR="00A01332" w:rsidRPr="000635F5" w:rsidRDefault="0081492F" w:rsidP="0081492F">
      <w:pPr>
        <w:pStyle w:val="PlainText"/>
        <w:rPr>
          <w:rFonts w:ascii="Times New Roman" w:hAnsi="Times New Roman"/>
          <w:color w:val="000000"/>
          <w:szCs w:val="24"/>
        </w:rPr>
      </w:pPr>
      <w:r w:rsidRPr="000635F5">
        <w:rPr>
          <w:rFonts w:ascii="Times New Roman" w:hAnsi="Times New Roman"/>
          <w:color w:val="000000"/>
          <w:szCs w:val="24"/>
        </w:rPr>
        <w:t>The authors agree that this is a vague expression. To make this statement consistent with the existing notation for the mode of a probability distribution first used in Section 2.1.3,</w:t>
      </w:r>
      <w:r w:rsidRPr="000635F5">
        <w:rPr>
          <w:rFonts w:ascii="Times New Roman" w:hAnsi="Times New Roman"/>
          <w:color w:val="000000"/>
          <w:szCs w:val="24"/>
        </w:rPr>
        <w:t xml:space="preserve"> the following change was made:</w:t>
      </w:r>
    </w:p>
    <w:p w14:paraId="2AF07B34" w14:textId="451B1031" w:rsidR="0081492F" w:rsidRPr="000635F5" w:rsidRDefault="00CF75B2" w:rsidP="00CF75B2">
      <w:pPr>
        <w:pStyle w:val="PlainText"/>
        <w:jc w:val="center"/>
        <w:rPr>
          <w:rFonts w:ascii="Times New Roman" w:hAnsi="Times New Roman"/>
          <w:szCs w:val="24"/>
        </w:rPr>
      </w:pPr>
      <w:r w:rsidRPr="000635F5">
        <w:rPr>
          <w:rFonts w:ascii="Times New Roman" w:hAnsi="Times New Roman"/>
          <w:szCs w:val="24"/>
        </w:rPr>
        <w:drawing>
          <wp:inline distT="0" distB="0" distL="0" distR="0" wp14:anchorId="3A490FCD" wp14:editId="50237F0D">
            <wp:extent cx="3902044" cy="2421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03211" cy="260889"/>
                    </a:xfrm>
                    <a:prstGeom prst="rect">
                      <a:avLst/>
                    </a:prstGeom>
                  </pic:spPr>
                </pic:pic>
              </a:graphicData>
            </a:graphic>
          </wp:inline>
        </w:drawing>
      </w:r>
    </w:p>
    <w:p w14:paraId="1324E8AE" w14:textId="77777777" w:rsidR="00A01332" w:rsidRPr="000635F5" w:rsidRDefault="00A01332" w:rsidP="00A01332">
      <w:pPr>
        <w:pStyle w:val="NormalWeb"/>
        <w:spacing w:before="0" w:beforeAutospacing="0" w:after="0" w:afterAutospacing="0"/>
        <w:rPr>
          <w:b/>
          <w:bCs/>
        </w:rPr>
      </w:pPr>
    </w:p>
    <w:p w14:paraId="6B229BF5" w14:textId="710B6D56" w:rsidR="00A407FE" w:rsidRPr="000635F5" w:rsidRDefault="00A407FE" w:rsidP="00A407FE">
      <w:pPr>
        <w:pStyle w:val="PlainText"/>
        <w:rPr>
          <w:rFonts w:ascii="Times New Roman" w:hAnsi="Times New Roman"/>
          <w:szCs w:val="24"/>
        </w:rPr>
      </w:pPr>
      <w:r w:rsidRPr="000635F5">
        <w:rPr>
          <w:rFonts w:ascii="Times New Roman" w:hAnsi="Times New Roman"/>
          <w:szCs w:val="24"/>
        </w:rPr>
        <w:t xml:space="preserve">*Reviewer </w:t>
      </w:r>
      <w:r w:rsidRPr="000635F5">
        <w:rPr>
          <w:rFonts w:ascii="Times New Roman" w:hAnsi="Times New Roman"/>
          <w:szCs w:val="24"/>
        </w:rPr>
        <w:t>2</w:t>
      </w:r>
      <w:r w:rsidRPr="000635F5">
        <w:rPr>
          <w:rFonts w:ascii="Times New Roman" w:hAnsi="Times New Roman"/>
          <w:szCs w:val="24"/>
        </w:rPr>
        <w:t>*</w:t>
      </w:r>
    </w:p>
    <w:p w14:paraId="29C60682" w14:textId="77777777" w:rsidR="00A407FE" w:rsidRPr="000635F5" w:rsidRDefault="00A407FE" w:rsidP="00A407FE">
      <w:pPr>
        <w:pStyle w:val="PlainText"/>
        <w:rPr>
          <w:rFonts w:ascii="Times New Roman" w:hAnsi="Times New Roman"/>
          <w:szCs w:val="24"/>
        </w:rPr>
      </w:pPr>
    </w:p>
    <w:p w14:paraId="2CF4707C" w14:textId="77777777" w:rsidR="00A407FE" w:rsidRPr="000635F5" w:rsidRDefault="00A407FE" w:rsidP="00A407FE">
      <w:pPr>
        <w:pStyle w:val="PlainText"/>
        <w:rPr>
          <w:rFonts w:ascii="Times New Roman" w:hAnsi="Times New Roman"/>
          <w:szCs w:val="24"/>
        </w:rPr>
      </w:pPr>
      <w:r w:rsidRPr="000635F5">
        <w:rPr>
          <w:rFonts w:ascii="Times New Roman" w:hAnsi="Times New Roman"/>
          <w:szCs w:val="24"/>
        </w:rPr>
        <w:t>Comments to the Authors:</w:t>
      </w:r>
    </w:p>
    <w:p w14:paraId="1241B6E6" w14:textId="7E124BF3" w:rsidR="00FE0756" w:rsidRPr="000635F5" w:rsidRDefault="00FE0756" w:rsidP="00365B05">
      <w:pPr>
        <w:pStyle w:val="PlainText"/>
        <w:rPr>
          <w:rFonts w:ascii="Times New Roman" w:hAnsi="Times New Roman"/>
          <w:b/>
          <w:szCs w:val="24"/>
        </w:rPr>
      </w:pPr>
    </w:p>
    <w:p w14:paraId="2C984668" w14:textId="5CFCFDA3" w:rsidR="00FE0756" w:rsidRPr="000635F5" w:rsidRDefault="00FE0756" w:rsidP="00FE0756">
      <w:pPr>
        <w:pStyle w:val="NormalWeb"/>
        <w:spacing w:before="0" w:beforeAutospacing="0" w:after="0" w:afterAutospacing="0"/>
      </w:pPr>
      <w:r w:rsidRPr="000635F5">
        <w:t xml:space="preserve">This article provides a Bayesian framework for sequential monitoring of clinical trials using external data.  It defines skeptical and enthusiastic priors in the context of Bayesian hypothesis testing and proposes a two-component mixture prior to combine these two types of priors. Weight of each component is determined based on an assessment of prior data conflict, for example, a higher weightage will be given the skeptical component if the observed data are not compatible with the enthusiastic prior. Section 2 of the article presents a thorough discussion on the elicitation of prior and a computation strategy to determine the weights.  </w:t>
      </w:r>
    </w:p>
    <w:p w14:paraId="709B3A2B" w14:textId="77777777" w:rsidR="00A407FE" w:rsidRPr="000635F5" w:rsidRDefault="00A407FE" w:rsidP="00FE0756">
      <w:pPr>
        <w:pStyle w:val="NormalWeb"/>
        <w:spacing w:before="0" w:beforeAutospacing="0" w:after="0" w:afterAutospacing="0"/>
      </w:pPr>
    </w:p>
    <w:p w14:paraId="68D1C08C" w14:textId="77777777" w:rsidR="00FE0756" w:rsidRPr="000635F5" w:rsidRDefault="00FE0756" w:rsidP="00FE0756">
      <w:pPr>
        <w:pStyle w:val="NormalWeb"/>
        <w:spacing w:before="0" w:beforeAutospacing="0" w:after="0" w:afterAutospacing="0"/>
      </w:pPr>
      <w:r w:rsidRPr="000635F5">
        <w:lastRenderedPageBreak/>
        <w:t>Overall, the article is interesting but there are scopes of further improvement.  My comments are provided below:</w:t>
      </w:r>
    </w:p>
    <w:p w14:paraId="49E15613" w14:textId="6095F42D" w:rsidR="00A407FE" w:rsidRPr="000635F5" w:rsidRDefault="00FE0756" w:rsidP="00A407FE">
      <w:pPr>
        <w:pBdr>
          <w:bottom w:val="single" w:sz="4" w:space="1" w:color="auto"/>
        </w:pBdr>
      </w:pPr>
      <w:r w:rsidRPr="000635F5">
        <w:t> </w:t>
      </w:r>
    </w:p>
    <w:p w14:paraId="725D39FE" w14:textId="77777777" w:rsidR="00366DD8" w:rsidRPr="000635F5" w:rsidRDefault="00366DD8" w:rsidP="00A407FE">
      <w:pPr>
        <w:pStyle w:val="NormalWeb"/>
        <w:spacing w:before="0" w:beforeAutospacing="0" w:after="0" w:afterAutospacing="0"/>
        <w:rPr>
          <w:b/>
          <w:bCs/>
        </w:rPr>
      </w:pPr>
    </w:p>
    <w:p w14:paraId="51D4A09C" w14:textId="781FADD8" w:rsidR="00FE0756" w:rsidRPr="000635F5" w:rsidRDefault="00A407FE" w:rsidP="00A407FE">
      <w:pPr>
        <w:pStyle w:val="NormalWeb"/>
        <w:spacing w:before="0" w:beforeAutospacing="0" w:after="0" w:afterAutospacing="0"/>
        <w:rPr>
          <w:b/>
          <w:bCs/>
        </w:rPr>
      </w:pPr>
      <w:r w:rsidRPr="000635F5">
        <w:rPr>
          <w:b/>
          <w:bCs/>
        </w:rPr>
        <w:t xml:space="preserve">[Comment </w:t>
      </w:r>
      <w:r w:rsidRPr="000635F5">
        <w:rPr>
          <w:b/>
          <w:bCs/>
        </w:rPr>
        <w:t>1</w:t>
      </w:r>
      <w:r w:rsidRPr="000635F5">
        <w:rPr>
          <w:b/>
          <w:bCs/>
        </w:rPr>
        <w:t>]</w:t>
      </w:r>
    </w:p>
    <w:p w14:paraId="4D883120" w14:textId="0B5025AC" w:rsidR="00A407FE" w:rsidRPr="000635F5" w:rsidRDefault="00FE0756" w:rsidP="00366DD8">
      <w:r w:rsidRPr="000635F5">
        <w:t xml:space="preserve">Authors provide a very limited discussion on the existing Bayesian approaches for sequential monitoring of clinical trials using noninformative prior and other approaches of elicitation of informative prior (such as power prior). It will benefit the readers if the authors discuss how their proposed method differs from other existing approaches through examples/simulation study. </w:t>
      </w:r>
    </w:p>
    <w:p w14:paraId="1CC1ECB0" w14:textId="77777777" w:rsidR="00F17E09" w:rsidRPr="000635F5" w:rsidRDefault="00F17E09" w:rsidP="00366DD8"/>
    <w:p w14:paraId="1E909F13" w14:textId="25E9C2DE" w:rsidR="00366DD8" w:rsidRPr="000635F5" w:rsidRDefault="00366DD8" w:rsidP="00366DD8">
      <w:pPr>
        <w:pBdr>
          <w:bottom w:val="single" w:sz="4" w:space="1" w:color="auto"/>
        </w:pBdr>
        <w:rPr>
          <w:b/>
        </w:rPr>
      </w:pPr>
      <w:r w:rsidRPr="000635F5">
        <w:rPr>
          <w:b/>
        </w:rPr>
        <w:t>[Response by Authors]</w:t>
      </w:r>
    </w:p>
    <w:p w14:paraId="13E5793F" w14:textId="180F3266" w:rsidR="00A43120" w:rsidRPr="000635F5" w:rsidRDefault="00A43120" w:rsidP="00366DD8">
      <w:pPr>
        <w:pBdr>
          <w:bottom w:val="single" w:sz="4" w:space="1" w:color="auto"/>
        </w:pBdr>
        <w:rPr>
          <w:b/>
        </w:rPr>
      </w:pPr>
    </w:p>
    <w:p w14:paraId="1A0D433B" w14:textId="625080D1" w:rsidR="004C6E0E" w:rsidRPr="000635F5" w:rsidRDefault="004C6E0E" w:rsidP="00366DD8">
      <w:pPr>
        <w:pBdr>
          <w:bottom w:val="single" w:sz="4" w:space="1" w:color="auto"/>
        </w:pBdr>
        <w:rPr>
          <w:bCs/>
        </w:rPr>
      </w:pPr>
      <w:r w:rsidRPr="000635F5">
        <w:rPr>
          <w:bCs/>
        </w:rPr>
        <w:t>Existing Bayesian approaches for sequential monitoring of clinical trials using noninformative prior was interpreted as (A) a sequentially monitored prior without incorporated external information and (B) traditional Bayesian sequential monitoring.</w:t>
      </w:r>
    </w:p>
    <w:p w14:paraId="1AA17B5A" w14:textId="77777777" w:rsidR="004C6E0E" w:rsidRPr="000635F5" w:rsidRDefault="004C6E0E" w:rsidP="004C6E0E">
      <w:pPr>
        <w:pBdr>
          <w:bottom w:val="single" w:sz="4" w:space="1" w:color="auto"/>
        </w:pBdr>
        <w:rPr>
          <w:b/>
        </w:rPr>
      </w:pPr>
    </w:p>
    <w:p w14:paraId="4005DFC5" w14:textId="3C666B9F" w:rsidR="004C6E0E" w:rsidRPr="000635F5" w:rsidRDefault="004C6E0E" w:rsidP="004C6E0E">
      <w:pPr>
        <w:pBdr>
          <w:bottom w:val="single" w:sz="4" w:space="1" w:color="auto"/>
        </w:pBdr>
        <w:rPr>
          <w:i/>
          <w:iCs/>
        </w:rPr>
      </w:pPr>
      <w:r w:rsidRPr="000635F5">
        <w:t xml:space="preserve">Bayesian approaches for sequential monitoring of clinical trials using noninformative prior </w:t>
      </w:r>
      <w:r w:rsidRPr="000635F5">
        <w:rPr>
          <w:i/>
          <w:iCs/>
        </w:rPr>
        <w:t xml:space="preserve">was interpreted to mean a single analysis using a non-informative prior. </w:t>
      </w:r>
    </w:p>
    <w:p w14:paraId="5848F0BE" w14:textId="01487C20" w:rsidR="00A43120" w:rsidRPr="000635F5" w:rsidRDefault="00A43120" w:rsidP="00366DD8">
      <w:pPr>
        <w:pBdr>
          <w:bottom w:val="single" w:sz="4" w:space="1" w:color="auto"/>
        </w:pBdr>
      </w:pPr>
    </w:p>
    <w:p w14:paraId="720D5E66" w14:textId="5BD8591C" w:rsidR="008102EE" w:rsidRPr="000635F5" w:rsidRDefault="008102EE" w:rsidP="00366DD8">
      <w:pPr>
        <w:pBdr>
          <w:bottom w:val="single" w:sz="4" w:space="1" w:color="auto"/>
        </w:pBdr>
        <w:rPr>
          <w:bCs/>
        </w:rPr>
      </w:pPr>
      <w:r w:rsidRPr="000635F5">
        <w:rPr>
          <w:bCs/>
        </w:rPr>
        <w:t xml:space="preserve">A reference comparing a feature of our method to other approaches of eliciting an informative prior is given in the discussion: </w:t>
      </w:r>
    </w:p>
    <w:p w14:paraId="4E5BAD29" w14:textId="6ABAC519" w:rsidR="008832A2" w:rsidRPr="000635F5" w:rsidRDefault="008832A2" w:rsidP="00366DD8">
      <w:pPr>
        <w:pBdr>
          <w:bottom w:val="single" w:sz="4" w:space="1" w:color="auto"/>
        </w:pBdr>
        <w:rPr>
          <w:b/>
        </w:rPr>
      </w:pPr>
    </w:p>
    <w:p w14:paraId="37F8067A" w14:textId="2E291B04" w:rsidR="008102EE" w:rsidRPr="000635F5" w:rsidRDefault="00C95FA0" w:rsidP="00366DD8">
      <w:pPr>
        <w:pBdr>
          <w:bottom w:val="single" w:sz="4" w:space="1" w:color="auto"/>
        </w:pBdr>
        <w:rPr>
          <w:b/>
        </w:rPr>
      </w:pPr>
      <w:r w:rsidRPr="000635F5">
        <w:rPr>
          <w:b/>
        </w:rPr>
        <w:drawing>
          <wp:inline distT="0" distB="0" distL="0" distR="0" wp14:anchorId="6DBEAA04" wp14:editId="05A1E05E">
            <wp:extent cx="5943600" cy="21082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108200"/>
                    </a:xfrm>
                    <a:prstGeom prst="rect">
                      <a:avLst/>
                    </a:prstGeom>
                  </pic:spPr>
                </pic:pic>
              </a:graphicData>
            </a:graphic>
          </wp:inline>
        </w:drawing>
      </w:r>
    </w:p>
    <w:p w14:paraId="79FE2A03" w14:textId="77777777" w:rsidR="00C95FA0" w:rsidRPr="000635F5" w:rsidRDefault="00C95FA0" w:rsidP="00366DD8">
      <w:pPr>
        <w:pBdr>
          <w:bottom w:val="single" w:sz="4" w:space="1" w:color="auto"/>
        </w:pBdr>
        <w:rPr>
          <w:b/>
        </w:rPr>
      </w:pPr>
    </w:p>
    <w:p w14:paraId="07BA1E0B" w14:textId="718A2A07" w:rsidR="008102EE" w:rsidRPr="000635F5" w:rsidRDefault="008102EE" w:rsidP="00366DD8">
      <w:pPr>
        <w:pBdr>
          <w:bottom w:val="single" w:sz="4" w:space="1" w:color="auto"/>
        </w:pBdr>
        <w:rPr>
          <w:bCs/>
        </w:rPr>
      </w:pPr>
      <w:r w:rsidRPr="000635F5">
        <w:rPr>
          <w:bCs/>
        </w:rPr>
        <w:t xml:space="preserve">A through comparison </w:t>
      </w:r>
      <w:r w:rsidR="005C35A3" w:rsidRPr="000635F5">
        <w:rPr>
          <w:bCs/>
        </w:rPr>
        <w:t xml:space="preserve">of our method with a noninformative prior is given in </w:t>
      </w:r>
      <w:r w:rsidR="005C35A3" w:rsidRPr="000635F5">
        <w:rPr>
          <w:bCs/>
        </w:rPr>
        <w:t>Section 3.3 “Comparison to Single Analysis with Non-Informative Prior.”</w:t>
      </w:r>
    </w:p>
    <w:p w14:paraId="18B39372" w14:textId="37A92401" w:rsidR="008102EE" w:rsidRPr="000635F5" w:rsidRDefault="008102EE" w:rsidP="00366DD8">
      <w:pPr>
        <w:pBdr>
          <w:bottom w:val="single" w:sz="4" w:space="1" w:color="auto"/>
        </w:pBdr>
        <w:rPr>
          <w:b/>
        </w:rPr>
      </w:pPr>
    </w:p>
    <w:p w14:paraId="37B15998" w14:textId="53C8F6EE" w:rsidR="00074668" w:rsidRPr="000635F5" w:rsidRDefault="00074668" w:rsidP="00366DD8">
      <w:pPr>
        <w:pBdr>
          <w:bottom w:val="single" w:sz="4" w:space="1" w:color="auto"/>
        </w:pBdr>
        <w:rPr>
          <w:bCs/>
          <w:i/>
          <w:iCs/>
        </w:rPr>
      </w:pPr>
      <w:r w:rsidRPr="000635F5">
        <w:rPr>
          <w:bCs/>
          <w:i/>
          <w:iCs/>
        </w:rPr>
        <w:t>Other techniques for creating a dynamic borrowing prior for monitoring purposes would require manual verification that the information contributed by the prior remains consistent with the residual uncertainty that must be present to justify the trial to begin with. For example, using a power prior</w:t>
      </w:r>
      <w:r w:rsidR="00A43120" w:rsidRPr="000635F5">
        <w:rPr>
          <w:bCs/>
          <w:i/>
          <w:iCs/>
        </w:rPr>
        <w:t xml:space="preserve"> (CITE) </w:t>
      </w:r>
      <w:r w:rsidRPr="000635F5">
        <w:rPr>
          <w:bCs/>
          <w:i/>
          <w:iCs/>
        </w:rPr>
        <w:t xml:space="preserve">or normalized power prior </w:t>
      </w:r>
      <w:r w:rsidR="00A43120" w:rsidRPr="000635F5">
        <w:rPr>
          <w:bCs/>
          <w:i/>
          <w:iCs/>
        </w:rPr>
        <w:t xml:space="preserve">(CITE) </w:t>
      </w:r>
      <w:r w:rsidRPr="000635F5">
        <w:rPr>
          <w:bCs/>
          <w:i/>
          <w:iCs/>
        </w:rPr>
        <w:t xml:space="preserve">would </w:t>
      </w:r>
      <w:r w:rsidR="00A43120" w:rsidRPr="000635F5">
        <w:rPr>
          <w:bCs/>
          <w:i/>
          <w:iCs/>
        </w:rPr>
        <w:t>require</w:t>
      </w:r>
      <w:r w:rsidRPr="000635F5">
        <w:rPr>
          <w:bCs/>
          <w:i/>
          <w:iCs/>
        </w:rPr>
        <w:t xml:space="preserve"> that the value of the borrowing parameter (or its distribution) be chosen such that analysis of new data does not result in a compelling demonstration of efficacy in cases where the new data suggest otherwise.</w:t>
      </w:r>
    </w:p>
    <w:p w14:paraId="6E75342F" w14:textId="77777777" w:rsidR="00074668" w:rsidRPr="000635F5" w:rsidRDefault="00074668" w:rsidP="00366DD8">
      <w:pPr>
        <w:pBdr>
          <w:bottom w:val="single" w:sz="4" w:space="1" w:color="auto"/>
        </w:pBdr>
        <w:rPr>
          <w:b/>
        </w:rPr>
      </w:pPr>
    </w:p>
    <w:p w14:paraId="60861F14" w14:textId="77777777" w:rsidR="00EF6955" w:rsidRPr="000635F5" w:rsidRDefault="00EF6955" w:rsidP="00366DD8">
      <w:pPr>
        <w:pBdr>
          <w:bottom w:val="single" w:sz="4" w:space="1" w:color="auto"/>
        </w:pBdr>
        <w:rPr>
          <w:b/>
        </w:rPr>
      </w:pPr>
    </w:p>
    <w:p w14:paraId="32FFD159" w14:textId="77777777" w:rsidR="00366DD8" w:rsidRPr="000635F5" w:rsidRDefault="00366DD8" w:rsidP="00A407FE">
      <w:pPr>
        <w:rPr>
          <w:b/>
          <w:bCs/>
        </w:rPr>
      </w:pPr>
    </w:p>
    <w:p w14:paraId="2E107A94" w14:textId="7D86AF4B" w:rsidR="00FE0756" w:rsidRPr="000635F5" w:rsidRDefault="00A407FE" w:rsidP="00A407FE">
      <w:r w:rsidRPr="000635F5">
        <w:rPr>
          <w:b/>
          <w:bCs/>
        </w:rPr>
        <w:t xml:space="preserve">[Comment </w:t>
      </w:r>
      <w:r w:rsidRPr="000635F5">
        <w:rPr>
          <w:b/>
          <w:bCs/>
        </w:rPr>
        <w:t>2]</w:t>
      </w:r>
    </w:p>
    <w:p w14:paraId="036ECB57" w14:textId="3D8FBE72" w:rsidR="00FE0756" w:rsidRPr="000635F5" w:rsidRDefault="00FE0756" w:rsidP="00FE0756">
      <w:r w:rsidRPr="000635F5">
        <w:t xml:space="preserve">This paper notes that strict type 1 error control may not be achievable when prior information is incorporated into the analysis. I think it will be useful for the readers if the authors provide a more detailed discussion on this topic. I recommend the authors to consider performing a simulation study, comparing the operating characteristics based on a standard design with noninformative prior and the proposed design using the mixture prior. </w:t>
      </w:r>
    </w:p>
    <w:p w14:paraId="4E89F674" w14:textId="77777777" w:rsidR="00F17E09" w:rsidRPr="000635F5" w:rsidRDefault="00F17E09" w:rsidP="00FE0756"/>
    <w:p w14:paraId="473229BF" w14:textId="3C3EA7FC" w:rsidR="0044307A" w:rsidRPr="000635F5" w:rsidRDefault="00366DD8" w:rsidP="0044307A">
      <w:pPr>
        <w:pBdr>
          <w:bottom w:val="single" w:sz="4" w:space="1" w:color="auto"/>
        </w:pBdr>
        <w:rPr>
          <w:i/>
          <w:iCs/>
        </w:rPr>
      </w:pPr>
      <w:r w:rsidRPr="000635F5">
        <w:rPr>
          <w:b/>
        </w:rPr>
        <w:t>[Response by Authors]</w:t>
      </w:r>
      <w:r w:rsidR="0044307A" w:rsidRPr="000635F5">
        <w:rPr>
          <w:b/>
        </w:rPr>
        <w:t xml:space="preserve"> </w:t>
      </w:r>
      <w:r w:rsidR="00F17E09" w:rsidRPr="000635F5">
        <w:rPr>
          <w:bCs/>
        </w:rPr>
        <w:t>The authors added Section 3.3 “Comparison to Single Analysis with Non-Informative Prior</w:t>
      </w:r>
      <w:r w:rsidR="00F17E09" w:rsidRPr="000635F5">
        <w:rPr>
          <w:bCs/>
        </w:rPr>
        <w:t>.</w:t>
      </w:r>
      <w:r w:rsidR="00F17E09" w:rsidRPr="000635F5">
        <w:rPr>
          <w:bCs/>
        </w:rPr>
        <w:t>”</w:t>
      </w:r>
    </w:p>
    <w:p w14:paraId="15C273B9" w14:textId="421D6B54" w:rsidR="00A407FE" w:rsidRPr="000635F5" w:rsidRDefault="00A407FE" w:rsidP="00A407FE">
      <w:pPr>
        <w:pBdr>
          <w:bottom w:val="single" w:sz="4" w:space="1" w:color="auto"/>
        </w:pBdr>
      </w:pPr>
    </w:p>
    <w:p w14:paraId="2A5B5A6D" w14:textId="65DB9C8F" w:rsidR="004C6E0E" w:rsidRPr="000635F5" w:rsidRDefault="00C95FA0" w:rsidP="00A407FE">
      <w:pPr>
        <w:pBdr>
          <w:bottom w:val="single" w:sz="4" w:space="1" w:color="auto"/>
        </w:pBdr>
      </w:pPr>
      <w:r w:rsidRPr="000635F5">
        <w:drawing>
          <wp:inline distT="0" distB="0" distL="0" distR="0" wp14:anchorId="599FDFC7" wp14:editId="2A8CB8A4">
            <wp:extent cx="5943600" cy="5688965"/>
            <wp:effectExtent l="0" t="0" r="0"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688965"/>
                    </a:xfrm>
                    <a:prstGeom prst="rect">
                      <a:avLst/>
                    </a:prstGeom>
                  </pic:spPr>
                </pic:pic>
              </a:graphicData>
            </a:graphic>
          </wp:inline>
        </w:drawing>
      </w:r>
    </w:p>
    <w:p w14:paraId="351217C1" w14:textId="1207F91B" w:rsidR="0081492F" w:rsidRPr="000635F5" w:rsidRDefault="0081492F" w:rsidP="00A407FE">
      <w:pPr>
        <w:pBdr>
          <w:bottom w:val="single" w:sz="4" w:space="1" w:color="auto"/>
        </w:pBdr>
      </w:pPr>
      <w:r w:rsidRPr="000635F5">
        <w:lastRenderedPageBreak/>
        <w:drawing>
          <wp:inline distT="0" distB="0" distL="0" distR="0" wp14:anchorId="209ECCF3" wp14:editId="787DED5D">
            <wp:extent cx="5943600" cy="7554595"/>
            <wp:effectExtent l="0" t="0" r="0" b="190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7554595"/>
                    </a:xfrm>
                    <a:prstGeom prst="rect">
                      <a:avLst/>
                    </a:prstGeom>
                  </pic:spPr>
                </pic:pic>
              </a:graphicData>
            </a:graphic>
          </wp:inline>
        </w:drawing>
      </w:r>
    </w:p>
    <w:p w14:paraId="56EC3F13" w14:textId="604D826E" w:rsidR="0081492F" w:rsidRPr="000635F5" w:rsidRDefault="0081492F" w:rsidP="00A407FE">
      <w:pPr>
        <w:pBdr>
          <w:bottom w:val="single" w:sz="4" w:space="1" w:color="auto"/>
        </w:pBdr>
      </w:pPr>
    </w:p>
    <w:p w14:paraId="73D96CF8" w14:textId="4697197A" w:rsidR="00A01332" w:rsidRPr="000635F5" w:rsidRDefault="00A01332" w:rsidP="00A407FE"/>
    <w:p w14:paraId="2DB93A9C" w14:textId="77777777" w:rsidR="0081492F" w:rsidRPr="000635F5" w:rsidRDefault="0081492F" w:rsidP="00A407FE">
      <w:pPr>
        <w:rPr>
          <w:b/>
          <w:bCs/>
        </w:rPr>
      </w:pPr>
    </w:p>
    <w:p w14:paraId="00155898" w14:textId="0448B1CB" w:rsidR="00FE0756" w:rsidRPr="000635F5" w:rsidRDefault="00A407FE" w:rsidP="00A407FE">
      <w:r w:rsidRPr="000635F5">
        <w:rPr>
          <w:b/>
          <w:bCs/>
        </w:rPr>
        <w:lastRenderedPageBreak/>
        <w:t xml:space="preserve">[Comment </w:t>
      </w:r>
      <w:r w:rsidRPr="000635F5">
        <w:rPr>
          <w:b/>
          <w:bCs/>
        </w:rPr>
        <w:t>3</w:t>
      </w:r>
      <w:r w:rsidRPr="000635F5">
        <w:rPr>
          <w:b/>
          <w:bCs/>
        </w:rPr>
        <w:t>]</w:t>
      </w:r>
    </w:p>
    <w:p w14:paraId="163A3FE7" w14:textId="1DC08E38" w:rsidR="00D57658" w:rsidRPr="000635F5" w:rsidRDefault="00FE0756" w:rsidP="00D57658">
      <w:r w:rsidRPr="000635F5">
        <w:t xml:space="preserve">I recommend the authors to provide a step-by-step algorithm for implementing their approach. This will be useful for the practitioners.  </w:t>
      </w:r>
    </w:p>
    <w:p w14:paraId="7F1CB828" w14:textId="77777777" w:rsidR="00F17E09" w:rsidRPr="000635F5" w:rsidRDefault="00F17E09" w:rsidP="00D57658"/>
    <w:p w14:paraId="25A9C034" w14:textId="456ABC53" w:rsidR="00366DD8" w:rsidRPr="000635F5" w:rsidRDefault="00366DD8" w:rsidP="00D57658">
      <w:pPr>
        <w:rPr>
          <w:bCs/>
        </w:rPr>
      </w:pPr>
      <w:r w:rsidRPr="000635F5">
        <w:rPr>
          <w:b/>
        </w:rPr>
        <w:t>[Response by Authors]</w:t>
      </w:r>
      <w:r w:rsidR="0044307A" w:rsidRPr="000635F5">
        <w:rPr>
          <w:b/>
        </w:rPr>
        <w:t xml:space="preserve"> </w:t>
      </w:r>
      <w:r w:rsidR="00822266" w:rsidRPr="000635F5">
        <w:rPr>
          <w:bCs/>
        </w:rPr>
        <w:t>The</w:t>
      </w:r>
      <w:r w:rsidR="00F17E09" w:rsidRPr="000635F5">
        <w:rPr>
          <w:bCs/>
        </w:rPr>
        <w:t xml:space="preserve"> authors</w:t>
      </w:r>
      <w:r w:rsidR="00822266" w:rsidRPr="000635F5">
        <w:rPr>
          <w:bCs/>
        </w:rPr>
        <w:t xml:space="preserve"> added Appendix C</w:t>
      </w:r>
      <w:r w:rsidR="00F17E09" w:rsidRPr="000635F5">
        <w:rPr>
          <w:bCs/>
        </w:rPr>
        <w:t xml:space="preserve"> “Step-by-Step Implementation Guide” to address this comment.</w:t>
      </w:r>
    </w:p>
    <w:p w14:paraId="2AC7934C" w14:textId="456A879A" w:rsidR="004C6E0E" w:rsidRPr="000635F5" w:rsidRDefault="004C6E0E" w:rsidP="00D57658">
      <w:pPr>
        <w:rPr>
          <w:bCs/>
        </w:rPr>
      </w:pPr>
    </w:p>
    <w:p w14:paraId="7FFB97B1" w14:textId="48C65B92" w:rsidR="00A407FE" w:rsidRPr="000635F5" w:rsidRDefault="00A407FE" w:rsidP="00A407FE">
      <w:pPr>
        <w:pBdr>
          <w:bottom w:val="single" w:sz="4" w:space="1" w:color="auto"/>
        </w:pBdr>
      </w:pPr>
    </w:p>
    <w:p w14:paraId="5C9425E7" w14:textId="360A2B9E" w:rsidR="00C95FA0" w:rsidRPr="000635F5" w:rsidRDefault="0081492F" w:rsidP="00A407FE">
      <w:pPr>
        <w:pBdr>
          <w:bottom w:val="single" w:sz="4" w:space="1" w:color="auto"/>
        </w:pBdr>
      </w:pPr>
      <w:r w:rsidRPr="000635F5">
        <w:drawing>
          <wp:inline distT="0" distB="0" distL="0" distR="0" wp14:anchorId="673EF030" wp14:editId="72BC8DC1">
            <wp:extent cx="5943600" cy="6475730"/>
            <wp:effectExtent l="0" t="0" r="0" b="127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6475730"/>
                    </a:xfrm>
                    <a:prstGeom prst="rect">
                      <a:avLst/>
                    </a:prstGeom>
                  </pic:spPr>
                </pic:pic>
              </a:graphicData>
            </a:graphic>
          </wp:inline>
        </w:drawing>
      </w:r>
    </w:p>
    <w:p w14:paraId="3F382809" w14:textId="6864C0BA" w:rsidR="0081492F" w:rsidRPr="000635F5" w:rsidRDefault="0081492F" w:rsidP="00A407FE">
      <w:pPr>
        <w:pBdr>
          <w:bottom w:val="single" w:sz="4" w:space="1" w:color="auto"/>
        </w:pBdr>
      </w:pPr>
    </w:p>
    <w:p w14:paraId="7C428924" w14:textId="1F9427A9" w:rsidR="0081492F" w:rsidRPr="000635F5" w:rsidRDefault="0081492F" w:rsidP="00A407FE">
      <w:pPr>
        <w:pBdr>
          <w:bottom w:val="single" w:sz="4" w:space="1" w:color="auto"/>
        </w:pBdr>
      </w:pPr>
    </w:p>
    <w:p w14:paraId="11C2425C" w14:textId="520F3C5C" w:rsidR="0081492F" w:rsidRPr="000635F5" w:rsidRDefault="0081492F" w:rsidP="00A407FE">
      <w:pPr>
        <w:pBdr>
          <w:bottom w:val="single" w:sz="4" w:space="1" w:color="auto"/>
        </w:pBdr>
      </w:pPr>
      <w:r w:rsidRPr="000635F5">
        <w:lastRenderedPageBreak/>
        <w:drawing>
          <wp:inline distT="0" distB="0" distL="0" distR="0" wp14:anchorId="2B45CF28" wp14:editId="5F04B136">
            <wp:extent cx="5943600" cy="16256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625600"/>
                    </a:xfrm>
                    <a:prstGeom prst="rect">
                      <a:avLst/>
                    </a:prstGeom>
                  </pic:spPr>
                </pic:pic>
              </a:graphicData>
            </a:graphic>
          </wp:inline>
        </w:drawing>
      </w:r>
    </w:p>
    <w:p w14:paraId="2D8B63CC" w14:textId="3F180493" w:rsidR="0081492F" w:rsidRPr="000635F5" w:rsidRDefault="00397962" w:rsidP="00A407FE">
      <w:pPr>
        <w:pBdr>
          <w:bottom w:val="single" w:sz="4" w:space="1" w:color="auto"/>
        </w:pBdr>
      </w:pPr>
      <w:r w:rsidRPr="000635F5">
        <w:drawing>
          <wp:inline distT="0" distB="0" distL="0" distR="0" wp14:anchorId="17744C41" wp14:editId="0FF4E40A">
            <wp:extent cx="5943600" cy="1570990"/>
            <wp:effectExtent l="0" t="0" r="0" b="381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570990"/>
                    </a:xfrm>
                    <a:prstGeom prst="rect">
                      <a:avLst/>
                    </a:prstGeom>
                  </pic:spPr>
                </pic:pic>
              </a:graphicData>
            </a:graphic>
          </wp:inline>
        </w:drawing>
      </w:r>
    </w:p>
    <w:p w14:paraId="29F5E11B" w14:textId="77777777" w:rsidR="0081492F" w:rsidRPr="000635F5" w:rsidRDefault="0081492F" w:rsidP="00A407FE">
      <w:pPr>
        <w:pBdr>
          <w:bottom w:val="single" w:sz="4" w:space="1" w:color="auto"/>
        </w:pBdr>
      </w:pPr>
    </w:p>
    <w:p w14:paraId="78A9522B" w14:textId="77777777" w:rsidR="00366DD8" w:rsidRPr="000635F5" w:rsidRDefault="00366DD8" w:rsidP="00A407FE">
      <w:pPr>
        <w:pStyle w:val="NormalWeb"/>
        <w:spacing w:before="0" w:beforeAutospacing="0" w:after="0" w:afterAutospacing="0"/>
        <w:rPr>
          <w:b/>
          <w:bCs/>
        </w:rPr>
      </w:pPr>
    </w:p>
    <w:p w14:paraId="388D80B7" w14:textId="2DB0F4BA" w:rsidR="00FE0756" w:rsidRPr="000635F5" w:rsidRDefault="00A407FE" w:rsidP="00A407FE">
      <w:pPr>
        <w:pStyle w:val="NormalWeb"/>
        <w:spacing w:before="0" w:beforeAutospacing="0" w:after="0" w:afterAutospacing="0"/>
      </w:pPr>
      <w:r w:rsidRPr="000635F5">
        <w:rPr>
          <w:b/>
          <w:bCs/>
        </w:rPr>
        <w:t>[Comment 4]</w:t>
      </w:r>
    </w:p>
    <w:p w14:paraId="50CC5411" w14:textId="15BAA680" w:rsidR="00FE0756" w:rsidRPr="000635F5" w:rsidRDefault="00FE0756" w:rsidP="00FE0756">
      <w:pPr>
        <w:pStyle w:val="NormalWeb"/>
        <w:spacing w:before="0" w:beforeAutospacing="0" w:after="0" w:afterAutospacing="0"/>
      </w:pPr>
      <w:r w:rsidRPr="000635F5">
        <w:t>In my opinion, Section 5 of the paper can be improved by the authors taking a more critical view of their writing, sharpening the arguments, and including recommendations for the practitioners.</w:t>
      </w:r>
    </w:p>
    <w:p w14:paraId="34923512" w14:textId="77777777" w:rsidR="00822266" w:rsidRPr="000635F5" w:rsidRDefault="00822266" w:rsidP="00FE0756">
      <w:pPr>
        <w:pStyle w:val="NormalWeb"/>
        <w:spacing w:before="0" w:beforeAutospacing="0" w:after="0" w:afterAutospacing="0"/>
      </w:pPr>
    </w:p>
    <w:p w14:paraId="1919EF11" w14:textId="78A11A2F" w:rsidR="00BF254B" w:rsidRPr="000635F5" w:rsidRDefault="00366DD8" w:rsidP="00A01332">
      <w:pPr>
        <w:pBdr>
          <w:bottom w:val="single" w:sz="4" w:space="1" w:color="auto"/>
        </w:pBdr>
        <w:rPr>
          <w:bCs/>
        </w:rPr>
      </w:pPr>
      <w:r w:rsidRPr="000635F5">
        <w:rPr>
          <w:b/>
        </w:rPr>
        <w:t>[Response by Authors]</w:t>
      </w:r>
      <w:r w:rsidR="0044307A" w:rsidRPr="000635F5">
        <w:rPr>
          <w:b/>
        </w:rPr>
        <w:t xml:space="preserve"> </w:t>
      </w:r>
      <w:r w:rsidR="00822266" w:rsidRPr="000635F5">
        <w:rPr>
          <w:bCs/>
        </w:rPr>
        <w:t xml:space="preserve">The authors removed text from the discussion that was redundant with previous exposition, and focused the discussion on two main conclusions: the requirement that observed data must demonstrate some degree of efficacy on their own to justify stopping enrollment early, and a comparison with a published post-hoc Bayesian hierarchal analysis. A reference to Appendix C which includes an implementation guide for practitioners was included. </w:t>
      </w:r>
    </w:p>
    <w:p w14:paraId="57766F57" w14:textId="6BD437BB" w:rsidR="00251B06" w:rsidRPr="000635F5" w:rsidRDefault="00251B06" w:rsidP="00A01332">
      <w:pPr>
        <w:pBdr>
          <w:bottom w:val="single" w:sz="4" w:space="1" w:color="auto"/>
        </w:pBdr>
        <w:rPr>
          <w:bCs/>
        </w:rPr>
      </w:pPr>
    </w:p>
    <w:p w14:paraId="7BD1F5F5" w14:textId="3FBC29CE" w:rsidR="00183354" w:rsidRPr="000635F5" w:rsidRDefault="00240A57" w:rsidP="00183354">
      <w:pPr>
        <w:pBdr>
          <w:bottom w:val="single" w:sz="4" w:space="1" w:color="auto"/>
        </w:pBdr>
        <w:rPr>
          <w:bCs/>
        </w:rPr>
      </w:pPr>
      <w:r w:rsidRPr="000635F5">
        <w:rPr>
          <w:bCs/>
        </w:rPr>
        <w:t>In taking a more critical view of our writing, we removed statements that were vague or not fully supported by the results of the paper, such as the following sentence</w:t>
      </w:r>
      <w:r w:rsidR="00183354" w:rsidRPr="000635F5">
        <w:rPr>
          <w:bCs/>
        </w:rPr>
        <w:t xml:space="preserve"> referring to </w:t>
      </w:r>
      <w:r w:rsidR="00183354" w:rsidRPr="000635F5">
        <w:t xml:space="preserve">concepts such as “overwhelming treatment benefit,” “in the more likely scenario,” “some evidence of benefit,” and “reasonable compatibility” </w:t>
      </w:r>
      <w:r w:rsidR="00183354" w:rsidRPr="000635F5">
        <w:t>was removed since those concepts were not defined rigorously:</w:t>
      </w:r>
    </w:p>
    <w:p w14:paraId="78997421" w14:textId="663A5861" w:rsidR="00240A57" w:rsidRPr="000635F5" w:rsidRDefault="00240A57" w:rsidP="00A01332">
      <w:pPr>
        <w:pBdr>
          <w:bottom w:val="single" w:sz="4" w:space="1" w:color="auto"/>
        </w:pBdr>
        <w:rPr>
          <w:bCs/>
        </w:rPr>
      </w:pPr>
      <w:r w:rsidRPr="000635F5">
        <w:rPr>
          <w:bCs/>
        </w:rPr>
        <w:drawing>
          <wp:inline distT="0" distB="0" distL="0" distR="0" wp14:anchorId="02D02CF3" wp14:editId="69FE922B">
            <wp:extent cx="5943600" cy="114363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143635"/>
                    </a:xfrm>
                    <a:prstGeom prst="rect">
                      <a:avLst/>
                    </a:prstGeom>
                  </pic:spPr>
                </pic:pic>
              </a:graphicData>
            </a:graphic>
          </wp:inline>
        </w:drawing>
      </w:r>
    </w:p>
    <w:sectPr w:rsidR="00240A57" w:rsidRPr="000635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C5CC0" w14:textId="77777777" w:rsidR="004D7CFC" w:rsidRDefault="004D7CFC" w:rsidP="00FE0756">
      <w:r>
        <w:separator/>
      </w:r>
    </w:p>
  </w:endnote>
  <w:endnote w:type="continuationSeparator" w:id="0">
    <w:p w14:paraId="2211833B" w14:textId="77777777" w:rsidR="004D7CFC" w:rsidRDefault="004D7CFC" w:rsidP="00FE07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FB72C" w14:textId="77777777" w:rsidR="004D7CFC" w:rsidRDefault="004D7CFC" w:rsidP="00FE0756">
      <w:r>
        <w:separator/>
      </w:r>
    </w:p>
  </w:footnote>
  <w:footnote w:type="continuationSeparator" w:id="0">
    <w:p w14:paraId="08D23AD0" w14:textId="77777777" w:rsidR="004D7CFC" w:rsidRDefault="004D7CFC" w:rsidP="00FE07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6D253A"/>
    <w:multiLevelType w:val="hybridMultilevel"/>
    <w:tmpl w:val="CC30F492"/>
    <w:lvl w:ilvl="0" w:tplc="C82AAD5A">
      <w:start w:val="1"/>
      <w:numFmt w:val="upperLetter"/>
      <w:lvlText w:val="(%1)"/>
      <w:lvlJc w:val="left"/>
      <w:pPr>
        <w:ind w:left="760" w:hanging="40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3D04D5"/>
    <w:multiLevelType w:val="hybridMultilevel"/>
    <w:tmpl w:val="E73C7BB2"/>
    <w:lvl w:ilvl="0" w:tplc="7AF806F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E359C2"/>
    <w:multiLevelType w:val="multilevel"/>
    <w:tmpl w:val="64581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383BC6"/>
    <w:multiLevelType w:val="hybridMultilevel"/>
    <w:tmpl w:val="BBA08C40"/>
    <w:lvl w:ilvl="0" w:tplc="3842A06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CF27D6"/>
    <w:multiLevelType w:val="hybridMultilevel"/>
    <w:tmpl w:val="CAC8E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FAA"/>
    <w:rsid w:val="000201C3"/>
    <w:rsid w:val="00057295"/>
    <w:rsid w:val="000611BE"/>
    <w:rsid w:val="000635F5"/>
    <w:rsid w:val="00074668"/>
    <w:rsid w:val="0009244A"/>
    <w:rsid w:val="000A2040"/>
    <w:rsid w:val="000E361E"/>
    <w:rsid w:val="000E457D"/>
    <w:rsid w:val="000F008E"/>
    <w:rsid w:val="000F0B51"/>
    <w:rsid w:val="001245DA"/>
    <w:rsid w:val="00150585"/>
    <w:rsid w:val="00163FDB"/>
    <w:rsid w:val="00183354"/>
    <w:rsid w:val="001B33A8"/>
    <w:rsid w:val="001E741F"/>
    <w:rsid w:val="00216DE3"/>
    <w:rsid w:val="00240A57"/>
    <w:rsid w:val="00251B06"/>
    <w:rsid w:val="00273B73"/>
    <w:rsid w:val="002F7CFD"/>
    <w:rsid w:val="00332F95"/>
    <w:rsid w:val="003553D9"/>
    <w:rsid w:val="0036155E"/>
    <w:rsid w:val="00365B05"/>
    <w:rsid w:val="00366DD8"/>
    <w:rsid w:val="00397962"/>
    <w:rsid w:val="003A0188"/>
    <w:rsid w:val="003E0950"/>
    <w:rsid w:val="003E5F1C"/>
    <w:rsid w:val="00407CFF"/>
    <w:rsid w:val="0044307A"/>
    <w:rsid w:val="004517A6"/>
    <w:rsid w:val="00475340"/>
    <w:rsid w:val="00490F62"/>
    <w:rsid w:val="004C6E0E"/>
    <w:rsid w:val="004D778A"/>
    <w:rsid w:val="004D7CFC"/>
    <w:rsid w:val="00510155"/>
    <w:rsid w:val="0052176C"/>
    <w:rsid w:val="0052538F"/>
    <w:rsid w:val="005C35A3"/>
    <w:rsid w:val="005E2C11"/>
    <w:rsid w:val="00605DD6"/>
    <w:rsid w:val="0064249E"/>
    <w:rsid w:val="00682904"/>
    <w:rsid w:val="006C743D"/>
    <w:rsid w:val="0073325F"/>
    <w:rsid w:val="00734A2C"/>
    <w:rsid w:val="0075248E"/>
    <w:rsid w:val="00772C6F"/>
    <w:rsid w:val="007D54FA"/>
    <w:rsid w:val="007E08A4"/>
    <w:rsid w:val="007E3D19"/>
    <w:rsid w:val="00802C06"/>
    <w:rsid w:val="008102EE"/>
    <w:rsid w:val="0081492F"/>
    <w:rsid w:val="0081701E"/>
    <w:rsid w:val="00822266"/>
    <w:rsid w:val="00826A6F"/>
    <w:rsid w:val="0087797C"/>
    <w:rsid w:val="008832A2"/>
    <w:rsid w:val="008854D6"/>
    <w:rsid w:val="008A40EA"/>
    <w:rsid w:val="008B08E4"/>
    <w:rsid w:val="008C0317"/>
    <w:rsid w:val="008D196F"/>
    <w:rsid w:val="0093307A"/>
    <w:rsid w:val="00977AFE"/>
    <w:rsid w:val="00A01332"/>
    <w:rsid w:val="00A367AD"/>
    <w:rsid w:val="00A407FE"/>
    <w:rsid w:val="00A43120"/>
    <w:rsid w:val="00A520FD"/>
    <w:rsid w:val="00A7781D"/>
    <w:rsid w:val="00AC3664"/>
    <w:rsid w:val="00AC6FD2"/>
    <w:rsid w:val="00B05433"/>
    <w:rsid w:val="00B13B45"/>
    <w:rsid w:val="00B20A15"/>
    <w:rsid w:val="00B260C2"/>
    <w:rsid w:val="00B96147"/>
    <w:rsid w:val="00BA360E"/>
    <w:rsid w:val="00BB71D3"/>
    <w:rsid w:val="00BD730C"/>
    <w:rsid w:val="00BF254B"/>
    <w:rsid w:val="00BF2B52"/>
    <w:rsid w:val="00C11F7A"/>
    <w:rsid w:val="00C127FF"/>
    <w:rsid w:val="00C13169"/>
    <w:rsid w:val="00C51384"/>
    <w:rsid w:val="00C54EED"/>
    <w:rsid w:val="00C60857"/>
    <w:rsid w:val="00C95FA0"/>
    <w:rsid w:val="00CD56C0"/>
    <w:rsid w:val="00CD663A"/>
    <w:rsid w:val="00CF0AF5"/>
    <w:rsid w:val="00CF68F7"/>
    <w:rsid w:val="00CF75B2"/>
    <w:rsid w:val="00D1328C"/>
    <w:rsid w:val="00D2163A"/>
    <w:rsid w:val="00D34D78"/>
    <w:rsid w:val="00D57658"/>
    <w:rsid w:val="00D74B83"/>
    <w:rsid w:val="00D918B7"/>
    <w:rsid w:val="00DC72B0"/>
    <w:rsid w:val="00DD1320"/>
    <w:rsid w:val="00E36CF2"/>
    <w:rsid w:val="00E42098"/>
    <w:rsid w:val="00E751E3"/>
    <w:rsid w:val="00ED2FAA"/>
    <w:rsid w:val="00ED36F2"/>
    <w:rsid w:val="00EF6955"/>
    <w:rsid w:val="00F17E09"/>
    <w:rsid w:val="00F3641D"/>
    <w:rsid w:val="00F84EA0"/>
    <w:rsid w:val="00FA31A7"/>
    <w:rsid w:val="00FD4977"/>
    <w:rsid w:val="00FE0756"/>
    <w:rsid w:val="00FE49AA"/>
    <w:rsid w:val="00FF78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35D95"/>
  <w15:chartTrackingRefBased/>
  <w15:docId w15:val="{6026E9E8-E882-42AB-B704-5199E1E21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0756"/>
    <w:pPr>
      <w:spacing w:after="0" w:line="240" w:lineRule="auto"/>
    </w:pPr>
    <w:rPr>
      <w:rFonts w:ascii="Times New Roman" w:eastAsia="Times New Roma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D2FAA"/>
    <w:rPr>
      <w:rFonts w:ascii="Calibri" w:hAnsi="Calibri"/>
      <w:szCs w:val="21"/>
    </w:rPr>
  </w:style>
  <w:style w:type="character" w:customStyle="1" w:styleId="PlainTextChar">
    <w:name w:val="Plain Text Char"/>
    <w:basedOn w:val="DefaultParagraphFont"/>
    <w:link w:val="PlainText"/>
    <w:uiPriority w:val="99"/>
    <w:rsid w:val="00ED2FAA"/>
    <w:rPr>
      <w:rFonts w:ascii="Calibri" w:hAnsi="Calibri"/>
      <w:szCs w:val="21"/>
    </w:rPr>
  </w:style>
  <w:style w:type="paragraph" w:styleId="Header">
    <w:name w:val="header"/>
    <w:basedOn w:val="Normal"/>
    <w:link w:val="HeaderChar"/>
    <w:uiPriority w:val="99"/>
    <w:unhideWhenUsed/>
    <w:rsid w:val="00FE0756"/>
    <w:pPr>
      <w:tabs>
        <w:tab w:val="center" w:pos="4680"/>
        <w:tab w:val="right" w:pos="9360"/>
      </w:tabs>
    </w:pPr>
  </w:style>
  <w:style w:type="character" w:customStyle="1" w:styleId="HeaderChar">
    <w:name w:val="Header Char"/>
    <w:basedOn w:val="DefaultParagraphFont"/>
    <w:link w:val="Header"/>
    <w:uiPriority w:val="99"/>
    <w:rsid w:val="00FE0756"/>
  </w:style>
  <w:style w:type="paragraph" w:styleId="Footer">
    <w:name w:val="footer"/>
    <w:basedOn w:val="Normal"/>
    <w:link w:val="FooterChar"/>
    <w:uiPriority w:val="99"/>
    <w:unhideWhenUsed/>
    <w:rsid w:val="00FE0756"/>
    <w:pPr>
      <w:tabs>
        <w:tab w:val="center" w:pos="4680"/>
        <w:tab w:val="right" w:pos="9360"/>
      </w:tabs>
    </w:pPr>
  </w:style>
  <w:style w:type="character" w:customStyle="1" w:styleId="FooterChar">
    <w:name w:val="Footer Char"/>
    <w:basedOn w:val="DefaultParagraphFont"/>
    <w:link w:val="Footer"/>
    <w:uiPriority w:val="99"/>
    <w:rsid w:val="00FE0756"/>
  </w:style>
  <w:style w:type="paragraph" w:styleId="NormalWeb">
    <w:name w:val="Normal (Web)"/>
    <w:basedOn w:val="Normal"/>
    <w:uiPriority w:val="99"/>
    <w:semiHidden/>
    <w:unhideWhenUsed/>
    <w:rsid w:val="00FE0756"/>
    <w:pPr>
      <w:spacing w:before="100" w:beforeAutospacing="1" w:after="100" w:afterAutospacing="1"/>
    </w:pPr>
  </w:style>
  <w:style w:type="paragraph" w:styleId="ListParagraph">
    <w:name w:val="List Paragraph"/>
    <w:basedOn w:val="Normal"/>
    <w:uiPriority w:val="34"/>
    <w:qFormat/>
    <w:rsid w:val="00D57658"/>
    <w:pPr>
      <w:ind w:left="720"/>
      <w:contextualSpacing/>
    </w:pPr>
  </w:style>
  <w:style w:type="character" w:styleId="PlaceholderText">
    <w:name w:val="Placeholder Text"/>
    <w:basedOn w:val="DefaultParagraphFont"/>
    <w:uiPriority w:val="99"/>
    <w:semiHidden/>
    <w:rsid w:val="0018335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73071">
      <w:bodyDiv w:val="1"/>
      <w:marLeft w:val="0"/>
      <w:marRight w:val="0"/>
      <w:marTop w:val="0"/>
      <w:marBottom w:val="0"/>
      <w:divBdr>
        <w:top w:val="none" w:sz="0" w:space="0" w:color="auto"/>
        <w:left w:val="none" w:sz="0" w:space="0" w:color="auto"/>
        <w:bottom w:val="none" w:sz="0" w:space="0" w:color="auto"/>
        <w:right w:val="none" w:sz="0" w:space="0" w:color="auto"/>
      </w:divBdr>
    </w:div>
    <w:div w:id="325398568">
      <w:bodyDiv w:val="1"/>
      <w:marLeft w:val="0"/>
      <w:marRight w:val="0"/>
      <w:marTop w:val="0"/>
      <w:marBottom w:val="0"/>
      <w:divBdr>
        <w:top w:val="none" w:sz="0" w:space="0" w:color="auto"/>
        <w:left w:val="none" w:sz="0" w:space="0" w:color="auto"/>
        <w:bottom w:val="none" w:sz="0" w:space="0" w:color="auto"/>
        <w:right w:val="none" w:sz="0" w:space="0" w:color="auto"/>
      </w:divBdr>
    </w:div>
    <w:div w:id="411925522">
      <w:bodyDiv w:val="1"/>
      <w:marLeft w:val="0"/>
      <w:marRight w:val="0"/>
      <w:marTop w:val="0"/>
      <w:marBottom w:val="0"/>
      <w:divBdr>
        <w:top w:val="none" w:sz="0" w:space="0" w:color="auto"/>
        <w:left w:val="none" w:sz="0" w:space="0" w:color="auto"/>
        <w:bottom w:val="none" w:sz="0" w:space="0" w:color="auto"/>
        <w:right w:val="none" w:sz="0" w:space="0" w:color="auto"/>
      </w:divBdr>
    </w:div>
    <w:div w:id="959579386">
      <w:bodyDiv w:val="1"/>
      <w:marLeft w:val="0"/>
      <w:marRight w:val="0"/>
      <w:marTop w:val="0"/>
      <w:marBottom w:val="0"/>
      <w:divBdr>
        <w:top w:val="none" w:sz="0" w:space="0" w:color="auto"/>
        <w:left w:val="none" w:sz="0" w:space="0" w:color="auto"/>
        <w:bottom w:val="none" w:sz="0" w:space="0" w:color="auto"/>
        <w:right w:val="none" w:sz="0" w:space="0" w:color="auto"/>
      </w:divBdr>
      <w:divsChild>
        <w:div w:id="1707558388">
          <w:marLeft w:val="0"/>
          <w:marRight w:val="0"/>
          <w:marTop w:val="0"/>
          <w:marBottom w:val="0"/>
          <w:divBdr>
            <w:top w:val="none" w:sz="0" w:space="0" w:color="auto"/>
            <w:left w:val="none" w:sz="0" w:space="0" w:color="auto"/>
            <w:bottom w:val="none" w:sz="0" w:space="0" w:color="auto"/>
            <w:right w:val="none" w:sz="0" w:space="0" w:color="auto"/>
          </w:divBdr>
          <w:divsChild>
            <w:div w:id="10939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53001">
      <w:bodyDiv w:val="1"/>
      <w:marLeft w:val="0"/>
      <w:marRight w:val="0"/>
      <w:marTop w:val="0"/>
      <w:marBottom w:val="0"/>
      <w:divBdr>
        <w:top w:val="none" w:sz="0" w:space="0" w:color="auto"/>
        <w:left w:val="none" w:sz="0" w:space="0" w:color="auto"/>
        <w:bottom w:val="none" w:sz="0" w:space="0" w:color="auto"/>
        <w:right w:val="none" w:sz="0" w:space="0" w:color="auto"/>
      </w:divBdr>
    </w:div>
    <w:div w:id="1800880172">
      <w:bodyDiv w:val="1"/>
      <w:marLeft w:val="0"/>
      <w:marRight w:val="0"/>
      <w:marTop w:val="0"/>
      <w:marBottom w:val="0"/>
      <w:divBdr>
        <w:top w:val="none" w:sz="0" w:space="0" w:color="auto"/>
        <w:left w:val="none" w:sz="0" w:space="0" w:color="auto"/>
        <w:bottom w:val="none" w:sz="0" w:space="0" w:color="auto"/>
        <w:right w:val="none" w:sz="0" w:space="0" w:color="auto"/>
      </w:divBdr>
      <w:divsChild>
        <w:div w:id="1609046250">
          <w:marLeft w:val="0"/>
          <w:marRight w:val="0"/>
          <w:marTop w:val="0"/>
          <w:marBottom w:val="0"/>
          <w:divBdr>
            <w:top w:val="none" w:sz="0" w:space="0" w:color="auto"/>
            <w:left w:val="none" w:sz="0" w:space="0" w:color="auto"/>
            <w:bottom w:val="none" w:sz="0" w:space="0" w:color="auto"/>
            <w:right w:val="none" w:sz="0" w:space="0" w:color="auto"/>
          </w:divBdr>
          <w:divsChild>
            <w:div w:id="147451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F50F1D-6F39-834F-B01F-AD445E84A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1006</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Jiawei</dc:creator>
  <cp:keywords/>
  <dc:description/>
  <cp:lastModifiedBy>Microsoft Office User</cp:lastModifiedBy>
  <cp:revision>5</cp:revision>
  <cp:lastPrinted>2020-11-30T15:05:00Z</cp:lastPrinted>
  <dcterms:created xsi:type="dcterms:W3CDTF">2022-01-14T22:41:00Z</dcterms:created>
  <dcterms:modified xsi:type="dcterms:W3CDTF">2022-01-14T22:48:00Z</dcterms:modified>
</cp:coreProperties>
</file>