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2021-12-22</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w:t>
      </w:r>
      <w:r>
        <w:t xml:space="preserve">Para realizar una medición sistemática de la pobreza monetaria las encuestas de hogares son un insumo fundamental.</w:t>
      </w:r>
    </w:p>
    <w:p>
      <w:pPr>
        <w:numPr>
          <w:ilvl w:val="0"/>
          <w:numId w:val="1003"/>
        </w:numPr>
        <w:pStyle w:val="Compact"/>
      </w:pPr>
      <w:r>
        <w:t xml:space="preserve">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w:t>
      </w:r>
      <w:r>
        <w:t xml:space="preserve"> </w:t>
      </w:r>
      <w:r>
        <w:t xml:space="preserve">(</w:t>
      </w:r>
      <w:hyperlink w:anchor="ref-CEPAL_2018">
        <w:r>
          <w:rPr>
            <w:rStyle w:val="Hyperlink"/>
          </w:rPr>
          <w:t xml:space="preserve">CEPAL 2018</w:t>
        </w:r>
      </w:hyperlink>
      <w:r>
        <w:t xml:space="preserve">)</w:t>
      </w:r>
      <w:r>
        <w:t xml:space="preserve">.</w:t>
      </w:r>
    </w:p>
    <w:p>
      <w:pPr>
        <w:numPr>
          <w:ilvl w:val="0"/>
          <w:numId w:val="1003"/>
        </w:numPr>
        <w:pStyle w:val="Compact"/>
      </w:pPr>
      <w:r>
        <w:t xml:space="preserve">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FirstParagraph"/>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4"/>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4"/>
        </w:numPr>
        <w:pStyle w:val="Compact"/>
      </w:pPr>
      <w:r>
        <w:t xml:space="preserve">Proveer estadísticas básicas de sus actividades durante el año, así como las relaciones entre el empleo, ingreso y otras características económicas y sociales.</w:t>
      </w:r>
    </w:p>
    <w:p>
      <w:pPr>
        <w:numPr>
          <w:ilvl w:val="0"/>
          <w:numId w:val="1004"/>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6"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w:t>
      </w:r>
      <w:r>
        <w:rPr>
          <w:rStyle w:val="FootnoteReference"/>
        </w:rPr>
        <w:footnoteReference w:id="33"/>
      </w:r>
      <w:r>
        <w:t xml:space="preserve"> </w:t>
      </w:r>
      <w:r>
        <w:t xml:space="preserve">cuando se realiza una encuesta:</w:t>
      </w:r>
    </w:p>
    <w:p>
      <w:pPr>
        <w:numPr>
          <w:ilvl w:val="0"/>
          <w:numId w:val="1005"/>
        </w:numPr>
        <w:pStyle w:val="Compact"/>
      </w:pPr>
      <w:r>
        <w:rPr>
          <w:bCs/>
          <w:b/>
        </w:rPr>
        <w:t xml:space="preserve">Error de muestreo</w:t>
      </w:r>
      <w:r>
        <w:t xml:space="preserve">: ocurre porque no se incluyeron a todas las personas de la población y se seleccionó una muestra.</w:t>
      </w:r>
    </w:p>
    <w:p>
      <w:pPr>
        <w:numPr>
          <w:ilvl w:val="0"/>
          <w:numId w:val="1005"/>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4"/>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5"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6"/>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6"/>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7"/>
        </w:numPr>
        <w:pStyle w:val="Compact"/>
      </w:pPr>
      <w:r>
        <w:t xml:space="preserve">Los datos son recopilados mediante preguntas a personas.</w:t>
      </w:r>
    </w:p>
    <w:p>
      <w:pPr>
        <w:numPr>
          <w:ilvl w:val="0"/>
          <w:numId w:val="1007"/>
        </w:numPr>
        <w:pStyle w:val="Compact"/>
      </w:pPr>
      <w:r>
        <w:t xml:space="preserve">Las respuestas son compiladas cuando: a) un encuestador pregunta y graba las respuestas del entrevistado o b) el encuestado lee y graba sus propias respuestas.</w:t>
      </w:r>
    </w:p>
    <w:p>
      <w:pPr>
        <w:numPr>
          <w:ilvl w:val="0"/>
          <w:numId w:val="1007"/>
        </w:numPr>
        <w:pStyle w:val="Compact"/>
      </w:pPr>
      <w:r>
        <w:t xml:space="preserve">Los datos son recolectados de un subgrupo representativo de personas pertenecientes a la población de interés</w:t>
      </w:r>
    </w:p>
    <w:bookmarkEnd w:id="35"/>
    <w:bookmarkStart w:id="38"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6" w:name="sesgo-de-selección"/>
    <w:p>
      <w:pPr>
        <w:pStyle w:val="Heading4"/>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8"/>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8"/>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8"/>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8"/>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8"/>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8"/>
        </w:numPr>
        <w:pStyle w:val="Compact"/>
      </w:pPr>
      <w:r>
        <w:t xml:space="preserve">La muestra está compuesta por respondientes voluntarios. Los foros radiales, las encuestas de televisión y los estudios de portales de internet no proporcionan información confiable.</w:t>
      </w:r>
    </w:p>
    <w:bookmarkEnd w:id="36"/>
    <w:bookmarkStart w:id="37" w:name="sesgo-de-medición"/>
    <w:p>
      <w:pPr>
        <w:pStyle w:val="Heading4"/>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9"/>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9"/>
        </w:numPr>
        <w:pStyle w:val="Compact"/>
      </w:pPr>
      <w:r>
        <w:t xml:space="preserve">Difícil comprensión de las preguntas. Por ejemplo: ¿No cree que este no es un buen momento para invertir? La doble negación en la pregunta es muy confusa para el respondiente.</w:t>
      </w:r>
    </w:p>
    <w:p>
      <w:pPr>
        <w:numPr>
          <w:ilvl w:val="0"/>
          <w:numId w:val="1009"/>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9"/>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9"/>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9"/>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7"/>
    <w:bookmarkEnd w:id="38"/>
    <w:bookmarkStart w:id="42"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9" w:name="X506ffef64bdf4369724acd86b1c3f902da93957"/>
    <w:p>
      <w:pPr>
        <w:pStyle w:val="Heading4"/>
      </w:pPr>
      <w:r>
        <w:t xml:space="preserve">Inicio de los cuestionarios estandarizados</w:t>
      </w:r>
    </w:p>
    <w:p>
      <w:pPr>
        <w:pStyle w:val="FirstParagraph"/>
      </w:pPr>
      <w:r>
        <w:t xml:space="preserve">La práctica de realizar las mismas preguntas en forma de cuestionario es reciente. En el principio cada encuestador preguntaba</w:t>
      </w:r>
      <w:r>
        <w:t xml:space="preserve"> </w:t>
      </w:r>
      <w:r>
        <w:rPr>
          <w:iCs/>
          <w:i/>
        </w:rPr>
        <w:t xml:space="preserve">lo mismo</w:t>
      </w:r>
      <w:r>
        <w:t xml:space="preserve">,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9"/>
    <w:bookmarkStart w:id="40" w:name="inicio-de-los-métodos-de-muestreo"/>
    <w:p>
      <w:pPr>
        <w:pStyle w:val="Heading4"/>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40"/>
    <w:bookmarkStart w:id="41" w:name="inicio-de-la-recolección-de-datos"/>
    <w:p>
      <w:pPr>
        <w:pStyle w:val="Heading4"/>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1"/>
    <w:bookmarkEnd w:id="42"/>
    <w:bookmarkStart w:id="54"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grupal. El proceso de inferencia individual trata con los mismos respondientes que proveen la información primaria en el estudio; mientras que el proceso de inferencia grupal, basado en una aproximación inductiva, va desde lo particular (la muestra) a lo general (la población).</w:t>
      </w:r>
    </w:p>
    <w:p>
      <w:pPr>
        <w:pStyle w:val="CaptionedFigure"/>
      </w:pPr>
      <w:r>
        <w:drawing>
          <wp:inline>
            <wp:extent cx="5334000" cy="3010707"/>
            <wp:effectExtent b="0" l="0" r="0" t="0"/>
            <wp:docPr descr="Modelo de Grooves et. al. (2004).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3"/>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Modelo de Grooves et. al. (2004).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7" w:name="inferencia-individual"/>
    <w:p>
      <w:pPr>
        <w:pStyle w:val="Heading3"/>
      </w:pPr>
      <w:r>
        <w:rPr>
          <w:rStyle w:val="SectionNumber"/>
        </w:rPr>
        <w:t xml:space="preserve">2.4.1</w:t>
      </w:r>
      <w:r>
        <w:tab/>
      </w:r>
      <w:r>
        <w:t xml:space="preserve">Inferencia individual</w:t>
      </w:r>
    </w:p>
    <w:bookmarkStart w:id="44"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10"/>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10"/>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4"/>
    <w:bookmarkStart w:id="45"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5"/>
    <w:bookmarkStart w:id="46"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6"/>
    <w:bookmarkEnd w:id="47"/>
    <w:bookmarkStart w:id="53" w:name="inferencia-grupal"/>
    <w:p>
      <w:pPr>
        <w:pStyle w:val="Heading3"/>
      </w:pPr>
      <w:r>
        <w:rPr>
          <w:rStyle w:val="SectionNumber"/>
        </w:rPr>
        <w:t xml:space="preserve">2.4.2</w:t>
      </w:r>
      <w:r>
        <w:tab/>
      </w:r>
      <w:r>
        <w:t xml:space="preserve">Inferencia grupal</w:t>
      </w:r>
    </w:p>
    <w:bookmarkStart w:id="48" w:name="la-población-objetivo"/>
    <w:p>
      <w:pPr>
        <w:pStyle w:val="Heading4"/>
      </w:pPr>
      <w:r>
        <w:t xml:space="preserve">La población objetivo</w:t>
      </w:r>
    </w:p>
    <w:p>
      <w:pPr>
        <w:pStyle w:val="FirstParagraph"/>
      </w:pPr>
      <w:r>
        <w:t xml:space="preserve">De las definiciones concernientes a agregados, esta es la más abstracta. En general,</w:t>
      </w:r>
      <w:r>
        <w:t xml:space="preserve"> </w:t>
      </w:r>
      <w:r>
        <w:rPr>
          <w:iCs/>
          <w:i/>
        </w:rPr>
        <w:t xml:space="preserve">la población objetivo</w:t>
      </w:r>
      <w:r>
        <w:t xml:space="preserve"> </w:t>
      </w:r>
      <w:r>
        <w:t xml:space="preserve">representa el conjunto de unidades que serán estudiadas. Por ejemplo, en una encuesta es posible definir la población objetivo como</w:t>
      </w:r>
      <w:r>
        <w:t xml:space="preserve"> </w:t>
      </w:r>
      <w:r>
        <w:rPr>
          <w:iCs/>
          <w:i/>
        </w:rPr>
        <w:t xml:space="preserve">los adultos nacionales</w:t>
      </w:r>
      <w:r>
        <w:t xml:space="preserve">.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8"/>
    <w:bookmarkStart w:id="49"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w:t>
      </w:r>
      <w:r>
        <w:t xml:space="preserve"> </w:t>
      </w:r>
      <w:r>
        <w:rPr>
          <w:iCs/>
          <w:i/>
        </w:rPr>
        <w:t xml:space="preserve">ubicar</w:t>
      </w:r>
      <w:r>
        <w:t xml:space="preserve"> </w:t>
      </w:r>
      <w:r>
        <w:t xml:space="preserve">e</w:t>
      </w:r>
      <w:r>
        <w:t xml:space="preserve"> </w:t>
      </w:r>
      <w:r>
        <w:rPr>
          <w:iCs/>
          <w:i/>
        </w:rPr>
        <w:t xml:space="preserve">identificar</w:t>
      </w:r>
      <w:r>
        <w:t xml:space="preserve"> </w:t>
      </w:r>
      <w:r>
        <w:t xml:space="preserve">(ambas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por ejemplo, si el país ha sufrido recientemente una gran desificación de la zona urbana (debido a los procesos de migración interna).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w:t>
      </w:r>
      <w:r>
        <w:t xml:space="preserve"> </w:t>
      </w:r>
      <w:r>
        <w:rPr>
          <w:iCs/>
          <w:i/>
        </w:rPr>
        <w:t xml:space="preserve">efectivamente tienen una probabilidad no nula</w:t>
      </w:r>
      <w:r>
        <w:t xml:space="preserve"> </w:t>
      </w:r>
      <w:r>
        <w:t xml:space="preserve">de ser seleccionados en una muestra probabilística. En general para definir quién pertenece a un hogar del marco existen dos alternativas:</w:t>
      </w:r>
    </w:p>
    <w:p>
      <w:pPr>
        <w:numPr>
          <w:ilvl w:val="0"/>
          <w:numId w:val="1011"/>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2"/>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2"/>
        </w:numPr>
        <w:pStyle w:val="Compact"/>
      </w:pPr>
      <w:r>
        <w:t xml:space="preserve">Evita la subcobertura de individuos que no residen usualmente en su hogar, considerándolo suyo.</w:t>
      </w:r>
    </w:p>
    <w:p>
      <w:pPr>
        <w:numPr>
          <w:ilvl w:val="0"/>
          <w:numId w:val="1011"/>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3"/>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3"/>
        </w:numPr>
        <w:pStyle w:val="Compact"/>
      </w:pPr>
      <w:r>
        <w:t xml:space="preserve">Evita la sobrecobertura de individuos que tienen más de una residencia.</w:t>
      </w:r>
    </w:p>
    <w:bookmarkEnd w:id="49"/>
    <w:bookmarkStart w:id="50"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50"/>
    <w:bookmarkStart w:id="51"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4"/>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4"/>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4"/>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4"/>
        </w:numPr>
        <w:pStyle w:val="Compact"/>
      </w:pPr>
      <w:r>
        <w:rPr>
          <w:iCs/>
          <w:i/>
        </w:rPr>
        <w:t xml:space="preserve">Diseño de cuestionario</w:t>
      </w:r>
      <w:r>
        <w:t xml:space="preserve">: mala planificación en el pase de las preguntas que conforman el instrumento.</w:t>
      </w:r>
    </w:p>
    <w:p>
      <w:pPr>
        <w:numPr>
          <w:ilvl w:val="0"/>
          <w:numId w:val="1014"/>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1"/>
    <w:bookmarkStart w:id="52"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selecciónda. En este caso es factible utilizar metodologías estocásticas complejas para imputar valores, o técnicas simples sistemáticas. Sin emabrgo, en cualquier caso, siempre es preferible obtener la respuesta directa del entrevistado.</w:t>
      </w:r>
    </w:p>
    <w:bookmarkEnd w:id="52"/>
    <w:bookmarkEnd w:id="53"/>
    <w:bookmarkEnd w:id="54"/>
    <w:bookmarkStart w:id="55"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5"/>
        </w:numPr>
        <w:pStyle w:val="Compact"/>
      </w:pPr>
      <w:r>
        <w:t xml:space="preserve">En algunas encuestas de ingresos y gastos se le pide al respondiente que diligencie un cuadernillo de gastos.</w:t>
      </w:r>
    </w:p>
    <w:p>
      <w:pPr>
        <w:numPr>
          <w:ilvl w:val="0"/>
          <w:numId w:val="1015"/>
        </w:numPr>
        <w:pStyle w:val="Compact"/>
      </w:pPr>
      <w:r>
        <w:t xml:space="preserve">En las encuestas sobre condiciones de vida existe una observación directa de datos observados por el encuestador (módulo de las condiciones de vivienda).</w:t>
      </w:r>
    </w:p>
    <w:p>
      <w:pPr>
        <w:numPr>
          <w:ilvl w:val="0"/>
          <w:numId w:val="1015"/>
        </w:numPr>
        <w:pStyle w:val="Compact"/>
      </w:pPr>
      <w:r>
        <w:t xml:space="preserve">En algunos estudios sobre indicadores educativos se complementan las respuestas de los cuestionarios con las calificaciones de los estudiantes (a través de los registros del colegio).</w:t>
      </w:r>
    </w:p>
    <w:p>
      <w:pPr>
        <w:numPr>
          <w:ilvl w:val="0"/>
          <w:numId w:val="1015"/>
        </w:numPr>
        <w:pStyle w:val="Compact"/>
      </w:pPr>
      <w:r>
        <w:t xml:space="preserve">En algunos estudios epidemiológicos es posible perfeccionar la inferencia con datos encontrados en las historias clínicas.</w:t>
      </w:r>
    </w:p>
    <w:p>
      <w:pPr>
        <w:pStyle w:val="FirstParagraph"/>
      </w:pPr>
      <w:r>
        <w:t xml:space="preserve">Existen dos grandes clases de respuestas: las cerradas, las cuales son presentadas al respondiente con una lista de opciones aceptables y las abiertas, que permiten al entrevistado proveer la respuesta en sus propios términos. en este sentido,</w:t>
      </w:r>
      <w:r>
        <w:t xml:space="preserve"> </w:t>
      </w:r>
      <w:hyperlink w:anchor="ref-Krosnick1999">
        <w:r>
          <w:rPr>
            <w:rStyle w:val="Hyperlink"/>
          </w:rPr>
          <w:t xml:space="preserve">Krosnick</w:t>
        </w:r>
      </w:hyperlink>
      <w:r>
        <w:t xml:space="preserve"> </w:t>
      </w:r>
      <w:r>
        <w:t xml:space="preserve">(</w:t>
      </w:r>
      <w:hyperlink w:anchor="ref-Krosnick1999">
        <w:r>
          <w:rPr>
            <w:rStyle w:val="Hyperlink"/>
          </w:rPr>
          <w:t xml:space="preserve">1999</w:t>
        </w:r>
      </w:hyperlink>
      <w:r>
        <w:t xml:space="preserve">)</w:t>
      </w:r>
      <w:r>
        <w:t xml:space="preserve"> </w:t>
      </w:r>
      <w:r>
        <w:t xml:space="preserve">plantea que la respuesta de los individuos a las preguntas se puede modelar teniendo en cuenta los siguientes momentos:</w:t>
      </w:r>
    </w:p>
    <w:p>
      <w:pPr>
        <w:numPr>
          <w:ilvl w:val="0"/>
          <w:numId w:val="1016"/>
        </w:numPr>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6"/>
        </w:numPr>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6"/>
        </w:numPr>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6"/>
        </w:numPr>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w:t>
      </w:r>
      <w:r>
        <w:t xml:space="preserve"> </w:t>
      </w:r>
      <w:r>
        <w:rPr>
          <w:iCs/>
          <w:i/>
        </w:rPr>
        <w:t xml:space="preserve">importancia</w:t>
      </w:r>
      <w:r>
        <w:t xml:space="preserve"> </w:t>
      </w:r>
      <w:r>
        <w:t xml:space="preserve">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w:t>
      </w:r>
      <w:r>
        <w:t xml:space="preserve"> </w:t>
      </w:r>
      <w:r>
        <w:rPr>
          <w:iCs/>
          <w:i/>
        </w:rPr>
        <w:t xml:space="preserve">pre-test</w:t>
      </w:r>
      <w:r>
        <w:t xml:space="preserve"> </w:t>
      </w:r>
      <w:r>
        <w:t xml:space="preserve">para validar el cuestionario. Por otro lado, aunque el respondiente conozca con exactitud la respuesta a una pregunta, no será capaz de reportarla correctamente si no hay una buena interpretación de la misma.</w:t>
      </w:r>
    </w:p>
    <w:p>
      <w:pPr>
        <w:pStyle w:val="BodyText"/>
      </w:pPr>
      <w:r>
        <w:t xml:space="preserve">Más aún, algunos estudios han evidenciado que las personas son capaces de opinar ante hechos o situaciones ficticias. Existen situaciones en donde el entrevistado no es capaz de preguntar por el significado de palabras específicas cuando son encuestados, o en donde el entrevistado no admite que no entiende la pregunta. De hecho, con respecto a las preguntas retrospectivas, algunos factores que afectan la recordación, según las características de los eventos de interés, pueden ser:</w:t>
      </w:r>
    </w:p>
    <w:p>
      <w:pPr>
        <w:numPr>
          <w:ilvl w:val="0"/>
          <w:numId w:val="1017"/>
        </w:numPr>
        <w:pStyle w:val="Compact"/>
      </w:pPr>
      <w:r>
        <w:rPr>
          <w:iCs/>
          <w:i/>
        </w:rPr>
        <w:t xml:space="preserve">Tiempo de ocurrencia</w:t>
      </w:r>
      <w:r>
        <w:t xml:space="preserve">: los eventos que sucedieron hace mucho tiempo son más difíciles de recordar.</w:t>
      </w:r>
    </w:p>
    <w:p>
      <w:pPr>
        <w:numPr>
          <w:ilvl w:val="0"/>
          <w:numId w:val="1017"/>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7"/>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w:t>
      </w:r>
      <w:r>
        <w:t xml:space="preserve"> </w:t>
      </w:r>
      <w:r>
        <w:rPr>
          <w:iCs/>
          <w:i/>
        </w:rPr>
        <w:t xml:space="preserve">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5"/>
    <w:bookmarkEnd w:id="56"/>
    <w:bookmarkStart w:id="82" w:name="referencias"/>
    <w:p>
      <w:pPr>
        <w:pStyle w:val="Heading1"/>
      </w:pPr>
      <w:r>
        <w:t xml:space="preserve">Referencias</w:t>
      </w:r>
    </w:p>
    <w:bookmarkStart w:id="81" w:name="refs"/>
    <w:bookmarkStart w:id="57"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57"/>
    <w:bookmarkStart w:id="59"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58">
        <w:r>
          <w:rPr>
            <w:rStyle w:val="Hyperlink"/>
          </w:rPr>
          <w:t xml:space="preserve">http://repositorio.cepal.org/bitstream/handle/11362/44314/1/S1800852_es.pdf</w:t>
        </w:r>
      </w:hyperlink>
      <w:r>
        <w:t xml:space="preserve">.</w:t>
      </w:r>
    </w:p>
    <w:bookmarkEnd w:id="59"/>
    <w:bookmarkStart w:id="61"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60">
        <w:r>
          <w:rPr>
            <w:rStyle w:val="Hyperlink"/>
          </w:rPr>
          <w:t xml:space="preserve">https://doi.org/10.2307/1403273</w:t>
        </w:r>
      </w:hyperlink>
      <w:r>
        <w:t xml:space="preserve">.</w:t>
      </w:r>
    </w:p>
    <w:bookmarkEnd w:id="61"/>
    <w:bookmarkStart w:id="62"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62"/>
    <w:bookmarkStart w:id="63"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63"/>
    <w:bookmarkStart w:id="64" w:name="ref-Kalton_2009"/>
    <w:p>
      <w:pPr>
        <w:pStyle w:val="Bibliography"/>
      </w:pPr>
      <w:r>
        <w:t xml:space="preserve">Kalton, G. 2009.</w:t>
      </w:r>
      <w:r>
        <w:t xml:space="preserve"> </w:t>
      </w:r>
      <w:r>
        <w:t xml:space="preserve">«Some Issues in the Design and Analysis of Longitudinal Surveys»</w:t>
      </w:r>
      <w:r>
        <w:t xml:space="preserve">. En.</w:t>
      </w:r>
    </w:p>
    <w:bookmarkEnd w:id="64"/>
    <w:bookmarkStart w:id="65"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65"/>
    <w:bookmarkStart w:id="66" w:name="ref-Krosnick1999"/>
    <w:p>
      <w:pPr>
        <w:pStyle w:val="Bibliography"/>
      </w:pPr>
      <w:r>
        <w:t xml:space="preserve">Krosnick, J. A. 1999.</w:t>
      </w:r>
      <w:r>
        <w:t xml:space="preserve"> </w:t>
      </w:r>
      <w:r>
        <w:t xml:space="preserve">«Survey Research»</w:t>
      </w:r>
      <w:r>
        <w:t xml:space="preserve">.</w:t>
      </w:r>
      <w:r>
        <w:t xml:space="preserve"> </w:t>
      </w:r>
      <w:r>
        <w:rPr>
          <w:iCs/>
          <w:i/>
        </w:rPr>
        <w:t xml:space="preserve">Annual Review of Psychology</w:t>
      </w:r>
      <w:r>
        <w:t xml:space="preserve"> </w:t>
      </w:r>
      <w:r>
        <w:t xml:space="preserve">50: 537-67.</w:t>
      </w:r>
    </w:p>
    <w:bookmarkEnd w:id="66"/>
    <w:bookmarkStart w:id="67"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67"/>
    <w:bookmarkStart w:id="68" w:name="ref-Loh"/>
    <w:p>
      <w:pPr>
        <w:pStyle w:val="Bibliography"/>
      </w:pPr>
      <w:r>
        <w:t xml:space="preserve">Lohr, S. 2000.</w:t>
      </w:r>
      <w:r>
        <w:t xml:space="preserve"> </w:t>
      </w:r>
      <w:r>
        <w:rPr>
          <w:iCs/>
          <w:i/>
        </w:rPr>
        <w:t xml:space="preserve">Sampling: Design and Analysis</w:t>
      </w:r>
      <w:r>
        <w:t xml:space="preserve">. Thompson.</w:t>
      </w:r>
    </w:p>
    <w:bookmarkEnd w:id="68"/>
    <w:bookmarkStart w:id="70"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69">
        <w:r>
          <w:rPr>
            <w:rStyle w:val="Hyperlink"/>
          </w:rPr>
          <w:t xml:space="preserve">http://www.ilo.org/wcmsp5/groups/public/---dgreports/---stat/documents/normativeinstrument/wcms_087483.pdf</w:t>
        </w:r>
      </w:hyperlink>
      <w:r>
        <w:t xml:space="preserve">.</w:t>
      </w:r>
    </w:p>
    <w:bookmarkEnd w:id="70"/>
    <w:bookmarkStart w:id="72"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71">
        <w:r>
          <w:rPr>
            <w:rStyle w:val="Hyperlink"/>
          </w:rPr>
          <w:t xml:space="preserve">http://www.ilo.org/wcmsp5/groups/public/---dgreports/---stat/documents/publication/wcms_220537.pdf</w:t>
        </w:r>
      </w:hyperlink>
      <w:r>
        <w:t xml:space="preserve">.</w:t>
      </w:r>
    </w:p>
    <w:bookmarkEnd w:id="72"/>
    <w:bookmarkStart w:id="74"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73">
        <w:r>
          <w:rPr>
            <w:rStyle w:val="Hyperlink"/>
          </w:rPr>
          <w:t xml:space="preserve">https://www.unece.org/fileadmin/DAM/stats/groups/cgh/Canbera_Handbook_2011_WEB.pdf</w:t>
        </w:r>
      </w:hyperlink>
      <w:r>
        <w:t xml:space="preserve">.</w:t>
      </w:r>
    </w:p>
    <w:bookmarkEnd w:id="74"/>
    <w:bookmarkStart w:id="76"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75">
        <w:r>
          <w:rPr>
            <w:rStyle w:val="Hyperlink"/>
          </w:rPr>
          <w:t xml:space="preserve">http://unctad.org/meetings/es/SessionalDocuments/ares70d1_es.pdf</w:t>
        </w:r>
      </w:hyperlink>
      <w:r>
        <w:t xml:space="preserve">.</w:t>
      </w:r>
    </w:p>
    <w:bookmarkEnd w:id="76"/>
    <w:bookmarkStart w:id="78"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77">
        <w:r>
          <w:rPr>
            <w:rStyle w:val="Hyperlink"/>
          </w:rPr>
          <w:t xml:space="preserve">https://sustainabledevelopment.un.org/globalsdreport/2016</w:t>
        </w:r>
      </w:hyperlink>
      <w:r>
        <w:t xml:space="preserve">.</w:t>
      </w:r>
    </w:p>
    <w:bookmarkEnd w:id="78"/>
    <w:bookmarkStart w:id="79"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79"/>
    <w:bookmarkStart w:id="80"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33">
    <w:p>
      <w:pPr>
        <w:pStyle w:val="FootnoteText"/>
      </w:pPr>
      <w:r>
        <w:rPr>
          <w:rStyle w:val="FootnoteReference"/>
        </w:rPr>
        <w:footnoteRef/>
      </w:r>
      <w:r>
        <w:t xml:space="preserve"> </w:t>
      </w:r>
      <w:r>
        <w:t xml:space="preserve">Error no necesariamente significa equivocación.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hyperlink" Id="rId23" Target="http://creativecommons.org/licenses/by-nc-sa/4.0/" TargetMode="External" /><Relationship Type="http://schemas.openxmlformats.org/officeDocument/2006/relationships/hyperlink" Id="rId58" Target="http://repositorio.cepal.org/bitstream/handle/11362/44314/1/S1800852_es.pdf" TargetMode="External" /><Relationship Type="http://schemas.openxmlformats.org/officeDocument/2006/relationships/hyperlink" Id="rId75" Target="http://unctad.org/meetings/es/SessionalDocuments/ares70d1_es.pdf" TargetMode="External" /><Relationship Type="http://schemas.openxmlformats.org/officeDocument/2006/relationships/hyperlink" Id="rId69" Target="http://www.ilo.org/wcmsp5/groups/public/---dgreports/---stat/documents/normativeinstrument/wcms_087483.pdf" TargetMode="External" /><Relationship Type="http://schemas.openxmlformats.org/officeDocument/2006/relationships/hyperlink" Id="rId71" Target="http://www.ilo.org/wcmsp5/groups/public/---dgreports/---stat/documents/publication/wcms_220537.pdf" TargetMode="External" /><Relationship Type="http://schemas.openxmlformats.org/officeDocument/2006/relationships/hyperlink" Id="rId60" Target="https://doi.org/10.2307/1403273" TargetMode="External" /><Relationship Type="http://schemas.openxmlformats.org/officeDocument/2006/relationships/hyperlink" Id="rId26" Target="https://sustainabledevelopment.un.org" TargetMode="External" /><Relationship Type="http://schemas.openxmlformats.org/officeDocument/2006/relationships/hyperlink" Id="rId77" Target="https://sustainabledevelopment.un.org/globalsdreport/2016" TargetMode="External" /><Relationship Type="http://schemas.openxmlformats.org/officeDocument/2006/relationships/hyperlink" Id="rId73"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58" Target="http://repositorio.cepal.org/bitstream/handle/11362/44314/1/S1800852_es.pdf" TargetMode="External" /><Relationship Type="http://schemas.openxmlformats.org/officeDocument/2006/relationships/hyperlink" Id="rId75" Target="http://unctad.org/meetings/es/SessionalDocuments/ares70d1_es.pdf" TargetMode="External" /><Relationship Type="http://schemas.openxmlformats.org/officeDocument/2006/relationships/hyperlink" Id="rId69" Target="http://www.ilo.org/wcmsp5/groups/public/---dgreports/---stat/documents/normativeinstrument/wcms_087483.pdf" TargetMode="External" /><Relationship Type="http://schemas.openxmlformats.org/officeDocument/2006/relationships/hyperlink" Id="rId71" Target="http://www.ilo.org/wcmsp5/groups/public/---dgreports/---stat/documents/publication/wcms_220537.pdf" TargetMode="External" /><Relationship Type="http://schemas.openxmlformats.org/officeDocument/2006/relationships/hyperlink" Id="rId60" Target="https://doi.org/10.2307/1403273" TargetMode="External" /><Relationship Type="http://schemas.openxmlformats.org/officeDocument/2006/relationships/hyperlink" Id="rId26" Target="https://sustainabledevelopment.un.org" TargetMode="External" /><Relationship Type="http://schemas.openxmlformats.org/officeDocument/2006/relationships/hyperlink" Id="rId77" Target="https://sustainabledevelopment.un.org/globalsdreport/2016" TargetMode="External" /><Relationship Type="http://schemas.openxmlformats.org/officeDocument/2006/relationships/hyperlink" Id="rId73"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2021-12-22T19:40:33Z</dcterms:created>
  <dcterms:modified xsi:type="dcterms:W3CDTF">2021-12-22T19:40:33Z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2021-12-22</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