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4.png" ContentType="image/png"/>
  <Override PartName="/word/media/rId140.png" ContentType="image/png"/>
  <Override PartName="/word/media/rId152.png" ContentType="image/png"/>
  <Override PartName="/word/media/rId148.png" ContentType="image/png"/>
  <Override PartName="/word/media/rId136.png" ContentType="image/png"/>
  <Override PartName="/word/media/rId87.png" ContentType="image/png"/>
  <Override PartName="/word/media/rId225.png" ContentType="image/png"/>
  <Override PartName="/word/media/rId193.png" ContentType="image/png"/>
  <Override PartName="/word/media/rId82.png" ContentType="image/png"/>
  <Override PartName="/word/media/rId199.png" ContentType="image/png"/>
  <Override PartName="/word/media/rId203.png" ContentType="image/png"/>
  <Override PartName="/word/media/rId74.png" ContentType="image/png"/>
  <Override PartName="/word/media/rId184.png" ContentType="image/png"/>
  <Override PartName="/word/media/rId78.png" ContentType="image/png"/>
  <Override PartName="/word/media/rId263.png" ContentType="image/png"/>
  <Override PartName="/word/media/rId253.png" ContentType="image/png"/>
  <Override PartName="/word/media/rId245.png" ContentType="image/png"/>
  <Override PartName="/word/media/rId220.png" ContentType="image/png"/>
  <Override PartName="/word/media/rId282.png" ContentType="image/png"/>
  <Override PartName="/word/media/rId288.png" ContentType="image/png"/>
  <Override PartName="/word/media/rId275.png" ContentType="image/png"/>
  <Override PartName="/word/media/rId54.png" ContentType="image/png"/>
  <Override PartName="/word/media/rId169.png" ContentType="image/png"/>
  <Override PartName="/word/media/rId165.png" ContentType="image/png"/>
  <Override PartName="/word/media/rId161.png" ContentType="image/png"/>
  <Override PartName="/word/media/rId157.png" ContentType="image/png"/>
  <Override PartName="/word/media/rId233.png" ContentType="image/png"/>
  <Override PartName="/word/media/rId269.png" ContentType="image/png"/>
  <Override PartName="/word/media/rId249.png" ContentType="image/png"/>
  <Override PartName="/word/media/rId213.png" ContentType="image/png"/>
  <Override PartName="/word/media/rId241.png" ContentType="image/png"/>
  <Override PartName="/word/media/rId188.png" ContentType="image/png"/>
  <Override PartName="/word/media/rId96.png" ContentType="image/png"/>
  <Override PartName="/word/media/rId178.png" ContentType="image/png"/>
  <Override PartName="/word/media/rId100.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 de Encuestas de Hogares</w:t>
      </w:r>
    </w:p>
    <w:p>
      <w:pPr>
        <w:pStyle w:val="Subtitle"/>
      </w:pPr>
      <w:r>
        <w:t xml:space="preserve">usando R</w:t>
      </w:r>
    </w:p>
    <w:p>
      <w:pPr>
        <w:pStyle w:val="Author"/>
      </w:pPr>
      <w:r>
        <w:t xml:space="preserve">Andrés Gutiérrez, Stalyn Guerrero, Giovany Babativa y Cristian Téllez</w:t>
      </w:r>
    </w:p>
    <w:p>
      <w:pPr>
        <w:pStyle w:val="Date"/>
      </w:pPr>
      <w:r>
        <w:t xml:space="preserve">27 de julio de 2026</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1" w:name="prefacio"/>
    <w:p>
      <w:pPr>
        <w:pStyle w:val="Heading1"/>
      </w:pPr>
      <w:r>
        <w:t xml:space="preserve">Prefacio</w:t>
      </w:r>
    </w:p>
    <w:p>
      <w:pPr>
        <w:pStyle w:val="FirstParagraph"/>
      </w:pPr>
      <w:r>
        <w:t xml:space="preserve">La versión online de este libro está licenciada bajo una</w:t>
      </w:r>
      <w:r>
        <w:t xml:space="preserve"> </w:t>
      </w:r>
      <w:hyperlink r:id="rId9">
        <w:r>
          <w:rPr>
            <w:rStyle w:val="Hyperlink"/>
          </w:rPr>
          <w:t xml:space="preserve">Licencia Internacional de Creative Commons para compartir con atribución no comercial 4.0</w:t>
        </w:r>
      </w:hyperlink>
      <w:r>
        <w:t xml:space="preserve">.</w:t>
      </w:r>
    </w:p>
    <w:p>
      <w:pPr>
        <w:pStyle w:val="BodyText"/>
      </w:pPr>
      <w:r>
        <w:t xml:space="preserve">También puede descargar la versión en PDF aquí:</w:t>
      </w:r>
      <w:r>
        <w:t xml:space="preserve"> </w:t>
      </w:r>
      <w:hyperlink r:id="rId10">
        <w:r>
          <w:rPr>
            <w:rStyle w:val="Hyperlink"/>
          </w:rPr>
          <w:t xml:space="preserve">Descargar libro en PDF</w:t>
        </w:r>
      </w:hyperlink>
      <w:r>
        <w:t xml:space="preserve">.</w:t>
      </w:r>
    </w:p>
    <w:p>
      <w:pPr>
        <w:pStyle w:val="BodyText"/>
      </w:pPr>
      <w:r>
        <w:t xml:space="preserve">Este libro es el resultado de un compendio de las experiencias internacionales prácticas adquiridas por los autores en su asesoría a los países de América Latina y el Caribe desde la División de Estadísticas de la CEPAL.</w:t>
      </w:r>
    </w:p>
    <w:bookmarkEnd w:id="11"/>
    <w:bookmarkStart w:id="12" w:name="resumen"/>
    <w:p>
      <w:pPr>
        <w:pStyle w:val="Heading1"/>
      </w:pPr>
      <w:r>
        <w:t xml:space="preserve">Resumen</w:t>
      </w:r>
    </w:p>
    <w:p>
      <w:pPr>
        <w:pStyle w:val="FirstParagraph"/>
      </w:pPr>
      <w:r>
        <w:t xml:space="preserve">Las encuestas de hogares son la principal fuente de información cuantitativa para medir indicadores sociales y económicos (pobreza, desigualdad, empleo, educación, entreo muchos otros) en América Latina y en el mundo. A partir de ellas se estiman indicadores que orientan el diseño, la evaluación y el seguimiento de políticas públicas, y también constituyen una fuente principal de información para el monitoreo de los Objetivos de Desarrollo Sostenible en el marco de la Agenda 2030 de las Naciones Unidas. La Comisión Económica para América Latina y el Caribe (CEPAL) gestionan repositorios de microdatos, entre ellos el Banco de Datos de Encuestas de Hogares (BADEHOG), que reúnen, armonizan y documentan encuestas de más de 18 países de la región desde el año 2000, precisamente porque la información que producen estas fuentes es de vital importancia para la toma de decisiones basada en evidencia.</w:t>
      </w:r>
    </w:p>
    <w:p>
      <w:pPr>
        <w:pStyle w:val="BodyText"/>
      </w:pPr>
      <w:r>
        <w:t xml:space="preserve">Sin embargo, detrás de este aparente acceso democratizado a los datos existe un problema técnico estructural que con frecuencia pasa inadvertido, y es que la mayoría de las encuestas de hogares no proviene de muestras simples. Por el contrario, están sustentadas en diseños de muestreo complejos que incorporan estratificación, múltiples etapas, probabilidades de selección desiguales y ajustes de ponderación derivados de la calibración. Cuando un analista aplica los métodos estadísticos tradicionales diseñados para muestras independientes e idénticamente distribuidas sobre datos que no poseen esas características, las consecuencias son estimaciones sesgadas, errores estándar subestimados, intervalos de confianza demasiado estrechos y pruebas de hipótesis con tasas de error de tipo infladas.</w:t>
      </w:r>
    </w:p>
    <w:p>
      <w:pPr>
        <w:pStyle w:val="BodyText"/>
      </w:pPr>
      <w:r>
        <w:t xml:space="preserve">A manera de ejemplo ilustrativo, suponga una población con dos regiones de tamaños muy distintos y con ingresos medios muy diferentes. Una encuesta que selecciona igual número de personas en cada región y analiza los datos sin ponderación producirá un estimador del ingreso medio nacional con un sesgo estructural, porque las unidades de la región pequeña tienen un peso empírico en la muestra superior a su peso real en la población. Este error se propaga también hacia la varianza. Un analista que calcule la varianza ignorando la estructura por conglomerados tratará a hogares del mismo sector censal como observaciones independientes, cuando en realidad comparten características comunes que reducen la información efectiva de la muestra.</w:t>
      </w:r>
    </w:p>
    <w:p>
      <w:pPr>
        <w:pStyle w:val="BodyText"/>
      </w:pPr>
      <w:r>
        <w:t xml:space="preserve">Este documento busca cerrar esa brecha y proporcionar al investigador los fundamentos teóricos y las herramientas computacionales necesarias para trabajar adecuadamente con encuestas provenientes de diseños complejos. A lo largo del texto se abordan de manera integrada aspectos prácticos que van desde la definición del diseño de muestreo hasta la estimación de indicadores —como totales, tamaños, medias y proporciones—, la construcción de sus respectivos intervalos de confianza, la formulación de pruebas de hipótesis, la modelación mediante técnicas de regresión avanzadas y el tratamiento de problemas habituales de imputación.</w:t>
      </w:r>
    </w:p>
    <w:bookmarkEnd w:id="12"/>
    <w:bookmarkStart w:id="16" w:name="cap1"/>
    <w:p>
      <w:pPr>
        <w:pStyle w:val="Heading1"/>
      </w:pPr>
      <w:r>
        <w:t xml:space="preserve">1. Introducción</w:t>
      </w:r>
    </w:p>
    <w:p>
      <w:pPr>
        <w:pStyle w:val="FirstParagraph"/>
      </w:pPr>
      <w:r>
        <w:t xml:space="preserve">El análisis de encuestas con diseños complejos cuenta con una trayectoria consolidada en la literatura estadística, sustentada en el enfoque de inferencia basado en el diseño de muestreo. Como señalan</w:t>
      </w:r>
      <w:r>
        <w:t xml:space="preserve"> </w:t>
      </w:r>
      <w:r>
        <w:t xml:space="preserve">Särndal et al. (2003)</w:t>
      </w:r>
      <w:r>
        <w:t xml:space="preserve"> </w:t>
      </w:r>
      <w:r>
        <w:t xml:space="preserve">y</w:t>
      </w:r>
      <w:r>
        <w:t xml:space="preserve"> </w:t>
      </w:r>
      <w:r>
        <w:t xml:space="preserve">Gutiérrez (2016)</w:t>
      </w:r>
      <w:r>
        <w:t xml:space="preserve">, este enfoque reconoce a la distribución de probabilidad inducida por el proceso de selección de la muestra como el único mecanismo probabilístico que rige la inferencia. Bajo este paradigma, las propiedades estadísticas de los estimadores —como el insesgamiento, la precisión y la consistencia— se evalúan con respecto a la distribución de todas las posibles muestras que el diseño puede generar, sin imponer supuestos distribucionales sobre la variable de interés.</w:t>
      </w:r>
    </w:p>
    <w:p>
      <w:pPr>
        <w:pStyle w:val="BodyText"/>
      </w:pPr>
      <w:r>
        <w:t xml:space="preserve">En este marco, la estimación de varianzas ha ocupado un lugar central y ha evolucionado en torno a tres grandes familias metodológicas complementarias. La primera, el método del último conglomerado</w:t>
      </w:r>
      <w:r>
        <w:t xml:space="preserve"> </w:t>
      </w:r>
      <w:r>
        <w:t xml:space="preserve">(</w:t>
      </w:r>
      <w:r>
        <w:t xml:space="preserve">Hansen et al.</w:t>
      </w:r>
      <w:r>
        <w:t xml:space="preserve"> </w:t>
      </w:r>
      <w:r>
        <w:t xml:space="preserve">1953)</w:t>
      </w:r>
      <w:r>
        <w:t xml:space="preserve">, simplifica la estructura multinivel al concentrar la variabilidad en las unidades primarias de muestreo (UPM), tratando la selección como si se realizara con reemplazo. La segunda, la linealización de Taylor</w:t>
      </w:r>
      <w:r>
        <w:t xml:space="preserve"> </w:t>
      </w:r>
      <w:r>
        <w:t xml:space="preserve">(Binder 1983)</w:t>
      </w:r>
      <w:r>
        <w:t xml:space="preserve">, extiende este principio a parámetros no lineales —como medias, proporciones y razones— mediante una aproximación de primer orden que reduce el problema de estimación de la varianza al de un total. Finalmente, la tercera familia, los métodos de replicación (jackknife, bootstrap y balanced repeated replication), estima la varianza a partir de la dispersión entre estimaciones obtenidas mediante réplicas sistemáticas de la muestra.</w:t>
      </w:r>
    </w:p>
    <w:p>
      <w:pPr>
        <w:pStyle w:val="BodyText"/>
      </w:pPr>
      <w:r>
        <w:t xml:space="preserve">Paralelamente, en el ámbito de la modelización estadística, contribuciones fundamentales como las de</w:t>
      </w:r>
      <w:r>
        <w:t xml:space="preserve"> </w:t>
      </w:r>
      <w:r>
        <w:t xml:space="preserve">Kish y Frankel (1974)</w:t>
      </w:r>
      <w:r>
        <w:t xml:space="preserve">,</w:t>
      </w:r>
      <w:r>
        <w:t xml:space="preserve"> </w:t>
      </w:r>
      <w:r>
        <w:t xml:space="preserve">Fuller (1975)</w:t>
      </w:r>
      <w:r>
        <w:t xml:space="preserve"> </w:t>
      </w:r>
      <w:r>
        <w:t xml:space="preserve">y</w:t>
      </w:r>
      <w:r>
        <w:t xml:space="preserve"> </w:t>
      </w:r>
      <w:r>
        <w:t xml:space="preserve">Binder (1983)</w:t>
      </w:r>
      <w:r>
        <w:t xml:space="preserve"> </w:t>
      </w:r>
      <w:r>
        <w:t xml:space="preserve">sentaron las bases de la regresión ponderada y de la estimación de varianzas de coeficientes en diseños estratificados y de múltiples etapas. Sobre este desarrollo,</w:t>
      </w:r>
      <w:r>
        <w:t xml:space="preserve"> </w:t>
      </w:r>
      <w:r>
        <w:t xml:space="preserve">Pfeffermann (1993)</w:t>
      </w:r>
      <w:r>
        <w:t xml:space="preserve"> </w:t>
      </w:r>
      <w:r>
        <w:t xml:space="preserve">formalizó el método de máxima pseudo-verosimilitud (MPV), que incorpora los pesos muestrales en la función de log-verosimilitud para producir estimadores consistentes bajo el diseño, extendiendo así los modelos lineales generalizados de</w:t>
      </w:r>
      <w:r>
        <w:t xml:space="preserve"> </w:t>
      </w:r>
      <w:r>
        <w:t xml:space="preserve">Nelder y Wedderburn (1972)</w:t>
      </w:r>
      <w:r>
        <w:t xml:space="preserve"> </w:t>
      </w:r>
      <w:r>
        <w:t xml:space="preserve">al contexto de encuestas con diseño complejo.</w:t>
      </w:r>
    </w:p>
    <w:p>
      <w:pPr>
        <w:pStyle w:val="BodyText"/>
      </w:pPr>
      <w:r>
        <w:t xml:space="preserve">Más recientemente,</w:t>
      </w:r>
      <w:r>
        <w:t xml:space="preserve"> </w:t>
      </w:r>
      <w:r>
        <w:t xml:space="preserve">Heeringa et al. (2017)</w:t>
      </w:r>
      <w:r>
        <w:t xml:space="preserve"> </w:t>
      </w:r>
      <w:r>
        <w:t xml:space="preserve">han sintetizado estas contribuciones en un marco analítico unificado que integra de manera coherente el diseño muestral, la ponderación y la modelización, constituyéndose en una referencia estándar para la práctica contemporánea del análisis de encuestas complejas.</w:t>
      </w:r>
    </w:p>
    <w:p>
      <w:pPr>
        <w:pStyle w:val="BodyText"/>
      </w:pPr>
      <w:r>
        <w:t xml:space="preserve">Este documento está dirigido a lectores con formación en estadística o ciencia de datos, o con experiencia profesional equivalente. Está especialmente pensado para quienes cuentan con conocimientos de los fundamentos de la teoría de muestreo —como probabilidades de inclusión, estimadores e intervalos de confianza—, de modelos de regresión lineal y logística, y con un manejo introductorio del lenguaje de programación R.</w:t>
      </w:r>
    </w:p>
    <w:p>
      <w:pPr>
        <w:pStyle w:val="BodyText"/>
      </w:pPr>
      <w:r>
        <w:t xml:space="preserve">En este contexto, el documento se posiciona como un texto de nivel intermedio-avanzado, orientado a profundizar y consolidar estos conocimientos, facilitando su aplicación rigurosa en contextos complejos y de alta exigencia técnica. Su propósito es acompañar al investigador en la transición desde los fundamentos hacia su implementación adecuada en la producción de estadísticas oficiales, la investigación académica en ciencias sociales, la evaluación de políticas públicas y el análisis de datos bajo estándares internacionales de calidad.</w:t>
      </w:r>
    </w:p>
    <w:bookmarkStart w:id="13" w:name="justificacion"/>
    <w:p>
      <w:pPr>
        <w:pStyle w:val="Heading2"/>
      </w:pPr>
      <w:r>
        <w:t xml:space="preserve">1.1 Justificación</w:t>
      </w:r>
    </w:p>
    <w:p>
      <w:pPr>
        <w:pStyle w:val="FirstParagraph"/>
      </w:pPr>
      <w:r>
        <w:t xml:space="preserve">A pesar de la riqueza metodológica disponible en la literatura especializada, persiste una brecha significativa entre el estado del arte y la práctica cotidiana del análisis de encuestas en la región. Una de las principales manifestaciones de esta brecha se relaciona con el acceso y uso del software estadístico. Algunos textos de referencia ampliamente reconocidos en análisis de encuestas, como</w:t>
      </w:r>
      <w:r>
        <w:t xml:space="preserve"> </w:t>
      </w:r>
      <w:r>
        <w:t xml:space="preserve">Heeringa et al. (2017)</w:t>
      </w:r>
      <w:r>
        <w:t xml:space="preserve">,</w:t>
      </w:r>
      <w:r>
        <w:t xml:space="preserve"> </w:t>
      </w:r>
      <w:r>
        <w:t xml:space="preserve">Cochran (1977)</w:t>
      </w:r>
      <w:r>
        <w:t xml:space="preserve"> </w:t>
      </w:r>
      <w:r>
        <w:t xml:space="preserve">y</w:t>
      </w:r>
      <w:r>
        <w:t xml:space="preserve"> </w:t>
      </w:r>
      <w:r>
        <w:t xml:space="preserve">Särndal et al. (2003)</w:t>
      </w:r>
      <w:r>
        <w:t xml:space="preserve">, constituyen fuentes fundamentales desde el punto de vista teórico; sin embargo, están orientados principalmente hacia software con licencia, como</w:t>
      </w:r>
      <w:r>
        <w:t xml:space="preserve"> </w:t>
      </w:r>
      <w:r>
        <w:rPr>
          <w:rStyle w:val="VerbatimChar"/>
        </w:rPr>
        <w:t xml:space="preserve">SAS</w:t>
      </w:r>
      <w:r>
        <w:t xml:space="preserve">,</w:t>
      </w:r>
      <w:r>
        <w:t xml:space="preserve"> </w:t>
      </w:r>
      <w:r>
        <w:rPr>
          <w:rStyle w:val="VerbatimChar"/>
        </w:rPr>
        <w:t xml:space="preserve">Stata</w:t>
      </w:r>
      <w:r>
        <w:t xml:space="preserve"> </w:t>
      </w:r>
      <w:r>
        <w:t xml:space="preserve">o</w:t>
      </w:r>
      <w:r>
        <w:t xml:space="preserve"> </w:t>
      </w:r>
      <w:r>
        <w:rPr>
          <w:rStyle w:val="VerbatimChar"/>
        </w:rPr>
        <w:t xml:space="preserve">SPSS</w:t>
      </w:r>
      <w:r>
        <w:t xml:space="preserve">, o bien no logran integrarse plenamente con el ecosistema computacional de</w:t>
      </w:r>
      <w:r>
        <w:t xml:space="preserve"> </w:t>
      </w:r>
      <w:r>
        <w:rPr>
          <w:rStyle w:val="VerbatimChar"/>
        </w:rPr>
        <w:t xml:space="preserve">R</w:t>
      </w:r>
      <w:r>
        <w:t xml:space="preserve">. En contraste, muchos tutoriales disponibles en línea sobre análisis de encuestas en</w:t>
      </w:r>
      <w:r>
        <w:t xml:space="preserve"> </w:t>
      </w:r>
      <w:r>
        <w:rPr>
          <w:rStyle w:val="VerbatimChar"/>
        </w:rPr>
        <w:t xml:space="preserve">R</w:t>
      </w:r>
      <w:r>
        <w:t xml:space="preserve"> </w:t>
      </w:r>
      <w:r>
        <w:t xml:space="preserve">suelen privilegiar los aspectos operativos del software, pero rara vez alcanzan el nivel de profundidad conceptual necesario para un uso adecuado y responsable en la producción de estadísticas oficiales.</w:t>
      </w:r>
    </w:p>
    <w:p>
      <w:pPr>
        <w:pStyle w:val="BodyText"/>
      </w:pPr>
      <w:r>
        <w:t xml:space="preserve">Adicionalmente, existe una fragmentación metodológica importante entre los distintos componentes que intervienen en el análisis de encuestas complejas. Con frecuencia, los fundamentos del diseño muestral, la gestión computacional de los datos, la estimación de parámetros descriptivos e inferenciales con corrección por diseño y el tratamiento de la no respuesta son abordados de manera separada, dificultando la construcción de flujos de trabajo integrales y reproducibles. En este contexto, el presente texto propone una integración coherente de estos elementos dentro de un único marco analítico implementado completamente en</w:t>
      </w:r>
      <w:r>
        <w:t xml:space="preserve"> </w:t>
      </w:r>
      <w:r>
        <w:rPr>
          <w:rStyle w:val="VerbatimChar"/>
        </w:rPr>
        <w:t xml:space="preserve">R</w:t>
      </w:r>
      <w:r>
        <w:t xml:space="preserve">.</w:t>
      </w:r>
    </w:p>
    <w:p>
      <w:pPr>
        <w:pStyle w:val="BodyText"/>
      </w:pPr>
      <w:r>
        <w:t xml:space="preserve">Otro aspecto relevante corresponde a la contextualización regional de los ejemplos y aplicaciones. Una proporción considerable de los textos de referencia utiliza bases de datos y ejemplos provenientes de encuestas de países anglosajones, lo que limita parcialmente su aplicabilidad inmediata en América Latina. Con el propósito de acercar los contenidos a las realidades estadísticas de la región, este documento emplea una base de datos nativa de</w:t>
      </w:r>
      <w:r>
        <w:t xml:space="preserve"> </w:t>
      </w:r>
      <w:r>
        <w:rPr>
          <w:rStyle w:val="VerbatimChar"/>
        </w:rPr>
        <w:t xml:space="preserve">R</w:t>
      </w:r>
      <w:r>
        <w:t xml:space="preserve">, diseñada para replicar la estructura tradicional de las encuestas de hogares latinoamericanas y, por tanto, proporcionar ejemplos más cercanos a los problemas enfrentados por las oficinas nacionales de estadística y los equipos técnicos de la región.</w:t>
      </w:r>
    </w:p>
    <w:p>
      <w:pPr>
        <w:pStyle w:val="BodyText"/>
      </w:pPr>
      <w:r>
        <w:t xml:space="preserve">Finalmente, este documento constituye en sí mismo un ejercicio de investigación reproducible. Todo su contenido, incluyendo tablas, figuras, ecuaciones y resultados numéricos, es generado íntegramente mediante código en R incorporado directamente en los capítulos. De esta manera, el lector no solo puede estudiar los métodos presentados, sino también replicarlos, modificarlos y adaptarlos a sus propios contextos y bases de datos, fortaleciendo así las capacidades analíticas y la transparencia en la producción estadística.</w:t>
      </w:r>
    </w:p>
    <w:bookmarkEnd w:id="13"/>
    <w:bookmarkStart w:id="14" w:name="Xa502faf6646e61a1b659e92c84cc0a89071e7fd"/>
    <w:p>
      <w:pPr>
        <w:pStyle w:val="Heading2"/>
      </w:pPr>
      <w:r>
        <w:t xml:space="preserve">1.2 Uso del software R para el análisis de encuestas</w:t>
      </w:r>
    </w:p>
    <w:p>
      <w:pPr>
        <w:pStyle w:val="FirstParagraph"/>
      </w:pPr>
      <w:r>
        <w:t xml:space="preserve">La elección de R como entorno computacional para este documento no es arbitraria. R reúne al menos tres características que lo convierten en una opción idónea para el análisis de encuestas de hogares en el contexto latinoamericano.</w:t>
      </w:r>
    </w:p>
    <w:p>
      <w:pPr>
        <w:pStyle w:val="BodyText"/>
      </w:pPr>
      <w:r>
        <w:t xml:space="preserve">En primer lugar, su condición de acceso libre. A diferencia de otros programas con costos de licencia que pueden resultar prohibitivos para muchas oficinas nacionales de estadística en países en desarrollo, R se distribuye bajo licencia GNU, lo que garantiza que los métodos presentados en este documento sean plenamente accesibles y replicables, independientemente de las restricciones presupuestarias de las instituciones.</w:t>
      </w:r>
    </w:p>
    <w:p>
      <w:pPr>
        <w:pStyle w:val="BodyText"/>
      </w:pPr>
      <w:r>
        <w:t xml:space="preserve">En segundo lugar, destaca su ecosistema especializado. El paquete</w:t>
      </w:r>
      <w:r>
        <w:t xml:space="preserve"> </w:t>
      </w:r>
      <w:r>
        <w:rPr>
          <w:rStyle w:val="VerbatimChar"/>
        </w:rPr>
        <w:t xml:space="preserve">survey</w:t>
      </w:r>
      <w:r>
        <w:t xml:space="preserve"> </w:t>
      </w:r>
      <w:r>
        <w:t xml:space="preserve">(Lumley et al. 2026)</w:t>
      </w:r>
      <w:r>
        <w:t xml:space="preserve">, disponible desde 2004 y en constante evolución, implementa una amplia gama de métodos de estimación para diseños complejos: estimadores de Horvitz–Thompson, técnicas de calibración, linealización de Taylor, métodos de replicación, modelos de regresión ponderados y pruebas de hipótesis ajustadas al diseño (como Rao-Scott), entre otros. A su vez, el paquete</w:t>
      </w:r>
      <w:r>
        <w:t xml:space="preserve"> </w:t>
      </w:r>
      <w:r>
        <w:rPr>
          <w:rStyle w:val="VerbatimChar"/>
        </w:rPr>
        <w:t xml:space="preserve">srvyr</w:t>
      </w:r>
      <w:r>
        <w:t xml:space="preserve"> </w:t>
      </w:r>
      <w:r>
        <w:t xml:space="preserve">(Freedman Ellis y Schneider 2026)</w:t>
      </w:r>
      <w:r>
        <w:t xml:space="preserve"> </w:t>
      </w:r>
      <w:r>
        <w:t xml:space="preserve">extiende estas capacidades al incorporar la sintaxis del ecosistema</w:t>
      </w:r>
      <w:r>
        <w:t xml:space="preserve"> </w:t>
      </w:r>
      <w:r>
        <w:rPr>
          <w:rStyle w:val="VerbatimChar"/>
        </w:rPr>
        <w:t xml:space="preserve">tidyverse</w:t>
      </w:r>
      <w:r>
        <w:t xml:space="preserve">, facilitando una transición fluida entre el análisis exploratorio y el inferencial. Paquetes complementarios como</w:t>
      </w:r>
      <w:r>
        <w:t xml:space="preserve"> </w:t>
      </w:r>
      <w:r>
        <w:rPr>
          <w:rStyle w:val="VerbatimChar"/>
        </w:rPr>
        <w:t xml:space="preserve">TeachingSampling</w:t>
      </w:r>
      <w:r>
        <w:t xml:space="preserve"> </w:t>
      </w:r>
      <w:r>
        <w:t xml:space="preserve">(Gutiérrez 2020)</w:t>
      </w:r>
      <w:r>
        <w:t xml:space="preserve"> </w:t>
      </w:r>
      <w:r>
        <w:t xml:space="preserve">y</w:t>
      </w:r>
      <w:r>
        <w:t xml:space="preserve"> </w:t>
      </w:r>
      <w:r>
        <w:rPr>
          <w:rStyle w:val="VerbatimChar"/>
        </w:rPr>
        <w:t xml:space="preserve">convey</w:t>
      </w:r>
      <w:r>
        <w:t xml:space="preserve"> </w:t>
      </w:r>
      <w:r>
        <w:t xml:space="preserve">(Jacob et al. 2024)</w:t>
      </w:r>
      <w:r>
        <w:t xml:space="preserve"> </w:t>
      </w:r>
      <w:r>
        <w:t xml:space="preserve">consolidan un entorno analítico difícil de igualar en otros lenguajes.</w:t>
      </w:r>
    </w:p>
    <w:p>
      <w:pPr>
        <w:pStyle w:val="BodyText"/>
      </w:pPr>
      <w:r>
        <w:t xml:space="preserve">Finalmente, R ofrece una sólida integración con herramientas de reproducibilidad científica. En particular, su combinación con R Markdown y el sistema</w:t>
      </w:r>
      <w:r>
        <w:t xml:space="preserve"> </w:t>
      </w:r>
      <w:r>
        <w:rPr>
          <w:rStyle w:val="VerbatimChar"/>
        </w:rPr>
        <w:t xml:space="preserve">bookdown</w:t>
      </w:r>
      <w:r>
        <w:t xml:space="preserve"> </w:t>
      </w:r>
      <w:r>
        <w:t xml:space="preserve">permite generar documentos en los que resultados, tablas y figuras se producen directamente a partir del código fuente. Esta capacidad resulta especialmente relevante en el ámbito de la estadística oficial, donde la trazabilidad y la transparencia metodológica son requisitos fundamentales.</w:t>
      </w:r>
    </w:p>
    <w:bookmarkEnd w:id="14"/>
    <w:bookmarkStart w:id="15" w:name="estructura-del-documento"/>
    <w:p>
      <w:pPr>
        <w:pStyle w:val="Heading2"/>
      </w:pPr>
      <w:r>
        <w:t xml:space="preserve">1.3 Estructura del documento</w:t>
      </w:r>
    </w:p>
    <w:p>
      <w:pPr>
        <w:pStyle w:val="FirstParagraph"/>
      </w:pPr>
      <w:r>
        <w:t xml:space="preserve">Este documento está organizado siguiendo una progresión lógica que va desde los fundamentos conceptuales del muestreo hasta las aplicaciones más avanzadas de modelamiento estadístico y tratamiento de la no respuesta. Esta secuencia no es arbitraria: cada nivel de conocimiento constituye un requisito necesario para comprender el siguiente, de modo que el lector pueda transitar de los principios básicos hacia herramientas analíticas más sofisticadas de manera coherente.</w:t>
      </w:r>
    </w:p>
    <w:p>
      <w:pPr>
        <w:pStyle w:val="BodyText"/>
      </w:pPr>
      <w:r>
        <w:t xml:space="preserve">En primer lugar, se abordan los fundamentos del diseño muestral. El análisis adecuado de una encuesta comienza necesariamente con la comprensión de su diseño probabilístico. Antes de estimar cualquier parámetro, el analista debe familiarizarse con tres elementos constitutivos: la población objetivo, entendida como el conjunto de unidades sobre las cuales se desean hacer inferencias; el marco de muestreo, que corresponde a la enumeración operacional de dichas unidades; y las unidades de muestreo en cada etapa del diseño. Estos componentes determinan tanto la validez como el alcance de las inferencias posteriores.</w:t>
      </w:r>
    </w:p>
    <w:p>
      <w:pPr>
        <w:pStyle w:val="BodyText"/>
      </w:pPr>
      <w:r>
        <w:t xml:space="preserve">A continuación, se introducen los elementos computacionales que permiten materializar estos conceptos en un entorno aplicado. El documento incorpora el manejo y transformación de variables mediante un ambiente de programación adecuado para la incorporación del diseño de muestreo, que constituye el eje central del flujo de análisis y garantiza que todas las operaciones estadísticas respeten dicha estructura.</w:t>
      </w:r>
    </w:p>
    <w:p>
      <w:pPr>
        <w:pStyle w:val="BodyText"/>
      </w:pPr>
      <w:r>
        <w:t xml:space="preserve">Con el diseño correctamente especificado, el documento avanza hacia la estimación de parámetros descriptivos. Esta sección cubre los estimadores más utilizados en el análisis de encuestas para variables continuas, tales como ingresos, gastos o activos, incluyendo totales, medias y razones. Asimismo, se presentan sus correspondientes medidas de precisión (varianzas, errores estándar e intervalos de confianza) ajustadas a la complejidad del diseño muestral.</w:t>
      </w:r>
    </w:p>
    <w:p>
      <w:pPr>
        <w:pStyle w:val="BodyText"/>
      </w:pPr>
      <w:r>
        <w:t xml:space="preserve">Posteriormente, se desarrolla el modelamiento estadístico, extendiendo el análisis más allá de la estadística descriptiva hacia un enfoque analítico e inferencial. En particular, se abordan los modelos de regresión lineal bajo diseños complejos, donde la incorporación explícita de los pesos muestrales resulta fundamental para obtener estimadores insesgados respecto al diseño. Este contexto pone de manifiesto la discusión entre el enfoque basado en el diseño, que prioriza las propiedades estadísticas a nivel poblacional, y el enfoque basado en los modelos, que depende de la correcta especificación funcional. En consecuencia, se enfatiza la importancia de evaluar la sensibilidad de los resultados mediante comparaciones entre estimaciones con y sin ponderación. Adicionalmente, se introducen los modelos lineales generalizados y los modelos multinivel, que amplían el alcance del análisis a variables respuesta no normales, como variables binarias (regresión logística), conteos (regresión de Poisson) y proporciones.</w:t>
      </w:r>
    </w:p>
    <w:p>
      <w:pPr>
        <w:pStyle w:val="BodyText"/>
      </w:pPr>
      <w:r>
        <w:t xml:space="preserve">La organización de los capítulos sigue la arquitectura conceptual descrita anteriormente, avanzando de los fundamentos hacia las aplicaciones más complejas. De esta forma, el capítulo 2 presenta los conceptos básicos para el análisis de encuestas de hogares, destacando que la validez de las estimaciones depende de incorporar adecuadamente el diseño muestral. Se explican los elementos centrales de una encuesta, como la población objetivo, el marco muestral, las unidades de muestreo, la estratificación, la conglomeración y los pesos de muestreo. Además, el capítulo introduce los principales estimadores de muestreo para totales, medias y otros parámetros poblacionales y desarrolla los fundamentos para estimar la varianza e intervalos de confianza.</w:t>
      </w:r>
    </w:p>
    <w:p>
      <w:pPr>
        <w:pStyle w:val="BodyText"/>
      </w:pPr>
      <w:r>
        <w:t xml:space="preserve">En el capítulo 3 se aborda la estimación rigurosa de parámetros descriptivos para variables numéricas bajo diseños complejos y se desarrollan técnicas para estimar totales y medias, junto con la estimación de varianzas mediante el método del último conglomerado y la construcción de intervalos de confianza con grados de libertad ajustados. Asimismo, se presentan enfoques alternativos para la estimación de la varianza, como la linealización de Taylor, las ecuaciones de estimación y los métodos de replicación, incluyendo bootstrap y jackknife. El capítulo también cubre la estimación de cuantiles ponderados, el análisis de desigualdad mediante indicadores como el índice de Gini y la curva de Lorenz, la estimación en dominios y subpoblaciones, y la visualización de resultados con intervalos de confianza.</w:t>
      </w:r>
    </w:p>
    <w:p>
      <w:pPr>
        <w:pStyle w:val="BodyText"/>
      </w:pPr>
      <w:r>
        <w:t xml:space="preserve">En el capítulo 4 se aborda el análisis de variables categóricas bajo diseños complejos, incluyendo la evaluación de asociaciones entre categorías mediante métodos que incorporan adecuadamente el diseño muestral. Se desarrollan técnicas para estimar tamaños poblacionales y proporciones a partir de ponderaciones, junto con la estimación de su variabilidad mediante linealización y la construcción de intervalos de confianza, incluyendo enfoques robustos para proporciones extremas. Asimismo, se presentan tablas de contingencia ponderadas con sus respectivas frecuencias y proporciones, así como pruebas de independencia que ajustan la estadística clásica para reflejar el efecto del diseño. El capítulo también cubre la estimación e interpretación de medidas de asociación como la razón de odds, el análisis de diferencias de proporciones entre subpoblaciones mediante contrastes, y diversas estrategias de visualización, incluyendo gráficos de barras con intervalos de confianza y mapas.</w:t>
      </w:r>
    </w:p>
    <w:p>
      <w:pPr>
        <w:pStyle w:val="BodyText"/>
      </w:pPr>
      <w:r>
        <w:t xml:space="preserve">El capítulo 5 se enfoca en analizar relaciones entre variables y construir modelos predictivos o explicativos válidos bajo diseños complejos, cuando los supuestos clásicos de independencia e idéntica distribución no se cumplen. Se presenta la evolución del problema desde los aportes iniciales hasta los desarrollos más recientes, y discute las implicaciones de trabajar con datos de encuestas en el contexto de los modelos de regresión, incluyendo la violación de los supuestos del modelo lineal clásico. Se contrasta el enfoque basado en el diseño con el basado en los modelos. El capítulo también aborda la realización de pruebas de hipótesis con ajustes apropiados, el diagnóstico de residuales y la identificación de observaciones influyentes.</w:t>
      </w:r>
    </w:p>
    <w:p>
      <w:pPr>
        <w:pStyle w:val="BodyText"/>
      </w:pPr>
      <w:r>
        <w:t xml:space="preserve">En el capítulo 6 se extiende la modelación estadística a variables que no siguen una distribución normal (como variables binarias, multinomiales y estirctamente positivas) en el contexto de diseños de muestreo complejo. Para ello, se construye un marco unificado basado en los modelos lineales generalizados, incorporando sus componentes fundamentales y se discute la dualidad inferencial en poblaciones finitas, donde coexisten la medida de probabilidad del modelo y la del diseño muestral. Asimismo, se contrasta el enfoque clásico de máxima verosimilitud con el de máxima pseudo-verosimilitud, basado en ecuaciones de estimación ponderadas que incorporan los pesos muestrales, y se estudia la estimación de la varianza mediante técnicas de linealización.</w:t>
      </w:r>
    </w:p>
    <w:p>
      <w:pPr>
        <w:pStyle w:val="BodyText"/>
      </w:pPr>
      <w:r>
        <w:t xml:space="preserve">En el capítulo 7 se revisan los modelos multinivel, también llamados jerárquicos o de efectos mixtos, para analizar datos con estructura anidada incorporando simultáneamente variables a nivel individual y contextual. A través de ejemplos de regresión (con interceptos y pendientes que varían por estrato), se muestra que ignorar la estructura jerárquica puede llevar a inferencias incorrectas, mientras que modelarla explícitamente permite capturar heterogeneidad entre grupos y aprovechar información compartida mediante. El enfoque se formaliza con el modelo nulo, que descompone la varianza en componentes dentro y entre estratos, y permite calcular la correlación intraclase (ICC), indicador clave para cuantificar la dependencia intragrupo.</w:t>
      </w:r>
    </w:p>
    <w:p>
      <w:pPr>
        <w:pStyle w:val="BodyText"/>
      </w:pPr>
      <w:r>
        <w:t xml:space="preserve">Adicionalmente, el primer apéndice introduce el manejo de bases de datos en</w:t>
      </w:r>
      <w:r>
        <w:t xml:space="preserve"> </w:t>
      </w:r>
      <w:r>
        <w:rPr>
          <w:rStyle w:val="VerbatimChar"/>
        </w:rPr>
        <w:t xml:space="preserve">R</w:t>
      </w:r>
      <w:r>
        <w:t xml:space="preserve"> </w:t>
      </w:r>
      <w:r>
        <w:t xml:space="preserve">mediante el entorno</w:t>
      </w:r>
      <w:r>
        <w:t xml:space="preserve"> </w:t>
      </w:r>
      <w:r>
        <w:rPr>
          <w:rStyle w:val="VerbatimChar"/>
        </w:rPr>
        <w:t xml:space="preserve">tidyverse</w:t>
      </w:r>
      <w:r>
        <w:t xml:space="preserve">, con énfasis en el paquete</w:t>
      </w:r>
      <w:r>
        <w:t xml:space="preserve"> </w:t>
      </w:r>
      <w:r>
        <w:rPr>
          <w:rStyle w:val="VerbatimChar"/>
        </w:rPr>
        <w:t xml:space="preserve">dplyr</w:t>
      </w:r>
      <w:r>
        <w:t xml:space="preserve">. A partir de la base de datos</w:t>
      </w:r>
      <w:r>
        <w:t xml:space="preserve"> </w:t>
      </w:r>
      <w:r>
        <w:rPr>
          <w:rStyle w:val="VerbatimChar"/>
        </w:rPr>
        <w:t xml:space="preserve">BigCity</w:t>
      </w:r>
      <w:r>
        <w:t xml:space="preserve">, se presenta un flujo básico de trabajo que incluye la carga de librerías, la inspección inicial de la base, el uso del operador de encadenamiento</w:t>
      </w:r>
      <w:r>
        <w:t xml:space="preserve"> </w:t>
      </w:r>
      <w:r>
        <w:rPr>
          <w:rStyle w:val="VerbatimChar"/>
        </w:rPr>
        <w:t xml:space="preserve">%&gt;%</w:t>
      </w:r>
      <w:r>
        <w:t xml:space="preserve"> </w:t>
      </w:r>
      <w:r>
        <w:t xml:space="preserve">y la aplicación de los principales verbos de</w:t>
      </w:r>
      <w:r>
        <w:t xml:space="preserve"> </w:t>
      </w:r>
      <w:r>
        <w:rPr>
          <w:rStyle w:val="VerbatimChar"/>
        </w:rPr>
        <w:t xml:space="preserve">dplyr</w:t>
      </w:r>
      <w:r>
        <w:t xml:space="preserv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arrange()</w:t>
      </w:r>
      <w:r>
        <w:t xml:space="preserve">,</w:t>
      </w:r>
      <w:r>
        <w:t xml:space="preserve"> </w:t>
      </w:r>
      <w:r>
        <w:rPr>
          <w:rStyle w:val="VerbatimChar"/>
        </w:rPr>
        <w:t xml:space="preserve">mutate()</w:t>
      </w:r>
      <w:r>
        <w:t xml:space="preserve">,</w:t>
      </w:r>
      <w:r>
        <w:t xml:space="preserve"> </w:t>
      </w:r>
      <w:r>
        <w:rPr>
          <w:rStyle w:val="VerbatimChar"/>
        </w:rPr>
        <w:t xml:space="preserve">summarise()</w:t>
      </w:r>
      <w:r>
        <w:t xml:space="preserve"> </w:t>
      </w:r>
      <w:r>
        <w:t xml:space="preserve">y</w:t>
      </w:r>
      <w:r>
        <w:t xml:space="preserve"> </w:t>
      </w:r>
      <w:r>
        <w:rPr>
          <w:rStyle w:val="VerbatimChar"/>
        </w:rPr>
        <w:t xml:space="preserve">group_by()</w:t>
      </w:r>
      <w:r>
        <w:t xml:space="preserve">. El capítulo muestra cómo seleccionar registros y variables, ordenar datos, crear nuevas variables y producir resúmenes descriptivos, explicando tanto la lógica de los códigos como la interpretación de sus salidas.</w:t>
      </w:r>
    </w:p>
    <w:p>
      <w:pPr>
        <w:pStyle w:val="BodyText"/>
      </w:pPr>
      <w:r>
        <w:t xml:space="preserve">Finalmente, el segundo apéndice aborda la inferencia en poblaciones finitas y la diferencia entre la inferencia basada en modelos y la inferencia basada en el diseño muestral. A partir de ejemplos de simulación, muestra que en encuestas complejas la aleatoriedad proviene principalmente de la selección de la muestra y que, por tanto, las estimaciones deben incorporar las probabilidades de inclusión y los pesos muestrales. Se presenta el método de máxima verosimilitud como punto de partida para modelos estadísticos bajo supuestos de observaciones independientes, y luego presenta la máxima pseudo-verosimilitud como una extensión adecuada para datos de encuestas, donde cada contribución individual se pondera según el diseño.</w:t>
      </w:r>
    </w:p>
    <w:p>
      <w:pPr>
        <w:pStyle w:val="BodyText"/>
      </w:pPr>
      <w:r>
        <w:t xml:space="preserve">El lector que los recorra en orden los capítulos habrá construido la capacidad de tomar cualquier encuesta de hogares latinoamericana, entender su diseño, procesar sus datos, estimar los indicadores de interés con la precisión estadística correcta, modelar las relaciones entre variables de manera válida bajo el diseño complejo, y manejar la no respuesta con métodos apropiados. Esa capacidad es, en esencia, lo que la producción rigurosa de estadísticas sociales exige.</w:t>
      </w:r>
    </w:p>
    <w:bookmarkEnd w:id="15"/>
    <w:bookmarkEnd w:id="16"/>
    <w:bookmarkStart w:id="27" w:name="cap2"/>
    <w:p>
      <w:pPr>
        <w:pStyle w:val="Heading1"/>
      </w:pPr>
      <w:r>
        <w:t xml:space="preserve">2. Conceptos básicos en encuestas de hogares</w:t>
      </w:r>
    </w:p>
    <w:p>
      <w:pPr>
        <w:pStyle w:val="FirstParagraph"/>
      </w:pPr>
      <w:r>
        <w:t xml:space="preserve">Las encuestas de hogares constituyen una de las principales herramientas para comprender la realidad social y económica de una población. A partir de ellas se obtiene información esencial sobre las condiciones de vida, el empleo, la educación, la salud y otros aspectos que orientan la formulación de políticas públicas y la toma de decisiones basadas en evidencia. El análisis riguroso de estas encuestas es fundamental para estudiar la realidad social, económica y demográfica de una población. Sin embargo, la validez de los resultados no depende únicamente del tamaño de la muestra o de la calidad de la recolección de datos, sino también de la manera en que la encuesta fue diseñada y de cómo dicho diseño se incorpora en el análisis estadístico. Ignorar el diseño muestral y aplicar métodos de análisis tradicionales que asumen una muestra aleatoria simple puede conducir a estimaciones sesgadas, errores en la inferencia y conclusiones equivocadas. Por esta razón, el análisis de las encuestas de hogares no puede desligarse de su diseño de selección, ya que este constituye el fundamento que sustenta la validez y representatividad de la información producida.</w:t>
      </w:r>
    </w:p>
    <w:p>
      <w:pPr>
        <w:pStyle w:val="BodyText"/>
      </w:pPr>
      <w:r>
        <w:t xml:space="preserve">En la práctica, las encuestas de hogares suelen utilizar diseños complejos que combinan la estratificación con la selección de informantes en varias etapas. Este tipo de diseños busca optimizar recursos y mejorar la precisión de las estimaciones, aunque puede generar probabilidades de inclusión desiguales. Ignorar estas características puede conducir a estimaciones sesgadas, errores estándar incorrectos y conclusiones erróneas. Como señalan</w:t>
      </w:r>
      <w:r>
        <w:t xml:space="preserve"> </w:t>
      </w:r>
      <w:r>
        <w:t xml:space="preserve">Särndal et al. (2003)</w:t>
      </w:r>
      <w:r>
        <w:t xml:space="preserve"> </w:t>
      </w:r>
      <w:r>
        <w:t xml:space="preserve">y</w:t>
      </w:r>
      <w:r>
        <w:t xml:space="preserve"> </w:t>
      </w:r>
      <w:r>
        <w:t xml:space="preserve">Gutiérrez (2016)</w:t>
      </w:r>
      <w:r>
        <w:t xml:space="preserve">, toda encuesta parte de tres conceptos fundamentales: la población objetivo, el marco muestral y la muestra seleccionada. Estos elementos constituyen la base del diseño de la encuesta y son esenciales para garantizar la validez de las inferencias y la representatividad de los resultados.</w:t>
      </w:r>
    </w:p>
    <w:p>
      <w:pPr>
        <w:pStyle w:val="BodyText"/>
      </w:pPr>
      <w:r>
        <w:t xml:space="preserve">En este contexto, un aspecto fundamental es la adecuada consideración del diseño muestral. Para obtener conclusiones válidas sobre la población, es necesario adoptar un enfoque de inferencia basado en el diseño, el cual reconoce que la muestra no proviene de una selección aleatoria cualquiera, sino de un plan probabilístico cuidadosamente definido. En este esquema, cada unidad de la población posee una probabilidad conocida y distinta de cero de ser seleccionada, lo que constituye la principal garantía de que los resultados puedan generalizarse a la población de referencia.</w:t>
      </w:r>
    </w:p>
    <w:p>
      <w:pPr>
        <w:pStyle w:val="BodyText"/>
      </w:pPr>
      <w:r>
        <w:t xml:space="preserve">Bajo este enfoque, es posible demostrar que las estimaciones son insesgadas (o aproximadamente insesgadas), con respecto al esquema de muestreo, sin necesidad de asumir distribuciones específicas para la variable de interés. Esta característica confiere a la inferencia basada en el diseño un carácter robusto y ampliamente aceptado en el análisis de encuestas de hogares. Un componente central de este proceso son los pesos de muestreo, los cuales indican cuántas unidades de la población representa cada unidad seleccionada. Estos pesos permiten ajustar las estimaciones a las particularidades del diseño, garantizando que los resultados reflejen adecuadamente la estructura de la población.</w:t>
      </w:r>
    </w:p>
    <w:p>
      <w:pPr>
        <w:pStyle w:val="BodyText"/>
      </w:pPr>
      <w:r>
        <w:t xml:space="preserve">Como muestran</w:t>
      </w:r>
      <w:r>
        <w:t xml:space="preserve"> </w:t>
      </w:r>
      <w:r>
        <w:t xml:space="preserve">Korn y Graubard (1995)</w:t>
      </w:r>
      <w:r>
        <w:t xml:space="preserve">, las estimaciones ponderadas y no ponderadas pueden diferir sustancialmente, lo que evidencia la importancia de utilizar métodos de análisis coherentes con el diseño de la encuesta. En consecuencia, considerar adecuadamente los pesos de muestreo, la estratificación y las unidades de selección no constituye un aspecto técnico secundario, sino un requisito esencial para garantizar la credibilidad de los resultados.</w:t>
      </w:r>
    </w:p>
    <w:p>
      <w:pPr>
        <w:pStyle w:val="BodyText"/>
      </w:pPr>
      <w:r>
        <w:t xml:space="preserve">Naciones Unidas (2026)</w:t>
      </w:r>
      <w:r>
        <w:t xml:space="preserve"> </w:t>
      </w:r>
      <w:r>
        <w:t xml:space="preserve">menciona el siguiente ejemplo. Suponga un país conformado por dos regiones: la Región A, con 100 habitantes e ingreso promedio de $10.000, y la Región B, con 900 habitantes e ingreso promedio de $2.000. El ingreso promedio verdadero de la población es:</w:t>
      </w:r>
    </w:p>
    <w:p>
      <w:pPr>
        <w:pStyle w:val="BodyText"/>
      </w:pPr>
      <m:oMathPara>
        <m:oMathParaPr>
          <m:jc m:val="center"/>
        </m:oMathParaPr>
        <m:oMath>
          <m:r>
            <m:t>θ</m:t>
          </m:r>
          <m:r>
            <m:rPr>
              <m:sty m:val="p"/>
            </m:rPr>
            <m:t>=</m:t>
          </m:r>
          <m:f>
            <m:fPr>
              <m:type m:val="bar"/>
            </m:fPr>
            <m:num>
              <m:r>
                <m:rPr>
                  <m:sty m:val="p"/>
                </m:rPr>
                <m:t>(</m:t>
              </m:r>
              <m:r>
                <m:t>100</m:t>
              </m:r>
              <m:r>
                <m:rPr>
                  <m:sty m:val="p"/>
                </m:rPr>
                <m:t>×</m:t>
              </m:r>
              <m:r>
                <m:t>10.000</m:t>
              </m:r>
              <m:r>
                <m:rPr>
                  <m:sty m:val="p"/>
                </m:rPr>
                <m:t>)</m:t>
              </m:r>
              <m:r>
                <m:rPr>
                  <m:sty m:val="p"/>
                </m:rPr>
                <m:t>+</m:t>
              </m:r>
              <m:r>
                <m:rPr>
                  <m:sty m:val="p"/>
                </m:rPr>
                <m:t>(</m:t>
              </m:r>
              <m:r>
                <m:t>900</m:t>
              </m:r>
              <m:r>
                <m:rPr>
                  <m:sty m:val="p"/>
                </m:rPr>
                <m:t>×</m:t>
              </m:r>
              <m:r>
                <m:t>2.000</m:t>
              </m:r>
              <m:r>
                <m:rPr>
                  <m:sty m:val="p"/>
                </m:rPr>
                <m:t>)</m:t>
              </m:r>
            </m:num>
            <m:den>
              <m:r>
                <m:t>100</m:t>
              </m:r>
              <m:r>
                <m:rPr>
                  <m:sty m:val="p"/>
                </m:rPr>
                <m:t>+</m:t>
              </m:r>
              <m:r>
                <m:t>900</m:t>
              </m:r>
            </m:den>
          </m:f>
          <m:r>
            <m:rPr>
              <m:sty m:val="p"/>
            </m:rPr>
            <m:t>=</m:t>
          </m:r>
          <m:r>
            <m:t>2.800</m:t>
          </m:r>
        </m:oMath>
      </m:oMathPara>
    </w:p>
    <w:p>
      <w:pPr>
        <w:pStyle w:val="FirstParagraph"/>
      </w:pPr>
      <w:r>
        <w:t xml:space="preserve">Si se seleccionan 50 personas en cada región y se ignora el diseño de muestreo, asignando el mismo peso a todas las observaciones, el promedio estimado sería:</w:t>
      </w:r>
    </w:p>
    <w:p>
      <w:pPr>
        <w:pStyle w:val="BodyText"/>
      </w:pPr>
      <m:oMathPara>
        <m:oMathParaPr>
          <m:jc m:val="center"/>
        </m:oMathParaPr>
        <m:oMath>
          <m:acc>
            <m:accPr>
              <m:chr m:val="̂"/>
            </m:accPr>
            <m:e>
              <m:r>
                <m:t>θ</m:t>
              </m:r>
            </m:e>
          </m:acc>
          <m:r>
            <m:rPr>
              <m:sty m:val="p"/>
            </m:rPr>
            <m:t>=</m:t>
          </m:r>
          <m:f>
            <m:fPr>
              <m:type m:val="bar"/>
            </m:fPr>
            <m:num>
              <m:r>
                <m:rPr>
                  <m:sty m:val="p"/>
                </m:rPr>
                <m:t>(</m:t>
              </m:r>
              <m:r>
                <m:t>50</m:t>
              </m:r>
              <m:r>
                <m:rPr>
                  <m:sty m:val="p"/>
                </m:rPr>
                <m:t>×</m:t>
              </m:r>
              <m:r>
                <m:t>10.000</m:t>
              </m:r>
              <m:r>
                <m:rPr>
                  <m:sty m:val="p"/>
                </m:rPr>
                <m:t>)</m:t>
              </m:r>
              <m:r>
                <m:rPr>
                  <m:sty m:val="p"/>
                </m:rPr>
                <m:t>+</m:t>
              </m:r>
              <m:r>
                <m:rPr>
                  <m:sty m:val="p"/>
                </m:rPr>
                <m:t>(</m:t>
              </m:r>
              <m:r>
                <m:t>50</m:t>
              </m:r>
              <m:r>
                <m:rPr>
                  <m:sty m:val="p"/>
                </m:rPr>
                <m:t>×</m:t>
              </m:r>
              <m:r>
                <m:t>2.000</m:t>
              </m:r>
              <m:r>
                <m:rPr>
                  <m:sty m:val="p"/>
                </m:rPr>
                <m:t>)</m:t>
              </m:r>
            </m:num>
            <m:den>
              <m:r>
                <m:t>100</m:t>
              </m:r>
            </m:den>
          </m:f>
          <m:r>
            <m:rPr>
              <m:sty m:val="p"/>
            </m:rPr>
            <m:t>=</m:t>
          </m:r>
          <m:r>
            <m:t>6.000</m:t>
          </m:r>
        </m:oMath>
      </m:oMathPara>
    </w:p>
    <w:p>
      <w:pPr>
        <w:pStyle w:val="FirstParagraph"/>
      </w:pPr>
      <w:r>
        <w:t xml:space="preserve">En este caso, la estimación sobrestima considerablemente el ingreso nacional, ya que la Región A, que representa únicamente el 10% de la población, termina influyendo tanto como la Región B, que concentra el 90%. En cambio, al aplicar pesos proporcionales al tamaño poblacional (1 para la Región A y 9 para la Región B), se obtiene la siguiente estimación:</w:t>
      </w:r>
    </w:p>
    <w:p>
      <w:pPr>
        <w:pStyle w:val="BodyText"/>
      </w:pPr>
      <m:oMathPara>
        <m:oMathParaPr>
          <m:jc m:val="center"/>
        </m:oMathParaPr>
        <m:oMath>
          <m:acc>
            <m:accPr>
              <m:chr m:val="̂"/>
            </m:accPr>
            <m:e>
              <m:r>
                <m:t>θ</m:t>
              </m:r>
            </m:e>
          </m:acc>
          <m:r>
            <m:rPr>
              <m:sty m:val="p"/>
            </m:rPr>
            <m:t>=</m:t>
          </m:r>
          <m:f>
            <m:fPr>
              <m:type m:val="bar"/>
            </m:fPr>
            <m:num>
              <m:r>
                <m:rPr>
                  <m:sty m:val="p"/>
                </m:rPr>
                <m:t>(</m:t>
              </m:r>
              <m:r>
                <m:t>1</m:t>
              </m:r>
              <m:r>
                <m:rPr>
                  <m:sty m:val="p"/>
                </m:rPr>
                <m:t>×</m:t>
              </m:r>
              <m:r>
                <m:t>50</m:t>
              </m:r>
              <m:r>
                <m:rPr>
                  <m:sty m:val="p"/>
                </m:rPr>
                <m:t>×</m:t>
              </m:r>
              <m:r>
                <m:t>10.000</m:t>
              </m:r>
              <m:r>
                <m:rPr>
                  <m:sty m:val="p"/>
                </m:rPr>
                <m:t>)</m:t>
              </m:r>
              <m:r>
                <m:rPr>
                  <m:sty m:val="p"/>
                </m:rPr>
                <m:t>+</m:t>
              </m:r>
              <m:r>
                <m:rPr>
                  <m:sty m:val="p"/>
                </m:rPr>
                <m:t>(</m:t>
              </m:r>
              <m:r>
                <m:t>9</m:t>
              </m:r>
              <m:r>
                <m:rPr>
                  <m:sty m:val="p"/>
                </m:rPr>
                <m:t>×</m:t>
              </m:r>
              <m:r>
                <m:t>50</m:t>
              </m:r>
              <m:r>
                <m:rPr>
                  <m:sty m:val="p"/>
                </m:rPr>
                <m:t>×</m:t>
              </m:r>
              <m:r>
                <m:t>2.000</m:t>
              </m:r>
              <m:r>
                <m:rPr>
                  <m:sty m:val="p"/>
                </m:rPr>
                <m:t>)</m:t>
              </m:r>
            </m:num>
            <m:den>
              <m:r>
                <m:rPr>
                  <m:sty m:val="p"/>
                </m:rPr>
                <m:t>(</m:t>
              </m:r>
              <m:r>
                <m:t>1</m:t>
              </m:r>
              <m:r>
                <m:rPr>
                  <m:sty m:val="p"/>
                </m:rPr>
                <m:t>×</m:t>
              </m:r>
              <m:r>
                <m:t>50</m:t>
              </m:r>
              <m:r>
                <m:rPr>
                  <m:sty m:val="p"/>
                </m:rPr>
                <m:t>)</m:t>
              </m:r>
              <m:r>
                <m:rPr>
                  <m:sty m:val="p"/>
                </m:rPr>
                <m:t>+</m:t>
              </m:r>
              <m:r>
                <m:rPr>
                  <m:sty m:val="p"/>
                </m:rPr>
                <m:t>(</m:t>
              </m:r>
              <m:r>
                <m:t>9</m:t>
              </m:r>
              <m:r>
                <m:rPr>
                  <m:sty m:val="p"/>
                </m:rPr>
                <m:t>×</m:t>
              </m:r>
              <m:r>
                <m:t>50</m:t>
              </m:r>
              <m:r>
                <m:rPr>
                  <m:sty m:val="p"/>
                </m:rPr>
                <m:t>)</m:t>
              </m:r>
            </m:den>
          </m:f>
          <m:r>
            <m:rPr>
              <m:sty m:val="p"/>
            </m:rPr>
            <m:t>=</m:t>
          </m:r>
          <m:r>
            <m:t>2.800</m:t>
          </m:r>
        </m:oMath>
      </m:oMathPara>
    </w:p>
    <w:p>
      <w:pPr>
        <w:pStyle w:val="FirstParagraph"/>
      </w:pPr>
      <w:r>
        <w:t xml:space="preserve">Este resultado coincide con el valor verdadero de la población y muestra cómo el uso adecuado de los pesos corrige el sesgo introducido por un análisis que ignora el diseño muestral.</w:t>
      </w:r>
    </w:p>
    <w:bookmarkStart w:id="17" w:name="Xdf3b752f064035314d543942392bf2838aa5c98"/>
    <w:p>
      <w:pPr>
        <w:pStyle w:val="Heading2"/>
      </w:pPr>
      <w:r>
        <w:t xml:space="preserve">2.1 Población objetivo y unidades de muestreo</w:t>
      </w:r>
    </w:p>
    <w:p>
      <w:pPr>
        <w:pStyle w:val="FirstParagraph"/>
      </w:pPr>
      <w:r>
        <w:t xml:space="preserve">Gambino y Nascimento Silva (2009)</w:t>
      </w:r>
      <w:r>
        <w:t xml:space="preserve"> </w:t>
      </w:r>
      <w:r>
        <w:t xml:space="preserve">menciona que, desde la popularización de las encuestas de hogares en la década de 1940, se han evidenciado diversas tendencias asociadas a los avances tecnológicos tanto en las agencias estadísticas como en la sociedad en general, las cuales se aceleraron con la introducción del computador. En este contexto, el muestreo surge como una respuesta a la necesidad de obtener información estadística precisa sobre una población objetivo sin recurrir a la realización de un censo completo. Como señala</w:t>
      </w:r>
      <w:r>
        <w:t xml:space="preserve"> </w:t>
      </w:r>
      <w:r>
        <w:t xml:space="preserve">Gutiérrez (2016)</w:t>
      </w:r>
      <w:r>
        <w:t xml:space="preserve">, el muestreo consiste en realizar investigaciones parciales sobre una población con el propósito de inferir resultados para el conjunto total.</w:t>
      </w:r>
    </w:p>
    <w:p>
      <w:pPr>
        <w:pStyle w:val="BodyText"/>
      </w:pPr>
      <w:r>
        <w:t xml:space="preserve">En las últimas décadas, esta metodología se ha consolidado en distintos campos, especialmente en el sector gubernamental, mediante la producción de estadísticas oficiales que permiten el seguimiento de políticas públicas y de los Objetivos de Desarrollo Sostenible. Asimismo, el uso del muestreo se ha extendido al ámbito académico, al sector privado y a los medios de comunicación, donde constituye una herramienta fundamental para la generación y análisis de información.</w:t>
      </w:r>
    </w:p>
    <w:p>
      <w:pPr>
        <w:pStyle w:val="BodyText"/>
      </w:pPr>
      <w:r>
        <w:t xml:space="preserve">Toda encuesta se encuentra asociada a una población finita compuesta por individuos o elementos sobre los cuales se desea obtener información. El conjunto de unidades sobre las que se producirán estimaciones y resultados recibe el nombre de población objetivo. Asimismo, las encuestas definen unidades de análisis, que corresponden a los distintos niveles de desagregación para los cuales se presentan estadísticas de interés, como personas, hogares o viviendas.</w:t>
      </w:r>
    </w:p>
    <w:p>
      <w:pPr>
        <w:pStyle w:val="BodyText"/>
      </w:pPr>
      <w:r>
        <w:t xml:space="preserve">En las encuestas de hogares de América Latina es común utilizar diseños de muestreo en varias etapas. Para ello, se seleccionan diferentes unidades de muestreo que permiten llegar finalmente a los hogares que harán parte de la muestra. Por ejemplo, las unidades primarias de muestreo (UPM) pueden corresponder a sectores censales construidos a partir del último censo demográfico, mientras que las unidades secundarias de muestreo (USM) pueden ser las viviendas ubicadas dentro de dichos sectores.</w:t>
      </w:r>
    </w:p>
    <w:p>
      <w:pPr>
        <w:pStyle w:val="BodyText"/>
      </w:pPr>
      <w:r>
        <w:t xml:space="preserve">Para realizar un proceso de selección sistemática de hogares es indispensable contar con un marco muestral que sirva como enlace entre las unidades de muestreo y los hogares que conforman la población objetivo. Este marco corresponde al conjunto en el que se identifican todos los elementos que integran la población de estudio y a partir del cual se selecciona la muestra. En las encuestas de hogares con diseños muestrales complejos, los marcos de muestreo suelen estar basados en áreas geográficas. Es decir, se construyen a partir de estructuras espaciales que vinculan a los hogares o personas con zonas delimitadas del territorio. Este tipo de marco facilita la organización territorial en unidades más manejables y permite implementar procesos de selección en varias etapas, manteniendo los principios del muestreo probabilístico.</w:t>
      </w:r>
    </w:p>
    <w:p>
      <w:pPr>
        <w:pStyle w:val="BodyText"/>
      </w:pPr>
      <w:r>
        <w:t xml:space="preserve">Otra característica fundamental de las encuestas de hogares es la conglomeración. En la práctica, muchas encuestas seleccionan primero unidades primarias de muestreo, como sectores censales o áreas de enumeración, y posteriormente seleccionan hogares dentro de cada una de ellas. Este tipo de diseño permite reducir costos operativos y facilitar el trabajo de campo; sin embargo, también tiene implicaciones importantes sobre la precisión de las estimaciones. Cuando los hogares pertenecientes a un mismo conglomerado comparten características similares, la información adicional que aporta cada nueva observación dentro del conglomerado disminuye.</w:t>
      </w:r>
    </w:p>
    <w:p>
      <w:pPr>
        <w:pStyle w:val="BodyText"/>
      </w:pPr>
      <w:r>
        <w:t xml:space="preserve">Por ejemplo, supóngase una encuesta que selecciona 100 conglomerados y, dentro de cada uno, 10 hogares, obteniendo así una muestra total de 1.000 hogares. Si los hogares de un mismo conglomerado presentan comportamientos muy parecidos (por ejemplo, si todos cuentan con acceso a electricidad), la variabilidad efectiva de la muestra se reduce considerablemente. En términos prácticos, la precisión obtenida podría ser equivalente a la de una muestra aleatoria simple de apenas 100 hogares. Analizar los 1.000 hogares como si fueran observaciones completamente independientes, ignorando la estructura de conglomeración, conduce a una subestimación de los errores estándar y, en consecuencia, a intervalos de confianza artificialmente estrechos y conclusiones potencialmente erróneas sobre la significancia estadística de los resultados.</w:t>
      </w:r>
    </w:p>
    <w:bookmarkEnd w:id="17"/>
    <w:bookmarkStart w:id="18" w:name="estimadores-de-muestreo"/>
    <w:p>
      <w:pPr>
        <w:pStyle w:val="Heading2"/>
      </w:pPr>
      <w:r>
        <w:t xml:space="preserve">2.2 Estimadores de muestreo</w:t>
      </w:r>
    </w:p>
    <w:p>
      <w:pPr>
        <w:pStyle w:val="FirstParagraph"/>
      </w:pPr>
      <w:r>
        <w:t xml:space="preserve">Al analizar datos de encuestas, también es imprescindible definir el parámetro de interés: un valor numérico fijo que describe una característica de toda la población, denotada como</w:t>
      </w:r>
      <w:r>
        <w:t xml:space="preserve"> </w:t>
      </w:r>
      <m:oMath>
        <m:r>
          <m:t>U</m:t>
        </m:r>
      </m:oMath>
      <w:r>
        <w:t xml:space="preserve">. Entre los parámetros más comunes se encuentran las proporciones, los tamaños, los totales, las medias y las razones, entre otros. Dado que, en la práctica, no es posible observar a toda la población, las encuestas por muestreo permiten inferir estos parámetros a partir de una muestra, denotada como</w:t>
      </w:r>
      <w:r>
        <w:t xml:space="preserve"> </w:t>
      </w:r>
      <m:oMath>
        <m:r>
          <m:t>s</m:t>
        </m:r>
      </m:oMath>
      <w:r>
        <w:t xml:space="preserve">.</w:t>
      </w:r>
    </w:p>
    <w:p>
      <w:pPr>
        <w:pStyle w:val="BodyText"/>
      </w:pPr>
      <w:r>
        <w:t xml:space="preserve">En el muestreo probabilístico, cada unidad de la población tiene una probabilidad de inclusión conocida y mayor que cero de ser seleccionada en la muestra. Estas probabilidades constituyen la base para el cálculo de los pesos básicos de muestreo, los cuales se utilizan posteriormente para estimar los parámetros poblacionales mediante sumas ponderadas de los datos recolectados en la encuesta. Cuando el diseño y la selección se implementan correctamente, las estimaciones obtenidas son insesgadas, es decir, en promedio coinciden con el valor real de la población si el proceso de muestreo se repitiera bajo las mismas condiciones.</w:t>
      </w:r>
    </w:p>
    <w:p>
      <w:pPr>
        <w:pStyle w:val="BodyText"/>
      </w:pPr>
      <w:r>
        <w:t xml:space="preserve">No obstante, los pesos básicos de muestreo suelen requerir ajustes adicionales con el fin de mejorar la precisión y la robustez de las estimaciones. Uno de los ajustes más comunes corresponde al tratamiento de la no respuesta, mediante el cual los pesos de las unidades que sí respondieron se incrementan para representar también a aquellas unidades seleccionadas que no participaron en la encuesta, contribuyendo así a reducir posibles sesgos. Otro ajuste ampliamente utilizado es la calibración, que consiste en modificar los pesos para garantizar que las sumas ponderadas de ciertas variables auxiliares, como la edad o el sexo, coincidan con totales poblacionales conocidos provenientes de censos o proyecciones demográficas. Además de mejorar la consistencia de las estimaciones, la calibración constituye una herramienta útil para detectar problemas de cobertura o patrones de no respuesta.</w:t>
      </w:r>
    </w:p>
    <w:p>
      <w:pPr>
        <w:pStyle w:val="BodyText"/>
      </w:pPr>
      <w:r>
        <w:t xml:space="preserve">Los ajustes de los pesos, y en particular la calibración, desempeñan un papel fundamental en el análisis de encuestas con diseños complejos. Estos procedimientos no solo corrigen las imperfecciones derivadas de la no respuesta o la cobertura incompleta, sino que también fortalecen la coherencia entre la muestra y la población objetivo, garantizando que las inferencias sean estadísticamente válidas y comparables con otras fuentes oficiales</w:t>
      </w:r>
      <w:r>
        <w:t xml:space="preserve"> </w:t>
      </w:r>
      <w:r>
        <w:t xml:space="preserve">(Kalton y Flores-Cervantes 2003)</w:t>
      </w:r>
      <w:r>
        <w:t xml:space="preserve">.</w:t>
      </w:r>
    </w:p>
    <w:p>
      <w:pPr>
        <w:pStyle w:val="BodyText"/>
      </w:pPr>
      <w:r>
        <w:t xml:space="preserve">La calibración es especialmente relevante porque permite confrontar las estimaciones iniciales de la encuesta con valores de referencia externos, generalmente obtenidos de censos, registros administrativos o proyecciones demográficas. Esta comparación constituye una herramienta poderosa para detectar inconsistencias en la composición de la muestra, identificar sesgos potenciales asociados a la no respuesta y evaluar la calidad del trabajo de campo.</w:t>
      </w:r>
    </w:p>
    <w:p>
      <w:pPr>
        <w:pStyle w:val="BodyText"/>
      </w:pPr>
      <w:r>
        <w:t xml:space="preserve">Además, los pesos calibrados tienden a reducir la varianza de las estimaciones, mejorando su precisión sin alterar los totales poblacionales conocidos</w:t>
      </w:r>
      <w:r>
        <w:t xml:space="preserve"> </w:t>
      </w:r>
      <w:r>
        <w:t xml:space="preserve">(Särndal y Lundström 2005)</w:t>
      </w:r>
      <w:r>
        <w:t xml:space="preserve">. En consecuencia, la calibración no solo corrige, sino que también optimiza el uso de la información disponible, permitiendo obtener resultados más precisos.</w:t>
      </w:r>
    </w:p>
    <w:p>
      <w:pPr>
        <w:pStyle w:val="BodyText"/>
      </w:pPr>
      <w:r>
        <w:t xml:space="preserve">La estimación de totales en encuestas constituye un paso central en el análisis estadístico aplicado a poblaciones finitas. Gran parte de los indicadores de interés para la formulación de políticas públicas (como por ejemplo, el número de personas en situación de pobreza, el total de ocupados o el gasto agregado de los hogares) se derivan de un total poblacional. Por esta razón, comprender cómo se definen y estiman los totales resulta fundamental para garantizar la calidad y pertinencia de la información producida.</w:t>
      </w:r>
    </w:p>
    <w:p>
      <w:pPr>
        <w:pStyle w:val="BodyText"/>
      </w:pPr>
      <w:r>
        <w:t xml:space="preserve">En términos formales, si</w:t>
      </w:r>
      <w:r>
        <w:t xml:space="preserve"> </w:t>
      </w:r>
      <m:oMath>
        <m:sSub>
          <m:e>
            <m:r>
              <m:t>y</m:t>
            </m:r>
          </m:e>
          <m:sub>
            <m:r>
              <m:t>k</m:t>
            </m:r>
          </m:sub>
        </m:sSub>
      </m:oMath>
      <w:r>
        <w:t xml:space="preserve"> </w:t>
      </w:r>
      <w:r>
        <w:t xml:space="preserve">denota el valor de una variable de interés para la unidad</w:t>
      </w:r>
      <w:r>
        <w:t xml:space="preserve"> </w:t>
      </w:r>
      <m:oMath>
        <m:r>
          <m:t>k</m:t>
        </m:r>
        <m:r>
          <m:rPr>
            <m:sty m:val="p"/>
          </m:rPr>
          <m:t>∈</m:t>
        </m:r>
        <m:r>
          <m:t>U</m:t>
        </m:r>
      </m:oMath>
      <w:r>
        <w:t xml:space="preserve">, el total poblacional se define como</w:t>
      </w:r>
    </w:p>
    <w:p>
      <w:pPr>
        <w:pStyle w:val="BodyText"/>
      </w:pPr>
      <m:oMathPara>
        <m:oMathParaPr>
          <m:jc m:val="center"/>
        </m:oMathParaPr>
        <m:oMath>
          <m:sSub>
            <m:e>
              <m:r>
                <m:t>t</m:t>
              </m:r>
            </m:e>
            <m:sub>
              <m:r>
                <m:t>y</m:t>
              </m:r>
            </m:sub>
          </m:sSub>
          <m:r>
            <m:rPr>
              <m:sty m:val="p"/>
            </m:rPr>
            <m:t>=</m:t>
          </m:r>
          <m:nary>
            <m:naryPr>
              <m:chr m:val="∑"/>
              <m:limLoc m:val="undOvr"/>
              <m:subHide m:val="off"/>
              <m:supHide m:val="on"/>
            </m:naryPr>
            <m:sub>
              <m:r>
                <m:t>U</m:t>
              </m:r>
            </m:sub>
            <m:sup>
              <m:r>
                <m:t>​</m:t>
              </m:r>
            </m:sup>
            <m:e>
              <m:sSub>
                <m:e>
                  <m:r>
                    <m:t>y</m:t>
                  </m:r>
                </m:e>
                <m:sub>
                  <m:r>
                    <m:t>k</m:t>
                  </m:r>
                </m:sub>
              </m:sSub>
            </m:e>
          </m:nary>
          <m:r>
            <m:rPr>
              <m:sty m:val="p"/>
            </m:rPr>
            <m:t>,</m:t>
          </m:r>
        </m:oMath>
      </m:oMathPara>
    </w:p>
    <w:p>
      <w:pPr>
        <w:pStyle w:val="FirstParagraph"/>
      </w:pPr>
      <w:r>
        <w:t xml:space="preserve">Siendo</w:t>
      </w:r>
      <w:r>
        <w:t xml:space="preserve"> </w:t>
      </w:r>
      <m:oMath>
        <m:r>
          <m:t>N</m:t>
        </m:r>
      </m:oMath>
      <w:r>
        <w:t xml:space="preserve"> </w:t>
      </w:r>
      <w:r>
        <w:t xml:space="preserve">el tamano de la población, la media poblacional se define como</w:t>
      </w:r>
      <w:r>
        <w:t xml:space="preserve"> </w:t>
      </w:r>
      <m:oMath>
        <m:acc>
          <m:accPr>
            <m:chr m:val="‾"/>
          </m:accPr>
          <m:e>
            <m:r>
              <m:t>y</m:t>
            </m:r>
          </m:e>
        </m:acc>
        <m:r>
          <m:rPr>
            <m:sty m:val="p"/>
          </m:rPr>
          <m:t>=</m:t>
        </m:r>
        <m:f>
          <m:fPr>
            <m:type m:val="bar"/>
          </m:fPr>
          <m:num>
            <m:sSub>
              <m:e>
                <m:r>
                  <m:t>t</m:t>
                </m:r>
              </m:e>
              <m:sub>
                <m:r>
                  <m:t>y</m:t>
                </m:r>
              </m:sub>
            </m:sSub>
          </m:num>
          <m:den>
            <m:r>
              <m:t>N</m:t>
            </m:r>
          </m:den>
        </m:f>
      </m:oMath>
      <w:r>
        <w:t xml:space="preserve">. Dado que en la práctica solo se observa una muestra</w:t>
      </w:r>
      <w:r>
        <w:t xml:space="preserve"> </w:t>
      </w:r>
      <m:oMath>
        <m:r>
          <m:t>s</m:t>
        </m:r>
        <m:r>
          <m:rPr>
            <m:sty m:val="p"/>
          </m:rPr>
          <m:t>⊂</m:t>
        </m:r>
        <m:r>
          <m:t>U</m:t>
        </m:r>
      </m:oMath>
      <w:r>
        <w:t xml:space="preserve">, es necesario recurrir a estimadores que incorporen el diseño de muestreo. Por ejemplo, el estimador de Horvitz–Thompson (HT) se expresa como</w:t>
      </w:r>
    </w:p>
    <w:p>
      <w:pPr>
        <w:pStyle w:val="BodyText"/>
      </w:pPr>
      <m:oMathPara>
        <m:oMathParaPr>
          <m:jc m:val="center"/>
        </m:oMathParaPr>
        <m:oMath>
          <m:sSub>
            <m:e>
              <m:acc>
                <m:accPr>
                  <m:chr m:val="̂"/>
                </m:accPr>
                <m:e>
                  <m:r>
                    <m:t>t</m:t>
                  </m:r>
                </m:e>
              </m:acc>
            </m:e>
            <m:sub>
              <m:r>
                <m:t>y</m:t>
              </m:r>
            </m:sub>
          </m:sSub>
          <m:r>
            <m:rPr>
              <m:sty m:val="p"/>
            </m:rPr>
            <m:t>=</m:t>
          </m:r>
          <m:nary>
            <m:naryPr>
              <m:chr m:val="∑"/>
              <m:limLoc m:val="undOvr"/>
              <m:subHide m:val="off"/>
              <m:supHide m:val="on"/>
            </m:naryPr>
            <m:sub>
              <m:r>
                <m:t>s</m:t>
              </m:r>
            </m:sub>
            <m:sup>
              <m:r>
                <m:t>​</m:t>
              </m:r>
            </m:sup>
            <m:e>
              <m:sSub>
                <m:e>
                  <m:r>
                    <m:t>d</m:t>
                  </m:r>
                </m:e>
                <m:sub>
                  <m:r>
                    <m:t>k</m:t>
                  </m:r>
                </m:sub>
              </m:sSub>
            </m:e>
          </m:nary>
          <m:sSub>
            <m:e>
              <m:r>
                <m:t>y</m:t>
              </m:r>
            </m:e>
            <m:sub>
              <m:r>
                <m:t>k</m:t>
              </m:r>
            </m:sub>
          </m:sSub>
        </m:oMath>
      </m:oMathPara>
    </w:p>
    <w:p>
      <w:pPr>
        <w:pStyle w:val="FirstParagraph"/>
      </w:pPr>
      <w:r>
        <w:t xml:space="preserve">donde</w:t>
      </w:r>
      <w:r>
        <w:t xml:space="preserve"> </w:t>
      </w:r>
      <m:oMath>
        <m:sSub>
          <m:e>
            <m:r>
              <m:t>d</m:t>
            </m:r>
          </m:e>
          <m:sub>
            <m:r>
              <m:t>k</m:t>
            </m:r>
          </m:sub>
        </m:sSub>
        <m:r>
          <m:rPr>
            <m:sty m:val="p"/>
          </m:rPr>
          <m:t>=</m:t>
        </m:r>
        <m:r>
          <m:t>1</m:t>
        </m:r>
        <m:r>
          <m:rPr>
            <m:sty m:val="p"/>
          </m:rPr>
          <m:t>/</m:t>
        </m:r>
        <m:sSub>
          <m:e>
            <m:r>
              <m:t>π</m:t>
            </m:r>
          </m:e>
          <m:sub>
            <m:r>
              <m:t>k</m:t>
            </m:r>
          </m:sub>
        </m:sSub>
      </m:oMath>
      <w:r>
        <w:t xml:space="preserve"> </w:t>
      </w:r>
      <w:r>
        <w:t xml:space="preserve">son los pesos básicos provenientes del diseño de muestreo y</w:t>
      </w:r>
      <w:r>
        <w:t xml:space="preserve"> </w:t>
      </w:r>
      <m:oMath>
        <m:sSub>
          <m:e>
            <m:r>
              <m:t>π</m:t>
            </m:r>
          </m:e>
          <m:sub>
            <m:r>
              <m:t>k</m:t>
            </m:r>
          </m:sub>
        </m:sSub>
        <m:r>
          <m:rPr>
            <m:sty m:val="p"/>
          </m:rPr>
          <m:t>=</m:t>
        </m:r>
        <m:r>
          <m:rPr>
            <m:sty m:val="p"/>
          </m:rPr>
          <m:t>Pr</m:t>
        </m:r>
        <m:r>
          <m:rPr>
            <m:sty m:val="p"/>
          </m:rPr>
          <m:t>(</m:t>
        </m:r>
        <m:r>
          <m:t>k</m:t>
        </m:r>
        <m:r>
          <m:rPr>
            <m:sty m:val="p"/>
          </m:rPr>
          <m:t>∈</m:t>
        </m:r>
        <m:r>
          <m:t>s</m:t>
        </m:r>
        <m:r>
          <m:rPr>
            <m:sty m:val="p"/>
          </m:rPr>
          <m:t>)</m:t>
        </m:r>
      </m:oMath>
      <w:r>
        <w:t xml:space="preserve"> </w:t>
      </w:r>
      <w:r>
        <w:t xml:space="preserve">son las probabilidades de inclusión de primer orden.</w:t>
      </w:r>
    </w:p>
    <w:p>
      <w:pPr>
        <w:pStyle w:val="BodyText"/>
      </w:pPr>
      <w:r>
        <w:t xml:space="preserve">En la práctica, los pesos de diseño suelen modificarse para reflejar procesos adicionales como el ajuste por no respuesta o la calibración a totales poblacionales conocidos, obteniendo así nuevos pesos ajustados, denotados como</w:t>
      </w:r>
      <w:r>
        <w:t xml:space="preserve"> </w:t>
      </w:r>
      <m:oMath>
        <m:sSub>
          <m:e>
            <m:r>
              <m:t>w</m:t>
            </m:r>
          </m:e>
          <m:sub>
            <m:r>
              <m:t>k</m:t>
            </m:r>
          </m:sub>
        </m:sSub>
      </m:oMath>
      <w:r>
        <w:t xml:space="preserve"> </w:t>
      </w:r>
      <w:r>
        <w:t xml:space="preserve">para todo</w:t>
      </w:r>
      <w:r>
        <w:t xml:space="preserve"> </w:t>
      </w:r>
      <m:oMath>
        <m:r>
          <m:t>k</m:t>
        </m:r>
        <m:r>
          <m:rPr>
            <m:sty m:val="p"/>
          </m:rPr>
          <m:t>∈</m:t>
        </m:r>
        <m:r>
          <m:t>s</m:t>
        </m:r>
      </m:oMath>
      <w:r>
        <w:t xml:space="preserve">. El reemplazo de</w:t>
      </w:r>
      <w:r>
        <w:t xml:space="preserve"> </w:t>
      </w:r>
      <m:oMath>
        <m:sSub>
          <m:e>
            <m:r>
              <m:t>d</m:t>
            </m:r>
          </m:e>
          <m:sub>
            <m:r>
              <m:t>k</m:t>
            </m:r>
          </m:sub>
        </m:sSub>
      </m:oMath>
      <w:r>
        <w:t xml:space="preserve"> </w:t>
      </w:r>
      <w:r>
        <w:t xml:space="preserve">por</w:t>
      </w:r>
      <w:r>
        <w:t xml:space="preserve"> </w:t>
      </w:r>
      <m:oMath>
        <m:sSub>
          <m:e>
            <m:r>
              <m:t>w</m:t>
            </m:r>
          </m:e>
          <m:sub>
            <m:r>
              <m:t>k</m:t>
            </m:r>
          </m:sub>
        </m:sSub>
      </m:oMath>
      <w:r>
        <w:t xml:space="preserve"> </w:t>
      </w:r>
      <w:r>
        <w:t xml:space="preserve">permite mejorar la precisión y reducir sesgos en las estimaciones, especialmente cuando existen fuentes auxiliares de información confiables.</w:t>
      </w:r>
    </w:p>
    <w:p>
      <w:pPr>
        <w:pStyle w:val="BodyText"/>
      </w:pPr>
      <w:r>
        <w:t xml:space="preserve">No obstante, toda estimación a partir de una muestra conlleva incertidumbre. Incluso cuando el estimador es insesgado, los resultados varían de una muestra a otra debido a la propiedad de aleatoriedad del diseño. Esta variabilidad se cuantifica mediante la varianza del estimador con la cual se puede calcular el error estándar (</w:t>
      </w:r>
      <m:oMath>
        <m:r>
          <m:t>s</m:t>
        </m:r>
        <m:r>
          <m:t>e</m:t>
        </m:r>
      </m:oMath>
      <w:r>
        <w:t xml:space="preserve">) o el coeficiente de variación (</w:t>
      </w:r>
      <m:oMath>
        <m:r>
          <m:t>c</m:t>
        </m:r>
        <m:r>
          <m:t>v</m:t>
        </m:r>
      </m:oMath>
      <w:r>
        <w:t xml:space="preserve">). Estos indicadores son herramientas indispensables para evaluar la precisión de los totales estimados y, por tanto, para interpretar de manera adecuada la información estadística. Bajo el enfoque de diseño, la varianza insesgada del estimador de Horvitz–Thompson puede expresarse como:</w:t>
      </w:r>
    </w:p>
    <w:p>
      <w:pPr>
        <w:pStyle w:val="BodyText"/>
      </w:pPr>
      <m:oMathPara>
        <m:oMathParaPr>
          <m:jc m:val="center"/>
        </m:oMathParaPr>
        <m:oMath>
          <m:sSub>
            <m:e>
              <m:acc>
                <m:accPr>
                  <m:chr m:val="̂"/>
                </m:accPr>
                <m:e>
                  <m:r>
                    <m:t>V</m:t>
                  </m:r>
                  <m:r>
                    <m:t>a</m:t>
                  </m:r>
                  <m:r>
                    <m:t>r</m:t>
                  </m:r>
                </m:e>
              </m:acc>
            </m:e>
            <m:sub>
              <m:r>
                <m:t>p</m:t>
              </m:r>
            </m:sub>
          </m:sSub>
          <m:r>
            <m:rPr>
              <m:sty m:val="p"/>
            </m:rPr>
            <m:t>(</m:t>
          </m:r>
          <m:sSub>
            <m:e>
              <m:acc>
                <m:accPr>
                  <m:chr m:val="̂"/>
                </m:accPr>
                <m:e>
                  <m:r>
                    <m:t>t</m:t>
                  </m:r>
                </m:e>
              </m:acc>
            </m:e>
            <m:sub>
              <m:r>
                <m:t>y</m:t>
              </m:r>
            </m:sub>
          </m:sSub>
          <m:r>
            <m:rPr>
              <m:sty m:val="p"/>
            </m:rPr>
            <m:t>)</m:t>
          </m:r>
          <m:r>
            <m:rPr>
              <m:sty m:val="p"/>
            </m:rPr>
            <m:t>=</m:t>
          </m:r>
          <m:nary>
            <m:naryPr>
              <m:chr m:val="∑"/>
              <m:limLoc m:val="undOvr"/>
              <m:subHide m:val="off"/>
              <m:supHide m:val="on"/>
            </m:naryPr>
            <m:sub>
              <m:r>
                <m:t>k</m:t>
              </m:r>
              <m:r>
                <m:rPr>
                  <m:sty m:val="p"/>
                </m:rPr>
                <m:t>∈</m:t>
              </m:r>
              <m:r>
                <m:t>s</m:t>
              </m:r>
            </m:sub>
            <m:sup>
              <m:r>
                <m:t>​</m:t>
              </m:r>
            </m:sup>
            <m:e>
              <m:nary>
                <m:naryPr>
                  <m:chr m:val="∑"/>
                  <m:limLoc m:val="undOvr"/>
                  <m:subHide m:val="off"/>
                  <m:supHide m:val="on"/>
                </m:naryPr>
                <m:sub>
                  <m:r>
                    <m:t>l</m:t>
                  </m:r>
                  <m:r>
                    <m:rPr>
                      <m:sty m:val="p"/>
                    </m:rPr>
                    <m:t>∈</m:t>
                  </m:r>
                  <m:r>
                    <m:t>s</m:t>
                  </m:r>
                </m:sub>
                <m:sup>
                  <m:r>
                    <m:t>​</m:t>
                  </m:r>
                </m:sup>
                <m:e>
                  <m:d>
                    <m:dPr>
                      <m:begChr m:val="("/>
                      <m:sepChr m:val=""/>
                      <m:endChr m:val=")"/>
                      <m:grow/>
                    </m:dPr>
                    <m:e>
                      <m:sSub>
                        <m:e>
                          <m:r>
                            <m:t>d</m:t>
                          </m:r>
                        </m:e>
                        <m:sub>
                          <m:r>
                            <m:t>k</m:t>
                          </m:r>
                        </m:sub>
                      </m:sSub>
                      <m:sSub>
                        <m:e>
                          <m:r>
                            <m:t>d</m:t>
                          </m:r>
                        </m:e>
                        <m:sub>
                          <m:r>
                            <m:t>l</m:t>
                          </m:r>
                        </m:sub>
                      </m:sSub>
                      <m:r>
                        <m:rPr>
                          <m:sty m:val="p"/>
                        </m:rPr>
                        <m:t>−</m:t>
                      </m:r>
                      <m:sSub>
                        <m:e>
                          <m:r>
                            <m:t>d</m:t>
                          </m:r>
                        </m:e>
                        <m:sub>
                          <m:r>
                            <m:t>k</m:t>
                          </m:r>
                          <m:r>
                            <m:t>l</m:t>
                          </m:r>
                        </m:sub>
                      </m:sSub>
                    </m:e>
                  </m:d>
                </m:e>
              </m:nary>
            </m:e>
          </m:nary>
          <m:sSub>
            <m:e>
              <m:r>
                <m:t>y</m:t>
              </m:r>
            </m:e>
            <m:sub>
              <m:r>
                <m:t>k</m:t>
              </m:r>
            </m:sub>
          </m:sSub>
          <m:sSub>
            <m:e>
              <m:r>
                <m:t>y</m:t>
              </m:r>
            </m:e>
            <m:sub>
              <m:r>
                <m:t>l</m:t>
              </m:r>
            </m:sub>
          </m:sSub>
          <m:r>
            <m:rPr>
              <m:sty m:val="p"/>
            </m:rPr>
            <m:t>,</m:t>
          </m:r>
        </m:oMath>
      </m:oMathPara>
    </w:p>
    <w:p>
      <w:pPr>
        <w:pStyle w:val="FirstParagraph"/>
      </w:pPr>
      <w:r>
        <w:t xml:space="preserve">donde</w:t>
      </w:r>
      <w:r>
        <w:t xml:space="preserve"> </w:t>
      </w:r>
      <m:oMath>
        <m:sSub>
          <m:e>
            <m:r>
              <m:t>d</m:t>
            </m:r>
          </m:e>
          <m:sub>
            <m:r>
              <m:t>k</m:t>
            </m:r>
            <m:r>
              <m:t>l</m:t>
            </m:r>
          </m:sub>
        </m:sSub>
        <m:r>
          <m:rPr>
            <m:sty m:val="p"/>
          </m:rPr>
          <m:t>=</m:t>
        </m:r>
        <m:r>
          <m:t>1</m:t>
        </m:r>
        <m:r>
          <m:rPr>
            <m:sty m:val="p"/>
          </m:rPr>
          <m:t>/</m:t>
        </m:r>
        <m:sSub>
          <m:e>
            <m:r>
              <m:t>π</m:t>
            </m:r>
          </m:e>
          <m:sub>
            <m:r>
              <m:t>k</m:t>
            </m:r>
            <m:r>
              <m:t>l</m:t>
            </m:r>
          </m:sub>
        </m:sSub>
      </m:oMath>
      <w:r>
        <w:t xml:space="preserve"> </w:t>
      </w:r>
      <w:r>
        <w:t xml:space="preserve">y</w:t>
      </w:r>
      <w:r>
        <w:t xml:space="preserve"> </w:t>
      </w:r>
      <m:oMath>
        <m:sSub>
          <m:e>
            <m:r>
              <m:t>π</m:t>
            </m:r>
          </m:e>
          <m:sub>
            <m:r>
              <m:t>k</m:t>
            </m:r>
            <m:r>
              <m:t>l</m:t>
            </m:r>
          </m:sub>
        </m:sSub>
        <m:r>
          <m:rPr>
            <m:sty m:val="p"/>
          </m:rPr>
          <m:t>=</m:t>
        </m:r>
        <m:r>
          <m:rPr>
            <m:sty m:val="p"/>
          </m:rPr>
          <m:t>Pr</m:t>
        </m:r>
        <m:r>
          <m:rPr>
            <m:sty m:val="p"/>
          </m:rPr>
          <m:t>(</m:t>
        </m:r>
        <m:r>
          <m:t>k</m:t>
        </m:r>
        <m:r>
          <m:rPr>
            <m:sty m:val="p"/>
          </m:rPr>
          <m:t>,</m:t>
        </m:r>
        <m:r>
          <m:t>l</m:t>
        </m:r>
        <m:r>
          <m:rPr>
            <m:sty m:val="p"/>
          </m:rPr>
          <m:t>∈</m:t>
        </m:r>
        <m:r>
          <m:t>s</m:t>
        </m:r>
        <m:r>
          <m:rPr>
            <m:sty m:val="p"/>
          </m:rPr>
          <m:t>)</m:t>
        </m:r>
      </m:oMath>
      <w:r>
        <w:t xml:space="preserve"> </w:t>
      </w:r>
      <w:r>
        <w:t xml:space="preserve">representan las probabilidades conjuntas de inclusión. Esta expresión requiere que el diseño de muestreo cumpla que</w:t>
      </w:r>
      <w:r>
        <w:t xml:space="preserve"> </w:t>
      </w:r>
      <m:oMath>
        <m:sSub>
          <m:e>
            <m:r>
              <m:t>π</m:t>
            </m:r>
          </m:e>
          <m:sub>
            <m:r>
              <m:t>k</m:t>
            </m:r>
            <m:r>
              <m:t>l</m:t>
            </m:r>
          </m:sub>
        </m:sSub>
        <m:r>
          <m:rPr>
            <m:sty m:val="p"/>
          </m:rPr>
          <m:t>&gt;</m:t>
        </m:r>
        <m:r>
          <m:t>0</m:t>
        </m:r>
      </m:oMath>
      <w:r>
        <w:t xml:space="preserve"> </w:t>
      </w:r>
      <w:r>
        <w:t xml:space="preserve">para todo par de unidades</w:t>
      </w:r>
      <w:r>
        <w:t xml:space="preserve"> </w:t>
      </w:r>
      <m:oMath>
        <m:r>
          <m:t>k</m:t>
        </m:r>
        <m:r>
          <m:rPr>
            <m:sty m:val="p"/>
          </m:rPr>
          <m:t>,</m:t>
        </m:r>
        <m:r>
          <m:t>l</m:t>
        </m:r>
        <m:r>
          <m:rPr>
            <m:sty m:val="p"/>
          </m:rPr>
          <m:t>∈</m:t>
        </m:r>
        <m:r>
          <m:t>U</m:t>
        </m:r>
      </m:oMath>
      <w:r>
        <w:t xml:space="preserve">.</w:t>
      </w:r>
    </w:p>
    <w:p>
      <w:pPr>
        <w:pStyle w:val="BodyText"/>
      </w:pPr>
      <w:r>
        <w:t xml:space="preserve">Para comprender de manera más concreta la relevancia de considerar el diseño muestral en la estimación de totales y de sus varianzas, analicemos un ejemplo de</w:t>
      </w:r>
      <w:r>
        <w:t xml:space="preserve"> </w:t>
      </w:r>
      <w:r>
        <w:t xml:space="preserve">Naciones Unidas (2026)</w:t>
      </w:r>
      <w:r>
        <w:t xml:space="preserve"> </w:t>
      </w:r>
      <w:r>
        <w:t xml:space="preserve">que permite visualizar cómo el método de estimación se ajusta al esquema de selección adoptado. Suponga una población finita de tamaño</w:t>
      </w:r>
      <w:r>
        <w:t xml:space="preserve"> </w:t>
      </w:r>
      <m:oMath>
        <m:r>
          <m:t>N</m:t>
        </m:r>
        <m:r>
          <m:rPr>
            <m:sty m:val="p"/>
          </m:rPr>
          <m:t>=</m:t>
        </m:r>
        <m:r>
          <m:t>6</m:t>
        </m:r>
      </m:oMath>
      <w:r>
        <w:t xml:space="preserve">, de la cual se selecciona una muestra aleatoria simple (MAS) sin reemplazo de tamaño</w:t>
      </w:r>
      <w:r>
        <w:t xml:space="preserve"> </w:t>
      </w:r>
      <m:oMath>
        <m:r>
          <m:t>n</m:t>
        </m:r>
        <m:r>
          <m:rPr>
            <m:sty m:val="p"/>
          </m:rPr>
          <m:t>=</m:t>
        </m:r>
        <m:r>
          <m:t>3</m:t>
        </m:r>
      </m:oMath>
      <w:r>
        <w:t xml:space="preserve">. En dicha muestra se observan los valores</w:t>
      </w:r>
      <w:r>
        <w:t xml:space="preserve"> </w:t>
      </w:r>
      <m:oMath>
        <m:r>
          <m:rPr>
            <m:sty m:val="p"/>
          </m:rPr>
          <m:t>(</m:t>
        </m:r>
        <m:sSub>
          <m:e>
            <m:r>
              <m:t>y</m:t>
            </m:r>
          </m:e>
          <m:sub>
            <m:r>
              <m:t>1</m:t>
            </m:r>
          </m:sub>
        </m:sSub>
        <m:r>
          <m:rPr>
            <m:sty m:val="p"/>
          </m:rPr>
          <m:t>=</m:t>
        </m:r>
        <m:r>
          <m:t>10</m:t>
        </m:r>
        <m:r>
          <m:rPr>
            <m:sty m:val="p"/>
          </m:rPr>
          <m:t>,</m:t>
        </m:r>
        <m:sSub>
          <m:e>
            <m:r>
              <m:t>y</m:t>
            </m:r>
          </m:e>
          <m:sub>
            <m:r>
              <m:t>2</m:t>
            </m:r>
          </m:sub>
        </m:sSub>
        <m:r>
          <m:rPr>
            <m:sty m:val="p"/>
          </m:rPr>
          <m:t>=</m:t>
        </m:r>
        <m:r>
          <m:t>14</m:t>
        </m:r>
        <m:r>
          <m:rPr>
            <m:sty m:val="p"/>
          </m:rPr>
          <m:t>,</m:t>
        </m:r>
        <m:sSub>
          <m:e>
            <m:r>
              <m:t>y</m:t>
            </m:r>
          </m:e>
          <m:sub>
            <m:r>
              <m:t>3</m:t>
            </m:r>
          </m:sub>
        </m:sSub>
        <m:r>
          <m:rPr>
            <m:sty m:val="p"/>
          </m:rPr>
          <m:t>=</m:t>
        </m:r>
        <m:r>
          <m:t>18</m:t>
        </m:r>
        <m:r>
          <m:rPr>
            <m:sty m:val="p"/>
          </m:rPr>
          <m:t>)</m:t>
        </m:r>
      </m:oMath>
      <w:r>
        <w:t xml:space="preserve">. Bajo este diseño, el estimador de Horvitz–Thompson del total poblacional se define como la suma de los valores observados divididos por sus probabilidades de inclusión, y su varianza estimada se obtiene a partir de las covarianzas inducidas por el proceso de selección. De esta forma, la varianza estimada del estimador de Horvitz–Thompson se calcula como:</w:t>
      </w:r>
    </w:p>
    <w:p>
      <w:pPr>
        <w:pStyle w:val="BodyText"/>
      </w:pPr>
      <m:oMathPara>
        <m:oMathParaPr>
          <m:jc m:val="center"/>
        </m:oMathParaPr>
        <m:oMath>
          <m:sSub>
            <m:e>
              <m:acc>
                <m:accPr>
                  <m:chr m:val="̂"/>
                </m:accPr>
                <m:e>
                  <m:r>
                    <m:t>V</m:t>
                  </m:r>
                  <m:r>
                    <m:t>a</m:t>
                  </m:r>
                  <m:r>
                    <m:t>r</m:t>
                  </m:r>
                </m:e>
              </m:acc>
            </m:e>
            <m:sub>
              <m:r>
                <m:t>M</m:t>
              </m:r>
              <m:r>
                <m:t>A</m:t>
              </m:r>
              <m:r>
                <m:t>S</m:t>
              </m:r>
            </m:sub>
          </m:sSub>
          <m:r>
            <m:rPr>
              <m:sty m:val="p"/>
            </m:rPr>
            <m:t>(</m:t>
          </m:r>
          <m:sSub>
            <m:e>
              <m:acc>
                <m:accPr>
                  <m:chr m:val="̂"/>
                </m:accPr>
                <m:e>
                  <m:r>
                    <m:t>t</m:t>
                  </m:r>
                </m:e>
              </m:acc>
            </m:e>
            <m:sub>
              <m:r>
                <m:t>y</m:t>
              </m:r>
            </m:sub>
          </m:sSub>
          <m:r>
            <m:rPr>
              <m:sty m:val="p"/>
            </m:rPr>
            <m:t>)</m:t>
          </m:r>
          <m:r>
            <m:rPr>
              <m:sty m:val="p"/>
            </m:rPr>
            <m:t>=</m:t>
          </m:r>
          <m:f>
            <m:fPr>
              <m:type m:val="bar"/>
            </m:fPr>
            <m:num>
              <m:sSup>
                <m:e>
                  <m:r>
                    <m:t>N</m:t>
                  </m:r>
                </m:e>
                <m:sup>
                  <m:r>
                    <m:t>2</m:t>
                  </m:r>
                </m:sup>
              </m:sSup>
            </m:num>
            <m:den>
              <m:r>
                <m:t>n</m:t>
              </m:r>
            </m:den>
          </m:f>
          <m:d>
            <m:dPr>
              <m:begChr m:val="("/>
              <m:sepChr m:val=""/>
              <m:endChr m:val=")"/>
              <m:grow/>
            </m:dPr>
            <m:e>
              <m:r>
                <m:t>1</m:t>
              </m:r>
              <m:r>
                <m:rPr>
                  <m:sty m:val="p"/>
                </m:rPr>
                <m:t>−</m:t>
              </m:r>
              <m:f>
                <m:fPr>
                  <m:type m:val="bar"/>
                </m:fPr>
                <m:num>
                  <m:r>
                    <m:t>n</m:t>
                  </m:r>
                </m:num>
                <m:den>
                  <m:r>
                    <m:t>N</m:t>
                  </m:r>
                </m:den>
              </m:f>
            </m:e>
          </m:d>
          <m:sSubSup>
            <m:e>
              <m:r>
                <m:t>S</m:t>
              </m:r>
            </m:e>
            <m:sub>
              <m:sSub>
                <m:e>
                  <m:r>
                    <m:t>y</m:t>
                  </m:r>
                </m:e>
                <m:sub>
                  <m:r>
                    <m:t>s</m:t>
                  </m:r>
                </m:sub>
              </m:sSub>
            </m:sub>
            <m:sup>
              <m:r>
                <m:t>2</m:t>
              </m:r>
            </m:sup>
          </m:sSubSup>
        </m:oMath>
      </m:oMathPara>
    </w:p>
    <w:p>
      <w:pPr>
        <w:pStyle w:val="FirstParagraph"/>
      </w:pPr>
      <w:r>
        <w:t xml:space="preserve">donde</w:t>
      </w:r>
      <w:r>
        <w:t xml:space="preserve"> </w:t>
      </w:r>
      <m:oMath>
        <m:sSubSup>
          <m:e>
            <m:r>
              <m:t>S</m:t>
            </m:r>
          </m:e>
          <m:sub>
            <m:sSub>
              <m:e>
                <m:r>
                  <m:t>y</m:t>
                </m:r>
              </m:e>
              <m:sub>
                <m:r>
                  <m:t>s</m:t>
                </m:r>
              </m:sub>
            </m:sSub>
          </m:sub>
          <m:sup>
            <m:r>
              <m:t>2</m:t>
            </m:r>
          </m:sup>
        </m:sSubSup>
      </m:oMath>
      <w:r>
        <w:t xml:space="preserve"> </w:t>
      </w:r>
      <w:r>
        <w:t xml:space="preserve">corresponde a la varianza muestral de los valores observados. Sustituyendo en la expresión, se obtiene</w:t>
      </w:r>
    </w:p>
    <w:p>
      <w:pPr>
        <w:pStyle w:val="BodyText"/>
      </w:pPr>
      <m:oMathPara>
        <m:oMathParaPr>
          <m:jc m:val="center"/>
        </m:oMathParaPr>
        <m:oMath>
          <m:sSub>
            <m:e>
              <m:acc>
                <m:accPr>
                  <m:chr m:val="̂"/>
                </m:accPr>
                <m:e>
                  <m:r>
                    <m:t>V</m:t>
                  </m:r>
                  <m:r>
                    <m:t>a</m:t>
                  </m:r>
                  <m:r>
                    <m:t>r</m:t>
                  </m:r>
                </m:e>
              </m:acc>
            </m:e>
            <m:sub>
              <m:r>
                <m:t>p</m:t>
              </m:r>
            </m:sub>
          </m:sSub>
          <m:r>
            <m:rPr>
              <m:sty m:val="p"/>
            </m:rPr>
            <m:t>(</m:t>
          </m:r>
          <m:sSub>
            <m:e>
              <m:acc>
                <m:accPr>
                  <m:chr m:val="̂"/>
                </m:accPr>
                <m:e>
                  <m:r>
                    <m:t>t</m:t>
                  </m:r>
                </m:e>
              </m:acc>
            </m:e>
            <m:sub>
              <m:r>
                <m:t>y</m:t>
              </m:r>
            </m:sub>
          </m:sSub>
          <m:r>
            <m:rPr>
              <m:sty m:val="p"/>
            </m:rPr>
            <m:t>)</m:t>
          </m:r>
          <m:r>
            <m:rPr>
              <m:sty m:val="p"/>
            </m:rPr>
            <m:t>=</m:t>
          </m:r>
          <m:f>
            <m:fPr>
              <m:type m:val="bar"/>
            </m:fPr>
            <m:num>
              <m:r>
                <m:t>36</m:t>
              </m:r>
            </m:num>
            <m:den>
              <m:r>
                <m:t>3</m:t>
              </m:r>
            </m:den>
          </m:f>
          <m:d>
            <m:dPr>
              <m:begChr m:val="("/>
              <m:sepChr m:val=""/>
              <m:endChr m:val=")"/>
              <m:grow/>
            </m:dPr>
            <m:e>
              <m:r>
                <m:t>1</m:t>
              </m:r>
              <m:r>
                <m:rPr>
                  <m:sty m:val="p"/>
                </m:rPr>
                <m:t>−</m:t>
              </m:r>
              <m:f>
                <m:fPr>
                  <m:type m:val="bar"/>
                </m:fPr>
                <m:num>
                  <m:r>
                    <m:t>3</m:t>
                  </m:r>
                </m:num>
                <m:den>
                  <m:r>
                    <m:t>6</m:t>
                  </m:r>
                </m:den>
              </m:f>
            </m:e>
          </m:d>
          <m:r>
            <m:t>16</m:t>
          </m:r>
          <m:r>
            <m:rPr>
              <m:sty m:val="p"/>
            </m:rPr>
            <m:t>=</m:t>
          </m:r>
          <m:r>
            <m:t>96</m:t>
          </m:r>
        </m:oMath>
      </m:oMathPara>
    </w:p>
    <w:p>
      <w:pPr>
        <w:pStyle w:val="FirstParagraph"/>
      </w:pPr>
      <w:r>
        <w:t xml:space="preserve">En contraste, si se ignora el diseño de muestreo, un analista inexperto podría calcular erróneamente la varianza mediante la fórmula simplificada:</w:t>
      </w:r>
    </w:p>
    <w:p>
      <w:pPr>
        <w:pStyle w:val="BodyText"/>
      </w:pPr>
      <m:oMathPara>
        <m:oMathParaPr>
          <m:jc m:val="center"/>
        </m:oMathParaPr>
        <m:oMath>
          <m:f>
            <m:fPr>
              <m:type m:val="bar"/>
            </m:fPr>
            <m:num>
              <m:sSup>
                <m:e>
                  <m:r>
                    <m:t>N</m:t>
                  </m:r>
                </m:e>
                <m:sup>
                  <m:r>
                    <m:t>2</m:t>
                  </m:r>
                </m:sup>
              </m:sSup>
            </m:num>
            <m:den>
              <m:r>
                <m:t>n</m:t>
              </m:r>
            </m:den>
          </m:f>
          <m:sSubSup>
            <m:e>
              <m:r>
                <m:t>S</m:t>
              </m:r>
            </m:e>
            <m:sub>
              <m:sSub>
                <m:e>
                  <m:r>
                    <m:t>y</m:t>
                  </m:r>
                </m:e>
                <m:sub>
                  <m:r>
                    <m:t>s</m:t>
                  </m:r>
                </m:sub>
              </m:sSub>
            </m:sub>
            <m:sup>
              <m:r>
                <m:t>2</m:t>
              </m:r>
            </m:sup>
          </m:sSubSup>
          <m:r>
            <m:rPr>
              <m:sty m:val="p"/>
            </m:rPr>
            <m:t>=</m:t>
          </m:r>
          <m:r>
            <m:t>192</m:t>
          </m:r>
          <m:r>
            <m:rPr>
              <m:sty m:val="p"/>
            </m:rPr>
            <m:t>,</m:t>
          </m:r>
        </m:oMath>
      </m:oMathPara>
    </w:p>
    <w:p>
      <w:pPr>
        <w:pStyle w:val="FirstParagraph"/>
      </w:pPr>
      <w:r>
        <w:t xml:space="preserve">lo que conduciría a una sobreestimación de la varianza por no considerar las características del diseño muestral. Asimismo, la estimación del total poblacional es</w:t>
      </w:r>
      <w:r>
        <w:t xml:space="preserve"> </w:t>
      </w:r>
      <m:oMath>
        <m:sSub>
          <m:e>
            <m:acc>
              <m:accPr>
                <m:chr m:val="̂"/>
              </m:accPr>
              <m:e>
                <m:r>
                  <m:t>t</m:t>
                </m:r>
              </m:e>
            </m:acc>
          </m:e>
          <m:sub>
            <m:r>
              <m:t>y</m:t>
            </m:r>
          </m:sub>
        </m:sSub>
        <m:r>
          <m:rPr>
            <m:sty m:val="p"/>
          </m:rPr>
          <m:t>=</m:t>
        </m:r>
        <m:r>
          <m:t>84</m:t>
        </m:r>
      </m:oMath>
      <w:r>
        <w:t xml:space="preserve">. El error estándar calculado según el diseño de muestreo, es</w:t>
      </w:r>
    </w:p>
    <w:p>
      <w:pPr>
        <w:pStyle w:val="BodyText"/>
      </w:pPr>
      <m:oMathPara>
        <m:oMathParaPr>
          <m:jc m:val="center"/>
        </m:oMathParaPr>
        <m:oMath>
          <m:rad>
            <m:radPr>
              <m:degHide m:val="on"/>
            </m:radPr>
            <m:deg/>
            <m:e>
              <m:sSub>
                <m:e>
                  <m:acc>
                    <m:accPr>
                      <m:chr m:val="̂"/>
                    </m:accPr>
                    <m:e>
                      <m:r>
                        <m:t>V</m:t>
                      </m:r>
                      <m:r>
                        <m:t>a</m:t>
                      </m:r>
                      <m:r>
                        <m:t>r</m:t>
                      </m:r>
                    </m:e>
                  </m:acc>
                </m:e>
                <m:sub>
                  <m:r>
                    <m:t>p</m:t>
                  </m:r>
                </m:sub>
              </m:sSub>
              <m:r>
                <m:rPr>
                  <m:sty m:val="p"/>
                </m:rPr>
                <m:t>(</m:t>
              </m:r>
              <m:sSub>
                <m:e>
                  <m:acc>
                    <m:accPr>
                      <m:chr m:val="̂"/>
                    </m:accPr>
                    <m:e>
                      <m:r>
                        <m:t>t</m:t>
                      </m:r>
                    </m:e>
                  </m:acc>
                </m:e>
                <m:sub>
                  <m:r>
                    <m:t>y</m:t>
                  </m:r>
                </m:sub>
              </m:sSub>
              <m:r>
                <m:rPr>
                  <m:sty m:val="p"/>
                </m:rPr>
                <m:t>)</m:t>
              </m:r>
            </m:e>
          </m:rad>
          <m:r>
            <m:rPr>
              <m:sty m:val="p"/>
            </m:rPr>
            <m:t>=</m:t>
          </m:r>
          <m:rad>
            <m:radPr>
              <m:degHide m:val="on"/>
            </m:radPr>
            <m:deg/>
            <m:e>
              <m:r>
                <m:t>96</m:t>
              </m:r>
            </m:e>
          </m:rad>
          <m:r>
            <m:rPr>
              <m:sty m:val="p"/>
            </m:rPr>
            <m:t>≈</m:t>
          </m:r>
          <m:r>
            <m:t>9.80</m:t>
          </m:r>
          <m:r>
            <m:rPr>
              <m:sty m:val="p"/>
            </m:rPr>
            <m:t>.</m:t>
          </m:r>
        </m:oMath>
      </m:oMathPara>
    </w:p>
    <w:p>
      <w:pPr>
        <w:pStyle w:val="FirstParagraph"/>
      </w:pPr>
      <w:r>
        <w:t xml:space="preserve">En cambio, si la varianza se estima usando un método ingenuo que ignore el diseño de muestreo, el intervalo de confianza sería más amplio con evidentes sesgos, lo que podría conducir a inferencias erróneas.</w:t>
      </w:r>
    </w:p>
    <w:p>
      <w:pPr>
        <w:pStyle w:val="BodyText"/>
      </w:pPr>
      <w:r>
        <w:t xml:space="preserve">Por último, de acuerdo con</w:t>
      </w:r>
      <w:r>
        <w:t xml:space="preserve"> </w:t>
      </w:r>
      <w:r>
        <w:t xml:space="preserve">Kish (1965, 258)</w:t>
      </w:r>
      <w:r>
        <w:t xml:space="preserve">, el efecto del diseño (DEFF) se define como la razón entre la varianza de un estimador obtenida bajo un diseño de muestreo complejo y la varianza del mismo estimador bajo un muestreo aleatorio simple (MAS) de igual tamaño de muestra. Su estimación se expresa como:</w:t>
      </w:r>
    </w:p>
    <w:p>
      <w:pPr>
        <w:pStyle w:val="BodyText"/>
      </w:pPr>
      <m:oMathPara>
        <m:oMathParaPr>
          <m:jc m:val="center"/>
        </m:oMathParaPr>
        <m:oMath>
          <m:acc>
            <m:accPr>
              <m:chr m:val="̂"/>
            </m:accPr>
            <m:e>
              <m:r>
                <m:t>D</m:t>
              </m:r>
              <m:r>
                <m:t>E</m:t>
              </m:r>
              <m:r>
                <m:t>F</m:t>
              </m:r>
              <m:r>
                <m:t>F</m:t>
              </m:r>
            </m:e>
          </m:acc>
          <m:r>
            <m:rPr>
              <m:sty m:val="p"/>
            </m:rPr>
            <m:t>=</m:t>
          </m:r>
          <m:f>
            <m:fPr>
              <m:type m:val="bar"/>
            </m:fPr>
            <m:num>
              <m:sSub>
                <m:e>
                  <m:acc>
                    <m:accPr>
                      <m:chr m:val="̂"/>
                    </m:accPr>
                    <m:e>
                      <m:r>
                        <m:t>V</m:t>
                      </m:r>
                      <m:r>
                        <m:t>a</m:t>
                      </m:r>
                      <m:r>
                        <m:t>r</m:t>
                      </m:r>
                    </m:e>
                  </m:acc>
                </m:e>
                <m:sub>
                  <m:r>
                    <m:t>p</m:t>
                  </m:r>
                </m:sub>
              </m:sSub>
              <m:r>
                <m:rPr>
                  <m:sty m:val="p"/>
                </m:rPr>
                <m:t>(</m:t>
              </m:r>
              <m:acc>
                <m:accPr>
                  <m:chr m:val="̂"/>
                </m:accPr>
                <m:e>
                  <m:r>
                    <m:t>θ</m:t>
                  </m:r>
                </m:e>
              </m:acc>
              <m:r>
                <m:rPr>
                  <m:sty m:val="p"/>
                </m:rPr>
                <m:t>)</m:t>
              </m:r>
            </m:num>
            <m:den>
              <m:sSub>
                <m:e>
                  <m:acc>
                    <m:accPr>
                      <m:chr m:val="̂"/>
                    </m:accPr>
                    <m:e>
                      <m:r>
                        <m:t>V</m:t>
                      </m:r>
                      <m:r>
                        <m:t>a</m:t>
                      </m:r>
                      <m:r>
                        <m:t>r</m:t>
                      </m:r>
                    </m:e>
                  </m:acc>
                </m:e>
                <m:sub>
                  <m:r>
                    <m:t>M</m:t>
                  </m:r>
                  <m:r>
                    <m:t>A</m:t>
                  </m:r>
                  <m:r>
                    <m:t>S</m:t>
                  </m:r>
                </m:sub>
              </m:sSub>
              <m:r>
                <m:rPr>
                  <m:sty m:val="p"/>
                </m:rPr>
                <m:t>(</m:t>
              </m:r>
              <m:acc>
                <m:accPr>
                  <m:chr m:val="̂"/>
                </m:accPr>
                <m:e>
                  <m:r>
                    <m:t>θ</m:t>
                  </m:r>
                </m:e>
              </m:acc>
              <m:r>
                <m:rPr>
                  <m:sty m:val="p"/>
                </m:rPr>
                <m:t>)</m:t>
              </m:r>
            </m:den>
          </m:f>
        </m:oMath>
      </m:oMathPara>
    </w:p>
    <w:p>
      <w:pPr>
        <w:pStyle w:val="FirstParagraph"/>
      </w:pPr>
      <w:r>
        <w:t xml:space="preserve">En donde,</w:t>
      </w:r>
      <w:r>
        <w:t xml:space="preserve"> </w:t>
      </w:r>
      <m:oMath>
        <m:sSub>
          <m:e>
            <m:acc>
              <m:accPr>
                <m:chr m:val="̂"/>
              </m:accPr>
              <m:e>
                <m:r>
                  <m:t>V</m:t>
                </m:r>
                <m:r>
                  <m:t>a</m:t>
                </m:r>
                <m:r>
                  <m:t>r</m:t>
                </m:r>
              </m:e>
            </m:acc>
          </m:e>
          <m:sub>
            <m:r>
              <m:t>p</m:t>
            </m:r>
          </m:sub>
        </m:sSub>
        <m:r>
          <m:rPr>
            <m:sty m:val="p"/>
          </m:rPr>
          <m:t>(</m:t>
        </m:r>
        <m:acc>
          <m:accPr>
            <m:chr m:val="̂"/>
          </m:accPr>
          <m:e>
            <m:r>
              <m:t>θ</m:t>
            </m:r>
          </m:e>
        </m:acc>
        <m:r>
          <m:rPr>
            <m:sty m:val="p"/>
          </m:rPr>
          <m:t>)</m:t>
        </m:r>
      </m:oMath>
      <w:r>
        <w:t xml:space="preserve"> </w:t>
      </w:r>
      <w:r>
        <w:t xml:space="preserve">corresponde a la varianza estimada de</w:t>
      </w:r>
      <w:r>
        <w:t xml:space="preserve"> </w:t>
      </w:r>
      <m:oMath>
        <m:acc>
          <m:accPr>
            <m:chr m:val="̂"/>
          </m:accPr>
          <m:e>
            <m:r>
              <m:t>θ</m:t>
            </m:r>
          </m:e>
        </m:acc>
      </m:oMath>
      <w:r>
        <w:t xml:space="preserve"> </w:t>
      </w:r>
      <w:r>
        <w:t xml:space="preserve">bajo el diseño complejo</w:t>
      </w:r>
      <w:r>
        <w:t xml:space="preserve"> </w:t>
      </w:r>
      <m:oMath>
        <m:r>
          <m:t>p</m:t>
        </m:r>
        <m:r>
          <m:rPr>
            <m:sty m:val="p"/>
          </m:rPr>
          <m:t>(</m:t>
        </m:r>
        <m:r>
          <m:rPr>
            <m:sty m:val="p"/>
          </m:rPr>
          <m:t>⋅</m:t>
        </m:r>
        <m:r>
          <m:rPr>
            <m:sty m:val="p"/>
          </m:rPr>
          <m:t>)</m:t>
        </m:r>
      </m:oMath>
      <w:r>
        <w:t xml:space="preserve">, mientras que</w:t>
      </w:r>
      <w:r>
        <w:t xml:space="preserve"> </w:t>
      </w:r>
      <m:oMath>
        <m:sSub>
          <m:e>
            <m:acc>
              <m:accPr>
                <m:chr m:val="̂"/>
              </m:accPr>
              <m:e>
                <m:r>
                  <m:t>V</m:t>
                </m:r>
                <m:r>
                  <m:t>a</m:t>
                </m:r>
                <m:r>
                  <m:t>r</m:t>
                </m:r>
              </m:e>
            </m:acc>
          </m:e>
          <m:sub>
            <m:r>
              <m:t>M</m:t>
            </m:r>
            <m:r>
              <m:t>A</m:t>
            </m:r>
            <m:r>
              <m:t>S</m:t>
            </m:r>
          </m:sub>
        </m:sSub>
        <m:r>
          <m:rPr>
            <m:sty m:val="p"/>
          </m:rPr>
          <m:t>(</m:t>
        </m:r>
        <m:acc>
          <m:accPr>
            <m:chr m:val="̂"/>
          </m:accPr>
          <m:e>
            <m:r>
              <m:t>θ</m:t>
            </m:r>
          </m:e>
        </m:acc>
        <m:r>
          <m:rPr>
            <m:sty m:val="p"/>
          </m:rPr>
          <m:t>)</m:t>
        </m:r>
      </m:oMath>
      <w:r>
        <w:t xml:space="preserve"> </w:t>
      </w:r>
      <w:r>
        <w:t xml:space="preserve">representa la varianza estimada del mismo estimador bajo un diseño MAS con igual tamaño muestral.</w:t>
      </w:r>
    </w:p>
    <w:p>
      <w:pPr>
        <w:pStyle w:val="BodyText"/>
      </w:pPr>
      <w:r>
        <w:t xml:space="preserve">Este indicador permite cuantificar cuánto aumenta la varianza debido a la conglomeración y otras características propias de los diseños complejos en comparación con un muestreo simple. Según</w:t>
      </w:r>
      <w:r>
        <w:t xml:space="preserve"> </w:t>
      </w:r>
      <w:r>
        <w:t xml:space="preserve">Naciones Unidas (2009, 40)</w:t>
      </w:r>
      <w:r>
        <w:t xml:space="preserve">, el DEFF puede entenderse de tres maneras: como el factor de incremento de la varianza frente al MAS, como una medida de la pérdida relativa de precisión o como una indicación del aumento en el tamaño de la muestra que sería necesario en un diseño complejo para alcanzar el mismo nivel de varianza que en un MAS. Según</w:t>
      </w:r>
      <w:r>
        <w:t xml:space="preserve"> </w:t>
      </w:r>
      <w:r>
        <w:t xml:space="preserve">Park et al. (2003)</w:t>
      </w:r>
      <w:r>
        <w:t xml:space="preserve">, el efecto del diseño de una encuesta puede deberse a los siguientes tres factores:</w:t>
      </w:r>
    </w:p>
    <w:p>
      <w:pPr>
        <w:pStyle w:val="Compact"/>
        <w:numPr>
          <w:ilvl w:val="0"/>
          <w:numId w:val="1001"/>
        </w:numPr>
      </w:pPr>
      <w:r>
        <w:t xml:space="preserve">Ponderación desigual: la presencia de pesos muestrales no uniformes suele incrementar ligeramente la varianza; por ello, el uso de pesos uniformes resulta ventajoso y explica por qué los diseños auto-ponderados son preferidos en encuestas de hogares.</w:t>
      </w:r>
    </w:p>
    <w:p>
      <w:pPr>
        <w:pStyle w:val="Compact"/>
        <w:numPr>
          <w:ilvl w:val="0"/>
          <w:numId w:val="1001"/>
        </w:numPr>
      </w:pPr>
      <w:r>
        <w:t xml:space="preserve">Estratificación: cuando se aplica correctamente, puede disminuir la varianza, aunque en la práctica su efecto reductor suele ser moderado.</w:t>
      </w:r>
    </w:p>
    <w:p>
      <w:pPr>
        <w:pStyle w:val="Compact"/>
        <w:numPr>
          <w:ilvl w:val="0"/>
          <w:numId w:val="1001"/>
        </w:numPr>
      </w:pPr>
      <w:r>
        <w:t xml:space="preserve">Muestreo en varias etapas: generalmente incrementa la varianza, ya que las unidades dentro de un mismo conglomerado tienden a ser más homogéneas entre sí que en comparación con las de otros conglomerados.</w:t>
      </w:r>
    </w:p>
    <w:p>
      <w:pPr>
        <w:pStyle w:val="FirstParagraph"/>
      </w:pPr>
      <w:r>
        <w:t xml:space="preserve">En el análisis de encuestas, el efecto del diseño (DEFF) constituye un indicador esencial para evaluar la precisión y eficiencia de las estimaciones, así como para orientar la planificación de futuros estudios. Un valor elevado evidencia que el diseño complejo introduce un incremento de la varianza, reduciendo la precisión de los resultados. Por el contrario, un valor cercano a uno indica que el diseño tiene un efecto mínimo sobre la varianza. Esta información permite a los investigadores identificar si es necesario ajustar la ponderación, optimizar la estratificación o modificar el tamaño del submuestreo para aumentar la eficiencia en levantamientos posteriores.</w:t>
      </w:r>
    </w:p>
    <w:p>
      <w:pPr>
        <w:pStyle w:val="BodyText"/>
      </w:pPr>
      <w:r>
        <w:t xml:space="preserve">La interpretación de un DEFF alto debe hacerse con precaución, ya que no siempre implica que el diseño muestral sea inadecuado. Es fundamental considerar el contexto de la encuesta: un valor superior a tres podría parecer alarmante, pero a menudo se debe a limitaciones prácticas como restricciones presupuestales, dificultades logísticas o la necesidad de garantizar la participación de los entrevistados. En ciertos levantamientos de hogares, puede ser indispensable seleccionar solo una fracción de los individuos elegibles en cada hogar. Además, problemas de cobertura o tasas de no respuesta pueden aumentar la variabilidad de los pesos muestrales y, en consecuencia, elevar los valores del DEFF.</w:t>
      </w:r>
      <w:r>
        <w:t xml:space="preserve"> </w:t>
      </w:r>
      <w:r>
        <w:t xml:space="preserve">Gutiérrez y Babativa-Márquez (2023)</w:t>
      </w:r>
      <w:r>
        <w:t xml:space="preserve"> </w:t>
      </w:r>
      <w:r>
        <w:t xml:space="preserve">realizan un análisis detallado de los efectos de diseño en encuestas de hogares en América Latina usando los datos de BADEHOG.</w:t>
      </w:r>
    </w:p>
    <w:bookmarkEnd w:id="18"/>
    <w:bookmarkStart w:id="25" w:name="fundamentos-teoricos"/>
    <w:p>
      <w:pPr>
        <w:pStyle w:val="Heading2"/>
      </w:pPr>
      <w:r>
        <w:t xml:space="preserve">2.3 Fundamentos teóricos</w:t>
      </w:r>
    </w:p>
    <w:p>
      <w:pPr>
        <w:pStyle w:val="FirstParagraph"/>
      </w:pPr>
      <w:r>
        <w:t xml:space="preserve">Tal como destacan</w:t>
      </w:r>
      <w:r>
        <w:t xml:space="preserve"> </w:t>
      </w:r>
      <w:r>
        <w:t xml:space="preserve">Heeringa et al. (2017)</w:t>
      </w:r>
      <w:r>
        <w:t xml:space="preserve">, el cálculo de totales y medias poblacionales, junto con sus varianzas, ha sido esencial para el desarrollo de la teoría del muestreo probabilístico y la interpretación adecuada de los resultados de encuestas de hogares. La determinación de los totales poblacionales constituye uno de los pilares fundamentales del análisis de encuestas. Tanto las medias como las proporciones y las razones se derivan de estos totales. Un total se define como la suma de una variable específica (por ejemplo, ingreso o gasto) a nivel de toda la población.</w:t>
      </w:r>
    </w:p>
    <w:p>
      <w:pPr>
        <w:pStyle w:val="BodyText"/>
      </w:pPr>
      <w:r>
        <w:t xml:space="preserve">Con encuestas de hogares, el análisis de datos numéricoséricos implica con frecuencia calcular estadísticas descriptivas como medias, totales y razones, ya que estas permiten sintetizar las principales características de la población y sirven de base para la toma de decisiones. Dichas estimaciones pueden calcularse para la población en su conjunto o para subgrupos específicos, según los objetivos de la investigación.</w:t>
      </w:r>
    </w:p>
    <w:bookmarkStart w:id="19" w:name="estimacion-puntual"/>
    <w:p>
      <w:pPr>
        <w:pStyle w:val="Heading3"/>
      </w:pPr>
      <w:r>
        <w:t xml:space="preserve">2.3.1 Estimación puntual</w:t>
      </w:r>
    </w:p>
    <w:p>
      <w:pPr>
        <w:pStyle w:val="FirstParagraph"/>
      </w:pPr>
      <w:r>
        <w:t xml:space="preserve">Una vez definido el objeto del diseño muestral, se procede a realizar los procesos de estimación de los parámetros de interés. Para efectos de este documento, se iniciará con la estimación del total de ingresos de los hogares. Para la estimación de totales en diseños muestrales complejos, se denotará a los estratos con la letra</w:t>
      </w:r>
      <w:r>
        <w:t xml:space="preserve"> </w:t>
      </w:r>
      <m:oMath>
        <m:r>
          <m:t>h</m:t>
        </m:r>
      </m:oMath>
      <w:r>
        <w:t xml:space="preserve">; a las unidades primarias de muestreo, las cuales están contenidas dentro de los estratos, con la letra</w:t>
      </w:r>
      <w:r>
        <w:t xml:space="preserve"> </w:t>
      </w:r>
      <m:oMath>
        <m:r>
          <m:t>i</m:t>
        </m:r>
      </m:oMath>
      <w:r>
        <w:t xml:space="preserve">; mientras que las unidades observadas (hogares o personas), se denotarán con la letra</w:t>
      </w:r>
      <w:r>
        <w:t xml:space="preserve"> </w:t>
      </w:r>
      <m:oMath>
        <m:r>
          <m:t>k</m:t>
        </m:r>
      </m:oMath>
      <w:r>
        <w:t xml:space="preserve">. De esta forma, el estimador del total puede expresarse como:</w:t>
      </w:r>
    </w:p>
    <w:p>
      <w:pPr>
        <w:pStyle w:val="BodyText"/>
      </w:pPr>
      <m:oMathPara>
        <m:oMathParaPr>
          <m:jc m:val="center"/>
        </m:oMathParaPr>
        <m:oMath>
          <m:sSub>
            <m:e>
              <m:acc>
                <m:accPr>
                  <m:chr m:val="̂"/>
                </m:accPr>
                <m:e>
                  <m:r>
                    <m:t>t</m:t>
                  </m:r>
                </m:e>
              </m:acc>
            </m:e>
            <m:sub>
              <m:r>
                <m:t>y</m:t>
              </m:r>
            </m:sub>
          </m:sSub>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sSub>
            <m:e>
              <m:r>
                <m:t>y</m:t>
              </m:r>
            </m:e>
            <m:sub>
              <m:r>
                <m:t>h</m:t>
              </m:r>
              <m:r>
                <m:t>i</m:t>
              </m:r>
              <m:r>
                <m:t>k</m:t>
              </m:r>
            </m:sub>
          </m:sSub>
        </m:oMath>
      </m:oMathPara>
    </w:p>
    <w:p>
      <w:pPr>
        <w:pStyle w:val="FirstParagraph"/>
      </w:pPr>
      <w:r>
        <w:t xml:space="preserve">En donde,</w:t>
      </w:r>
      <w:r>
        <w:t xml:space="preserve"> </w:t>
      </w:r>
      <m:oMath>
        <m:sSub>
          <m:e>
            <m:r>
              <m:t>w</m:t>
            </m:r>
          </m:e>
          <m:sub>
            <m:r>
              <m:t>h</m:t>
            </m:r>
            <m:r>
              <m:t>i</m:t>
            </m:r>
            <m:r>
              <m:t>k</m:t>
            </m:r>
          </m:sub>
        </m:sSub>
      </m:oMath>
      <w:r>
        <w:t xml:space="preserve"> </w:t>
      </w:r>
      <w:r>
        <w:t xml:space="preserve">corresponde al factor de expansión de la unidad</w:t>
      </w:r>
      <w:r>
        <w:t xml:space="preserve"> </w:t>
      </w:r>
      <m:oMath>
        <m:r>
          <m:t>k</m:t>
        </m:r>
      </m:oMath>
      <w:r>
        <w:t xml:space="preserve">, mientras que</w:t>
      </w:r>
      <w:r>
        <w:t xml:space="preserve"> </w:t>
      </w:r>
      <m:oMath>
        <m:sSub>
          <m:e>
            <m:r>
              <m:t>y</m:t>
            </m:r>
          </m:e>
          <m:sub>
            <m:r>
              <m:t>h</m:t>
            </m:r>
            <m:r>
              <m:t>i</m:t>
            </m:r>
            <m:r>
              <m:t>k</m:t>
            </m:r>
          </m:sub>
        </m:sSub>
      </m:oMath>
      <w:r>
        <w:t xml:space="preserve"> </w:t>
      </w:r>
      <w:r>
        <w:t xml:space="preserve">corresponde a la observación de la variable de interés en esta misma unidad. El cálculo de la estimación del total y de su varianza asociada puede resultar complejo, por lo que es necesario considerar distintos enfoques metodológicos.</w:t>
      </w:r>
    </w:p>
    <w:p>
      <w:pPr>
        <w:pStyle w:val="BodyText"/>
      </w:pPr>
      <w:r>
        <w:t xml:space="preserve">En términos de notación y con el propósito de simplificar la escritura a lo largo de este documento, a menos que se indique lo contrario,</w:t>
      </w:r>
      <w:r>
        <w:t xml:space="preserve"> </w:t>
      </w:r>
      <m:oMath>
        <m:nary>
          <m:naryPr>
            <m:chr m:val="∑"/>
            <m:limLoc m:val="undOvr"/>
            <m:subHide m:val="off"/>
            <m:supHide m:val="on"/>
          </m:naryPr>
          <m:sub>
            <m:r>
              <m:t>h</m:t>
            </m:r>
          </m:sub>
          <m:sup>
            <m:r>
              <m:t>​</m:t>
            </m:r>
          </m:sup>
          <m:e>
            <m:r>
              <m:t>​</m:t>
            </m:r>
          </m:e>
        </m:nary>
      </m:oMath>
      <w:r>
        <w:t xml:space="preserve"> </w:t>
      </w:r>
      <w:r>
        <w:t xml:space="preserve">denotará la suma sobre todos los estratos de la población;</w:t>
      </w:r>
      <w:r>
        <w:t xml:space="preserve"> </w:t>
      </w:r>
      <m:oMath>
        <m:nary>
          <m:naryPr>
            <m:chr m:val="∑"/>
            <m:limLoc m:val="undOvr"/>
            <m:subHide m:val="off"/>
            <m:supHide m:val="on"/>
          </m:naryPr>
          <m:sub>
            <m:r>
              <m:t>i</m:t>
            </m:r>
          </m:sub>
          <m:sup>
            <m:r>
              <m:t>​</m:t>
            </m:r>
          </m:sup>
          <m:e>
            <m:r>
              <m:t>​</m:t>
            </m:r>
          </m:e>
        </m:nary>
      </m:oMath>
      <w:r>
        <w:t xml:space="preserve"> </w:t>
      </w:r>
      <w:r>
        <w:t xml:space="preserve">representará la suma sobre todas las unidades primarias de muestreo seleccionadas en la muestra dentro del estrato</w:t>
      </w:r>
      <w:r>
        <w:t xml:space="preserve"> </w:t>
      </w:r>
      <m:oMath>
        <m:r>
          <m:t>h</m:t>
        </m:r>
      </m:oMath>
      <w:r>
        <w:t xml:space="preserve">; y</w:t>
      </w:r>
      <w:r>
        <w:t xml:space="preserve"> </w:t>
      </w:r>
      <m:oMath>
        <m:nary>
          <m:naryPr>
            <m:chr m:val="∑"/>
            <m:limLoc m:val="undOvr"/>
            <m:subHide m:val="off"/>
            <m:supHide m:val="on"/>
          </m:naryPr>
          <m:sub>
            <m:r>
              <m:t>k</m:t>
            </m:r>
          </m:sub>
          <m:sup>
            <m:r>
              <m:t>​</m:t>
            </m:r>
          </m:sup>
          <m:e>
            <m:r>
              <m:t>​</m:t>
            </m:r>
          </m:e>
        </m:nary>
      </m:oMath>
      <w:r>
        <w:t xml:space="preserve"> </w:t>
      </w:r>
      <w:r>
        <w:t xml:space="preserve">corresponderá a la suma sobre todos los elementos observados en la muestra de la UPM</w:t>
      </w:r>
      <w:r>
        <w:t xml:space="preserve"> </w:t>
      </w:r>
      <m:oMath>
        <m:r>
          <m:t>i</m:t>
        </m:r>
      </m:oMath>
      <w:r>
        <w:t xml:space="preserve">, perteneciente al estrato</w:t>
      </w:r>
      <w:r>
        <w:t xml:space="preserve"> </w:t>
      </w:r>
      <m:oMath>
        <m:r>
          <m:t>h</m:t>
        </m:r>
      </m:oMath>
      <w:r>
        <w:t xml:space="preserve"> </w:t>
      </w:r>
      <w:r>
        <w:t xml:space="preserve">de la población de interés.</w:t>
      </w:r>
    </w:p>
    <w:bookmarkEnd w:id="19"/>
    <w:bookmarkStart w:id="24" w:name="estimacion-de-la-varianza"/>
    <w:p>
      <w:pPr>
        <w:pStyle w:val="Heading3"/>
      </w:pPr>
      <w:r>
        <w:t xml:space="preserve">2.3.2 Estimación de la varianza</w:t>
      </w:r>
    </w:p>
    <w:p>
      <w:pPr>
        <w:pStyle w:val="FirstParagraph"/>
      </w:pPr>
      <w:r>
        <w:t xml:space="preserve">Al trabajar con encuestas de hogares es fundamental no solo obtener estimaciones puntuales, sino también cuantificar la incertidumbre asociada a dichas estimaciones. Comprender y estimar esta incertidumbre constituye una parte esencial del análisis de los datos de encuestas de hogares. Mediante la aplicación de métodos apropiados, los usuarios pueden evaluar la precisión de sus estimaciones. Existen diversos métodos para estimar dicha precisión y, con el apoyo de software moderno, estos enfoques pueden implementarse de manera eficiente para respaldar análisis rigurosos y confiables. Entre los principales métodos se encuentran:</w:t>
      </w:r>
    </w:p>
    <w:p>
      <w:pPr>
        <w:numPr>
          <w:ilvl w:val="0"/>
          <w:numId w:val="1002"/>
        </w:numPr>
      </w:pPr>
      <w:r>
        <w:t xml:space="preserve">Ecuaciones de estimación: proporcionan un marco flexible para estimar totales, medias, razones y otros parámetros, así como sus varianzas correspondientes, integrando una visión unificada de la teoría del muestreo</w:t>
      </w:r>
      <w:r>
        <w:t xml:space="preserve"> </w:t>
      </w:r>
      <w:r>
        <w:t xml:space="preserve">(Binder 1983)</w:t>
      </w:r>
      <w:r>
        <w:t xml:space="preserve">.</w:t>
      </w:r>
    </w:p>
    <w:p>
      <w:pPr>
        <w:numPr>
          <w:ilvl w:val="0"/>
          <w:numId w:val="1002"/>
        </w:numPr>
      </w:pPr>
      <w:r>
        <w:t xml:space="preserve">Linealización de Taylor: consiste en aproximar estadísticas no lineales complejas mediante expresiones lineales, y posteriormente estimar la varianza de dicha aproximación.</w:t>
      </w:r>
    </w:p>
    <w:p>
      <w:pPr>
        <w:numPr>
          <w:ilvl w:val="0"/>
          <w:numId w:val="1002"/>
        </w:numPr>
      </w:pPr>
      <w:r>
        <w:t xml:space="preserve">Método del último conglomerado: utilizado con frecuencia en encuestas basadas en muestreo estratificado en múltiples etapas. Se fundamenta en el cálculo de la varianza a partir de las diferencias entre las estimaciones obtenidas a nivel de las unidades primarias de muestreo (UPM). Este método suele combinarse con la linealización de Taylor para estimar la varianza de estadísticas no lineales, como medias o razones.</w:t>
      </w:r>
    </w:p>
    <w:p>
      <w:pPr>
        <w:numPr>
          <w:ilvl w:val="0"/>
          <w:numId w:val="1002"/>
        </w:numPr>
      </w:pPr>
      <w:r>
        <w:t xml:space="preserve">Bootstrap y otros métodos de replicación: se fundamentan en tomar repetidas submuestras del conjunto de datos observado, calcular estimaciones para cada réplica y luego utilizar la variabilidad entre estas estimaciones replicadas para inferir la varianza del estimador principal.</w:t>
      </w:r>
    </w:p>
    <w:p>
      <w:pPr>
        <w:pStyle w:val="FirstParagraph"/>
      </w:pPr>
      <w:r>
        <w:t xml:space="preserve">En el contexto de encuestas de hogares, muchos parámetros complejos pueden formularse como combinaciones lineales de otros parámetros</w:t>
      </w:r>
      <w:r>
        <w:t xml:space="preserve"> </w:t>
      </w:r>
      <m:oMath>
        <m:r>
          <m:t>f</m:t>
        </m:r>
        <m:r>
          <m:rPr>
            <m:sty m:val="p"/>
          </m:rPr>
          <m:t>(</m:t>
        </m:r>
        <m:sSub>
          <m:e>
            <m:r>
              <m:t>θ</m:t>
            </m:r>
          </m:e>
          <m:sub>
            <m:r>
              <m:t>1</m:t>
            </m:r>
          </m:sub>
        </m:sSub>
        <m:r>
          <m:rPr>
            <m:sty m:val="p"/>
          </m:rPr>
          <m:t>,</m:t>
        </m:r>
        <m:r>
          <m:rPr>
            <m:sty m:val="p"/>
          </m:rPr>
          <m:t>…</m:t>
        </m:r>
        <m:r>
          <m:rPr>
            <m:sty m:val="p"/>
          </m:rPr>
          <m:t>,</m:t>
        </m:r>
        <m:sSub>
          <m:e>
            <m:r>
              <m:t>θ</m:t>
            </m:r>
          </m:e>
          <m:sub>
            <m:r>
              <m:t>J</m:t>
            </m:r>
          </m:sub>
        </m:sSub>
        <m:r>
          <m:rPr>
            <m:sty m:val="p"/>
          </m:rPr>
          <m:t>)</m:t>
        </m:r>
      </m:oMath>
      <w:r>
        <w:t xml:space="preserve">. En efecto, sea:</w:t>
      </w:r>
    </w:p>
    <w:p>
      <w:pPr>
        <w:pStyle w:val="BodyText"/>
      </w:pPr>
      <m:oMathPara>
        <m:oMathParaPr>
          <m:jc m:val="center"/>
        </m:oMathParaPr>
        <m:oMath>
          <m:r>
            <m:t>f</m:t>
          </m:r>
          <m:r>
            <m:rPr>
              <m:sty m:val="p"/>
            </m:rPr>
            <m:t>=</m:t>
          </m:r>
          <m:r>
            <m:t>f</m:t>
          </m:r>
          <m:r>
            <m:rPr>
              <m:sty m:val="p"/>
            </m:rPr>
            <m:t>(</m:t>
          </m:r>
          <m:sSub>
            <m:e>
              <m:r>
                <m:t>θ</m:t>
              </m:r>
            </m:e>
            <m:sub>
              <m:r>
                <m:t>1</m:t>
              </m:r>
            </m:sub>
          </m:sSub>
          <m:r>
            <m:rPr>
              <m:sty m:val="p"/>
            </m:rPr>
            <m:t>,</m:t>
          </m:r>
          <m:r>
            <m:rPr>
              <m:sty m:val="p"/>
            </m:rPr>
            <m:t>…</m:t>
          </m:r>
          <m:r>
            <m:rPr>
              <m:sty m:val="p"/>
            </m:rPr>
            <m:t>,</m:t>
          </m:r>
          <m:sSub>
            <m:e>
              <m:r>
                <m:t>θ</m:t>
              </m:r>
            </m:e>
            <m:sub>
              <m:r>
                <m:t>J</m:t>
              </m:r>
            </m:sub>
          </m:sSub>
          <m:r>
            <m:rPr>
              <m:sty m:val="p"/>
            </m:rPr>
            <m:t>)</m:t>
          </m:r>
          <m:r>
            <m:rPr>
              <m:sty m:val="p"/>
            </m:rPr>
            <m:t>=</m:t>
          </m:r>
          <m:nary>
            <m:naryPr>
              <m:chr m:val="∑"/>
              <m:limLoc m:val="undOvr"/>
              <m:subHide m:val="off"/>
              <m:supHide m:val="off"/>
            </m:naryPr>
            <m:sub>
              <m:r>
                <m:t>j</m:t>
              </m:r>
              <m:r>
                <m:rPr>
                  <m:sty m:val="p"/>
                </m:rPr>
                <m:t>=</m:t>
              </m:r>
              <m:r>
                <m:t>1</m:t>
              </m:r>
            </m:sub>
            <m:sup>
              <m:r>
                <m:t>J</m:t>
              </m:r>
            </m:sup>
            <m:e>
              <m:sSub>
                <m:e>
                  <m:r>
                    <m:t>a</m:t>
                  </m:r>
                </m:e>
                <m:sub>
                  <m:r>
                    <m:t>j</m:t>
                  </m:r>
                </m:sub>
              </m:sSub>
            </m:e>
          </m:nary>
          <m:sSub>
            <m:e>
              <m:r>
                <m:t>θ</m:t>
              </m:r>
            </m:e>
            <m:sub>
              <m:r>
                <m:t>j</m:t>
              </m:r>
            </m:sub>
          </m:sSub>
          <m:r>
            <m:rPr>
              <m:sty m:val="p"/>
            </m:rPr>
            <m:t>,</m:t>
          </m:r>
        </m:oMath>
      </m:oMathPara>
    </w:p>
    <w:p>
      <w:pPr>
        <w:pStyle w:val="FirstParagraph"/>
      </w:pPr>
      <w:r>
        <w:t xml:space="preserve">donde los coeficientes</w:t>
      </w:r>
      <w:r>
        <w:t xml:space="preserve"> </w:t>
      </w:r>
      <m:oMath>
        <m:sSub>
          <m:e>
            <m:r>
              <m:t>a</m:t>
            </m:r>
          </m:e>
          <m:sub>
            <m:r>
              <m:t>j</m:t>
            </m:r>
          </m:sub>
        </m:sSub>
      </m:oMath>
      <w:r>
        <w:t xml:space="preserve"> </w:t>
      </w:r>
      <w:r>
        <w:t xml:space="preserve">son constantes conocidas y</w:t>
      </w:r>
      <w:r>
        <w:t xml:space="preserve"> </w:t>
      </w:r>
      <m:oMath>
        <m:sSub>
          <m:e>
            <m:r>
              <m:t>θ</m:t>
            </m:r>
          </m:e>
          <m:sub>
            <m:r>
              <m:t>j</m:t>
            </m:r>
          </m:sub>
        </m:sSub>
      </m:oMath>
      <w:r>
        <w:t xml:space="preserve"> </w:t>
      </w:r>
      <w:r>
        <w:t xml:space="preserve">representan parámetros poblacionales. Si,</w:t>
      </w:r>
      <w:r>
        <w:t xml:space="preserve"> </w:t>
      </w:r>
      <m:oMath>
        <m:sSub>
          <m:e>
            <m:acc>
              <m:accPr>
                <m:chr m:val="̂"/>
              </m:accPr>
              <m:e>
                <m:r>
                  <m:t>θ</m:t>
                </m:r>
              </m:e>
            </m:acc>
          </m:e>
          <m:sub>
            <m:r>
              <m:t>j</m:t>
            </m:r>
          </m:sub>
        </m:sSub>
      </m:oMath>
      <w:r>
        <w:t xml:space="preserve"> </w:t>
      </w:r>
      <w:r>
        <w:t xml:space="preserve">es un estimador de</w:t>
      </w:r>
      <w:r>
        <w:t xml:space="preserve"> </w:t>
      </w:r>
      <m:oMath>
        <m:sSub>
          <m:e>
            <m:r>
              <m:t>θ</m:t>
            </m:r>
          </m:e>
          <m:sub>
            <m:r>
              <m:t>j</m:t>
            </m:r>
          </m:sub>
        </m:sSub>
      </m:oMath>
      <w:r>
        <w:t xml:space="preserve">, entonces, un estimador muestral de</w:t>
      </w:r>
      <w:r>
        <w:t xml:space="preserve"> </w:t>
      </w:r>
      <m:oMath>
        <m:r>
          <m:t>f</m:t>
        </m:r>
      </m:oMath>
      <w:r>
        <w:t xml:space="preserve"> </w:t>
      </w:r>
      <w:r>
        <w:t xml:space="preserve">se define como:</w:t>
      </w:r>
    </w:p>
    <w:p>
      <w:pPr>
        <w:pStyle w:val="BodyText"/>
      </w:pPr>
      <m:oMathPara>
        <m:oMathParaPr>
          <m:jc m:val="center"/>
        </m:oMathParaPr>
        <m:oMath>
          <m:acc>
            <m:accPr>
              <m:chr m:val="̂"/>
            </m:accPr>
            <m:e>
              <m:r>
                <m:t>f</m:t>
              </m:r>
            </m:e>
          </m:acc>
          <m:r>
            <m:rPr>
              <m:sty m:val="p"/>
            </m:rPr>
            <m:t>=</m:t>
          </m:r>
          <m:nary>
            <m:naryPr>
              <m:chr m:val="∑"/>
              <m:limLoc m:val="undOvr"/>
              <m:subHide m:val="off"/>
              <m:supHide m:val="off"/>
            </m:naryPr>
            <m:sub>
              <m:r>
                <m:t>j</m:t>
              </m:r>
              <m:r>
                <m:rPr>
                  <m:sty m:val="p"/>
                </m:rPr>
                <m:t>=</m:t>
              </m:r>
              <m:r>
                <m:t>1</m:t>
              </m:r>
            </m:sub>
            <m:sup>
              <m:r>
                <m:t>J</m:t>
              </m:r>
            </m:sup>
            <m:e>
              <m:sSub>
                <m:e>
                  <m:r>
                    <m:t>a</m:t>
                  </m:r>
                </m:e>
                <m:sub>
                  <m:r>
                    <m:t>j</m:t>
                  </m:r>
                </m:sub>
              </m:sSub>
            </m:e>
          </m:nary>
          <m:sSub>
            <m:e>
              <m:acc>
                <m:accPr>
                  <m:chr m:val="̂"/>
                </m:accPr>
                <m:e>
                  <m:r>
                    <m:t>θ</m:t>
                  </m:r>
                </m:e>
              </m:acc>
            </m:e>
            <m:sub>
              <m:r>
                <m:t>j</m:t>
              </m:r>
            </m:sub>
          </m:sSub>
          <m:r>
            <m:rPr>
              <m:sty m:val="p"/>
            </m:rPr>
            <m:t>,</m:t>
          </m:r>
        </m:oMath>
      </m:oMathPara>
    </w:p>
    <w:p>
      <w:pPr>
        <w:pStyle w:val="FirstParagraph"/>
      </w:pPr>
      <w:r>
        <w:t xml:space="preserve">De esta manera, su varianza puede expresarse como:</w:t>
      </w:r>
    </w:p>
    <w:p>
      <w:pPr>
        <w:pStyle w:val="BodyText"/>
      </w:pPr>
      <m:oMathPara>
        <m:oMathParaPr>
          <m:jc m:val="center"/>
        </m:oMathParaPr>
        <m:oMath>
          <m:r>
            <m:t>V</m:t>
          </m:r>
          <m:r>
            <m:t>a</m:t>
          </m:r>
          <m:r>
            <m:t>r</m:t>
          </m:r>
          <m:r>
            <m:rPr>
              <m:sty m:val="p"/>
            </m:rPr>
            <m:t>(</m:t>
          </m:r>
          <m:acc>
            <m:accPr>
              <m:chr m:val="̂"/>
            </m:accPr>
            <m:e>
              <m:r>
                <m:t>f</m:t>
              </m:r>
            </m:e>
          </m:acc>
          <m:r>
            <m:rPr>
              <m:sty m:val="p"/>
            </m:rPr>
            <m:t>)</m:t>
          </m:r>
          <m:r>
            <m:rPr>
              <m:sty m:val="p"/>
            </m:rPr>
            <m:t>=</m:t>
          </m:r>
          <m:nary>
            <m:naryPr>
              <m:chr m:val="∑"/>
              <m:limLoc m:val="undOvr"/>
              <m:subHide m:val="off"/>
              <m:supHide m:val="off"/>
            </m:naryPr>
            <m:sub>
              <m:r>
                <m:t>j</m:t>
              </m:r>
              <m:r>
                <m:rPr>
                  <m:sty m:val="p"/>
                </m:rPr>
                <m:t>=</m:t>
              </m:r>
              <m:r>
                <m:t>1</m:t>
              </m:r>
            </m:sub>
            <m:sup>
              <m:r>
                <m:t>J</m:t>
              </m:r>
            </m:sup>
            <m:e>
              <m:sSubSup>
                <m:e>
                  <m:r>
                    <m:t>a</m:t>
                  </m:r>
                </m:e>
                <m:sub>
                  <m:r>
                    <m:t>j</m:t>
                  </m:r>
                </m:sub>
                <m:sup>
                  <m:r>
                    <m:t>2</m:t>
                  </m:r>
                </m:sup>
              </m:sSubSup>
            </m:e>
          </m:nary>
          <m:r>
            <m:t>V</m:t>
          </m:r>
          <m:r>
            <m:t>a</m:t>
          </m:r>
          <m:r>
            <m:t>r</m:t>
          </m:r>
          <m:r>
            <m:rPr>
              <m:sty m:val="p"/>
            </m:rPr>
            <m:t>(</m:t>
          </m:r>
          <m:sSub>
            <m:e>
              <m:acc>
                <m:accPr>
                  <m:chr m:val="̂"/>
                </m:accPr>
                <m:e>
                  <m:r>
                    <m:t>θ</m:t>
                  </m:r>
                </m:e>
              </m:acc>
            </m:e>
            <m:sub>
              <m:r>
                <m:t>j</m:t>
              </m:r>
            </m:sub>
          </m:sSub>
          <m:r>
            <m:rPr>
              <m:sty m:val="p"/>
            </m:rPr>
            <m:t>)</m:t>
          </m:r>
          <m:r>
            <m:t> </m:t>
          </m:r>
          <m:r>
            <m:rPr>
              <m:sty m:val="p"/>
            </m:rPr>
            <m:t>+</m:t>
          </m:r>
          <m:r>
            <m:t> </m:t>
          </m:r>
          <m:r>
            <m:t>2</m:t>
          </m:r>
          <m:nary>
            <m:naryPr>
              <m:chr m:val="∑"/>
              <m:limLoc m:val="undOvr"/>
              <m:subHide m:val="off"/>
              <m:supHide m:val="off"/>
            </m:naryPr>
            <m:sub>
              <m:r>
                <m:t>j</m:t>
              </m:r>
              <m:r>
                <m:rPr>
                  <m:sty m:val="p"/>
                </m:rPr>
                <m:t>=</m:t>
              </m:r>
              <m:r>
                <m:t>1</m:t>
              </m:r>
            </m:sub>
            <m:sup>
              <m:r>
                <m:t>J</m:t>
              </m:r>
              <m:r>
                <m:rPr>
                  <m:sty m:val="p"/>
                </m:rPr>
                <m:t>−</m:t>
              </m:r>
              <m:r>
                <m:t>1</m:t>
              </m:r>
            </m:sup>
            <m:e>
              <m:nary>
                <m:naryPr>
                  <m:chr m:val="∑"/>
                  <m:limLoc m:val="undOvr"/>
                  <m:subHide m:val="off"/>
                  <m:supHide m:val="off"/>
                </m:naryPr>
                <m:sub>
                  <m:r>
                    <m:t>k</m:t>
                  </m:r>
                  <m:r>
                    <m:rPr>
                      <m:sty m:val="p"/>
                    </m:rPr>
                    <m:t>&gt;</m:t>
                  </m:r>
                  <m:r>
                    <m:t>j</m:t>
                  </m:r>
                </m:sub>
                <m:sup>
                  <m:r>
                    <m:t>J</m:t>
                  </m:r>
                </m:sup>
                <m:e>
                  <m:sSub>
                    <m:e>
                      <m:r>
                        <m:t>a</m:t>
                      </m:r>
                    </m:e>
                    <m:sub>
                      <m:r>
                        <m:t>j</m:t>
                      </m:r>
                    </m:sub>
                  </m:sSub>
                </m:e>
              </m:nary>
            </m:e>
          </m:nary>
          <m:sSub>
            <m:e>
              <m:r>
                <m:t>a</m:t>
              </m:r>
            </m:e>
            <m:sub>
              <m:r>
                <m:t>k</m:t>
              </m:r>
            </m:sub>
          </m:sSub>
          <m:r>
            <m:t> </m:t>
          </m:r>
          <m:r>
            <m:t>C</m:t>
          </m:r>
          <m:r>
            <m:t>o</m:t>
          </m:r>
          <m:r>
            <m:t>v</m:t>
          </m:r>
          <m:r>
            <m:rPr>
              <m:sty m:val="p"/>
            </m:rPr>
            <m:t>(</m:t>
          </m:r>
          <m:sSub>
            <m:e>
              <m:acc>
                <m:accPr>
                  <m:chr m:val="̂"/>
                </m:accPr>
                <m:e>
                  <m:r>
                    <m:t>θ</m:t>
                  </m:r>
                </m:e>
              </m:acc>
            </m:e>
            <m:sub>
              <m:r>
                <m:t>j</m:t>
              </m:r>
            </m:sub>
          </m:sSub>
          <m:r>
            <m:rPr>
              <m:sty m:val="p"/>
            </m:rPr>
            <m:t>,</m:t>
          </m:r>
          <m:sSub>
            <m:e>
              <m:acc>
                <m:accPr>
                  <m:chr m:val="̂"/>
                </m:accPr>
                <m:e>
                  <m:r>
                    <m:t>θ</m:t>
                  </m:r>
                </m:e>
              </m:acc>
            </m:e>
            <m:sub>
              <m:r>
                <m:t>k</m:t>
              </m:r>
            </m:sub>
          </m:sSub>
          <m:r>
            <m:rPr>
              <m:sty m:val="p"/>
            </m:rPr>
            <m:t>)</m:t>
          </m:r>
          <m:r>
            <m:rPr>
              <m:sty m:val="p"/>
            </m:rPr>
            <m:t>.</m:t>
          </m:r>
        </m:oMath>
      </m:oMathPara>
    </w:p>
    <w:p>
      <w:pPr>
        <w:pStyle w:val="FirstParagraph"/>
      </w:pPr>
      <w:r>
        <w:t xml:space="preserve">Este resultado es particularmente importante porque incluye numerosos casos de interés práctico que se desarrollarán a lo largo de este documento.</w:t>
      </w:r>
    </w:p>
    <w:bookmarkStart w:id="20" w:name="ecuaciones-de-estimacion"/>
    <w:p>
      <w:pPr>
        <w:pStyle w:val="Heading4"/>
      </w:pPr>
      <w:r>
        <w:t xml:space="preserve">2.3.2.1 Ecuaciones de estimación</w:t>
      </w:r>
    </w:p>
    <w:p>
      <w:pPr>
        <w:pStyle w:val="FirstParagraph"/>
      </w:pPr>
      <w:r>
        <w:t xml:space="preserve">Muchos parámetros poblacionales pueden expresarse como soluciones de ecuaciones de estimación que involucran totales poblacionales. Aunque los detalles técnicos pueden ser complejos, la idea fundamental es que los mismos principios utilizados para estimar totales pueden aplicarse también para la estimación de varianzas. Este marco general hace que el método sea sencillo y flexible, facilitando su implementación en software estadístico especializado. Una ecuación de estimación poblacional genérica puede expresarse de la siguiente manera:</w:t>
      </w:r>
    </w:p>
    <w:p>
      <w:pPr>
        <w:pStyle w:val="BodyText"/>
      </w:pPr>
      <m:oMathPara>
        <m:oMathParaPr>
          <m:jc m:val="center"/>
        </m:oMathParaPr>
        <m:oMath>
          <m:nary>
            <m:naryPr>
              <m:chr m:val="∑"/>
              <m:limLoc m:val="undOvr"/>
              <m:subHide m:val="off"/>
              <m:supHide m:val="on"/>
            </m:naryPr>
            <m:sub>
              <m:r>
                <m:t>k</m:t>
              </m:r>
              <m:r>
                <m:rPr>
                  <m:sty m:val="p"/>
                </m:rPr>
                <m:t>∈</m:t>
              </m:r>
              <m:r>
                <m:t>U</m:t>
              </m:r>
            </m:sub>
            <m:sup>
              <m:r>
                <m:t>​</m:t>
              </m:r>
            </m:sup>
            <m:e>
              <m:sSub>
                <m:e>
                  <m:r>
                    <m:t>z</m:t>
                  </m:r>
                </m:e>
                <m:sub>
                  <m:r>
                    <m:t>k</m:t>
                  </m:r>
                </m:sub>
              </m:sSub>
            </m:e>
          </m:nary>
          <m:r>
            <m:rPr>
              <m:sty m:val="p"/>
            </m:rPr>
            <m:t>(</m:t>
          </m:r>
          <m:r>
            <m:t>θ</m:t>
          </m:r>
          <m:r>
            <m:rPr>
              <m:sty m:val="p"/>
            </m:rPr>
            <m:t>)</m:t>
          </m:r>
          <m:r>
            <m:rPr>
              <m:sty m:val="p"/>
            </m:rPr>
            <m:t>=</m:t>
          </m:r>
          <m:r>
            <m:t>0</m:t>
          </m:r>
          <m:r>
            <m:rPr>
              <m:sty m:val="p"/>
            </m:rPr>
            <m:t>,</m:t>
          </m:r>
        </m:oMath>
      </m:oMathPara>
    </w:p>
    <w:p>
      <w:pPr>
        <w:pStyle w:val="FirstParagraph"/>
      </w:pPr>
      <w:r>
        <w:t xml:space="preserve">donde</w:t>
      </w:r>
      <w:r>
        <w:t xml:space="preserve"> </w:t>
      </w:r>
      <m:oMath>
        <m:sSub>
          <m:e>
            <m:r>
              <m:t>z</m:t>
            </m:r>
          </m:e>
          <m:sub>
            <m:r>
              <m:t>k</m:t>
            </m:r>
          </m:sub>
        </m:sSub>
        <m:r>
          <m:rPr>
            <m:sty m:val="p"/>
          </m:rPr>
          <m:t>(</m:t>
        </m:r>
        <m:r>
          <m:rPr>
            <m:sty m:val="p"/>
          </m:rPr>
          <m:t>⋅</m:t>
        </m:r>
        <m:r>
          <m:rPr>
            <m:sty m:val="p"/>
          </m:rPr>
          <m:t>)</m:t>
        </m:r>
      </m:oMath>
      <w:r>
        <w:t xml:space="preserve"> </w:t>
      </w:r>
      <w:r>
        <w:t xml:space="preserve">es una función de estimación evaluada para la unidad</w:t>
      </w:r>
      <w:r>
        <w:t xml:space="preserve"> </w:t>
      </w:r>
      <m:oMath>
        <m:r>
          <m:t>k</m:t>
        </m:r>
      </m:oMath>
      <w:r>
        <w:t xml:space="preserve"> </w:t>
      </w:r>
      <w:r>
        <w:t xml:space="preserve">y</w:t>
      </w:r>
      <w:r>
        <w:t xml:space="preserve"> </w:t>
      </w:r>
      <m:oMath>
        <m:r>
          <m:t>θ</m:t>
        </m:r>
      </m:oMath>
      <w:r>
        <w:t xml:space="preserve"> </w:t>
      </w:r>
      <w:r>
        <w:t xml:space="preserve">representa el parámetro poblacional de interés. Estas ecuaciones proporcionan un marco general para definir y calcular diversos parámetros de la población, como totales, medias y razones. Por ejemplo, para el total poblacional, se define</w:t>
      </w:r>
      <w:r>
        <w:t xml:space="preserve"> </w:t>
      </w:r>
      <m:oMath>
        <m:sSub>
          <m:e>
            <m:r>
              <m:t>z</m:t>
            </m:r>
          </m:e>
          <m:sub>
            <m:r>
              <m:t>k</m:t>
            </m:r>
          </m:sub>
        </m:sSub>
        <m:r>
          <m:rPr>
            <m:sty m:val="p"/>
          </m:rPr>
          <m:t>(</m:t>
        </m:r>
        <m:r>
          <m:t>θ</m:t>
        </m:r>
        <m:r>
          <m:rPr>
            <m:sty m:val="p"/>
          </m:rPr>
          <m:t>)</m:t>
        </m:r>
        <m:r>
          <m:rPr>
            <m:sty m:val="p"/>
          </m:rPr>
          <m:t>=</m:t>
        </m:r>
        <m:sSub>
          <m:e>
            <m:r>
              <m:t>y</m:t>
            </m:r>
          </m:e>
          <m:sub>
            <m:r>
              <m:t>k</m:t>
            </m:r>
          </m:sub>
        </m:sSub>
        <m:r>
          <m:rPr>
            <m:sty m:val="p"/>
          </m:rPr>
          <m:t>−</m:t>
        </m:r>
        <m:r>
          <m:t>θ</m:t>
        </m:r>
        <m:r>
          <m:rPr>
            <m:sty m:val="p"/>
          </m:rPr>
          <m:t>/</m:t>
        </m:r>
        <m:r>
          <m:t>N</m:t>
        </m:r>
      </m:oMath>
      <w:r>
        <w:t xml:space="preserve">, de manera que la ecuación de estimación es</w:t>
      </w:r>
      <w:r>
        <w:t xml:space="preserve"> </w:t>
      </w:r>
      <m:oMath>
        <m:nary>
          <m:naryPr>
            <m:chr m:val="∑"/>
            <m:limLoc m:val="undOvr"/>
            <m:subHide m:val="off"/>
            <m:supHide m:val="on"/>
          </m:naryPr>
          <m:sub>
            <m:r>
              <m:t>k</m:t>
            </m:r>
            <m:r>
              <m:rPr>
                <m:sty m:val="p"/>
              </m:rPr>
              <m:t>∈</m:t>
            </m:r>
            <m:r>
              <m:t>U</m:t>
            </m:r>
          </m:sub>
          <m:sup>
            <m:r>
              <m:t>​</m:t>
            </m:r>
          </m:sup>
          <m:e>
            <m:r>
              <m:rPr>
                <m:sty m:val="p"/>
              </m:rPr>
              <m:t>(</m:t>
            </m:r>
          </m:e>
        </m:nary>
        <m:sSub>
          <m:e>
            <m:r>
              <m:t>y</m:t>
            </m:r>
          </m:e>
          <m:sub>
            <m:r>
              <m:t>k</m:t>
            </m:r>
          </m:sub>
        </m:sSub>
        <m:r>
          <m:rPr>
            <m:sty m:val="p"/>
          </m:rPr>
          <m:t>−</m:t>
        </m:r>
        <m:r>
          <m:t>θ</m:t>
        </m:r>
        <m:r>
          <m:rPr>
            <m:sty m:val="p"/>
          </m:rPr>
          <m:t>/</m:t>
        </m:r>
        <m:r>
          <m:t>N</m:t>
        </m:r>
        <m:r>
          <m:rPr>
            <m:sty m:val="p"/>
          </m:rPr>
          <m:t>)</m:t>
        </m:r>
        <m:r>
          <m:rPr>
            <m:sty m:val="p"/>
          </m:rPr>
          <m:t>=</m:t>
        </m:r>
        <m:r>
          <m:t>0</m:t>
        </m:r>
      </m:oMath>
      <w:r>
        <w:t xml:space="preserve">. La solución de esta ecuación conduce a</w:t>
      </w:r>
      <w:r>
        <w:t xml:space="preserve"> </w:t>
      </w:r>
      <m:oMath>
        <m:r>
          <m:t>θ</m:t>
        </m:r>
        <m:r>
          <m:rPr>
            <m:sty m:val="p"/>
          </m:rPr>
          <m:t>=</m:t>
        </m:r>
        <m:nary>
          <m:naryPr>
            <m:chr m:val="∑"/>
            <m:limLoc m:val="undOvr"/>
            <m:subHide m:val="off"/>
            <m:supHide m:val="on"/>
          </m:naryPr>
          <m:sub>
            <m:r>
              <m:t>k</m:t>
            </m:r>
            <m:r>
              <m:rPr>
                <m:sty m:val="p"/>
              </m:rPr>
              <m:t>∈</m:t>
            </m:r>
            <m:r>
              <m:t>U</m:t>
            </m:r>
          </m:sub>
          <m:sup>
            <m:r>
              <m:t>​</m:t>
            </m:r>
          </m:sup>
          <m:e>
            <m:sSub>
              <m:e>
                <m:r>
                  <m:t>y</m:t>
                </m:r>
              </m:e>
              <m:sub>
                <m:r>
                  <m:t>k</m:t>
                </m:r>
              </m:sub>
            </m:sSub>
          </m:e>
        </m:nary>
        <m:r>
          <m:rPr>
            <m:sty m:val="p"/>
          </m:rPr>
          <m:t>=</m:t>
        </m:r>
        <m:r>
          <m:t>Y</m:t>
        </m:r>
      </m:oMath>
      <w:r>
        <w:t xml:space="preserve">, es decir, al total poblacional.</w:t>
      </w:r>
    </w:p>
    <w:p>
      <w:pPr>
        <w:pStyle w:val="BodyText"/>
      </w:pPr>
      <w:r>
        <w:t xml:space="preserve">De forma similar, para la media poblacional se utiliza</w:t>
      </w:r>
      <w:r>
        <w:t xml:space="preserve"> </w:t>
      </w:r>
      <m:oMath>
        <m:sSub>
          <m:e>
            <m:r>
              <m:t>z</m:t>
            </m:r>
          </m:e>
          <m:sub>
            <m:r>
              <m:t>k</m:t>
            </m:r>
          </m:sub>
        </m:sSub>
        <m:r>
          <m:rPr>
            <m:sty m:val="p"/>
          </m:rPr>
          <m:t>(</m:t>
        </m:r>
        <m:r>
          <m:t>θ</m:t>
        </m:r>
        <m:r>
          <m:rPr>
            <m:sty m:val="p"/>
          </m:rPr>
          <m:t>)</m:t>
        </m:r>
        <m:r>
          <m:rPr>
            <m:sty m:val="p"/>
          </m:rPr>
          <m:t>=</m:t>
        </m:r>
        <m:sSub>
          <m:e>
            <m:r>
              <m:t>y</m:t>
            </m:r>
          </m:e>
          <m:sub>
            <m:r>
              <m:t>k</m:t>
            </m:r>
          </m:sub>
        </m:sSub>
        <m:r>
          <m:rPr>
            <m:sty m:val="p"/>
          </m:rPr>
          <m:t>−</m:t>
        </m:r>
        <m:r>
          <m:t>θ</m:t>
        </m:r>
      </m:oMath>
      <w:r>
        <w:t xml:space="preserve">, y la ecuación</w:t>
      </w:r>
      <w:r>
        <w:t xml:space="preserve"> </w:t>
      </w:r>
      <m:oMath>
        <m:nary>
          <m:naryPr>
            <m:chr m:val="∑"/>
            <m:limLoc m:val="undOvr"/>
            <m:subHide m:val="off"/>
            <m:supHide m:val="on"/>
          </m:naryPr>
          <m:sub>
            <m:r>
              <m:t>k</m:t>
            </m:r>
            <m:r>
              <m:rPr>
                <m:sty m:val="p"/>
              </m:rPr>
              <m:t>∈</m:t>
            </m:r>
            <m:r>
              <m:t>U</m:t>
            </m:r>
          </m:sub>
          <m:sup>
            <m:r>
              <m:t>​</m:t>
            </m:r>
          </m:sup>
          <m:e>
            <m:r>
              <m:rPr>
                <m:sty m:val="p"/>
              </m:rPr>
              <m:t>(</m:t>
            </m:r>
          </m:e>
        </m:nary>
        <m:sSub>
          <m:e>
            <m:r>
              <m:t>y</m:t>
            </m:r>
          </m:e>
          <m:sub>
            <m:r>
              <m:t>k</m:t>
            </m:r>
          </m:sub>
        </m:sSub>
        <m:r>
          <m:rPr>
            <m:sty m:val="p"/>
          </m:rPr>
          <m:t>−</m:t>
        </m:r>
        <m:r>
          <m:t>θ</m:t>
        </m:r>
        <m:r>
          <m:rPr>
            <m:sty m:val="p"/>
          </m:rPr>
          <m:t>)</m:t>
        </m:r>
        <m:r>
          <m:rPr>
            <m:sty m:val="p"/>
          </m:rPr>
          <m:t>=</m:t>
        </m:r>
        <m:r>
          <m:t>0</m:t>
        </m:r>
      </m:oMath>
      <w:r>
        <w:t xml:space="preserve"> </w:t>
      </w:r>
      <w:r>
        <w:t xml:space="preserve">tiene como solución</w:t>
      </w:r>
      <w:r>
        <w:t xml:space="preserve"> </w:t>
      </w:r>
      <m:oMath>
        <m:r>
          <m:t>θ</m:t>
        </m:r>
        <m:r>
          <m:rPr>
            <m:sty m:val="p"/>
          </m:rPr>
          <m:t>=</m:t>
        </m:r>
        <m:d>
          <m:dPr>
            <m:begChr m:val="("/>
            <m:sepChr m:val=""/>
            <m:endChr m:val=")"/>
            <m:grow/>
          </m:dPr>
          <m:e>
            <m:nary>
              <m:naryPr>
                <m:chr m:val="∑"/>
                <m:limLoc m:val="undOvr"/>
                <m:subHide m:val="off"/>
                <m:supHide m:val="on"/>
              </m:naryPr>
              <m:sub>
                <m:r>
                  <m:t>k</m:t>
                </m:r>
                <m:r>
                  <m:rPr>
                    <m:sty m:val="p"/>
                  </m:rPr>
                  <m:t>∈</m:t>
                </m:r>
                <m:r>
                  <m:t>U</m:t>
                </m:r>
              </m:sub>
              <m:sup>
                <m:r>
                  <m:t>​</m:t>
                </m:r>
              </m:sup>
              <m:e>
                <m:sSub>
                  <m:e>
                    <m:r>
                      <m:t>y</m:t>
                    </m:r>
                  </m:e>
                  <m:sub>
                    <m:r>
                      <m:t>k</m:t>
                    </m:r>
                  </m:sub>
                </m:sSub>
              </m:e>
            </m:nary>
          </m:e>
        </m:d>
        <m:r>
          <m:rPr>
            <m:sty m:val="p"/>
          </m:rPr>
          <m:t>/</m:t>
        </m:r>
        <m:r>
          <m:t>N</m:t>
        </m:r>
        <m:r>
          <m:rPr>
            <m:sty m:val="p"/>
          </m:rPr>
          <m:t>=</m:t>
        </m:r>
        <m:bar>
          <m:barPr>
            <m:pos m:val="top"/>
          </m:barPr>
          <m:e>
            <m:r>
              <m:t>Y</m:t>
            </m:r>
          </m:e>
        </m:bar>
      </m:oMath>
      <w:r>
        <w:t xml:space="preserve">, correspondiente a la media de la población. Asimismo, en el caso de las razones de totales, se define</w:t>
      </w:r>
      <w:r>
        <w:t xml:space="preserve"> </w:t>
      </w:r>
      <m:oMath>
        <m:sSub>
          <m:e>
            <m:r>
              <m:t>z</m:t>
            </m:r>
          </m:e>
          <m:sub>
            <m:r>
              <m:t>k</m:t>
            </m:r>
          </m:sub>
        </m:sSub>
        <m:r>
          <m:rPr>
            <m:sty m:val="p"/>
          </m:rPr>
          <m:t>(</m:t>
        </m:r>
        <m:r>
          <m:t>θ</m:t>
        </m:r>
        <m:r>
          <m:rPr>
            <m:sty m:val="p"/>
          </m:rPr>
          <m:t>)</m:t>
        </m:r>
        <m:r>
          <m:rPr>
            <m:sty m:val="p"/>
          </m:rPr>
          <m:t>=</m:t>
        </m:r>
        <m:sSub>
          <m:e>
            <m:r>
              <m:t>y</m:t>
            </m:r>
          </m:e>
          <m:sub>
            <m:r>
              <m:t>k</m:t>
            </m:r>
          </m:sub>
        </m:sSub>
        <m:r>
          <m:rPr>
            <m:sty m:val="p"/>
          </m:rPr>
          <m:t>−</m:t>
        </m:r>
        <m:r>
          <m:t>θ</m:t>
        </m:r>
        <m:sSub>
          <m:e>
            <m:r>
              <m:t>x</m:t>
            </m:r>
          </m:e>
          <m:sub>
            <m:r>
              <m:t>k</m:t>
            </m:r>
          </m:sub>
        </m:sSub>
      </m:oMath>
      <w:r>
        <w:t xml:space="preserve">. Así, la ecuación</w:t>
      </w:r>
      <w:r>
        <w:t xml:space="preserve"> </w:t>
      </w:r>
      <m:oMath>
        <m:nary>
          <m:naryPr>
            <m:chr m:val="∑"/>
            <m:limLoc m:val="undOvr"/>
            <m:subHide m:val="off"/>
            <m:supHide m:val="on"/>
          </m:naryPr>
          <m:sub>
            <m:r>
              <m:t>k</m:t>
            </m:r>
            <m:r>
              <m:rPr>
                <m:sty m:val="p"/>
              </m:rPr>
              <m:t>∈</m:t>
            </m:r>
            <m:r>
              <m:t>U</m:t>
            </m:r>
          </m:sub>
          <m:sup>
            <m:r>
              <m:t>​</m:t>
            </m:r>
          </m:sup>
          <m:e>
            <m:r>
              <m:rPr>
                <m:sty m:val="p"/>
              </m:rPr>
              <m:t>(</m:t>
            </m:r>
          </m:e>
        </m:nary>
        <m:sSub>
          <m:e>
            <m:r>
              <m:t>y</m:t>
            </m:r>
          </m:e>
          <m:sub>
            <m:r>
              <m:t>k</m:t>
            </m:r>
          </m:sub>
        </m:sSub>
        <m:r>
          <m:rPr>
            <m:sty m:val="p"/>
          </m:rPr>
          <m:t>−</m:t>
        </m:r>
        <m:r>
          <m:t>θ</m:t>
        </m:r>
        <m:sSub>
          <m:e>
            <m:r>
              <m:t>x</m:t>
            </m:r>
          </m:e>
          <m:sub>
            <m:r>
              <m:t>k</m:t>
            </m:r>
          </m:sub>
        </m:sSub>
        <m:r>
          <m:rPr>
            <m:sty m:val="p"/>
          </m:rPr>
          <m:t>)</m:t>
        </m:r>
        <m:r>
          <m:rPr>
            <m:sty m:val="p"/>
          </m:rPr>
          <m:t>=</m:t>
        </m:r>
        <m:r>
          <m:t>0</m:t>
        </m:r>
      </m:oMath>
      <w:r>
        <w:t xml:space="preserve"> </w:t>
      </w:r>
      <w:r>
        <w:t xml:space="preserve">conduce a la solución</w:t>
      </w:r>
      <w:r>
        <w:t xml:space="preserve"> </w:t>
      </w:r>
      <m:oMath>
        <m:r>
          <m:t>θ</m:t>
        </m:r>
        <m:r>
          <m:rPr>
            <m:sty m:val="p"/>
          </m:rPr>
          <m:t>=</m:t>
        </m:r>
        <m:f>
          <m:fPr>
            <m:type m:val="bar"/>
          </m:fPr>
          <m:num>
            <m:nary>
              <m:naryPr>
                <m:chr m:val="∑"/>
                <m:limLoc m:val="undOvr"/>
                <m:subHide m:val="off"/>
                <m:supHide m:val="on"/>
              </m:naryPr>
              <m:sub>
                <m:r>
                  <m:t>k</m:t>
                </m:r>
                <m:r>
                  <m:rPr>
                    <m:sty m:val="p"/>
                  </m:rPr>
                  <m:t>∈</m:t>
                </m:r>
                <m:r>
                  <m:t>U</m:t>
                </m:r>
              </m:sub>
              <m:sup>
                <m:r>
                  <m:t>​</m:t>
                </m:r>
              </m:sup>
              <m:e>
                <m:sSub>
                  <m:e>
                    <m:r>
                      <m:t>y</m:t>
                    </m:r>
                  </m:e>
                  <m:sub>
                    <m:r>
                      <m:t>k</m:t>
                    </m:r>
                  </m:sub>
                </m:sSub>
              </m:e>
            </m:nary>
          </m:num>
          <m:den>
            <m:nary>
              <m:naryPr>
                <m:chr m:val="∑"/>
                <m:limLoc m:val="undOvr"/>
                <m:subHide m:val="off"/>
                <m:supHide m:val="on"/>
              </m:naryPr>
              <m:sub>
                <m:r>
                  <m:t>k</m:t>
                </m:r>
                <m:r>
                  <m:rPr>
                    <m:sty m:val="p"/>
                  </m:rPr>
                  <m:t>∈</m:t>
                </m:r>
                <m:r>
                  <m:t>U</m:t>
                </m:r>
              </m:sub>
              <m:sup>
                <m:r>
                  <m:t>​</m:t>
                </m:r>
              </m:sup>
              <m:e>
                <m:sSub>
                  <m:e>
                    <m:r>
                      <m:t>x</m:t>
                    </m:r>
                  </m:e>
                  <m:sub>
                    <m:r>
                      <m:t>k</m:t>
                    </m:r>
                  </m:sub>
                </m:sSub>
              </m:e>
            </m:nary>
          </m:den>
        </m:f>
        <m:r>
          <m:rPr>
            <m:sty m:val="p"/>
          </m:rPr>
          <m:t>=</m:t>
        </m:r>
        <m:r>
          <m:t>R</m:t>
        </m:r>
      </m:oMath>
      <w:r>
        <w:t xml:space="preserve">, que corresponde a la razón poblacional entre los totales de las variables</w:t>
      </w:r>
      <w:r>
        <w:t xml:space="preserve"> </w:t>
      </w:r>
      <m:oMath>
        <m:r>
          <m:t>y</m:t>
        </m:r>
      </m:oMath>
      <w:r>
        <w:t xml:space="preserve"> </w:t>
      </w:r>
      <w:r>
        <w:t xml:space="preserve">y</w:t>
      </w:r>
      <w:r>
        <w:t xml:space="preserve"> </w:t>
      </w:r>
      <m:oMath>
        <m:r>
          <m:t>x</m:t>
        </m:r>
      </m:oMath>
      <w:r>
        <w:t xml:space="preserve">. Estas formulaciones muestran cómo distintos parámetros de interés pueden expresarse mediante ecuaciones de estimación que comparten una estructura común.</w:t>
      </w:r>
    </w:p>
    <w:p>
      <w:pPr>
        <w:pStyle w:val="BodyText"/>
      </w:pPr>
      <w:r>
        <w:t xml:space="preserve">La idea de definir parámetros poblacionales como soluciones de ecuaciones de estimación a nivel de población conduce naturalmente a un método general para obtener los estimadores muestrales. En este caso, se utilizan ecuaciones de la forma:</w:t>
      </w:r>
    </w:p>
    <w:p>
      <w:pPr>
        <w:pStyle w:val="BodyText"/>
      </w:pPr>
      <m:oMathPara>
        <m:oMathParaPr>
          <m:jc m:val="center"/>
        </m:oMathParaPr>
        <m:oMath>
          <m:nary>
            <m:naryPr>
              <m:chr m:val="∑"/>
              <m:limLoc m:val="undOvr"/>
              <m:subHide m:val="off"/>
              <m:supHide m:val="on"/>
            </m:naryPr>
            <m:sub>
              <m:r>
                <m:t>k</m:t>
              </m:r>
              <m:r>
                <m:rPr>
                  <m:sty m:val="p"/>
                </m:rPr>
                <m:t>∈</m:t>
              </m:r>
              <m:r>
                <m:t>s</m:t>
              </m:r>
            </m:sub>
            <m:sup>
              <m:r>
                <m:t>​</m:t>
              </m:r>
            </m:sup>
            <m:e>
              <m:sSub>
                <m:e>
                  <m:r>
                    <m:t>w</m:t>
                  </m:r>
                </m:e>
                <m:sub>
                  <m:r>
                    <m:t>k</m:t>
                  </m:r>
                </m:sub>
              </m:sSub>
            </m:e>
          </m:nary>
          <m:r>
            <m:t> </m:t>
          </m:r>
          <m:sSub>
            <m:e>
              <m:r>
                <m:t>z</m:t>
              </m:r>
            </m:e>
            <m:sub>
              <m:r>
                <m:t>k</m:t>
              </m:r>
            </m:sub>
          </m:sSub>
          <m:r>
            <m:rPr>
              <m:sty m:val="p"/>
            </m:rPr>
            <m:t>(</m:t>
          </m:r>
          <m:r>
            <m:t>θ</m:t>
          </m:r>
          <m:r>
            <m:rPr>
              <m:sty m:val="p"/>
            </m:rPr>
            <m:t>)</m:t>
          </m:r>
          <m:r>
            <m:rPr>
              <m:sty m:val="p"/>
            </m:rPr>
            <m:t>=</m:t>
          </m:r>
          <m:r>
            <m:t>0</m:t>
          </m:r>
          <m:r>
            <m:rPr>
              <m:sty m:val="p"/>
            </m:rPr>
            <m:t>,</m:t>
          </m:r>
        </m:oMath>
      </m:oMathPara>
    </w:p>
    <w:p>
      <w:pPr>
        <w:pStyle w:val="FirstParagraph"/>
      </w:pPr>
      <w:r>
        <w:t xml:space="preserve">donde</w:t>
      </w:r>
      <w:r>
        <w:t xml:space="preserve"> </w:t>
      </w:r>
      <m:oMath>
        <m:sSub>
          <m:e>
            <m:r>
              <m:t>w</m:t>
            </m:r>
          </m:e>
          <m:sub>
            <m:r>
              <m:t>k</m:t>
            </m:r>
          </m:sub>
        </m:sSub>
      </m:oMath>
      <w:r>
        <w:t xml:space="preserve"> </w:t>
      </w:r>
      <w:r>
        <w:t xml:space="preserve">son los factores de expansión y</w:t>
      </w:r>
      <w:r>
        <w:t xml:space="preserve"> </w:t>
      </w:r>
      <m:oMath>
        <m:sSub>
          <m:e>
            <m:r>
              <m:t>z</m:t>
            </m:r>
          </m:e>
          <m:sub>
            <m:r>
              <m:t>k</m:t>
            </m:r>
          </m:sub>
        </m:sSub>
        <m:r>
          <m:rPr>
            <m:sty m:val="p"/>
          </m:rPr>
          <m:t>(</m:t>
        </m:r>
        <m:r>
          <m:t>θ</m:t>
        </m:r>
        <m:r>
          <m:rPr>
            <m:sty m:val="p"/>
          </m:rPr>
          <m:t>)</m:t>
        </m:r>
      </m:oMath>
      <w:r>
        <w:t xml:space="preserve"> </w:t>
      </w:r>
      <w:r>
        <w:t xml:space="preserve">la función de estimación evaluada para cada unidad de la muestra. Bajo un muestreo probabilístico y asumiendo respuesta completa, la suma muestral</w:t>
      </w:r>
      <w:r>
        <w:t xml:space="preserve"> </w:t>
      </w:r>
      <m:oMath>
        <m:nary>
          <m:naryPr>
            <m:chr m:val="∑"/>
            <m:limLoc m:val="undOvr"/>
            <m:subHide m:val="off"/>
            <m:supHide m:val="on"/>
          </m:naryPr>
          <m:sub>
            <m:r>
              <m:t>k</m:t>
            </m:r>
            <m:r>
              <m:rPr>
                <m:sty m:val="p"/>
              </m:rPr>
              <m:t>∈</m:t>
            </m:r>
            <m:r>
              <m:t>s</m:t>
            </m:r>
          </m:sub>
          <m:sup>
            <m:r>
              <m:t>​</m:t>
            </m:r>
          </m:sup>
          <m:e>
            <m:sSub>
              <m:e>
                <m:r>
                  <m:t>d</m:t>
                </m:r>
              </m:e>
              <m:sub>
                <m:r>
                  <m:t>k</m:t>
                </m:r>
              </m:sub>
            </m:sSub>
          </m:e>
        </m:nary>
        <m:r>
          <m:t> </m:t>
        </m:r>
        <m:sSub>
          <m:e>
            <m:r>
              <m:t>z</m:t>
            </m:r>
          </m:e>
          <m:sub>
            <m:r>
              <m:t>k</m:t>
            </m:r>
          </m:sub>
        </m:sSub>
        <m:r>
          <m:rPr>
            <m:sty m:val="p"/>
          </m:rPr>
          <m:t>(</m:t>
        </m:r>
        <m:r>
          <m:t>θ</m:t>
        </m:r>
        <m:r>
          <m:rPr>
            <m:sty m:val="p"/>
          </m:rPr>
          <m:t>)</m:t>
        </m:r>
      </m:oMath>
      <w:r>
        <w:t xml:space="preserve"> </w:t>
      </w:r>
      <w:r>
        <w:t xml:space="preserve">es insesgada respecto a su análoga poblacional, lo que garantiza que las soluciones de estas ecuaciones sean estimadores consistentes de los parámetros poblacionales.</w:t>
      </w:r>
    </w:p>
    <w:bookmarkEnd w:id="20"/>
    <w:bookmarkStart w:id="21" w:name="linealizacion-de-taylor"/>
    <w:p>
      <w:pPr>
        <w:pStyle w:val="Heading4"/>
      </w:pPr>
      <w:r>
        <w:t xml:space="preserve">2.3.2.2 Linealización de Taylor</w:t>
      </w:r>
    </w:p>
    <w:p>
      <w:pPr>
        <w:pStyle w:val="FirstParagraph"/>
      </w:pPr>
      <w:r>
        <w:t xml:space="preserve">Esta técnica permite aproximar la varianza de estimadores no lineales. El procedimiento consiste en aplicar una expansión de Taylor de primer orden alrededor del parámetro estimado, con el fin de reemplazar el estimador no lineal por una expresión lineal. De esta manera, se facilita el cálculo de varianzas en situaciones donde no existen fórmulas exactas o su derivación resulta demasiado compleja. Un estimador consistente de la varianza, derivado mediante linealización de Taylor para soluciones de ecuaciones de estimación muestrales, puede expresarse como:</w:t>
      </w:r>
    </w:p>
    <w:p>
      <w:pPr>
        <w:pStyle w:val="BodyText"/>
      </w:pPr>
      <m:oMathPara>
        <m:oMathParaPr>
          <m:jc m:val="center"/>
        </m:oMathParaPr>
        <m:oMath>
          <m:acc>
            <m:accPr>
              <m:chr m:val="̂"/>
            </m:accPr>
            <m:e>
              <m:r>
                <m:t>V</m:t>
              </m:r>
              <m:r>
                <m:t>a</m:t>
              </m:r>
              <m:r>
                <m:t>r</m:t>
              </m:r>
            </m:e>
          </m:acc>
          <m:r>
            <m:rPr>
              <m:sty m:val="p"/>
            </m:rPr>
            <m:t>(</m:t>
          </m:r>
          <m:acc>
            <m:accPr>
              <m:chr m:val="̂"/>
            </m:accPr>
            <m:e>
              <m:r>
                <m:t>θ</m:t>
              </m:r>
            </m:e>
          </m:acc>
          <m:r>
            <m:rPr>
              <m:sty m:val="p"/>
            </m:rPr>
            <m:t>)</m:t>
          </m:r>
          <m:r>
            <m:rPr>
              <m:sty m:val="p"/>
            </m:rPr>
            <m:t>≈</m:t>
          </m:r>
          <m:r>
            <m:rPr>
              <m:sty m:val="p"/>
            </m:rPr>
            <m:t>[</m:t>
          </m:r>
          <m:acc>
            <m:accPr>
              <m:chr m:val="̂"/>
            </m:accPr>
            <m:e>
              <m:r>
                <m:t>J</m:t>
              </m:r>
            </m:e>
          </m:acc>
          <m:r>
            <m:rPr>
              <m:sty m:val="p"/>
            </m:rPr>
            <m:t>(</m:t>
          </m:r>
          <m:acc>
            <m:accPr>
              <m:chr m:val="̂"/>
            </m:accPr>
            <m:e>
              <m:r>
                <m:t>θ</m:t>
              </m:r>
            </m:e>
          </m:acc>
          <m:r>
            <m:rPr>
              <m:sty m:val="p"/>
            </m:rPr>
            <m:t>)</m:t>
          </m:r>
          <m:sSup>
            <m:e>
              <m:r>
                <m:rPr>
                  <m:sty m:val="p"/>
                </m:rPr>
                <m:t>]</m:t>
              </m:r>
            </m:e>
            <m:sup>
              <m:r>
                <m:rPr>
                  <m:sty m:val="p"/>
                </m:rPr>
                <m:t>−</m:t>
              </m:r>
              <m:r>
                <m:t>1</m:t>
              </m:r>
            </m:sup>
          </m:sSup>
          <m:r>
            <m:t> </m:t>
          </m:r>
          <m:sSub>
            <m:e>
              <m:acc>
                <m:accPr>
                  <m:chr m:val="̂"/>
                </m:accPr>
                <m:e>
                  <m:r>
                    <m:t>V</m:t>
                  </m:r>
                  <m:r>
                    <m:t>a</m:t>
                  </m:r>
                  <m:r>
                    <m:t>r</m:t>
                  </m:r>
                </m:e>
              </m:acc>
            </m:e>
            <m:sub>
              <m:r>
                <m:t>p</m:t>
              </m:r>
            </m:sub>
          </m:sSub>
          <m:d>
            <m:dPr>
              <m:begChr m:val="["/>
              <m:sepChr m:val=""/>
              <m:endChr m:val="]"/>
              <m:grow/>
            </m:dPr>
            <m:e>
              <m:nary>
                <m:naryPr>
                  <m:chr m:val="∑"/>
                  <m:limLoc m:val="undOvr"/>
                  <m:subHide m:val="off"/>
                  <m:supHide m:val="on"/>
                </m:naryPr>
                <m:sub>
                  <m:r>
                    <m:t>k</m:t>
                  </m:r>
                  <m:r>
                    <m:rPr>
                      <m:sty m:val="p"/>
                    </m:rPr>
                    <m:t>∈</m:t>
                  </m:r>
                  <m:r>
                    <m:t>s</m:t>
                  </m:r>
                </m:sub>
                <m:sup>
                  <m:r>
                    <m:t>​</m:t>
                  </m:r>
                </m:sup>
                <m:e>
                  <m:sSub>
                    <m:e>
                      <m:r>
                        <m:t>w</m:t>
                      </m:r>
                    </m:e>
                    <m:sub>
                      <m:r>
                        <m:t>k</m:t>
                      </m:r>
                    </m:sub>
                  </m:sSub>
                </m:e>
              </m:nary>
              <m:r>
                <m:t> </m:t>
              </m:r>
              <m:sSub>
                <m:e>
                  <m:r>
                    <m:t>z</m:t>
                  </m:r>
                </m:e>
                <m:sub>
                  <m:r>
                    <m:t>k</m:t>
                  </m:r>
                </m:sub>
              </m:sSub>
              <m:r>
                <m:rPr>
                  <m:sty m:val="p"/>
                </m:rPr>
                <m:t>(</m:t>
              </m:r>
              <m:acc>
                <m:accPr>
                  <m:chr m:val="̂"/>
                </m:accPr>
                <m:e>
                  <m:r>
                    <m:t>θ</m:t>
                  </m:r>
                </m:e>
              </m:acc>
              <m:r>
                <m:rPr>
                  <m:sty m:val="p"/>
                </m:rPr>
                <m:t>)</m:t>
              </m:r>
            </m:e>
          </m:d>
          <m:r>
            <m:t> </m:t>
          </m:r>
          <m:r>
            <m:rPr>
              <m:sty m:val="p"/>
            </m:rPr>
            <m:t>[</m:t>
          </m:r>
          <m:acc>
            <m:accPr>
              <m:chr m:val="̂"/>
            </m:accPr>
            <m:e>
              <m:r>
                <m:t>J</m:t>
              </m:r>
            </m:e>
          </m:acc>
          <m:r>
            <m:rPr>
              <m:sty m:val="p"/>
            </m:rPr>
            <m:t>(</m:t>
          </m:r>
          <m:acc>
            <m:accPr>
              <m:chr m:val="̂"/>
            </m:accPr>
            <m:e>
              <m:r>
                <m:t>θ</m:t>
              </m:r>
            </m:e>
          </m:acc>
          <m:r>
            <m:rPr>
              <m:sty m:val="p"/>
            </m:rPr>
            <m:t>)</m:t>
          </m:r>
          <m:sSup>
            <m:e>
              <m:r>
                <m:rPr>
                  <m:sty m:val="p"/>
                </m:rPr>
                <m:t>]</m:t>
              </m:r>
            </m:e>
            <m:sup>
              <m:r>
                <m:rPr>
                  <m:sty m:val="p"/>
                </m:rPr>
                <m:t>−</m:t>
              </m:r>
              <m:r>
                <m:t>1</m:t>
              </m:r>
            </m:sup>
          </m:sSup>
        </m:oMath>
      </m:oMathPara>
    </w:p>
    <w:p>
      <w:pPr>
        <w:pStyle w:val="FirstParagraph"/>
      </w:pPr>
      <w:r>
        <w:t xml:space="preserve">donde</w:t>
      </w:r>
      <w:r>
        <w:t xml:space="preserve"> </w:t>
      </w:r>
      <m:oMath>
        <m:acc>
          <m:accPr>
            <m:chr m:val="̂"/>
          </m:accPr>
          <m:e>
            <m:r>
              <m:t>J</m:t>
            </m:r>
          </m:e>
        </m:acc>
        <m:r>
          <m:rPr>
            <m:sty m:val="p"/>
          </m:rPr>
          <m:t>(</m:t>
        </m:r>
        <m:acc>
          <m:accPr>
            <m:chr m:val="̂"/>
          </m:accPr>
          <m:e>
            <m:r>
              <m:t>θ</m:t>
            </m:r>
          </m:e>
        </m:acc>
        <m:r>
          <m:rPr>
            <m:sty m:val="p"/>
          </m:rPr>
          <m:t>)</m:t>
        </m:r>
        <m:r>
          <m:rPr>
            <m:sty m:val="p"/>
          </m:rPr>
          <m:t>=</m:t>
        </m:r>
        <m:nary>
          <m:naryPr>
            <m:chr m:val="∑"/>
            <m:limLoc m:val="undOvr"/>
            <m:subHide m:val="off"/>
            <m:supHide m:val="on"/>
          </m:naryPr>
          <m:sub>
            <m:r>
              <m:t>k</m:t>
            </m:r>
            <m:r>
              <m:rPr>
                <m:sty m:val="p"/>
              </m:rPr>
              <m:t>∈</m:t>
            </m:r>
            <m:r>
              <m:t>s</m:t>
            </m:r>
          </m:sub>
          <m:sup>
            <m:r>
              <m:t>​</m:t>
            </m:r>
          </m:sup>
          <m:e>
            <m:sSub>
              <m:e>
                <m:r>
                  <m:t>w</m:t>
                </m:r>
              </m:e>
              <m:sub>
                <m:r>
                  <m:t>k</m:t>
                </m:r>
              </m:sub>
            </m:sSub>
          </m:e>
        </m:nary>
        <m:sSub>
          <m:e>
            <m:d>
              <m:dPr>
                <m:begChr m:val="["/>
                <m:sepChr m:val=""/>
                <m:endChr m:val="]"/>
                <m:grow/>
              </m:dPr>
              <m:e>
                <m:f>
                  <m:fPr>
                    <m:type m:val="bar"/>
                  </m:fPr>
                  <m:num>
                    <m:r>
                      <m:rPr>
                        <m:sty m:val="p"/>
                      </m:rPr>
                      <m:t>∂</m:t>
                    </m:r>
                    <m:sSub>
                      <m:e>
                        <m:r>
                          <m:t>z</m:t>
                        </m:r>
                      </m:e>
                      <m:sub>
                        <m:r>
                          <m:t>k</m:t>
                        </m:r>
                      </m:sub>
                    </m:sSub>
                    <m:r>
                      <m:rPr>
                        <m:sty m:val="p"/>
                      </m:rPr>
                      <m:t>(</m:t>
                    </m:r>
                    <m:r>
                      <m:t>θ</m:t>
                    </m:r>
                    <m:r>
                      <m:rPr>
                        <m:sty m:val="p"/>
                      </m:rPr>
                      <m:t>)</m:t>
                    </m:r>
                  </m:num>
                  <m:den>
                    <m:r>
                      <m:rPr>
                        <m:sty m:val="p"/>
                      </m:rPr>
                      <m:t>∂</m:t>
                    </m:r>
                    <m:r>
                      <m:t>θ</m:t>
                    </m:r>
                  </m:den>
                </m:f>
              </m:e>
            </m:d>
          </m:e>
          <m:sub>
            <m:r>
              <m:t>θ</m:t>
            </m:r>
            <m:r>
              <m:rPr>
                <m:sty m:val="p"/>
              </m:rPr>
              <m:t>=</m:t>
            </m:r>
            <m:acc>
              <m:accPr>
                <m:chr m:val="̂"/>
              </m:accPr>
              <m:e>
                <m:r>
                  <m:t>θ</m:t>
                </m:r>
              </m:e>
            </m:acc>
          </m:sub>
        </m:sSub>
      </m:oMath>
      <w:r>
        <w:t xml:space="preserve">. Este resultado muestra cómo la linealización de Taylor convierte la estimación de varianzas de parámetros complejos en un problema de estimación de totales, lo que explica su amplia adopción en software especializado para el análisis de encuestas.</w:t>
      </w:r>
    </w:p>
    <w:bookmarkEnd w:id="21"/>
    <w:bookmarkStart w:id="22" w:name="ultimo-conglomerado"/>
    <w:p>
      <w:pPr>
        <w:pStyle w:val="Heading4"/>
      </w:pPr>
      <w:r>
        <w:t xml:space="preserve">2.3.2.3 Último conglomerado</w:t>
      </w:r>
    </w:p>
    <w:p>
      <w:pPr>
        <w:pStyle w:val="FirstParagraph"/>
      </w:pPr>
      <w:r>
        <w:t xml:space="preserve">El método del último conglomerado constituye un enfoque directo y robusto para estimar la varianza de totales en encuestas que emplean diseños de muestreo por conglomerados estratificados en múltiples etapas. Propuesto por</w:t>
      </w:r>
      <w:r>
        <w:t xml:space="preserve"> </w:t>
      </w:r>
      <w:r>
        <w:t xml:space="preserve">Hansen et al.</w:t>
      </w:r>
      <w:r>
        <w:t xml:space="preserve"> </w:t>
      </w:r>
      <w:r>
        <w:t xml:space="preserve">(1953)</w:t>
      </w:r>
      <w:r>
        <w:t xml:space="preserve">, este método simplifica la complejidad de los diseños multinivel al centrarse únicamente en la variación entre las Unidades Primarias de Muestreo (UPM). Se asume que, dentro de cada estrato de muestreo, las UPM fueron seleccionadas de manera independiente con reemplazo (posiblemente con probabilidades desiguales), aunque en la práctica la selección suele realizarse sin reemplazo.</w:t>
      </w:r>
    </w:p>
    <w:p>
      <w:pPr>
        <w:pStyle w:val="BodyText"/>
      </w:pPr>
      <w:r>
        <w:t xml:space="preserve">El método se basa en la variación entre las estadísticas calculadas a nivel de UPM. Cuando se aplica correctamente, refleja implícitamente cualquier submuestreo realizado dentro de las UPM, permitiendo estimaciones de varianza más simples pero confiables. Es especialmente útil en diseños complejos que incluyen estratificación y probabilidades desiguales de selección tanto de UPM como de unidades de niveles inferiores (hogares e individuos). Los requisitos para aplicar este método incluyen la disponibilidad de estimaciones insesgadas de totales para las variables de interés en cada UPM seleccionada. Además, si la muestra se estratifica en la primera etapa, es necesario contar con al menos dos UPM disponibles por estrato, ya que esto permite estimar adecuadamente la variabilidad entre conglomerados dentro de cada estrato.</w:t>
      </w:r>
    </w:p>
    <w:p>
      <w:pPr>
        <w:pStyle w:val="BodyText"/>
      </w:pPr>
      <w:r>
        <w:t xml:space="preserve">De esta forma, considere un diseño de muestreo en múltiples etapas donde se seleccionan</w:t>
      </w:r>
      <w:r>
        <w:t xml:space="preserve"> </w:t>
      </w:r>
      <m:oMath>
        <m:sSub>
          <m:e>
            <m:r>
              <m:t>n</m:t>
            </m:r>
          </m:e>
          <m:sub>
            <m:r>
              <m:t>h</m:t>
            </m:r>
          </m:sub>
        </m:sSub>
      </m:oMath>
      <w:r>
        <w:t xml:space="preserve"> </w:t>
      </w:r>
      <w:r>
        <w:t xml:space="preserve">UPM en el estrato</w:t>
      </w:r>
      <w:r>
        <w:t xml:space="preserve"> </w:t>
      </w:r>
      <m:oMath>
        <m:r>
          <m:t>h</m:t>
        </m:r>
      </m:oMath>
      <w:r>
        <w:t xml:space="preserve">, (</w:t>
      </w:r>
      <m:oMath>
        <m:r>
          <m:t>h</m:t>
        </m:r>
        <m:r>
          <m:rPr>
            <m:sty m:val="p"/>
          </m:rPr>
          <m:t>=</m:t>
        </m:r>
        <m:r>
          <m:t>1</m:t>
        </m:r>
        <m:r>
          <m:rPr>
            <m:sty m:val="p"/>
          </m:rPr>
          <m:t>,</m:t>
        </m:r>
        <m:r>
          <m:rPr>
            <m:sty m:val="p"/>
          </m:rPr>
          <m:t>…</m:t>
        </m:r>
        <m:r>
          <m:rPr>
            <m:sty m:val="p"/>
          </m:rPr>
          <m:t>,</m:t>
        </m:r>
        <m:r>
          <m:t>H</m:t>
        </m:r>
      </m:oMath>
      <w:r>
        <w:t xml:space="preserve">). Una estimación del total de la variable de interés en la UPM</w:t>
      </w:r>
      <w:r>
        <w:t xml:space="preserve"> </w:t>
      </w:r>
      <m:oMath>
        <m:r>
          <m:t>i</m:t>
        </m:r>
      </m:oMath>
      <w:r>
        <w:t xml:space="preserve"> </w:t>
      </w:r>
      <w:r>
        <w:t xml:space="preserve">del estrato</w:t>
      </w:r>
      <w:r>
        <w:t xml:space="preserve"> </w:t>
      </w:r>
      <m:oMath>
        <m:r>
          <m:t>h</m:t>
        </m:r>
      </m:oMath>
      <w:r>
        <w:t xml:space="preserve"> </w:t>
      </w:r>
      <w:r>
        <w:t xml:space="preserve">es:</w:t>
      </w:r>
    </w:p>
    <w:p>
      <w:pPr>
        <w:pStyle w:val="BodyText"/>
      </w:pPr>
      <m:oMathPara>
        <m:oMathParaPr>
          <m:jc m:val="center"/>
        </m:oMathParaPr>
        <m:oMath>
          <m:sSub>
            <m:e>
              <m:acc>
                <m:accPr>
                  <m:chr m:val="̂"/>
                </m:accPr>
                <m:e>
                  <m:r>
                    <m:t>t</m:t>
                  </m:r>
                </m:e>
              </m:acc>
            </m:e>
            <m:sub>
              <m:sSub>
                <m:e>
                  <m:r>
                    <m:t>y</m:t>
                  </m:r>
                </m:e>
                <m:sub>
                  <m:r>
                    <m:t>i</m:t>
                  </m:r>
                </m:sub>
              </m:sSub>
            </m:sub>
          </m:sSub>
          <m:r>
            <m:rPr>
              <m:sty m:val="p"/>
            </m:rPr>
            <m:t>=</m:t>
          </m:r>
          <m:nary>
            <m:naryPr>
              <m:chr m:val="∑"/>
              <m:limLoc m:val="undOvr"/>
              <m:subHide m:val="off"/>
              <m:supHide m:val="on"/>
            </m:naryPr>
            <m:sub>
              <m:r>
                <m:t>k</m:t>
              </m:r>
              <m:r>
                <m:rPr>
                  <m:sty m:val="p"/>
                </m:rPr>
                <m:t>∈</m:t>
              </m:r>
              <m:sSub>
                <m:e>
                  <m:r>
                    <m:t>s</m:t>
                  </m:r>
                </m:e>
                <m:sub>
                  <m:r>
                    <m:t>h</m:t>
                  </m:r>
                  <m:r>
                    <m:t>i</m:t>
                  </m:r>
                </m:sub>
              </m:sSub>
            </m:sub>
            <m:sup>
              <m:r>
                <m:t>​</m:t>
              </m:r>
            </m:sup>
            <m:e>
              <m:sSub>
                <m:e>
                  <m:r>
                    <m:t>w</m:t>
                  </m:r>
                </m:e>
                <m:sub>
                  <m:r>
                    <m:t>h</m:t>
                  </m:r>
                  <m:r>
                    <m:t>i</m:t>
                  </m:r>
                  <m:r>
                    <m:t>k</m:t>
                  </m:r>
                </m:sub>
              </m:sSub>
            </m:e>
          </m:nary>
          <m:r>
            <m:t> </m:t>
          </m:r>
          <m:sSub>
            <m:e>
              <m:r>
                <m:t>y</m:t>
              </m:r>
            </m:e>
            <m:sub>
              <m:r>
                <m:t>h</m:t>
              </m:r>
              <m:r>
                <m:t>i</m:t>
              </m:r>
              <m:r>
                <m:t>k</m:t>
              </m:r>
            </m:sub>
          </m:sSub>
        </m:oMath>
      </m:oMathPara>
    </w:p>
    <w:p>
      <w:pPr>
        <w:pStyle w:val="FirstParagraph"/>
      </w:pPr>
      <w:r>
        <w:t xml:space="preserve">En donde</w:t>
      </w:r>
      <w:r>
        <w:t xml:space="preserve"> </w:t>
      </w:r>
      <m:oMath>
        <m:sSub>
          <m:e>
            <m:r>
              <m:t>s</m:t>
            </m:r>
          </m:e>
          <m:sub>
            <m:r>
              <m:t>h</m:t>
            </m:r>
            <m:r>
              <m:t>i</m:t>
            </m:r>
          </m:sub>
        </m:sSub>
      </m:oMath>
      <w:r>
        <w:t xml:space="preserve"> </w:t>
      </w:r>
      <w:r>
        <w:t xml:space="preserve">corresponde a la muestra de unidades en la UPM</w:t>
      </w:r>
      <w:r>
        <w:t xml:space="preserve"> </w:t>
      </w:r>
      <m:oMath>
        <m:r>
          <m:t>i</m:t>
        </m:r>
      </m:oMath>
      <w:r>
        <w:t xml:space="preserve"> </w:t>
      </w:r>
      <w:r>
        <w:t xml:space="preserve">del estrato</w:t>
      </w:r>
      <w:r>
        <w:t xml:space="preserve"> </w:t>
      </w:r>
      <m:oMath>
        <m:r>
          <m:t>h</m:t>
        </m:r>
      </m:oMath>
      <w:r>
        <w:t xml:space="preserve">; por tanto, un estimador insesgado del total poblacional se expresaría como</w:t>
      </w:r>
    </w:p>
    <w:p>
      <w:pPr>
        <w:pStyle w:val="BodyText"/>
      </w:pPr>
      <m:oMathPara>
        <m:oMathParaPr>
          <m:jc m:val="center"/>
        </m:oMathParaPr>
        <m:oMath>
          <m:sSub>
            <m:e>
              <m:acc>
                <m:accPr>
                  <m:chr m:val="̂"/>
                </m:accPr>
                <m:e>
                  <m:r>
                    <m:t>t</m:t>
                  </m:r>
                </m:e>
              </m:acc>
            </m:e>
            <m:sub>
              <m:r>
                <m:t>y</m:t>
              </m:r>
            </m:sub>
          </m:sSub>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sSub>
                    <m:e>
                      <m:acc>
                        <m:accPr>
                          <m:chr m:val="̂"/>
                        </m:accPr>
                        <m:e>
                          <m:r>
                            <m:t>t</m:t>
                          </m:r>
                        </m:e>
                      </m:acc>
                    </m:e>
                    <m:sub>
                      <m:sSub>
                        <m:e>
                          <m:r>
                            <m:t>y</m:t>
                          </m:r>
                        </m:e>
                        <m:sub>
                          <m:r>
                            <m:t>i</m:t>
                          </m:r>
                        </m:sub>
                      </m:sSub>
                    </m:sub>
                  </m:sSub>
                </m:e>
              </m:nary>
            </m:e>
          </m:nary>
        </m:oMath>
      </m:oMathPara>
    </w:p>
    <w:p>
      <w:pPr>
        <w:pStyle w:val="FirstParagraph"/>
      </w:pPr>
      <w:r>
        <w:t xml:space="preserve">Según el método del último conglomerado, suponiendo que</w:t>
      </w:r>
      <w:r>
        <w:t xml:space="preserve"> </w:t>
      </w:r>
      <m:oMath>
        <m:sSub>
          <m:e>
            <m:acc>
              <m:accPr>
                <m:chr m:val="̂"/>
              </m:accPr>
              <m:e>
                <m:acc>
                  <m:accPr>
                    <m:chr m:val="‾"/>
                  </m:accPr>
                  <m:e>
                    <m:r>
                      <m:t>t</m:t>
                    </m:r>
                  </m:e>
                </m:acc>
              </m:e>
            </m:acc>
          </m:e>
          <m:sub>
            <m:sSub>
              <m:e>
                <m:r>
                  <m:t>y</m:t>
                </m:r>
              </m:e>
              <m:sub>
                <m:r>
                  <m:t>h</m:t>
                </m:r>
              </m:sub>
            </m:sSub>
          </m:sub>
        </m:sSub>
        <m:r>
          <m:rPr>
            <m:sty m:val="p"/>
          </m:rPr>
          <m:t>=</m:t>
        </m:r>
        <m:r>
          <m:rPr>
            <m:sty m:val="p"/>
          </m:rPr>
          <m:t>(</m:t>
        </m:r>
        <m:r>
          <m:t>1</m:t>
        </m:r>
        <m:r>
          <m:rPr>
            <m:sty m:val="p"/>
          </m:rPr>
          <m:t>/</m:t>
        </m:r>
        <m:sSub>
          <m:e>
            <m:r>
              <m:t>n</m:t>
            </m:r>
          </m:e>
          <m:sub>
            <m:r>
              <m:t>h</m:t>
            </m:r>
          </m:sub>
        </m:sSub>
        <m:r>
          <m:rPr>
            <m:sty m:val="p"/>
          </m:rPr>
          <m:t>)</m:t>
        </m:r>
        <m:nary>
          <m:naryPr>
            <m:chr m:val="∑"/>
            <m:limLoc m:val="undOvr"/>
            <m:subHide m:val="off"/>
            <m:supHide m:val="on"/>
          </m:naryPr>
          <m:sub>
            <m:r>
              <m:t>i</m:t>
            </m:r>
          </m:sub>
          <m:sup>
            <m:r>
              <m:t>​</m:t>
            </m:r>
          </m:sup>
          <m:e>
            <m:sSub>
              <m:e>
                <m:acc>
                  <m:accPr>
                    <m:chr m:val="̂"/>
                  </m:accPr>
                  <m:e>
                    <m:r>
                      <m:t>t</m:t>
                    </m:r>
                  </m:e>
                </m:acc>
              </m:e>
              <m:sub>
                <m:sSub>
                  <m:e>
                    <m:r>
                      <m:t>y</m:t>
                    </m:r>
                  </m:e>
                  <m:sub>
                    <m:r>
                      <m:t>i</m:t>
                    </m:r>
                  </m:sub>
                </m:sSub>
              </m:sub>
            </m:sSub>
          </m:e>
        </m:nary>
      </m:oMath>
      <w:r>
        <w:t xml:space="preserve"> </w:t>
      </w:r>
      <w:r>
        <w:t xml:space="preserve">es la media muestral de los totales estimados de las UPM en el estrato</w:t>
      </w:r>
      <w:r>
        <w:t xml:space="preserve"> </w:t>
      </w:r>
      <m:oMath>
        <m:r>
          <m:t>h</m:t>
        </m:r>
      </m:oMath>
      <w:r>
        <w:t xml:space="preserve">, un estimador aproximado de la varianza de</w:t>
      </w:r>
      <w:r>
        <w:t xml:space="preserve"> </w:t>
      </w:r>
      <m:oMath>
        <m:sSub>
          <m:e>
            <m:acc>
              <m:accPr>
                <m:chr m:val="̂"/>
              </m:accPr>
              <m:e>
                <m:r>
                  <m:t>t</m:t>
                </m:r>
              </m:e>
            </m:acc>
          </m:e>
          <m:sub>
            <m:r>
              <m:t>y</m:t>
            </m:r>
          </m:sub>
        </m:sSub>
      </m:oMath>
      <w:r>
        <w:t xml:space="preserve"> </w:t>
      </w:r>
      <w:r>
        <w:t xml:space="preserve">se obtiene mediante al siguiente expresión:</w:t>
      </w:r>
    </w:p>
    <w:p>
      <w:pPr>
        <w:pStyle w:val="BodyText"/>
      </w:pPr>
      <m:oMathPara>
        <m:oMathParaPr>
          <m:jc m:val="center"/>
        </m:oMathParaPr>
        <m:oMath>
          <m:acc>
            <m:accPr>
              <m:chr m:val="̂"/>
            </m:accPr>
            <m:e>
              <m:r>
                <m:t>V</m:t>
              </m:r>
              <m:r>
                <m:t>a</m:t>
              </m:r>
              <m:r>
                <m:t>r</m:t>
              </m:r>
            </m:e>
          </m:acc>
          <m:r>
            <m:rPr>
              <m:sty m:val="p"/>
            </m:rPr>
            <m:t>(</m:t>
          </m:r>
          <m:sSub>
            <m:e>
              <m:acc>
                <m:accPr>
                  <m:chr m:val="̂"/>
                </m:accPr>
                <m:e>
                  <m:r>
                    <m:t>t</m:t>
                  </m:r>
                </m:e>
              </m:acc>
            </m:e>
            <m:sub>
              <m:r>
                <m:t>y</m:t>
              </m:r>
            </m:sub>
          </m:sSub>
          <m:r>
            <m:rPr>
              <m:sty m:val="p"/>
            </m:rPr>
            <m:t>)</m:t>
          </m:r>
          <m:r>
            <m:rPr>
              <m:sty m:val="p"/>
            </m:rPr>
            <m:t>=</m:t>
          </m:r>
          <m:nary>
            <m:naryPr>
              <m:chr m:val="∑"/>
              <m:limLoc m:val="undOvr"/>
              <m:subHide m:val="off"/>
              <m:supHide m:val="on"/>
            </m:naryPr>
            <m:sub>
              <m:r>
                <m:t>h</m:t>
              </m:r>
            </m:sub>
            <m:sup>
              <m:r>
                <m:t>​</m:t>
              </m:r>
            </m:sup>
            <m:e>
              <m:f>
                <m:fPr>
                  <m:type m:val="bar"/>
                </m:fPr>
                <m:num>
                  <m:sSub>
                    <m:e>
                      <m:r>
                        <m:t>n</m:t>
                      </m:r>
                    </m:e>
                    <m:sub>
                      <m:r>
                        <m:t>h</m:t>
                      </m:r>
                    </m:sub>
                  </m:sSub>
                </m:num>
                <m:den>
                  <m:sSub>
                    <m:e>
                      <m:r>
                        <m:t>n</m:t>
                      </m:r>
                    </m:e>
                    <m:sub>
                      <m:r>
                        <m:t>h</m:t>
                      </m:r>
                    </m:sub>
                  </m:sSub>
                  <m:r>
                    <m:rPr>
                      <m:sty m:val="p"/>
                    </m:rPr>
                    <m:t>−</m:t>
                  </m:r>
                  <m:r>
                    <m:t>1</m:t>
                  </m:r>
                </m:den>
              </m:f>
            </m:e>
          </m:nary>
          <m:nary>
            <m:naryPr>
              <m:chr m:val="∑"/>
              <m:limLoc m:val="undOvr"/>
              <m:subHide m:val="off"/>
              <m:supHide m:val="on"/>
            </m:naryPr>
            <m:sub>
              <m:r>
                <m:t>i</m:t>
              </m:r>
            </m:sub>
            <m:sup>
              <m:r>
                <m:t>​</m:t>
              </m:r>
            </m:sup>
            <m:e>
              <m:r>
                <m:rPr>
                  <m:sty m:val="p"/>
                </m:rPr>
                <m:t>(</m:t>
              </m:r>
            </m:e>
          </m:nary>
          <m:sSub>
            <m:e>
              <m:acc>
                <m:accPr>
                  <m:chr m:val="̂"/>
                </m:accPr>
                <m:e>
                  <m:r>
                    <m:t>t</m:t>
                  </m:r>
                </m:e>
              </m:acc>
            </m:e>
            <m:sub>
              <m:sSub>
                <m:e>
                  <m:r>
                    <m:t>y</m:t>
                  </m:r>
                </m:e>
                <m:sub>
                  <m:r>
                    <m:t>i</m:t>
                  </m:r>
                </m:sub>
              </m:sSub>
            </m:sub>
          </m:sSub>
          <m:r>
            <m:rPr>
              <m:sty m:val="p"/>
            </m:rPr>
            <m:t>−</m:t>
          </m:r>
          <m:sSub>
            <m:e>
              <m:acc>
                <m:accPr>
                  <m:chr m:val="̂"/>
                </m:accPr>
                <m:e>
                  <m:acc>
                    <m:accPr>
                      <m:chr m:val="‾"/>
                    </m:accPr>
                    <m:e>
                      <m:r>
                        <m:t>t</m:t>
                      </m:r>
                    </m:e>
                  </m:acc>
                </m:e>
              </m:acc>
            </m:e>
            <m:sub>
              <m:sSub>
                <m:e>
                  <m:r>
                    <m:t>y</m:t>
                  </m:r>
                </m:e>
                <m:sub>
                  <m:r>
                    <m:t>h</m:t>
                  </m:r>
                </m:sub>
              </m:sSub>
            </m:sub>
          </m:sSub>
          <m:sSup>
            <m:e>
              <m:r>
                <m:rPr>
                  <m:sty m:val="p"/>
                </m:rPr>
                <m:t>)</m:t>
              </m:r>
            </m:e>
            <m:sup>
              <m:r>
                <m:t>2</m:t>
              </m:r>
            </m:sup>
          </m:sSup>
        </m:oMath>
      </m:oMathPara>
    </w:p>
    <w:p>
      <w:pPr>
        <w:pStyle w:val="FirstParagraph"/>
      </w:pPr>
      <w:r>
        <w:t xml:space="preserve">Para más detalles, véase Hansen,</w:t>
      </w:r>
      <w:r>
        <w:t xml:space="preserve"> </w:t>
      </w:r>
      <w:r>
        <w:t xml:space="preserve">Hansen et al.</w:t>
      </w:r>
      <w:r>
        <w:t xml:space="preserve"> </w:t>
      </w:r>
      <w:r>
        <w:t xml:space="preserve">(1953, 258)</w:t>
      </w:r>
      <w:r>
        <w:t xml:space="preserve"> </w:t>
      </w:r>
      <w:r>
        <w:t xml:space="preserve">o</w:t>
      </w:r>
      <w:r>
        <w:t xml:space="preserve"> </w:t>
      </w:r>
      <w:r>
        <w:t xml:space="preserve">Wolter (2007)</w:t>
      </w:r>
      <w:r>
        <w:t xml:space="preserve">. Aunque este método se propuso originalmente para calcular varianzas de estimadores de totales, el método puede combinarse con linealización de Taylor o ecuaciones de estimación para derivar varianzas de otros parámetros poblacionales formulables como soluciones de ecuaciones de estimación. Esta flexibilidad hace que el método sea aplicable a diversos contextos de análisis de encuestas de hogares.</w:t>
      </w:r>
    </w:p>
    <w:p>
      <w:pPr>
        <w:pStyle w:val="BodyText"/>
      </w:pPr>
      <w:r>
        <w:t xml:space="preserve">Un supuesto fundamental de esta técnica es que, dentro de cada estrato, las UPM se eligen de forma independiente y con reemplazo. En la práctica, la mayoría de las encuestas selecciona UPM sin reemplazo, generando diseños más eficientes. En consecuencia, las varianzas calculadas bajo la hipótesis de independencia constituyen aproximaciones de las verdaderas varianzas de muestreo. Cuando la fracción muestral es pequeña (por ejemplo, inferior al</w:t>
      </w:r>
      <w:r>
        <w:t xml:space="preserve"> </w:t>
      </w:r>
      <m:oMath>
        <m:r>
          <m:t>5</m:t>
        </m:r>
        <m:r>
          <m:rPr>
            <m:sty m:val="p"/>
          </m:rPr>
          <m:t>%</m:t>
        </m:r>
      </m:oMath>
      <w:r>
        <w:t xml:space="preserve">), dichas aproximaciones suelen ser suficientemente precisas para su utilización por parte de las oficinas nacionales de estadística o de otros analistas.</w:t>
      </w:r>
    </w:p>
    <w:p>
      <w:pPr>
        <w:pStyle w:val="BodyText"/>
      </w:pPr>
      <w:r>
        <w:t xml:space="preserve">Este método destaca por su simplicidad y robustez, lo que lo hace muy atractivo en la práctica. Aunque los métodos más sofisticados que consideran todas las etapas del diseño pueden ofrecer estimaciones de varianza ligeramente más precisas, su aplicación requiere información más detallada y mayor complejidad computacional. Por el contrario, el método del último conglomerado proporciona una aproximación confiable y eficiente, especialmente útil al estimar totales o medias en encuestas de hogares. Para un análisis detallado sobre la precisión de esta aproximación y posibles alternativas, véase</w:t>
      </w:r>
      <w:r>
        <w:t xml:space="preserve"> </w:t>
      </w:r>
      <w:r>
        <w:t xml:space="preserve">Särndal et al. (2003)</w:t>
      </w:r>
      <w:r>
        <w:t xml:space="preserve">.</w:t>
      </w:r>
    </w:p>
    <w:bookmarkEnd w:id="22"/>
    <w:bookmarkStart w:id="23" w:name="bootstrap"/>
    <w:p>
      <w:pPr>
        <w:pStyle w:val="Heading4"/>
      </w:pPr>
      <w:r>
        <w:t xml:space="preserve">2.3.2.4 Bootstrap</w:t>
      </w:r>
    </w:p>
    <w:p>
      <w:pPr>
        <w:pStyle w:val="FirstParagraph"/>
      </w:pPr>
      <w:r>
        <w:t xml:space="preserve">En muchos casos, los microdatos de encuestas públicas omiten información esencial del diseño, como identificadores de estratos o de unidades primarias de muestreo (UPM), para proteger la confidencialidad de los encuestados. Esta omisión limita la capacidad de los usuarios para calcular varianzas válidas. En tales situaciones, se recomienda que las oficinas nacionales de estadística proporcionen pesos de replicación, lo que permite a los analistas estimar errores estándar de manera correcta. Sin estos datos, los usuarios secundarios no pueden reproducir los errores estándar publicados ni considerar adecuadamente el diseño complejo de la encuesta.</w:t>
      </w:r>
    </w:p>
    <w:p>
      <w:pPr>
        <w:pStyle w:val="BodyText"/>
      </w:pPr>
      <w:r>
        <w:t xml:space="preserve">Los métodos de replicación estiman la varianza generando subconjuntos de la muestra original, calculando estimaciones para cada uno y utilizando la variabilidad observada entre estas estimaciones para aproximar la varianza del estimador principal. Son particularmente útiles cuando no se dispone de información sobre estratos o UPM, situación en la que no se puede aplicar el método de Ultimate Cluster.</w:t>
      </w:r>
    </w:p>
    <w:p>
      <w:pPr>
        <w:pStyle w:val="BodyText"/>
      </w:pPr>
      <w:r>
        <w:t xml:space="preserve">Por ejemplo, el Bootstrap es una herramienta de replicación robusta y versátil. Originalmente introducido por</w:t>
      </w:r>
      <w:r>
        <w:t xml:space="preserve"> </w:t>
      </w:r>
      <w:r>
        <w:t xml:space="preserve">Efron (1979)</w:t>
      </w:r>
      <w:r>
        <w:t xml:space="preserve"> </w:t>
      </w:r>
      <w:r>
        <w:t xml:space="preserve">para datos que no provenían de encuestas, su adaptación más usada para encuestas de hogares es el Bootstrap de Reescalamiento Rao-Wu-Yue</w:t>
      </w:r>
      <w:r>
        <w:t xml:space="preserve"> </w:t>
      </w:r>
      <w:r>
        <w:t xml:space="preserve">(Rao et al. 1992)</w:t>
      </w:r>
      <w:r>
        <w:t xml:space="preserve">. Este método se ajusta de manera óptima a diseños de muestreo estratificados y multietápicos, y es ampliamente empleado para la estimación de varianzas en encuestas complejas.</w:t>
      </w:r>
    </w:p>
    <w:p>
      <w:pPr>
        <w:pStyle w:val="BodyText"/>
      </w:pPr>
      <w:r>
        <w:t xml:space="preserve">El procedimiento consiste en generar muchas réplicas de la muestra original, simulando extracciones repetidas de la población. Cada réplica se construye mediante la creación de columnas adicionales de pesos de replicación en la base de datos, siguiendo este proceso:</w:t>
      </w:r>
    </w:p>
    <w:p>
      <w:pPr>
        <w:pStyle w:val="Compact"/>
        <w:numPr>
          <w:ilvl w:val="0"/>
          <w:numId w:val="1003"/>
        </w:numPr>
      </w:pPr>
      <w:r>
        <w:t xml:space="preserve">Para cada estrato, se seleccionan aleatoriamente las UPM con reemplazo; algunas pueden repetirse y otras no aparecer. Cada UPM elegida se incorpora con todas sus observaciones. Si el tamaño de la muestra de primera etapa en el estrato</w:t>
      </w:r>
      <w:r>
        <w:t xml:space="preserve"> </w:t>
      </w:r>
      <m:oMath>
        <m:r>
          <m:t>h</m:t>
        </m:r>
      </m:oMath>
      <w:r>
        <w:t xml:space="preserve"> </w:t>
      </w:r>
      <w:r>
        <w:t xml:space="preserve">es mayor que dos (</w:t>
      </w:r>
      <m:oMath>
        <m:sSub>
          <m:e>
            <m:r>
              <m:t>n</m:t>
            </m:r>
          </m:e>
          <m:sub>
            <m:r>
              <m:t>h</m:t>
            </m:r>
          </m:sub>
        </m:sSub>
        <m:r>
          <m:rPr>
            <m:sty m:val="p"/>
          </m:rPr>
          <m:t>&gt;</m:t>
        </m:r>
        <m:r>
          <m:t>2</m:t>
        </m:r>
      </m:oMath>
      <w:r>
        <w:t xml:space="preserve">), el número de UPM seleccionadas por réplica es</w:t>
      </w:r>
      <w:r>
        <w:t xml:space="preserve"> </w:t>
      </w:r>
      <m:oMath>
        <m:sSub>
          <m:e>
            <m:r>
              <m:t>n</m:t>
            </m:r>
          </m:e>
          <m:sub>
            <m:r>
              <m:t>h</m:t>
            </m:r>
          </m:sub>
        </m:sSub>
        <m:r>
          <m:rPr>
            <m:sty m:val="p"/>
          </m:rPr>
          <m:t>−</m:t>
        </m:r>
        <m:r>
          <m:t>1</m:t>
        </m:r>
      </m:oMath>
      <w:r>
        <w:t xml:space="preserve">.</w:t>
      </w:r>
    </w:p>
    <w:p>
      <w:pPr>
        <w:pStyle w:val="Compact"/>
        <w:numPr>
          <w:ilvl w:val="0"/>
          <w:numId w:val="1003"/>
        </w:numPr>
      </w:pPr>
      <w:r>
        <w:t xml:space="preserve">Este proceso se repite muchas veces, habitualmente cientos, generando un gran número de réplicas. La cantidad de veces que una UPM</w:t>
      </w:r>
      <w:r>
        <w:t xml:space="preserve"> </w:t>
      </w:r>
      <m:oMath>
        <m:r>
          <m:t>i</m:t>
        </m:r>
      </m:oMath>
      <w:r>
        <w:t xml:space="preserve"> </w:t>
      </w:r>
      <w:r>
        <w:t xml:space="preserve">del estrato</w:t>
      </w:r>
      <w:r>
        <w:t xml:space="preserve"> </w:t>
      </w:r>
      <m:oMath>
        <m:r>
          <m:t>h</m:t>
        </m:r>
      </m:oMath>
      <w:r>
        <w:t xml:space="preserve"> </w:t>
      </w:r>
      <w:r>
        <w:t xml:space="preserve">aparece en la réplica</w:t>
      </w:r>
      <w:r>
        <w:t xml:space="preserve"> </w:t>
      </w:r>
      <m:oMath>
        <m:r>
          <m:t>r</m:t>
        </m:r>
      </m:oMath>
      <w:r>
        <w:t xml:space="preserve"> </w:t>
      </w:r>
      <w:r>
        <w:t xml:space="preserve">se denota</w:t>
      </w:r>
      <w:r>
        <w:t xml:space="preserve"> </w:t>
      </w:r>
      <m:oMath>
        <m:sSubSup>
          <m:e>
            <m:r>
              <m:t>n</m:t>
            </m:r>
          </m:e>
          <m:sub>
            <m:r>
              <m:t>h</m:t>
            </m:r>
            <m:r>
              <m:t>i</m:t>
            </m:r>
          </m:sub>
          <m:sup>
            <m:r>
              <m:rPr>
                <m:sty m:val="p"/>
              </m:rPr>
              <m:t>(</m:t>
            </m:r>
            <m:r>
              <m:t>r</m:t>
            </m:r>
            <m:r>
              <m:rPr>
                <m:sty m:val="p"/>
              </m:rPr>
              <m:t>)</m:t>
            </m:r>
          </m:sup>
        </m:sSubSup>
      </m:oMath>
      <w:r>
        <w:t xml:space="preserve">, variando entre 0 y</w:t>
      </w:r>
      <w:r>
        <w:t xml:space="preserve"> </w:t>
      </w:r>
      <m:oMath>
        <m:sSub>
          <m:e>
            <m:r>
              <m:t>n</m:t>
            </m:r>
          </m:e>
          <m:sub>
            <m:r>
              <m:t>h</m:t>
            </m:r>
          </m:sub>
        </m:sSub>
        <m:r>
          <m:rPr>
            <m:sty m:val="p"/>
          </m:rPr>
          <m:t>−</m:t>
        </m:r>
        <m:r>
          <m:t>1</m:t>
        </m:r>
      </m:oMath>
      <w:r>
        <w:t xml:space="preserve">.</w:t>
      </w:r>
    </w:p>
    <w:p>
      <w:pPr>
        <w:pStyle w:val="Compact"/>
        <w:numPr>
          <w:ilvl w:val="0"/>
          <w:numId w:val="1003"/>
        </w:numPr>
      </w:pPr>
      <w:r>
        <w:t xml:space="preserve">A partir de cada réplica se calculan nuevos pesos bootstrap para todas las unidades, reflejando cuántas veces fue seleccionada su UPM. El peso de la unidad</w:t>
      </w:r>
      <w:r>
        <w:t xml:space="preserve"> </w:t>
      </w:r>
      <m:oMath>
        <m:r>
          <m:t>k</m:t>
        </m:r>
      </m:oMath>
      <w:r>
        <w:t xml:space="preserve"> </w:t>
      </w:r>
      <w:r>
        <w:t xml:space="preserve">en la réplica</w:t>
      </w:r>
      <w:r>
        <w:t xml:space="preserve"> </w:t>
      </w:r>
      <m:oMath>
        <m:r>
          <m:t>r</m:t>
        </m:r>
      </m:oMath>
      <w:r>
        <w:t xml:space="preserve"> </w:t>
      </w:r>
      <w:r>
        <w:t xml:space="preserve">se calcula como:</w:t>
      </w:r>
    </w:p>
    <w:p>
      <w:pPr>
        <w:pStyle w:val="FirstParagraph"/>
      </w:pPr>
      <m:oMathPara>
        <m:oMathParaPr>
          <m:jc m:val="center"/>
        </m:oMathParaPr>
        <m:oMath>
          <m:sSubSup>
            <m:e>
              <m:r>
                <m:t>w</m:t>
              </m:r>
            </m:e>
            <m:sub>
              <m:r>
                <m:t>h</m:t>
              </m:r>
              <m:r>
                <m:t>i</m:t>
              </m:r>
              <m:r>
                <m:t>k</m:t>
              </m:r>
            </m:sub>
            <m:sup>
              <m:r>
                <m:rPr>
                  <m:sty m:val="p"/>
                </m:rPr>
                <m:t>(</m:t>
              </m:r>
              <m:r>
                <m:t>r</m:t>
              </m:r>
              <m:r>
                <m:rPr>
                  <m:sty m:val="p"/>
                </m:rPr>
                <m:t>)</m:t>
              </m:r>
            </m:sup>
          </m:sSubSup>
          <m:r>
            <m:rPr>
              <m:sty m:val="p"/>
            </m:rPr>
            <m:t>=</m:t>
          </m:r>
          <m:sSub>
            <m:e>
              <m:r>
                <m:t>w</m:t>
              </m:r>
            </m:e>
            <m:sub>
              <m:r>
                <m:t>h</m:t>
              </m:r>
              <m:r>
                <m:t>i</m:t>
              </m:r>
              <m:r>
                <m:t>k</m:t>
              </m:r>
            </m:sub>
          </m:sSub>
          <m:r>
            <m:rPr>
              <m:sty m:val="p"/>
            </m:rPr>
            <m:t>×</m:t>
          </m:r>
          <m:f>
            <m:fPr>
              <m:type m:val="bar"/>
            </m:fPr>
            <m:num>
              <m:sSub>
                <m:e>
                  <m:r>
                    <m:t>n</m:t>
                  </m:r>
                </m:e>
                <m:sub>
                  <m:r>
                    <m:t>h</m:t>
                  </m:r>
                </m:sub>
              </m:sSub>
            </m:num>
            <m:den>
              <m:sSub>
                <m:e>
                  <m:r>
                    <m:t>n</m:t>
                  </m:r>
                </m:e>
                <m:sub>
                  <m:r>
                    <m:t>h</m:t>
                  </m:r>
                </m:sub>
              </m:sSub>
              <m:r>
                <m:rPr>
                  <m:sty m:val="p"/>
                </m:rPr>
                <m:t>−</m:t>
              </m:r>
              <m:r>
                <m:t>1</m:t>
              </m:r>
            </m:den>
          </m:f>
          <m:r>
            <m:rPr>
              <m:sty m:val="p"/>
            </m:rPr>
            <m:t>×</m:t>
          </m:r>
          <m:sSubSup>
            <m:e>
              <m:r>
                <m:t>n</m:t>
              </m:r>
            </m:e>
            <m:sub>
              <m:r>
                <m:t>h</m:t>
              </m:r>
              <m:r>
                <m:t>i</m:t>
              </m:r>
            </m:sub>
            <m:sup>
              <m:r>
                <m:rPr>
                  <m:sty m:val="p"/>
                </m:rPr>
                <m:t>(</m:t>
              </m:r>
              <m:r>
                <m:t>r</m:t>
              </m:r>
              <m:r>
                <m:rPr>
                  <m:sty m:val="p"/>
                </m:rPr>
                <m:t>)</m:t>
              </m:r>
            </m:sup>
          </m:sSubSup>
        </m:oMath>
      </m:oMathPara>
    </w:p>
    <w:p>
      <w:pPr>
        <w:pStyle w:val="FirstParagraph"/>
      </w:pPr>
      <w:r>
        <w:t xml:space="preserve">Si los pesos originales incluyen ajustes por no respuesta o calibración, estos deben aplicarse también a cada conjunto de pesos bootstrap.</w:t>
      </w:r>
    </w:p>
    <w:p>
      <w:pPr>
        <w:pStyle w:val="BodyText"/>
      </w:pPr>
      <w:r>
        <w:t xml:space="preserve">Cuando se proporciona únicamente pesos de replicación Bootstrap, los analistas pueden estimar errores estándar correctamente, aun sin identificadores de estratos o UPM. Para cada réplica</w:t>
      </w:r>
      <w:r>
        <w:t xml:space="preserve"> </w:t>
      </w:r>
      <m:oMath>
        <m:r>
          <m:t>r</m:t>
        </m:r>
      </m:oMath>
      <w:r>
        <w:t xml:space="preserve">, se calcula el parámetro de interés</w:t>
      </w:r>
      <w:r>
        <w:t xml:space="preserve"> </w:t>
      </w:r>
      <m:oMath>
        <m:sSup>
          <m:e>
            <m:acc>
              <m:accPr>
                <m:chr m:val="̂"/>
              </m:accPr>
              <m:e>
                <m:r>
                  <m:t>θ</m:t>
                </m:r>
              </m:e>
            </m:acc>
          </m:e>
          <m:sup>
            <m:r>
              <m:rPr>
                <m:sty m:val="p"/>
              </m:rPr>
              <m:t>(</m:t>
            </m:r>
            <m:r>
              <m:t>r</m:t>
            </m:r>
            <m:r>
              <m:rPr>
                <m:sty m:val="p"/>
              </m:rPr>
              <m:t>)</m:t>
            </m:r>
          </m:sup>
        </m:sSup>
      </m:oMath>
      <w:r>
        <w:t xml:space="preserve"> </w:t>
      </w:r>
      <w:r>
        <w:t xml:space="preserve">usando los pesos bootstrap</w:t>
      </w:r>
      <w:r>
        <w:t xml:space="preserve"> </w:t>
      </w:r>
      <m:oMath>
        <m:sSubSup>
          <m:e>
            <m:r>
              <m:t>w</m:t>
            </m:r>
          </m:e>
          <m:sub>
            <m:r>
              <m:t>h</m:t>
            </m:r>
            <m:r>
              <m:t>i</m:t>
            </m:r>
            <m:r>
              <m:t>k</m:t>
            </m:r>
          </m:sub>
          <m:sup>
            <m:r>
              <m:rPr>
                <m:sty m:val="p"/>
              </m:rPr>
              <m:t>(</m:t>
            </m:r>
            <m:r>
              <m:t>r</m:t>
            </m:r>
            <m:r>
              <m:rPr>
                <m:sty m:val="p"/>
              </m:rPr>
              <m:t>)</m:t>
            </m:r>
          </m:sup>
        </m:sSubSup>
      </m:oMath>
      <w:r>
        <w:t xml:space="preserve">. La varianza del estimador original se aproxima mediante la variabilidad entre todas las réplicas:</w:t>
      </w:r>
    </w:p>
    <w:p>
      <w:pPr>
        <w:pStyle w:val="BodyText"/>
      </w:pPr>
      <m:oMathPara>
        <m:oMathParaPr>
          <m:jc m:val="center"/>
        </m:oMathParaPr>
        <m:oMath>
          <m:sSub>
            <m:e>
              <m:acc>
                <m:accPr>
                  <m:chr m:val="̂"/>
                </m:accPr>
                <m:e>
                  <m:r>
                    <m:t>V</m:t>
                  </m:r>
                  <m:r>
                    <m:t>a</m:t>
                  </m:r>
                  <m:r>
                    <m:t>r</m:t>
                  </m:r>
                </m:e>
              </m:acc>
            </m:e>
            <m:sub>
              <m:r>
                <m:t>B</m:t>
              </m:r>
            </m:sub>
          </m:sSub>
          <m:r>
            <m:rPr>
              <m:sty m:val="p"/>
            </m:rPr>
            <m:t>(</m:t>
          </m:r>
          <m:acc>
            <m:accPr>
              <m:chr m:val="̂"/>
            </m:accPr>
            <m:e>
              <m:r>
                <m:t>θ</m:t>
              </m:r>
            </m:e>
          </m:acc>
          <m:r>
            <m:rPr>
              <m:sty m:val="p"/>
            </m:rPr>
            <m:t>)</m:t>
          </m:r>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p>
                <m:e>
                  <m:d>
                    <m:dPr>
                      <m:begChr m:val="("/>
                      <m:sepChr m:val=""/>
                      <m:endChr m:val=")"/>
                      <m:grow/>
                    </m:dPr>
                    <m:e>
                      <m:sSup>
                        <m:e>
                          <m:acc>
                            <m:accPr>
                              <m:chr m:val="̂"/>
                            </m:accPr>
                            <m:e>
                              <m:r>
                                <m:t>θ</m:t>
                              </m:r>
                            </m:e>
                          </m:acc>
                        </m:e>
                        <m:sup>
                          <m:r>
                            <m:rPr>
                              <m:sty m:val="p"/>
                            </m:rPr>
                            <m:t>(</m:t>
                          </m:r>
                          <m:r>
                            <m:t>r</m:t>
                          </m:r>
                          <m:r>
                            <m:rPr>
                              <m:sty m:val="p"/>
                            </m:rPr>
                            <m:t>)</m:t>
                          </m:r>
                        </m:sup>
                      </m:sSup>
                      <m:r>
                        <m:rPr>
                          <m:sty m:val="p"/>
                        </m:rPr>
                        <m:t>−</m:t>
                      </m:r>
                      <m:acc>
                        <m:accPr>
                          <m:chr m:val="̃"/>
                        </m:accPr>
                        <m:e>
                          <m:r>
                            <m:t>θ</m:t>
                          </m:r>
                        </m:e>
                      </m:acc>
                    </m:e>
                  </m:d>
                </m:e>
                <m:sup>
                  <m:r>
                    <m:t>2</m:t>
                  </m:r>
                </m:sup>
              </m:sSup>
            </m:e>
          </m:nary>
          <m:r>
            <m:rPr>
              <m:sty m:val="p"/>
            </m:rPr>
            <m:t>,</m:t>
          </m:r>
          <m:r>
            <m:t> </m:t>
          </m:r>
          <m:acc>
            <m:accPr>
              <m:chr m:val="̃"/>
            </m:accPr>
            <m:e>
              <m:r>
                <m:t>θ</m:t>
              </m:r>
            </m:e>
          </m:acc>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p>
                <m:e>
                  <m:acc>
                    <m:accPr>
                      <m:chr m:val="̂"/>
                    </m:accPr>
                    <m:e>
                      <m:r>
                        <m:t>θ</m:t>
                      </m:r>
                    </m:e>
                  </m:acc>
                </m:e>
                <m:sup>
                  <m:r>
                    <m:rPr>
                      <m:sty m:val="p"/>
                    </m:rPr>
                    <m:t>(</m:t>
                  </m:r>
                  <m:r>
                    <m:t>r</m:t>
                  </m:r>
                  <m:r>
                    <m:rPr>
                      <m:sty m:val="p"/>
                    </m:rPr>
                    <m:t>)</m:t>
                  </m:r>
                </m:sup>
              </m:sSup>
            </m:e>
          </m:nary>
        </m:oMath>
      </m:oMathPara>
    </w:p>
    <w:p>
      <w:pPr>
        <w:pStyle w:val="FirstParagraph"/>
      </w:pPr>
      <w:r>
        <w:t xml:space="preserve">Este enfoque asegura que la dispersión entre réplicas capture fielmente la incertidumbre del parámetro. El Bootstrap ofrece múltiples ventajas. A pesar de requerir un mayor procesamiento computacional, es eficaz para diseños de encuesta complejos y permite estimar parámetros difíciles de calcular con métodos tradicionales, como medianas u otras estadísticas no lineales. Es especialmente útil para analistas que trabajan con bases de datos sin identificadores de estratos y UPM, pero con pesos de replicación.</w:t>
      </w:r>
    </w:p>
    <w:p>
      <w:pPr>
        <w:pStyle w:val="BodyText"/>
      </w:pPr>
      <w:r>
        <w:t xml:space="preserve">La simplicidad del método facilita su aplicación incluso sin software estadístico especializado. Sin embargo, la mayoría de los paquetes estadísticos modernos ya incluyen procedimientos para aplicar Bootstrap y calcular varianzas, ampliando su disponibilidad y robustez. No obstante, su uso no es recomendable en encuestas repetidas con muestras superpuestas ni en situaciones con fracciones de muestreo grandes y tamaños de muestra pequeños</w:t>
      </w:r>
      <w:r>
        <w:t xml:space="preserve"> </w:t>
      </w:r>
      <w:r>
        <w:t xml:space="preserve">(Bruch et al. 2011)</w:t>
      </w:r>
      <w:r>
        <w:t xml:space="preserve">.</w:t>
      </w:r>
    </w:p>
    <w:bookmarkEnd w:id="23"/>
    <w:bookmarkEnd w:id="24"/>
    <w:bookmarkEnd w:id="25"/>
    <w:bookmarkStart w:id="26" w:name="intervalos-de-confianza"/>
    <w:p>
      <w:pPr>
        <w:pStyle w:val="Heading2"/>
      </w:pPr>
      <w:r>
        <w:t xml:space="preserve">2.4 Intervalos de confianza</w:t>
      </w:r>
    </w:p>
    <w:p>
      <w:pPr>
        <w:pStyle w:val="FirstParagraph"/>
      </w:pPr>
      <w:r>
        <w:t xml:space="preserve">Además de producir estimaciones puntuales, uno de los objetivos fundamentales de una encuesta es cuantificar la incertidumbre asociada a dichas estimaciones. En este contexto, los intervalos de confianza permiten construir un rango de valores plausibles para el parámetro poblacional de interés, incorporando explícitamente la variabilidad introducida por el diseño muestral. El intervalo de confianza de nivel</w:t>
      </w:r>
      <w:r>
        <w:t xml:space="preserve"> </w:t>
      </w:r>
      <m:oMath>
        <m:r>
          <m:rPr>
            <m:sty m:val="p"/>
          </m:rPr>
          <m:t>(</m:t>
        </m:r>
        <m:r>
          <m:t>1</m:t>
        </m:r>
        <m:r>
          <m:rPr>
            <m:sty m:val="p"/>
          </m:rPr>
          <m:t>−</m:t>
        </m:r>
        <m:r>
          <m:t>α</m:t>
        </m:r>
        <m:r>
          <m:rPr>
            <m:sty m:val="p"/>
          </m:rPr>
          <m:t>)</m:t>
        </m:r>
        <m:r>
          <m:t>100</m:t>
        </m:r>
        <m:r>
          <m:rPr>
            <m:sty m:val="p"/>
          </m:rPr>
          <m:t>%</m:t>
        </m:r>
      </m:oMath>
      <w:r>
        <w:t xml:space="preserve"> </w:t>
      </w:r>
      <w:r>
        <w:t xml:space="preserve">para el total poblacional</w:t>
      </w:r>
      <w:r>
        <w:t xml:space="preserve"> </w:t>
      </w:r>
      <m:oMath>
        <m:r>
          <m:t>Y</m:t>
        </m:r>
      </m:oMath>
      <w:r>
        <w:t xml:space="preserve"> </w:t>
      </w:r>
      <w:r>
        <w:t xml:space="preserve">se calcula como:</w:t>
      </w:r>
    </w:p>
    <w:p>
      <w:pPr>
        <w:pStyle w:val="BodyText"/>
      </w:pPr>
      <m:oMathPara>
        <m:oMathParaPr>
          <m:jc m:val="center"/>
        </m:oMathParaPr>
        <m:oMath>
          <m:acc>
            <m:accPr>
              <m:chr m:val="̂"/>
            </m:accPr>
            <m:e>
              <m:r>
                <m:t>θ</m:t>
              </m:r>
            </m:e>
          </m:acc>
          <m:r>
            <m:rPr>
              <m:sty m:val="p"/>
            </m:rPr>
            <m:t>±</m:t>
          </m:r>
          <m:sSub>
            <m:e>
              <m:r>
                <m:t>t</m:t>
              </m:r>
            </m:e>
            <m:sub>
              <m:r>
                <m:t>1</m:t>
              </m:r>
              <m:r>
                <m:rPr>
                  <m:sty m:val="p"/>
                </m:rPr>
                <m:t>−</m:t>
              </m:r>
              <m:r>
                <m:t>α</m:t>
              </m:r>
              <m:r>
                <m:rPr>
                  <m:sty m:val="p"/>
                </m:rPr>
                <m:t>/</m:t>
              </m:r>
              <m:r>
                <m:t>2</m:t>
              </m:r>
              <m:r>
                <m:rPr>
                  <m:sty m:val="p"/>
                </m:rPr>
                <m:t>,</m:t>
              </m:r>
              <m:r>
                <m:t>d</m:t>
              </m:r>
              <m:r>
                <m:t>f</m:t>
              </m:r>
            </m:sub>
          </m:sSub>
          <m:r>
            <m:rPr>
              <m:sty m:val="p"/>
            </m:rPr>
            <m:t>×</m:t>
          </m:r>
          <m:rad>
            <m:radPr>
              <m:degHide m:val="on"/>
            </m:radPr>
            <m:deg/>
            <m:e>
              <m:acc>
                <m:accPr>
                  <m:chr m:val="̂"/>
                </m:accPr>
                <m:e>
                  <m:r>
                    <m:t>V</m:t>
                  </m:r>
                  <m:r>
                    <m:t>a</m:t>
                  </m:r>
                  <m:r>
                    <m:t>r</m:t>
                  </m:r>
                </m:e>
              </m:acc>
              <m:r>
                <m:rPr>
                  <m:sty m:val="p"/>
                </m:rPr>
                <m:t>(</m:t>
              </m:r>
              <m:acc>
                <m:accPr>
                  <m:chr m:val="̂"/>
                </m:accPr>
                <m:e>
                  <m:r>
                    <m:t>θ</m:t>
                  </m:r>
                </m:e>
              </m:acc>
              <m:r>
                <m:rPr>
                  <m:sty m:val="p"/>
                </m:rPr>
                <m:t>)</m:t>
              </m:r>
            </m:e>
          </m:rad>
        </m:oMath>
      </m:oMathPara>
    </w:p>
    <w:p>
      <w:pPr>
        <w:pStyle w:val="FirstParagraph"/>
      </w:pPr>
      <w:r>
        <w:t xml:space="preserve">donde</w:t>
      </w:r>
      <w:r>
        <w:t xml:space="preserve"> </w:t>
      </w:r>
      <m:oMath>
        <m:acc>
          <m:accPr>
            <m:chr m:val="̂"/>
          </m:accPr>
          <m:e>
            <m:r>
              <m:t>θ</m:t>
            </m:r>
          </m:e>
        </m:acc>
      </m:oMath>
      <w:r>
        <w:t xml:space="preserve"> </w:t>
      </w:r>
      <w:r>
        <w:t xml:space="preserve">corresponde al estimador por muestreo del parámetro poblacional</w:t>
      </w:r>
      <w:r>
        <w:t xml:space="preserve"> </w:t>
      </w:r>
      <m:oMath>
        <m:r>
          <m:t>θ</m:t>
        </m:r>
      </m:oMath>
      <w:r>
        <w:t xml:space="preserve">;</w:t>
      </w:r>
      <w:r>
        <w:t xml:space="preserve"> </w:t>
      </w:r>
      <m:oMath>
        <m:acc>
          <m:accPr>
            <m:chr m:val="̂"/>
          </m:accPr>
          <m:e>
            <m:r>
              <m:t>V</m:t>
            </m:r>
            <m:r>
              <m:t>a</m:t>
            </m:r>
            <m:r>
              <m:t>r</m:t>
            </m:r>
          </m:e>
        </m:acc>
        <m:r>
          <m:rPr>
            <m:sty m:val="p"/>
          </m:rPr>
          <m:t>(</m:t>
        </m:r>
        <m:acc>
          <m:accPr>
            <m:chr m:val="̂"/>
          </m:accPr>
          <m:e>
            <m:r>
              <m:t>θ</m:t>
            </m:r>
          </m:e>
        </m:acc>
        <m:r>
          <m:rPr>
            <m:sty m:val="p"/>
          </m:rPr>
          <m:t>)</m:t>
        </m:r>
      </m:oMath>
      <w:r>
        <w:t xml:space="preserve"> </w:t>
      </w:r>
      <w:r>
        <w:t xml:space="preserve">representa el estimador de varianza bajo el diseño complejo de la encuesta; y</w:t>
      </w:r>
      <w:r>
        <w:t xml:space="preserve"> </w:t>
      </w:r>
      <m:oMath>
        <m:sSub>
          <m:e>
            <m:r>
              <m:t>t</m:t>
            </m:r>
          </m:e>
          <m:sub>
            <m:r>
              <m:t>1</m:t>
            </m:r>
            <m:r>
              <m:rPr>
                <m:sty m:val="p"/>
              </m:rPr>
              <m:t>−</m:t>
            </m:r>
            <m:r>
              <m:t>α</m:t>
            </m:r>
            <m:r>
              <m:rPr>
                <m:sty m:val="p"/>
              </m:rPr>
              <m:t>/</m:t>
            </m:r>
            <m:r>
              <m:t>2</m:t>
            </m:r>
            <m:r>
              <m:rPr>
                <m:sty m:val="p"/>
              </m:rPr>
              <m:t>,</m:t>
            </m:r>
            <m:r>
              <m:t>d</m:t>
            </m:r>
            <m:r>
              <m:t>f</m:t>
            </m:r>
          </m:sub>
        </m:sSub>
      </m:oMath>
      <w:r>
        <w:t xml:space="preserve"> </w:t>
      </w:r>
      <w:r>
        <w:t xml:space="preserve">es el cuantil de la distribución</w:t>
      </w:r>
      <w:r>
        <w:t xml:space="preserve"> </w:t>
      </w:r>
      <m:oMath>
        <m:r>
          <m:t>t</m:t>
        </m:r>
      </m:oMath>
      <w:r>
        <w:t xml:space="preserve"> </w:t>
      </w:r>
      <w:r>
        <w:t xml:space="preserve">de Student con</w:t>
      </w:r>
      <w:r>
        <w:t xml:space="preserve"> </w:t>
      </w:r>
      <m:oMath>
        <m:r>
          <m:t>d</m:t>
        </m:r>
        <m:r>
          <m:t>f</m:t>
        </m:r>
      </m:oMath>
      <w:r>
        <w:t xml:space="preserve"> </w:t>
      </w:r>
      <w:r>
        <w:t xml:space="preserve">grados de libertad. En encuestas complejas, los grados de libertad suelen estar relacionados con la cantidad de unidades primarias de muestreo (UPM) y los estratos considerados en el diseño. Una aproximación común consiste en calcularlos como:</w:t>
      </w:r>
    </w:p>
    <w:p>
      <w:pPr>
        <w:pStyle w:val="BodyText"/>
      </w:pPr>
      <m:oMathPara>
        <m:oMathParaPr>
          <m:jc m:val="center"/>
        </m:oMathParaPr>
        <m:oMath>
          <m:r>
            <m:t>d</m:t>
          </m:r>
          <m:r>
            <m:t>f</m:t>
          </m:r>
          <m:r>
            <m:rPr>
              <m:sty m:val="p"/>
            </m:rPr>
            <m:t>=</m:t>
          </m:r>
          <m:r>
            <m:t>m</m:t>
          </m:r>
          <m:r>
            <m:rPr>
              <m:sty m:val="p"/>
            </m:rPr>
            <m:t>−</m:t>
          </m:r>
          <m:r>
            <m:t>H</m:t>
          </m:r>
        </m:oMath>
      </m:oMathPara>
    </w:p>
    <w:p>
      <w:pPr>
        <w:pStyle w:val="FirstParagraph"/>
      </w:pPr>
      <w:r>
        <w:t xml:space="preserve">donde</w:t>
      </w:r>
      <w:r>
        <w:t xml:space="preserve"> </w:t>
      </w:r>
      <m:oMath>
        <m:r>
          <m:t>m</m:t>
        </m:r>
      </m:oMath>
      <w:r>
        <w:t xml:space="preserve"> </w:t>
      </w:r>
      <w:r>
        <w:t xml:space="preserve">representa el número total de UPM observadas en la muestra y</w:t>
      </w:r>
      <w:r>
        <w:t xml:space="preserve"> </w:t>
      </w:r>
      <m:oMath>
        <m:r>
          <m:t>H</m:t>
        </m:r>
      </m:oMath>
      <w:r>
        <w:t xml:space="preserve"> </w:t>
      </w:r>
      <w:r>
        <w:t xml:space="preserve">el número de estratos. Esta aproximación refleja la cantidad efectiva de información independiente disponible para estimar la variabilidad muestral. A medida que los grados de libertad aumentan, la distribución</w:t>
      </w:r>
      <w:r>
        <w:t xml:space="preserve"> </w:t>
      </w:r>
      <m:oMath>
        <m:r>
          <m:t>t</m:t>
        </m:r>
      </m:oMath>
      <w:r>
        <w:t xml:space="preserve"> </w:t>
      </w:r>
      <w:r>
        <w:t xml:space="preserve">de Student converge hacia la distribución normal estándar. Esta propiedad explica por qué muchas veces se utilizan aproximaciones normales para reportar intervalos de confianza, especialmente en encuestas de hogares de gran escala. Sin embargo, cuando el número de conglomerados es reducido o existen estratos con pocas UPM, la aproximación normal puede subestimar la incertidumbre y producir intervalos excesivamente estrechos.</w:t>
      </w:r>
    </w:p>
    <w:bookmarkEnd w:id="26"/>
    <w:bookmarkEnd w:id="27"/>
    <w:bookmarkStart w:id="106" w:name="cap3"/>
    <w:p>
      <w:pPr>
        <w:pStyle w:val="Heading1"/>
      </w:pPr>
      <w:r>
        <w:t xml:space="preserve">3. Análisis de las variables continuas</w:t>
      </w:r>
    </w:p>
    <w:p>
      <w:pPr>
        <w:pStyle w:val="FirstParagraph"/>
      </w:pPr>
      <w:r>
        <w:t xml:space="preserve">De acuerdo con</w:t>
      </w:r>
      <w:r>
        <w:t xml:space="preserve"> </w:t>
      </w:r>
      <w:r>
        <w:t xml:space="preserve">Lumley (2010)</w:t>
      </w:r>
      <w:r>
        <w:t xml:space="preserve"> </w:t>
      </w:r>
      <w:r>
        <w:t xml:space="preserve">y</w:t>
      </w:r>
      <w:r>
        <w:t xml:space="preserve"> </w:t>
      </w:r>
      <w:r>
        <w:t xml:space="preserve">Heeringa et al. (2017)</w:t>
      </w:r>
      <w:r>
        <w:t xml:space="preserve">, el análisis estadístico de encuestas ha evolucionado de manera constante, impulsado por el desarrollo de nuevas metodologías y enfoques que buscan mejorar la precisión y la representatividad de los resultados. En general, estos avances surgen en el ámbito académico y, con el tiempo, son adoptados por instituciones públicas, empresas privadas y organismos estadísticos, que demandan su incorporación en los principales programas de análisis de datos.</w:t>
      </w:r>
    </w:p>
    <w:p>
      <w:pPr>
        <w:pStyle w:val="BodyText"/>
      </w:pPr>
      <w:r>
        <w:t xml:space="preserve">Este capítulo presenta los principales procedimientos para el análisis estadístico de variables continuas utilizando</w:t>
      </w:r>
      <w:r>
        <w:t xml:space="preserve"> </w:t>
      </w:r>
      <w:r>
        <w:rPr>
          <w:rStyle w:val="VerbatimChar"/>
        </w:rPr>
        <w:t xml:space="preserve">R</w:t>
      </w:r>
      <w:r>
        <w:t xml:space="preserve">, incorporando adecuadamente las características del diseño muestral, tales como los pesos de expansión, la estratificación y la conglomeración. A lo largo del capítulo se ilustran métodos para estimar parámetros poblacionales, medir su precisión y realizar inferencias válidas a partir de datos provenientes de encuestas complejas. Asimismo, se introducen funciones y herramientas del paquete</w:t>
      </w:r>
      <w:r>
        <w:t xml:space="preserve"> </w:t>
      </w:r>
      <w:r>
        <w:rPr>
          <w:rStyle w:val="VerbatimChar"/>
        </w:rPr>
        <w:t xml:space="preserve">survey</w:t>
      </w:r>
      <w:r>
        <w:t xml:space="preserve">, uno de los recursos más utilizados en</w:t>
      </w:r>
      <w:r>
        <w:t xml:space="preserve"> </w:t>
      </w:r>
      <w:r>
        <w:rPr>
          <w:rStyle w:val="VerbatimChar"/>
        </w:rPr>
        <w:t xml:space="preserve">R</w:t>
      </w:r>
      <w:r>
        <w:t xml:space="preserve"> </w:t>
      </w:r>
      <w:r>
        <w:t xml:space="preserve">para el análisis de encuestas.</w:t>
      </w:r>
    </w:p>
    <w:p>
      <w:pPr>
        <w:pStyle w:val="BodyText"/>
      </w:pPr>
      <w:r>
        <w:t xml:space="preserve">De acuerdo con</w:t>
      </w:r>
      <w:r>
        <w:t xml:space="preserve"> </w:t>
      </w:r>
      <w:r>
        <w:t xml:space="preserve">R Core Team (2026b)</w:t>
      </w:r>
      <w:r>
        <w:t xml:space="preserve">, las bases de datos utilizadas en el análisis de encuestas pueden encontrarse en una amplia variedad de formatos (.xlsx,.dat,.csv,.parquet,.sas7bdat,.sav,.txt, entre otros). Sin embargo una buena práctica consiste en importar la información desde cualquiera de estos formatos y guardarla inmediatamente en un archivo con extensión</w:t>
      </w:r>
      <w:r>
        <w:t xml:space="preserve"> </w:t>
      </w:r>
      <w:r>
        <w:rPr>
          <w:rStyle w:val="VerbatimChar"/>
        </w:rPr>
        <w:t xml:space="preserve">.rds</w:t>
      </w:r>
      <w:r>
        <w:t xml:space="preserve">, que es un formato nativo de</w:t>
      </w:r>
      <w:r>
        <w:t xml:space="preserve"> </w:t>
      </w:r>
      <w:r>
        <w:rPr>
          <w:rStyle w:val="VerbatimChar"/>
        </w:rPr>
        <w:t xml:space="preserve">R</w:t>
      </w:r>
      <w:r>
        <w:t xml:space="preserve">.</w:t>
      </w:r>
    </w:p>
    <w:p>
      <w:pPr>
        <w:pStyle w:val="BodyText"/>
      </w:pPr>
      <w:r>
        <w:t xml:space="preserve">Los archivos</w:t>
      </w:r>
      <w:r>
        <w:t xml:space="preserve"> </w:t>
      </w:r>
      <w:r>
        <w:rPr>
          <w:rStyle w:val="VerbatimChar"/>
        </w:rPr>
        <w:t xml:space="preserve">.rds</w:t>
      </w:r>
      <w:r>
        <w:t xml:space="preserve"> </w:t>
      </w:r>
      <w:r>
        <w:t xml:space="preserve">permiten almacenar cualquier objeto o información en</w:t>
      </w:r>
      <w:r>
        <w:t xml:space="preserve"> </w:t>
      </w:r>
      <w:r>
        <w:rPr>
          <w:rStyle w:val="VerbatimChar"/>
        </w:rPr>
        <w:t xml:space="preserve">R</w:t>
      </w:r>
      <w:r>
        <w:t xml:space="preserve">, como marcos de datos, vectores, matrices o listas. Otro formato propio de</w:t>
      </w:r>
      <w:r>
        <w:t xml:space="preserve"> </w:t>
      </w:r>
      <w:r>
        <w:rPr>
          <w:rStyle w:val="VerbatimChar"/>
        </w:rPr>
        <w:t xml:space="preserve">R</w:t>
      </w:r>
      <w:r>
        <w:t xml:space="preserve"> </w:t>
      </w:r>
      <w:r>
        <w:t xml:space="preserve">es</w:t>
      </w:r>
      <w:r>
        <w:t xml:space="preserve"> </w:t>
      </w:r>
      <w:r>
        <w:rPr>
          <w:rStyle w:val="VerbatimChar"/>
        </w:rPr>
        <w:t xml:space="preserve">.RData</w:t>
      </w:r>
      <w:r>
        <w:t xml:space="preserve">, el cual permite guardar múltiples objetos en un solo archivo. En contraste, los archivos</w:t>
      </w:r>
      <w:r>
        <w:t xml:space="preserve"> </w:t>
      </w:r>
      <w:r>
        <w:rPr>
          <w:rStyle w:val="VerbatimChar"/>
        </w:rPr>
        <w:t xml:space="preserve">.rds</w:t>
      </w:r>
      <w:r>
        <w:t xml:space="preserve"> </w:t>
      </w:r>
      <w:r>
        <w:t xml:space="preserve">almacenan únicamente un objeto, lo que hace su uso más controlado y reproducible. Por esta razón, se recomienda trabajar preferentemente con el formato</w:t>
      </w:r>
      <w:r>
        <w:t xml:space="preserve"> </w:t>
      </w:r>
      <w:r>
        <w:rPr>
          <w:rStyle w:val="VerbatimChar"/>
        </w:rPr>
        <w:t xml:space="preserve">.rds</w:t>
      </w:r>
      <w:r>
        <w:t xml:space="preserve"> </w:t>
      </w:r>
      <w:r>
        <w:t xml:space="preserve">al documentar proyectos o reproducir análisis.</w:t>
      </w:r>
    </w:p>
    <w:p>
      <w:pPr>
        <w:pStyle w:val="BodyText"/>
      </w:pPr>
      <w:r>
        <w:t xml:space="preserve">Para ilustrar la sintaxis computacional que se utilizará a lo largo del capítulo, se empleará la misma base del capítulo anterior, que contiene una muestra de 2.605 registros que proviene de un muestreo complejo. A continuación, se muestra cómo cargar un archivo con extensión</w:t>
      </w:r>
      <w:r>
        <w:t xml:space="preserve"> </w:t>
      </w:r>
      <w:r>
        <w:rPr>
          <w:rStyle w:val="VerbatimChar"/>
        </w:rPr>
        <w:t xml:space="preserve">.rds</w:t>
      </w:r>
      <w:r>
        <w:t xml:space="preserve">:</w:t>
      </w:r>
    </w:p>
    <w:p>
      <w:pPr>
        <w:pStyle w:val="SourceCode"/>
      </w:pPr>
      <w:r>
        <w:rPr>
          <w:rStyle w:val="FunctionTok"/>
        </w:rPr>
        <w:t xml:space="preserve">library</w:t>
      </w:r>
      <w:r>
        <w:rPr>
          <w:rStyle w:val="NormalTok"/>
        </w:rPr>
        <w:t xml:space="preserve">(tidyverse)</w:t>
      </w:r>
      <w:r>
        <w:br/>
      </w:r>
      <w:r>
        <w:br/>
      </w:r>
      <w:r>
        <w:rPr>
          <w:rStyle w:val="NormalTok"/>
        </w:rPr>
        <w:t xml:space="preserve">survey_data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p>
    <w:p>
      <w:pPr>
        <w:pStyle w:val="FirstParagraph"/>
      </w:pPr>
      <w:r>
        <w:t xml:space="preserve">Según</w:t>
      </w:r>
      <w:r>
        <w:t xml:space="preserve"> </w:t>
      </w:r>
      <w:r>
        <w:t xml:space="preserve">Naciones Unidas (2009, sec. 7.8)</w:t>
      </w:r>
      <w:r>
        <w:t xml:space="preserve">, es fundamental que la estructura del diseño muestral sea tenida en cuenta en el proceso de inferencia al estimar estadísticas oficiales basadas en encuestas de hogares. Como se ha insistido en este documento, ignorar este aspecto puede generar estimaciones sesgadas y errores de muestreo subestimados. En este sentido los programas estadísticos incorporan funcionalidades específicas para manejar datos provenientes de encuestas con diseños complejos.</w:t>
      </w:r>
    </w:p>
    <w:p>
      <w:pPr>
        <w:pStyle w:val="BodyText"/>
      </w:pPr>
      <w:r>
        <w:t xml:space="preserve">Una vez cargada la muestra de hogares en</w:t>
      </w:r>
      <w:r>
        <w:t xml:space="preserve"> </w:t>
      </w:r>
      <w:r>
        <w:rPr>
          <w:rStyle w:val="VerbatimChar"/>
        </w:rPr>
        <w:t xml:space="preserve">R</w:t>
      </w:r>
      <w:r>
        <w:t xml:space="preserve">, el siguiente paso es definir el diseño muestral del cual proviene dicha muestra. Para ello se utilizará el paquete</w:t>
      </w:r>
      <w:r>
        <w:t xml:space="preserve"> </w:t>
      </w:r>
      <w:r>
        <w:rPr>
          <w:rStyle w:val="VerbatimChar"/>
        </w:rPr>
        <w:t xml:space="preserve">srvyr</w:t>
      </w:r>
      <w:r>
        <w:t xml:space="preserve">, que surge como un complemento del paquete</w:t>
      </w:r>
      <w:r>
        <w:t xml:space="preserve"> </w:t>
      </w:r>
      <w:r>
        <w:rPr>
          <w:rStyle w:val="VerbatimChar"/>
        </w:rPr>
        <w:t xml:space="preserve">survey</w:t>
      </w:r>
      <w:r>
        <w:t xml:space="preserve">. Estas librerías permiten definir objetos tipo</w:t>
      </w:r>
      <w:r>
        <w:t xml:space="preserve"> </w:t>
      </w:r>
      <w:r>
        <w:rPr>
          <w:rStyle w:val="VerbatimChar"/>
        </w:rPr>
        <w:t xml:space="preserve">survey.design</w:t>
      </w:r>
      <w:r>
        <w:t xml:space="preserve">, a los que se aplican las funciones de estimación y análisis de encuestas, y que pueden ser combinadas con la programación del paquete</w:t>
      </w:r>
      <w:r>
        <w:t xml:space="preserve"> </w:t>
      </w:r>
      <w:r>
        <w:rPr>
          <w:rStyle w:val="VerbatimChar"/>
        </w:rPr>
        <w:t xml:space="preserve">tidyverse</w:t>
      </w:r>
      <w:r>
        <w:t xml:space="preserve">. A continuación, se muestra un ejemplo en el que se define un objeto de tipo</w:t>
      </w:r>
      <w:r>
        <w:t xml:space="preserve"> </w:t>
      </w:r>
      <w:r>
        <w:rPr>
          <w:rStyle w:val="VerbatimChar"/>
        </w:rPr>
        <w:t xml:space="preserve">survey_design</w:t>
      </w:r>
      <w:r>
        <w:t xml:space="preserve"> </w:t>
      </w:r>
      <w:r>
        <w:t xml:space="preserve">para la encuesta:</w:t>
      </w:r>
    </w:p>
    <w:p>
      <w:pPr>
        <w:pStyle w:val="SourceCode"/>
      </w:pPr>
      <w:r>
        <w:rPr>
          <w:rStyle w:val="FunctionTok"/>
        </w:rPr>
        <w:t xml:space="preserve">options</w:t>
      </w:r>
      <w:r>
        <w:rPr>
          <w:rStyle w:val="NormalTok"/>
        </w:rPr>
        <w:t xml:space="preserve">(</w:t>
      </w:r>
      <w:r>
        <w:rPr>
          <w:rStyle w:val="AttributeTok"/>
        </w:rPr>
        <w:t xml:space="preserve">survey.lonely.psu =</w:t>
      </w:r>
      <w:r>
        <w:rPr>
          <w:rStyle w:val="NormalTok"/>
        </w:rPr>
        <w:t xml:space="preserve"> </w:t>
      </w:r>
      <w:r>
        <w:rPr>
          <w:rStyle w:val="StringTok"/>
        </w:rPr>
        <w:t xml:space="preserve">"adjust"</w:t>
      </w:r>
      <w:r>
        <w:rPr>
          <w:rStyle w:val="NormalTok"/>
        </w:rPr>
        <w:t xml:space="preserve">)</w:t>
      </w:r>
      <w:r>
        <w:br/>
      </w:r>
      <w:r>
        <w:br/>
      </w: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br/>
      </w:r>
      <w:r>
        <w:rPr>
          <w:rStyle w:val="NormalTok"/>
        </w:rPr>
        <w:t xml:space="preserve">survey_design </w:t>
      </w:r>
      <w:r>
        <w:rPr>
          <w:rStyle w:val="OtherTok"/>
        </w:rPr>
        <w:t xml:space="preserve">&lt;-</w:t>
      </w:r>
      <w:r>
        <w:rPr>
          <w:rStyle w:val="NormalTok"/>
        </w:rPr>
        <w:t xml:space="preserve"> survey_data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w:t>
      </w:r>
    </w:p>
    <w:p>
      <w:pPr>
        <w:pStyle w:val="FirstParagraph"/>
      </w:pPr>
      <w:r>
        <w:t xml:space="preserve">Como explica</w:t>
      </w:r>
      <w:r>
        <w:t xml:space="preserve"> </w:t>
      </w:r>
      <w:r>
        <w:t xml:space="preserve">Lumley et al. (2026)</w:t>
      </w:r>
      <w:r>
        <w:t xml:space="preserve">, la opción</w:t>
      </w:r>
      <w:r>
        <w:t xml:space="preserve"> </w:t>
      </w:r>
      <w:r>
        <w:rPr>
          <w:rStyle w:val="VerbatimChar"/>
        </w:rPr>
        <w:t xml:space="preserve">options(survey.lonely.psu = "adjust")</w:t>
      </w:r>
      <w:r>
        <w:t xml:space="preserve"> </w:t>
      </w:r>
      <w:r>
        <w:t xml:space="preserve">define cómo el paquete</w:t>
      </w:r>
      <w:r>
        <w:t xml:space="preserve"> </w:t>
      </w:r>
      <w:r>
        <w:rPr>
          <w:rStyle w:val="VerbatimChar"/>
        </w:rPr>
        <w:t xml:space="preserve">survey</w:t>
      </w:r>
      <w:r>
        <w:t xml:space="preserve"> </w:t>
      </w:r>
      <w:r>
        <w:t xml:space="preserve">debe tratar los estratos que contienen una sola UPM en la muestra. En estos estratos no es posible calcular directamente la variabilidad entre UPM, porque no existe una segunda unidad con la cual realizar la comparación. Con el método</w:t>
      </w:r>
      <w:r>
        <w:t xml:space="preserve"> </w:t>
      </w:r>
      <w:r>
        <w:rPr>
          <w:rStyle w:val="VerbatimChar"/>
        </w:rPr>
        <w:t xml:space="preserve">"adjust"</w:t>
      </w:r>
      <w:r>
        <w:t xml:space="preserve">, la contribución de la UPM solitaria a la varianza se calcula centrando su estimación en la media general de las UPM de la muestra, en lugar de utilizar la media del propio estrato. Este ajuste evita que la contribución del estrato sea omitida o quede indefinida y suele producir una estimación conservadora de la varianza. La opción no modifica las estimaciones puntuales, sino únicamente sus varianzas, errores estándar e intervalos de confianza. Su aplicación debe distinguirse del caso de una UPM seleccionada con certeza, cuya contribución a la varianza debe especificarse mediante la información apropiada del diseño.</w:t>
      </w:r>
    </w:p>
    <w:p>
      <w:pPr>
        <w:pStyle w:val="BodyText"/>
      </w:pPr>
      <w:r>
        <w:t xml:space="preserve">En la implementación descrita por</w:t>
      </w:r>
      <w:r>
        <w:t xml:space="preserve"> </w:t>
      </w:r>
      <w:r>
        <w:t xml:space="preserve">Freedman Ellis y Schneider (2026)</w:t>
      </w:r>
      <w:r>
        <w:t xml:space="preserve">,</w:t>
      </w:r>
      <w:r>
        <w:t xml:space="preserve"> </w:t>
      </w:r>
      <w:r>
        <w:rPr>
          <w:rStyle w:val="VerbatimChar"/>
        </w:rPr>
        <w:t xml:space="preserve">survey_data</w:t>
      </w:r>
      <w:r>
        <w:t xml:space="preserve"> </w:t>
      </w:r>
      <w:r>
        <w:t xml:space="preserve">corresponde a la base de datos que contiene la muestra seleccionada. A partir de estos datos, la función</w:t>
      </w:r>
      <w:r>
        <w:t xml:space="preserve"> </w:t>
      </w:r>
      <w:r>
        <w:rPr>
          <w:rStyle w:val="VerbatimChar"/>
        </w:rPr>
        <w:t xml:space="preserve">as_survey_design()</w:t>
      </w:r>
      <w:r>
        <w:t xml:space="preserve"> </w:t>
      </w:r>
      <w:r>
        <w:t xml:space="preserve">convierte la información en un objeto de clase</w:t>
      </w:r>
      <w:r>
        <w:t xml:space="preserve"> </w:t>
      </w:r>
      <w:r>
        <w:rPr>
          <w:rStyle w:val="VerbatimChar"/>
        </w:rPr>
        <w:t xml:space="preserve">tbl_svy</w:t>
      </w:r>
      <w:r>
        <w:t xml:space="preserve">, el cual almacena todos los elementos necesarios para describir el diseño muestral de la encuesta. Entre ellos se incluyen la variable de estratificación (</w:t>
      </w:r>
      <w:r>
        <w:rPr>
          <w:rStyle w:val="VerbatimChar"/>
        </w:rPr>
        <w:t xml:space="preserve">strata</w:t>
      </w:r>
      <w:r>
        <w:t xml:space="preserve">), que identifica los estratos definidos en el diseño, y la variable especificada en</w:t>
      </w:r>
      <w:r>
        <w:t xml:space="preserve"> </w:t>
      </w:r>
      <w:r>
        <w:rPr>
          <w:rStyle w:val="VerbatimChar"/>
        </w:rPr>
        <w:t xml:space="preserve">ids</w:t>
      </w:r>
      <w:r>
        <w:t xml:space="preserve">, que representa las unidades primarias de muestreo (UPM) o conglomerados seleccionados en la primera etapa del muestreo. Asimismo, el argumento</w:t>
      </w:r>
      <w:r>
        <w:t xml:space="preserve"> </w:t>
      </w:r>
      <w:r>
        <w:rPr>
          <w:rStyle w:val="VerbatimChar"/>
        </w:rPr>
        <w:t xml:space="preserve">weights</w:t>
      </w:r>
      <w:r>
        <w:t xml:space="preserve"> </w:t>
      </w:r>
      <w:r>
        <w:t xml:space="preserve">define la variable que contiene los factores de expansión asociados a cada observación. Finalmente, la opción</w:t>
      </w:r>
      <w:r>
        <w:t xml:space="preserve"> </w:t>
      </w:r>
      <w:r>
        <w:rPr>
          <w:rStyle w:val="VerbatimChar"/>
        </w:rPr>
        <w:t xml:space="preserve">nest = TRUE</w:t>
      </w:r>
      <w:r>
        <w:t xml:space="preserve"> </w:t>
      </w:r>
      <w:r>
        <w:t xml:space="preserve">vuelve únicos dentro de cada estrato los identificadores de conglomerado que pudieran repetirse entre estratos.</w:t>
      </w:r>
    </w:p>
    <w:bookmarkStart w:id="44" w:name="estimacion-de-parametros-descriptivos"/>
    <w:p>
      <w:pPr>
        <w:pStyle w:val="Heading2"/>
      </w:pPr>
      <w:r>
        <w:t xml:space="preserve">3.1 Estimación de parámetros descriptivos</w:t>
      </w:r>
    </w:p>
    <w:p>
      <w:pPr>
        <w:pStyle w:val="FirstParagraph"/>
      </w:pPr>
      <w:r>
        <w:t xml:space="preserve">Según</w:t>
      </w:r>
      <w:r>
        <w:t xml:space="preserve"> </w:t>
      </w:r>
      <w:r>
        <w:t xml:space="preserve">Särndal et al. (2003)</w:t>
      </w:r>
      <w:r>
        <w:t xml:space="preserve"> </w:t>
      </w:r>
      <w:r>
        <w:t xml:space="preserve">y</w:t>
      </w:r>
      <w:r>
        <w:t xml:space="preserve"> </w:t>
      </w:r>
      <w:r>
        <w:t xml:space="preserve">Heeringa et al. (2017)</w:t>
      </w:r>
      <w:r>
        <w:t xml:space="preserve">, en las encuestas de hogares es común estimar parámetros descriptivos asociados a variables numéricas, tales como totales, medias, razones y desviaciones estándar. Estas medidas permiten caracterizar distintos fenómenos sociales y económicos de la población, por ejemplo el ingreso, el gasto, las horas trabajadas o el tamaño de los hogares. En esta sección se presentan la lógica detrás de la sintaxis utilizada para este tipo de estimación, junto con sus correspondientes medidas de precisión.</w:t>
      </w:r>
    </w:p>
    <w:bookmarkStart w:id="31" w:name="estimacion-del-total"/>
    <w:p>
      <w:pPr>
        <w:pStyle w:val="Heading3"/>
      </w:pPr>
      <w:r>
        <w:t xml:space="preserve">3.1.1 Estimación del total</w:t>
      </w:r>
    </w:p>
    <w:p>
      <w:pPr>
        <w:pStyle w:val="FirstParagraph"/>
      </w:pPr>
      <w:r>
        <w:t xml:space="preserve">En</w:t>
      </w:r>
      <w:r>
        <w:t xml:space="preserve"> </w:t>
      </w:r>
      <w:r>
        <w:rPr>
          <w:rStyle w:val="VerbatimChar"/>
        </w:rPr>
        <w:t xml:space="preserve">R</w:t>
      </w:r>
      <w:r>
        <w:t xml:space="preserve">, la función</w:t>
      </w:r>
      <w:r>
        <w:t xml:space="preserve"> </w:t>
      </w:r>
      <w:r>
        <w:rPr>
          <w:rStyle w:val="VerbatimChar"/>
        </w:rPr>
        <w:t xml:space="preserve">survey_total()</w:t>
      </w:r>
      <w:r>
        <w:t xml:space="preserve"> </w:t>
      </w:r>
      <w:r>
        <w:t xml:space="preserve">se utiliza para estimar totales a partir del objeto de diseño. Esta función incorpora automáticamente los factores de expansión y la estructura del diseño, garantizando que las estimaciones reflejen correctamente el modelo de inferencia.</w:t>
      </w:r>
    </w:p>
    <w:p>
      <w:pPr>
        <w:pStyle w:val="SourceCode"/>
      </w:pPr>
      <w:r>
        <w:rPr>
          <w:rStyle w:val="FunctionTok"/>
        </w:rPr>
        <w:t xml:space="preserve">survey_total</w:t>
      </w:r>
      <w:r>
        <w:rPr>
          <w:rStyle w:val="NormalTok"/>
        </w:rPr>
        <w:t xml:space="preserve">(</w:t>
      </w:r>
      <w:r>
        <w:br/>
      </w:r>
      <w:r>
        <w:rPr>
          <w:rStyle w:val="NormalTok"/>
        </w:rPr>
        <w:t xml:space="preserve">  x,</w:t>
      </w:r>
      <w:r>
        <w:br/>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tringTok"/>
        </w:rPr>
        <w:t xml:space="preserve">"var"</w:t>
      </w:r>
      <w:r>
        <w:rPr>
          <w:rStyle w:val="NormalTok"/>
        </w:rPr>
        <w:t xml:space="preserve">, </w:t>
      </w:r>
      <w:r>
        <w:rPr>
          <w:rStyle w:val="StringTok"/>
        </w:rPr>
        <w:t xml:space="preserve">"cv"</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deff =</w:t>
      </w:r>
      <w:r>
        <w:rPr>
          <w:rStyle w:val="NormalTok"/>
        </w:rPr>
        <w:t xml:space="preserve"> </w:t>
      </w:r>
      <w:r>
        <w:rPr>
          <w:rStyle w:val="ConstantTok"/>
        </w:rPr>
        <w:t xml:space="preserve">FALSE</w:t>
      </w:r>
      <w:r>
        <w:br/>
      </w:r>
      <w:r>
        <w:rPr>
          <w:rStyle w:val="NormalTok"/>
        </w:rPr>
        <w:t xml:space="preserve">)</w:t>
      </w:r>
    </w:p>
    <w:p>
      <w:pPr>
        <w:pStyle w:val="FirstParagraph"/>
      </w:pPr>
      <w:r>
        <w:t xml:space="preserve">Los argumentos principales de la función</w:t>
      </w:r>
      <w:r>
        <w:t xml:space="preserve"> </w:t>
      </w:r>
      <w:r>
        <w:rPr>
          <w:rStyle w:val="VerbatimChar"/>
        </w:rPr>
        <w:t xml:space="preserve">survey_total()</w:t>
      </w:r>
      <w:r>
        <w:t xml:space="preserve"> </w:t>
      </w:r>
      <w:r>
        <w:t xml:space="preserve">son</w:t>
      </w:r>
      <w:r>
        <w:t xml:space="preserve"> </w:t>
      </w:r>
      <w:r>
        <w:rPr>
          <w:rStyle w:val="VerbatimChar"/>
        </w:rPr>
        <w:t xml:space="preserve">x</w:t>
      </w:r>
      <w:r>
        <w:t xml:space="preserve">,</w:t>
      </w:r>
      <w:r>
        <w:t xml:space="preserve"> </w:t>
      </w:r>
      <w:r>
        <w:rPr>
          <w:rStyle w:val="VerbatimChar"/>
        </w:rPr>
        <w:t xml:space="preserve">na.rm</w:t>
      </w:r>
      <w:r>
        <w:t xml:space="preserve">,</w:t>
      </w:r>
      <w:r>
        <w:t xml:space="preserve"> </w:t>
      </w:r>
      <w:r>
        <w:rPr>
          <w:rStyle w:val="VerbatimChar"/>
        </w:rPr>
        <w:t xml:space="preserve">vartype</w:t>
      </w:r>
      <w:r>
        <w:t xml:space="preserve">,</w:t>
      </w:r>
      <w:r>
        <w:t xml:space="preserve"> </w:t>
      </w:r>
      <w:r>
        <w:rPr>
          <w:rStyle w:val="VerbatimChar"/>
        </w:rPr>
        <w:t xml:space="preserve">level</w:t>
      </w:r>
      <w:r>
        <w:t xml:space="preserve"> </w:t>
      </w:r>
      <w:r>
        <w:t xml:space="preserve">y</w:t>
      </w:r>
      <w:r>
        <w:t xml:space="preserve"> </w:t>
      </w:r>
      <w:r>
        <w:rPr>
          <w:rStyle w:val="VerbatimChar"/>
        </w:rPr>
        <w:t xml:space="preserve">deff</w:t>
      </w:r>
      <w:r>
        <w:t xml:space="preserve">. El argumento</w:t>
      </w:r>
      <w:r>
        <w:t xml:space="preserve"> </w:t>
      </w:r>
      <w:r>
        <w:rPr>
          <w:rStyle w:val="VerbatimChar"/>
        </w:rPr>
        <w:t xml:space="preserve">x</w:t>
      </w:r>
      <w:r>
        <w:t xml:space="preserve"> </w:t>
      </w:r>
      <w:r>
        <w:t xml:space="preserve">corresponde a la variable sobre la cual se desea calcular el total; también puede dejarse vacío cuando se busca obtener únicamente el total ponderado de casos de la muestra. Por su parte,</w:t>
      </w:r>
      <w:r>
        <w:t xml:space="preserve"> </w:t>
      </w:r>
      <w:r>
        <w:rPr>
          <w:rStyle w:val="VerbatimChar"/>
        </w:rPr>
        <w:t xml:space="preserve">na.rm</w:t>
      </w:r>
      <w:r>
        <w:t xml:space="preserve"> </w:t>
      </w:r>
      <w:r>
        <w:t xml:space="preserve">indica si los valores faltantes (</w:t>
      </w:r>
      <w:r>
        <w:rPr>
          <w:rStyle w:val="VerbatimChar"/>
        </w:rPr>
        <w:t xml:space="preserve">NA</w:t>
      </w:r>
      <w:r>
        <w:t xml:space="preserve">) deben eliminarse antes de realizar el cálculo, siendo</w:t>
      </w:r>
      <w:r>
        <w:t xml:space="preserve"> </w:t>
      </w:r>
      <w:r>
        <w:rPr>
          <w:rStyle w:val="VerbatimChar"/>
        </w:rPr>
        <w:t xml:space="preserve">FALSE</w:t>
      </w:r>
      <w:r>
        <w:t xml:space="preserve"> </w:t>
      </w:r>
      <w:r>
        <w:t xml:space="preserve">el valor predeterminado.</w:t>
      </w:r>
    </w:p>
    <w:p>
      <w:pPr>
        <w:pStyle w:val="BodyText"/>
      </w:pPr>
      <w:r>
        <w:t xml:space="preserve">El argumento</w:t>
      </w:r>
      <w:r>
        <w:t xml:space="preserve"> </w:t>
      </w:r>
      <w:r>
        <w:rPr>
          <w:rStyle w:val="VerbatimChar"/>
        </w:rPr>
        <w:t xml:space="preserve">vartype</w:t>
      </w:r>
      <w:r>
        <w:t xml:space="preserve"> </w:t>
      </w:r>
      <w:r>
        <w:t xml:space="preserve">permite especificar el tipo de medida de incertidumbre que se desea estimar, pudiendo solicitarse uno o varios resultados simultáneamente, tales como el error estándar (</w:t>
      </w:r>
      <w:r>
        <w:rPr>
          <w:rStyle w:val="VerbatimChar"/>
        </w:rPr>
        <w:t xml:space="preserve">"se"</w:t>
      </w:r>
      <w:r>
        <w:t xml:space="preserve">), el intervalo de confianza (</w:t>
      </w:r>
      <w:r>
        <w:rPr>
          <w:rStyle w:val="VerbatimChar"/>
        </w:rPr>
        <w:t xml:space="preserve">"ci"</w:t>
      </w:r>
      <w:r>
        <w:t xml:space="preserve">), la varianza (</w:t>
      </w:r>
      <w:r>
        <w:rPr>
          <w:rStyle w:val="VerbatimChar"/>
        </w:rPr>
        <w:t xml:space="preserve">"var"</w:t>
      </w:r>
      <w:r>
        <w:t xml:space="preserve">) o el coeficiente de variación (</w:t>
      </w:r>
      <w:r>
        <w:rPr>
          <w:rStyle w:val="VerbatimChar"/>
        </w:rPr>
        <w:t xml:space="preserve">"cv"</w:t>
      </w:r>
      <w:r>
        <w:t xml:space="preserve">). Asimismo,</w:t>
      </w:r>
      <w:r>
        <w:t xml:space="preserve"> </w:t>
      </w:r>
      <w:r>
        <w:rPr>
          <w:rStyle w:val="VerbatimChar"/>
        </w:rPr>
        <w:t xml:space="preserve">level</w:t>
      </w:r>
      <w:r>
        <w:t xml:space="preserve"> </w:t>
      </w:r>
      <w:r>
        <w:t xml:space="preserve">define el nivel de confianza utilizado para el cálculo de los intervalos de confianza, cuyo valor por defecto es 0.95. Por otro lado, el intervalo de confianza puede obtenerse directamente al incluir el argumento</w:t>
      </w:r>
      <w:r>
        <w:t xml:space="preserve"> </w:t>
      </w:r>
      <w:r>
        <w:rPr>
          <w:rStyle w:val="VerbatimChar"/>
        </w:rPr>
        <w:t xml:space="preserve">vartype = "ci"</w:t>
      </w:r>
      <w:r>
        <w:t xml:space="preserve"> </w:t>
      </w:r>
      <w:r>
        <w:t xml:space="preserve">dentro de</w:t>
      </w:r>
      <w:r>
        <w:t xml:space="preserve"> </w:t>
      </w:r>
      <w:r>
        <w:rPr>
          <w:rStyle w:val="VerbatimChar"/>
        </w:rPr>
        <w:t xml:space="preserve">survey_total()</w:t>
      </w:r>
      <w:r>
        <w:t xml:space="preserve">, o bien utilizando la función</w:t>
      </w:r>
      <w:r>
        <w:t xml:space="preserve"> </w:t>
      </w:r>
      <w:r>
        <w:rPr>
          <w:rStyle w:val="VerbatimChar"/>
        </w:rPr>
        <w:t xml:space="preserve">confint()</w:t>
      </w:r>
      <w:r>
        <w:t xml:space="preserve"> </w:t>
      </w:r>
      <w:r>
        <w:t xml:space="preserve">sobre el objeto resultante, especificando el nivel de confianza requerido. Finalmente,</w:t>
      </w:r>
      <w:r>
        <w:t xml:space="preserve"> </w:t>
      </w:r>
      <w:r>
        <w:rPr>
          <w:rStyle w:val="VerbatimChar"/>
        </w:rPr>
        <w:t xml:space="preserve">deff</w:t>
      </w:r>
      <w:r>
        <w:t xml:space="preserve"> </w:t>
      </w:r>
      <w:r>
        <w:t xml:space="preserve">es un valor lógico que indica si se debe retornar el efecto del diseño (DEFF).</w:t>
      </w:r>
    </w:p>
    <w:p>
      <w:pPr>
        <w:pStyle w:val="BodyText"/>
      </w:pPr>
      <w:r>
        <w:t xml:space="preserve">El siguiente ejemplo presenta cómo estimar totales y sus intervalos de confianza para diferentes variables de interés en</w:t>
      </w:r>
      <w:r>
        <w:t xml:space="preserve"> </w:t>
      </w:r>
      <w:r>
        <w:rPr>
          <w:rStyle w:val="VerbatimChar"/>
        </w:rPr>
        <w:t xml:space="preserve">R</w:t>
      </w:r>
      <w:r>
        <w:t xml:space="preserve">, utilizando la función</w:t>
      </w:r>
      <w:r>
        <w:t xml:space="preserve"> </w:t>
      </w:r>
      <w:r>
        <w:rPr>
          <w:rStyle w:val="VerbatimChar"/>
        </w:rPr>
        <w:t xml:space="preserve">survey_total()</w:t>
      </w:r>
      <w:r>
        <w:t xml:space="preserve">, cuyos resultados se presentan en la</w:t>
      </w:r>
      <w:r>
        <w:t xml:space="preserve"> </w:t>
      </w:r>
      <w:hyperlink w:anchor="tbl-total-ingreso">
        <w:r>
          <w:rPr>
            <w:rStyle w:val="Hyperlink"/>
          </w:rPr>
          <w:t xml:space="preserve">tabla 3.1</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 =</w:t>
      </w:r>
      <w:r>
        <w:rPr>
          <w:rStyle w:val="NormalTok"/>
        </w:rPr>
        <w:t xml:space="preserve"> </w:t>
      </w:r>
      <w:r>
        <w:rPr>
          <w:rStyle w:val="FunctionTok"/>
        </w:rPr>
        <w:t xml:space="preserve">survey_total</w:t>
      </w:r>
      <w:r>
        <w:rPr>
          <w:rStyle w:val="NormalTok"/>
        </w:rPr>
        <w:t xml:space="preserve">(Income,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AttributeTok"/>
        </w:rPr>
        <w:t xml:space="preserve">deff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tbl-total-ingreso"/>
          <w:p>
            <w:pPr>
              <w:jc w:val="center"/>
            </w:pPr>
            <w:pPr>
              <w:jc w:val="left"/>
              <w:spacing w:before="200"/>
              <w:pStyle w:val="ImageCaption"/>
            </w:pPr>
            <w:r>
              <w:t xml:space="preserve">Tabla 3.1: Estimación del total de ingresos de los hogares con intervalo de confianza al 95%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total</w:t>
                  </w:r>
                </w:p>
              </w:tc>
              <w:tc>
                <w:tcPr/>
                <w:p>
                  <w:pPr>
                    <w:pStyle w:val="Compact"/>
                    <w:jc w:val="right"/>
                    <w:jc w:val="center"/>
                  </w:pPr>
                  <w:r>
                    <w:t xml:space="preserve">total_se</w:t>
                  </w:r>
                </w:p>
              </w:tc>
              <w:tc>
                <w:tcPr/>
                <w:p>
                  <w:pPr>
                    <w:pStyle w:val="Compact"/>
                    <w:jc w:val="right"/>
                    <w:jc w:val="center"/>
                  </w:pPr>
                  <w:r>
                    <w:t xml:space="preserve">total_low</w:t>
                  </w:r>
                </w:p>
              </w:tc>
              <w:tc>
                <w:tcPr/>
                <w:p>
                  <w:pPr>
                    <w:pStyle w:val="Compact"/>
                    <w:jc w:val="right"/>
                    <w:jc w:val="center"/>
                  </w:pPr>
                  <w:r>
                    <w:t xml:space="preserve">total_upp</w:t>
                  </w:r>
                </w:p>
              </w:tc>
              <w:tc>
                <w:tcPr/>
                <w:p>
                  <w:pPr>
                    <w:pStyle w:val="Compact"/>
                    <w:jc w:val="right"/>
                    <w:jc w:val="center"/>
                  </w:pPr>
                  <w:r>
                    <w:t xml:space="preserve">total_deff</w:t>
                  </w:r>
                </w:p>
              </w:tc>
            </w:tr>
            <w:tr>
              <w:tc>
                <w:tcPr/>
                <w:p>
                  <w:pPr>
                    <w:pStyle w:val="Compact"/>
                    <w:jc w:val="right"/>
                    <w:jc w:val="center"/>
                  </w:pPr>
                  <w:r>
                    <w:t xml:space="preserve">85793667</w:t>
                  </w:r>
                </w:p>
              </w:tc>
              <w:tc>
                <w:tcPr/>
                <w:p>
                  <w:pPr>
                    <w:pStyle w:val="Compact"/>
                    <w:jc w:val="right"/>
                    <w:jc w:val="center"/>
                  </w:pPr>
                  <w:r>
                    <w:t xml:space="preserve">4778674</w:t>
                  </w:r>
                </w:p>
              </w:tc>
              <w:tc>
                <w:tcPr/>
                <w:p>
                  <w:pPr>
                    <w:pStyle w:val="Compact"/>
                    <w:jc w:val="right"/>
                    <w:jc w:val="center"/>
                  </w:pPr>
                  <w:r>
                    <w:t xml:space="preserve">76331414</w:t>
                  </w:r>
                </w:p>
              </w:tc>
              <w:tc>
                <w:tcPr/>
                <w:p>
                  <w:pPr>
                    <w:pStyle w:val="Compact"/>
                    <w:jc w:val="right"/>
                    <w:jc w:val="center"/>
                  </w:pPr>
                  <w:r>
                    <w:t xml:space="preserve">95255920</w:t>
                  </w:r>
                </w:p>
              </w:tc>
              <w:tc>
                <w:tcPr/>
                <w:p>
                  <w:pPr>
                    <w:pStyle w:val="Compact"/>
                    <w:jc w:val="right"/>
                    <w:jc w:val="center"/>
                  </w:pPr>
                  <w:r>
                    <w:t xml:space="preserve">11</w:t>
                  </w:r>
                </w:p>
              </w:tc>
            </w:tr>
          </w:tbl>
          <w:bookmarkEnd w:id="28"/>
          <w:p/>
        </w:tc>
      </w:tr>
    </w:tbl>
    <w:p>
      <w:pPr>
        <w:pStyle w:val="BodyText"/>
      </w:pPr>
      <w:r>
        <w:t xml:space="preserve">De la tabla, se obtiene que la estimación del total poblacional para el ingreso total es de 85.793.667. Este valor corresponde al estimador puntual obtenido a partir de la encuesta, incorporando los factores de expansión y las características del diseño muestral. El error estándar asociado a esta estimación es de 4.778.674, lo que refleja la variabilidad muestral del estimador. A partir de este valor se construye un intervalo de confianza del 95%, cuyos límites inferior y superior son 76.331.414 y 95.255.920, respectivamente. El efecto de diseño (</w:t>
      </w:r>
      <w:r>
        <w:rPr>
          <w:rStyle w:val="VerbatimChar"/>
        </w:rPr>
        <w:t xml:space="preserve">deff</w:t>
      </w:r>
      <w:r>
        <w:t xml:space="preserve">), en el sentido desarrollado por</w:t>
      </w:r>
      <w:r>
        <w:t xml:space="preserve"> </w:t>
      </w:r>
      <w:r>
        <w:t xml:space="preserve">Kish (1965)</w:t>
      </w:r>
      <w:r>
        <w:t xml:space="preserve">, es igual a 11, lo cual sugiere una pérdida importante de precisión asociada principalmente a las características del diseño complejo. En consecuencia, aunque el tamaño muestral nominal pueda ser grande, el tamaño muestral efectivo resultaría considerablemente menor debido al efecto combinado de la ponderación, la estratificación y la conglomeración; este valor no puede atribuirse exclusivamente a la correlación entre observaciones dentro de los conglomerados.</w:t>
      </w:r>
    </w:p>
    <w:p>
      <w:pPr>
        <w:pStyle w:val="BodyText"/>
      </w:pPr>
      <w:r>
        <w:t xml:space="preserve">Para continuar ilustrando el uso de la función</w:t>
      </w:r>
      <w:r>
        <w:t xml:space="preserve"> </w:t>
      </w:r>
      <w:r>
        <w:rPr>
          <w:rStyle w:val="VerbatimChar"/>
        </w:rPr>
        <w:t xml:space="preserve">survey_total()</w:t>
      </w:r>
      <w:r>
        <w:t xml:space="preserve"> </w:t>
      </w:r>
      <w:r>
        <w:t xml:space="preserve">dentro del enfoque de</w:t>
      </w:r>
      <w:r>
        <w:t xml:space="preserve"> </w:t>
      </w:r>
      <w:r>
        <w:rPr>
          <w:rStyle w:val="VerbatimChar"/>
        </w:rPr>
        <w:t xml:space="preserve">srvyr</w:t>
      </w:r>
      <w:r>
        <w:t xml:space="preserve">, estimemos el total de gastos de los hogares, pero ahora calculando el intervalo de confianza al 90%. El siguiente código realiza esta estimación, presentada en la</w:t>
      </w:r>
      <w:r>
        <w:t xml:space="preserve"> </w:t>
      </w:r>
      <w:hyperlink w:anchor="tbl-total-gasto">
        <w:r>
          <w:rPr>
            <w:rStyle w:val="Hyperlink"/>
          </w:rPr>
          <w:t xml:space="preserve">tabla 3.2</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 =</w:t>
      </w:r>
      <w:r>
        <w:rPr>
          <w:rStyle w:val="NormalTok"/>
        </w:rPr>
        <w:t xml:space="preserve"> </w:t>
      </w:r>
      <w:r>
        <w:rPr>
          <w:rStyle w:val="FunctionTok"/>
        </w:rPr>
        <w:t xml:space="preserve">survey_total</w:t>
      </w:r>
      <w:r>
        <w:rPr>
          <w:rStyle w:val="NormalTok"/>
        </w:rPr>
        <w:t xml:space="preserve">(Expenditure,</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 </w:t>
      </w:r>
      <w:r>
        <w:rPr>
          <w:rStyle w:val="AttributeTok"/>
        </w:rPr>
        <w:t xml:space="preserve">level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deff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total-gasto"/>
          <w:p>
            <w:pPr>
              <w:jc w:val="center"/>
            </w:pPr>
            <w:pPr>
              <w:jc w:val="left"/>
              <w:spacing w:before="200"/>
              <w:pStyle w:val="ImageCaption"/>
            </w:pPr>
            <w:r>
              <w:t xml:space="preserve">Tabla 3.2: Estimación del total de gastos de los hogares con intervalo de confianza al 90%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total</w:t>
                  </w:r>
                </w:p>
              </w:tc>
              <w:tc>
                <w:tcPr/>
                <w:p>
                  <w:pPr>
                    <w:pStyle w:val="Compact"/>
                    <w:jc w:val="right"/>
                    <w:jc w:val="center"/>
                  </w:pPr>
                  <w:r>
                    <w:t xml:space="preserve">total_low</w:t>
                  </w:r>
                </w:p>
              </w:tc>
              <w:tc>
                <w:tcPr/>
                <w:p>
                  <w:pPr>
                    <w:pStyle w:val="Compact"/>
                    <w:jc w:val="right"/>
                    <w:jc w:val="center"/>
                  </w:pPr>
                  <w:r>
                    <w:t xml:space="preserve">total_upp</w:t>
                  </w:r>
                </w:p>
              </w:tc>
              <w:tc>
                <w:tcPr/>
                <w:p>
                  <w:pPr>
                    <w:pStyle w:val="Compact"/>
                    <w:jc w:val="right"/>
                    <w:jc w:val="center"/>
                  </w:pPr>
                  <w:r>
                    <w:t xml:space="preserve">total_deff</w:t>
                  </w:r>
                </w:p>
              </w:tc>
            </w:tr>
            <w:tr>
              <w:tc>
                <w:tcPr/>
                <w:p>
                  <w:pPr>
                    <w:pStyle w:val="Compact"/>
                    <w:jc w:val="right"/>
                    <w:jc w:val="center"/>
                  </w:pPr>
                  <w:r>
                    <w:t xml:space="preserve">55677504</w:t>
                  </w:r>
                </w:p>
              </w:tc>
              <w:tc>
                <w:tcPr/>
                <w:p>
                  <w:pPr>
                    <w:pStyle w:val="Compact"/>
                    <w:jc w:val="right"/>
                    <w:jc w:val="center"/>
                  </w:pPr>
                  <w:r>
                    <w:t xml:space="preserve">51360469</w:t>
                  </w:r>
                </w:p>
              </w:tc>
              <w:tc>
                <w:tcPr/>
                <w:p>
                  <w:pPr>
                    <w:pStyle w:val="Compact"/>
                    <w:jc w:val="right"/>
                    <w:jc w:val="center"/>
                  </w:pPr>
                  <w:r>
                    <w:t xml:space="preserve">59994539</w:t>
                  </w:r>
                </w:p>
              </w:tc>
              <w:tc>
                <w:tcPr/>
                <w:p>
                  <w:pPr>
                    <w:pStyle w:val="Compact"/>
                    <w:jc w:val="right"/>
                    <w:jc w:val="center"/>
                  </w:pPr>
                  <w:r>
                    <w:t xml:space="preserve">10.2</w:t>
                  </w:r>
                </w:p>
              </w:tc>
            </w:tr>
          </w:tbl>
          <w:bookmarkEnd w:id="29"/>
          <w:p/>
        </w:tc>
      </w:tr>
    </w:tbl>
    <w:p>
      <w:pPr>
        <w:pStyle w:val="BodyText"/>
      </w:pPr>
      <w:r>
        <w:t xml:space="preserve">Si el objetivo es estimar el total de ingresos de los hogares, pero desagregado por sexo, se puede utilizar la función</w:t>
      </w:r>
      <w:r>
        <w:t xml:space="preserve"> </w:t>
      </w:r>
      <w:r>
        <w:rPr>
          <w:rStyle w:val="VerbatimChar"/>
        </w:rPr>
        <w:t xml:space="preserve">group_by()</w:t>
      </w:r>
      <w:r>
        <w:t xml:space="preserve"> </w:t>
      </w:r>
      <w:r>
        <w:t xml:space="preserve">para agrupar por la variable de interés, junto con</w:t>
      </w:r>
      <w:r>
        <w:t xml:space="preserve"> </w:t>
      </w:r>
      <w:r>
        <w:rPr>
          <w:rStyle w:val="VerbatimChar"/>
        </w:rPr>
        <w:t xml:space="preserve">cascade()</w:t>
      </w:r>
      <w:r>
        <w:t xml:space="preserve"> </w:t>
      </w:r>
      <w:r>
        <w:t xml:space="preserve">de la librería</w:t>
      </w:r>
      <w:r>
        <w:t xml:space="preserve"> </w:t>
      </w:r>
      <w:r>
        <w:rPr>
          <w:rStyle w:val="VerbatimChar"/>
        </w:rPr>
        <w:t xml:space="preserve">srvyr</w:t>
      </w:r>
      <w:r>
        <w:t xml:space="preserve">, que permite agregar una fila con el total general al final de la tabla. De esta manera, se pueden obtener fácilmente los totales por categoría y el total global dentro del mismo marco de resumen, como se muestra en la</w:t>
      </w:r>
      <w:r>
        <w:t xml:space="preserve"> </w:t>
      </w:r>
      <w:hyperlink w:anchor="tbl-total-ingreso-sexo">
        <w:r>
          <w:rPr>
            <w:rStyle w:val="Hyperlink"/>
          </w:rPr>
          <w:t xml:space="preserve">tabla 3.3</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total =</w:t>
      </w:r>
      <w:r>
        <w:rPr>
          <w:rStyle w:val="NormalTok"/>
        </w:rPr>
        <w:t xml:space="preserve"> </w:t>
      </w:r>
      <w:r>
        <w:rPr>
          <w:rStyle w:val="FunctionTok"/>
        </w:rPr>
        <w:t xml:space="preserve">survey_total</w:t>
      </w:r>
      <w:r>
        <w:rPr>
          <w:rStyle w:val="NormalTok"/>
        </w:rPr>
        <w:t xml:space="preserve">(Income,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"Total income"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 w:name="tbl-total-ingreso-sexo"/>
          <w:p>
            <w:pPr>
              <w:jc w:val="center"/>
            </w:pPr>
            <w:pPr>
              <w:jc w:val="left"/>
              <w:spacing w:before="200"/>
              <w:pStyle w:val="ImageCaption"/>
            </w:pPr>
            <w:r>
              <w:t xml:space="preserve">Tabla 3.3: Total de ingresos de los hogares desagregado por sexo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Sex</w:t>
                  </w:r>
                </w:p>
              </w:tc>
              <w:tc>
                <w:tcPr/>
                <w:p>
                  <w:pPr>
                    <w:pStyle w:val="Compact"/>
                    <w:jc w:val="right"/>
                    <w:jc w:val="center"/>
                  </w:pPr>
                  <w:r>
                    <w:t xml:space="preserve">total</w:t>
                  </w:r>
                </w:p>
              </w:tc>
              <w:tc>
                <w:tcPr/>
                <w:p>
                  <w:pPr>
                    <w:pStyle w:val="Compact"/>
                    <w:jc w:val="right"/>
                    <w:jc w:val="center"/>
                  </w:pPr>
                  <w:r>
                    <w:t xml:space="preserve">total_se</w:t>
                  </w:r>
                </w:p>
              </w:tc>
              <w:tc>
                <w:tcPr/>
                <w:p>
                  <w:pPr>
                    <w:pStyle w:val="Compact"/>
                    <w:jc w:val="right"/>
                    <w:jc w:val="center"/>
                  </w:pPr>
                  <w:r>
                    <w:t xml:space="preserve">total_low</w:t>
                  </w:r>
                </w:p>
              </w:tc>
              <w:tc>
                <w:tcPr/>
                <w:p>
                  <w:pPr>
                    <w:pStyle w:val="Compact"/>
                    <w:jc w:val="right"/>
                    <w:jc w:val="center"/>
                  </w:pPr>
                  <w:r>
                    <w:t xml:space="preserve">total_upp</w:t>
                  </w:r>
                </w:p>
              </w:tc>
            </w:tr>
            <w:tr>
              <w:tc>
                <w:tcPr/>
                <w:p>
                  <w:pPr>
                    <w:pStyle w:val="Compact"/>
                    <w:jc w:val="left"/>
                    <w:jc w:val="center"/>
                  </w:pPr>
                  <w:r>
                    <w:t xml:space="preserve">Female</w:t>
                  </w:r>
                </w:p>
              </w:tc>
              <w:tc>
                <w:tcPr/>
                <w:p>
                  <w:pPr>
                    <w:pStyle w:val="Compact"/>
                    <w:jc w:val="right"/>
                    <w:jc w:val="center"/>
                  </w:pPr>
                  <w:r>
                    <w:t xml:space="preserve">44153820</w:t>
                  </w:r>
                </w:p>
              </w:tc>
              <w:tc>
                <w:tcPr/>
                <w:p>
                  <w:pPr>
                    <w:pStyle w:val="Compact"/>
                    <w:jc w:val="right"/>
                    <w:jc w:val="center"/>
                  </w:pPr>
                  <w:r>
                    <w:t xml:space="preserve">2324452</w:t>
                  </w:r>
                </w:p>
              </w:tc>
              <w:tc>
                <w:tcPr/>
                <w:p>
                  <w:pPr>
                    <w:pStyle w:val="Compact"/>
                    <w:jc w:val="right"/>
                    <w:jc w:val="center"/>
                  </w:pPr>
                  <w:r>
                    <w:t xml:space="preserve">39551172</w:t>
                  </w:r>
                </w:p>
              </w:tc>
              <w:tc>
                <w:tcPr/>
                <w:p>
                  <w:pPr>
                    <w:pStyle w:val="Compact"/>
                    <w:jc w:val="right"/>
                    <w:jc w:val="center"/>
                  </w:pPr>
                  <w:r>
                    <w:t xml:space="preserve">48756467</w:t>
                  </w:r>
                </w:p>
              </w:tc>
            </w:tr>
            <w:tr>
              <w:tc>
                <w:tcPr/>
                <w:p>
                  <w:pPr>
                    <w:pStyle w:val="Compact"/>
                    <w:jc w:val="left"/>
                    <w:jc w:val="center"/>
                  </w:pPr>
                  <w:r>
                    <w:t xml:space="preserve">Male</w:t>
                  </w:r>
                </w:p>
              </w:tc>
              <w:tc>
                <w:tcPr/>
                <w:p>
                  <w:pPr>
                    <w:pStyle w:val="Compact"/>
                    <w:jc w:val="right"/>
                    <w:jc w:val="center"/>
                  </w:pPr>
                  <w:r>
                    <w:t xml:space="preserve">41639847</w:t>
                  </w:r>
                </w:p>
              </w:tc>
              <w:tc>
                <w:tcPr/>
                <w:p>
                  <w:pPr>
                    <w:pStyle w:val="Compact"/>
                    <w:jc w:val="right"/>
                    <w:jc w:val="center"/>
                  </w:pPr>
                  <w:r>
                    <w:t xml:space="preserve">2870194</w:t>
                  </w:r>
                </w:p>
              </w:tc>
              <w:tc>
                <w:tcPr/>
                <w:p>
                  <w:pPr>
                    <w:pStyle w:val="Compact"/>
                    <w:jc w:val="right"/>
                    <w:jc w:val="center"/>
                  </w:pPr>
                  <w:r>
                    <w:t xml:space="preserve">35956576</w:t>
                  </w:r>
                </w:p>
              </w:tc>
              <w:tc>
                <w:tcPr/>
                <w:p>
                  <w:pPr>
                    <w:pStyle w:val="Compact"/>
                    <w:jc w:val="right"/>
                    <w:jc w:val="center"/>
                  </w:pPr>
                  <w:r>
                    <w:t xml:space="preserve">47323118</w:t>
                  </w:r>
                </w:p>
              </w:tc>
            </w:tr>
            <w:tr>
              <w:tc>
                <w:tcPr/>
                <w:p>
                  <w:pPr>
                    <w:pStyle w:val="Compact"/>
                    <w:jc w:val="left"/>
                    <w:jc w:val="center"/>
                  </w:pPr>
                  <w:r>
                    <w:t xml:space="preserve">Total income</w:t>
                  </w:r>
                </w:p>
              </w:tc>
              <w:tc>
                <w:tcPr/>
                <w:p>
                  <w:pPr>
                    <w:pStyle w:val="Compact"/>
                    <w:jc w:val="right"/>
                    <w:jc w:val="center"/>
                  </w:pPr>
                  <w:r>
                    <w:t xml:space="preserve">85793667</w:t>
                  </w:r>
                </w:p>
              </w:tc>
              <w:tc>
                <w:tcPr/>
                <w:p>
                  <w:pPr>
                    <w:pStyle w:val="Compact"/>
                    <w:jc w:val="right"/>
                    <w:jc w:val="center"/>
                  </w:pPr>
                  <w:r>
                    <w:t xml:space="preserve">4778674</w:t>
                  </w:r>
                </w:p>
              </w:tc>
              <w:tc>
                <w:tcPr/>
                <w:p>
                  <w:pPr>
                    <w:pStyle w:val="Compact"/>
                    <w:jc w:val="right"/>
                    <w:jc w:val="center"/>
                  </w:pPr>
                  <w:r>
                    <w:t xml:space="preserve">76331414</w:t>
                  </w:r>
                </w:p>
              </w:tc>
              <w:tc>
                <w:tcPr/>
                <w:p>
                  <w:pPr>
                    <w:pStyle w:val="Compact"/>
                    <w:jc w:val="right"/>
                    <w:jc w:val="center"/>
                  </w:pPr>
                  <w:r>
                    <w:t xml:space="preserve">95255920</w:t>
                  </w:r>
                </w:p>
              </w:tc>
            </w:tr>
          </w:tbl>
          <w:bookmarkEnd w:id="30"/>
          <w:p/>
        </w:tc>
      </w:tr>
    </w:tbl>
    <w:p>
      <w:pPr>
        <w:pStyle w:val="BodyText"/>
      </w:pPr>
      <w:r>
        <w:t xml:space="preserve">Como se observa en los códigos anteriores, una forma práctica de obtener las estimaciones del total, su error estándar y su intervalo de confianza es mediante el argumento</w:t>
      </w:r>
      <w:r>
        <w:t xml:space="preserve"> </w:t>
      </w:r>
      <w:r>
        <w:rPr>
          <w:rStyle w:val="VerbatimChar"/>
        </w:rPr>
        <w:t xml:space="preserve">vartype</w:t>
      </w:r>
      <w:r>
        <w:t xml:space="preserve">, especificando las opciones</w:t>
      </w:r>
      <w:r>
        <w:t xml:space="preserve"> </w:t>
      </w:r>
      <w:r>
        <w:rPr>
          <w:rStyle w:val="VerbatimChar"/>
        </w:rPr>
        <w:t xml:space="preserve">"se"</w:t>
      </w:r>
      <w:r>
        <w:t xml:space="preserve"> </w:t>
      </w:r>
      <w:r>
        <w:t xml:space="preserve">y</w:t>
      </w:r>
      <w:r>
        <w:t xml:space="preserve"> </w:t>
      </w:r>
      <w:r>
        <w:rPr>
          <w:rStyle w:val="VerbatimChar"/>
        </w:rPr>
        <w:t xml:space="preserve">"ci"</w:t>
      </w:r>
      <w:r>
        <w:t xml:space="preserve"> </w:t>
      </w:r>
      <w:r>
        <w:t xml:space="preserve">respectivamente.</w:t>
      </w:r>
    </w:p>
    <w:bookmarkEnd w:id="31"/>
    <w:bookmarkStart w:id="37" w:name="estimacion-de-la-media"/>
    <w:p>
      <w:pPr>
        <w:pStyle w:val="Heading3"/>
      </w:pPr>
      <w:r>
        <w:t xml:space="preserve">3.1.2 Estimación de la media</w:t>
      </w:r>
    </w:p>
    <w:p>
      <w:pPr>
        <w:pStyle w:val="FirstParagraph"/>
      </w:pPr>
      <w:r>
        <w:t xml:space="preserve">Según</w:t>
      </w:r>
      <w:r>
        <w:t xml:space="preserve"> </w:t>
      </w:r>
      <w:r>
        <w:t xml:space="preserve">Gutiérrez (2016)</w:t>
      </w:r>
      <w:r>
        <w:t xml:space="preserve">, la estimación de la media poblacional ocupa un lugar central en las encuestas de hogares, ya que muchos de los indicadores utilizados para el análisis socioeconómico corresponden a valores promedio, como el ingreso medio del hogar, el gasto per cápita o las horas promedio trabajadas. Este tipo de parámetros permite resumir el comportamiento general de las variables de interés y describir las tendencias centrales de la población objetivo. El estimador de la media poblacional puede expresarse como una razón no lineal entre dos totales poblacionales, los cuales se estiman de la siguiente manera:</w:t>
      </w:r>
    </w:p>
    <w:p>
      <w:pPr>
        <w:pStyle w:val="BodyText"/>
      </w:pPr>
      <m:oMathPara>
        <m:oMathParaPr>
          <m:jc m:val="center"/>
        </m:oMathParaPr>
        <m:oMath>
          <m:acc>
            <m:accPr>
              <m:chr m:val="̂"/>
            </m:accPr>
            <m:e>
              <m:acc>
                <m:accPr>
                  <m:chr m:val="‾"/>
                </m:accPr>
                <m:e>
                  <m:r>
                    <m:t>y</m:t>
                  </m:r>
                </m:e>
              </m:acc>
            </m:e>
          </m:acc>
          <m:r>
            <m:rPr>
              <m:sty m:val="p"/>
            </m:rPr>
            <m:t>=</m:t>
          </m:r>
          <m:f>
            <m:fPr>
              <m:type m:val="bar"/>
            </m:fPr>
            <m:num>
              <m:sSub>
                <m:e>
                  <m:acc>
                    <m:accPr>
                      <m:chr m:val="̂"/>
                    </m:accPr>
                    <m:e>
                      <m:r>
                        <m:t>t</m:t>
                      </m:r>
                    </m:e>
                  </m:acc>
                </m:e>
                <m:sub>
                  <m:r>
                    <m:t>y</m:t>
                  </m:r>
                </m:sub>
              </m:sSub>
            </m:num>
            <m:den>
              <m:acc>
                <m:accPr>
                  <m:chr m:val="̂"/>
                </m:accPr>
                <m:e>
                  <m:r>
                    <m:t>N</m:t>
                  </m:r>
                </m:e>
              </m:acc>
            </m:den>
          </m:f>
          <m:r>
            <m:rPr>
              <m:sty m:val="p"/>
            </m:rPr>
            <m:t>=</m:t>
          </m:r>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sSub>
                <m:e>
                  <m:r>
                    <m:t>y</m:t>
                  </m:r>
                </m:e>
                <m:sub>
                  <m:r>
                    <m:t>h</m:t>
                  </m:r>
                  <m:r>
                    <m:t>i</m:t>
                  </m:r>
                  <m:r>
                    <m:t>k</m:t>
                  </m:r>
                </m:sub>
              </m:sSub>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den>
          </m:f>
        </m:oMath>
      </m:oMathPara>
    </w:p>
    <w:p>
      <w:pPr>
        <w:pStyle w:val="FirstParagraph"/>
      </w:pPr>
      <w:r>
        <w:t xml:space="preserve">De acuerdo con</w:t>
      </w:r>
      <w:r>
        <w:t xml:space="preserve"> </w:t>
      </w:r>
      <w:r>
        <w:t xml:space="preserve">Särndal et al. (2003)</w:t>
      </w:r>
      <w:r>
        <w:t xml:space="preserve">, dado que</w:t>
      </w:r>
      <w:r>
        <w:t xml:space="preserve"> </w:t>
      </w:r>
      <m:oMath>
        <m:acc>
          <m:accPr>
            <m:chr m:val="̂"/>
          </m:accPr>
          <m:e>
            <m:acc>
              <m:accPr>
                <m:chr m:val="‾"/>
              </m:accPr>
              <m:e>
                <m:r>
                  <m:t>y</m:t>
                </m:r>
              </m:e>
            </m:acc>
          </m:e>
        </m:acc>
      </m:oMath>
      <w:r>
        <w:t xml:space="preserve"> </w:t>
      </w:r>
      <w:r>
        <w:t xml:space="preserve">no es una estadística lineal, su varianza suele estimarse mediante una aproximación. Por esta razón, es necesario recurrir a métodos de remuestreo o a la linealización de Taylor para aproximar su varianza. En este caso particular, utilizando series de Taylor, la varianza se define como:</w:t>
      </w:r>
    </w:p>
    <w:p>
      <w:pPr>
        <w:pStyle w:val="BodyText"/>
      </w:pPr>
      <m:oMathPara>
        <m:oMathParaPr>
          <m:jc m:val="center"/>
        </m:oMathParaPr>
        <m:oMath>
          <m:acc>
            <m:accPr>
              <m:chr m:val="̂"/>
            </m:accPr>
            <m:e>
              <m:r>
                <m:t>V</m:t>
              </m:r>
              <m:r>
                <m:t>a</m:t>
              </m:r>
              <m:r>
                <m:t>r</m:t>
              </m:r>
            </m:e>
          </m:acc>
          <m:d>
            <m:dPr>
              <m:begChr m:val="("/>
              <m:sepChr m:val=""/>
              <m:endChr m:val=")"/>
              <m:grow/>
            </m:dPr>
            <m:e>
              <m:acc>
                <m:accPr>
                  <m:chr m:val="̂"/>
                </m:accPr>
                <m:e>
                  <m:acc>
                    <m:accPr>
                      <m:chr m:val="‾"/>
                    </m:accPr>
                    <m:e>
                      <m:r>
                        <m:t>y</m:t>
                      </m:r>
                    </m:e>
                  </m:acc>
                </m:e>
              </m:acc>
            </m:e>
          </m:d>
          <m:r>
            <m:rPr>
              <m:sty m:val="p"/>
            </m:rPr>
            <m:t>≈</m:t>
          </m:r>
          <m:f>
            <m:fPr>
              <m:type m:val="bar"/>
            </m:fPr>
            <m:num>
              <m:acc>
                <m:accPr>
                  <m:chr m:val="̂"/>
                </m:accPr>
                <m:e>
                  <m:r>
                    <m:t>V</m:t>
                  </m:r>
                  <m:r>
                    <m:t>a</m:t>
                  </m:r>
                  <m:r>
                    <m:t>r</m:t>
                  </m:r>
                </m:e>
              </m:acc>
              <m:d>
                <m:dPr>
                  <m:begChr m:val="("/>
                  <m:sepChr m:val=""/>
                  <m:endChr m:val=")"/>
                  <m:grow/>
                </m:dPr>
                <m:e>
                  <m:sSub>
                    <m:e>
                      <m:acc>
                        <m:accPr>
                          <m:chr m:val="̂"/>
                        </m:accPr>
                        <m:e>
                          <m:r>
                            <m:t>t</m:t>
                          </m:r>
                        </m:e>
                      </m:acc>
                    </m:e>
                    <m:sub>
                      <m:r>
                        <m:t>y</m:t>
                      </m:r>
                    </m:sub>
                  </m:sSub>
                </m:e>
              </m:d>
              <m:r>
                <m:rPr>
                  <m:sty m:val="p"/>
                </m:rPr>
                <m:t>+</m:t>
              </m:r>
              <m:sSup>
                <m:e>
                  <m:acc>
                    <m:accPr>
                      <m:chr m:val="̂"/>
                    </m:accPr>
                    <m:e>
                      <m:acc>
                        <m:accPr>
                          <m:chr m:val="‾"/>
                        </m:accPr>
                        <m:e>
                          <m:r>
                            <m:t>y</m:t>
                          </m:r>
                        </m:e>
                      </m:acc>
                    </m:e>
                  </m:acc>
                </m:e>
                <m:sup>
                  <m:r>
                    <m:t>2</m:t>
                  </m:r>
                </m:sup>
              </m:sSup>
              <m:r>
                <m:t> </m:t>
              </m:r>
              <m:acc>
                <m:accPr>
                  <m:chr m:val="̂"/>
                </m:accPr>
                <m:e>
                  <m:r>
                    <m:t>V</m:t>
                  </m:r>
                  <m:r>
                    <m:t>a</m:t>
                  </m:r>
                  <m:r>
                    <m:t>r</m:t>
                  </m:r>
                </m:e>
              </m:acc>
              <m:d>
                <m:dPr>
                  <m:begChr m:val="("/>
                  <m:sepChr m:val=""/>
                  <m:endChr m:val=")"/>
                  <m:grow/>
                </m:dPr>
                <m:e>
                  <m:acc>
                    <m:accPr>
                      <m:chr m:val="̂"/>
                    </m:accPr>
                    <m:e>
                      <m:r>
                        <m:t>N</m:t>
                      </m:r>
                    </m:e>
                  </m:acc>
                </m:e>
              </m:d>
              <m:r>
                <m:rPr>
                  <m:sty m:val="p"/>
                </m:rPr>
                <m:t>−</m:t>
              </m:r>
              <m:r>
                <m:t>2</m:t>
              </m:r>
              <m:r>
                <m:t> </m:t>
              </m:r>
              <m:acc>
                <m:accPr>
                  <m:chr m:val="̂"/>
                </m:accPr>
                <m:e>
                  <m:acc>
                    <m:accPr>
                      <m:chr m:val="‾"/>
                    </m:accPr>
                    <m:e>
                      <m:r>
                        <m:t>y</m:t>
                      </m:r>
                    </m:e>
                  </m:acc>
                </m:e>
              </m:acc>
              <m:r>
                <m:t> </m:t>
              </m:r>
              <m:acc>
                <m:accPr>
                  <m:chr m:val="̂"/>
                </m:accPr>
                <m:e>
                  <m:r>
                    <m:t>C</m:t>
                  </m:r>
                  <m:r>
                    <m:t>o</m:t>
                  </m:r>
                  <m:r>
                    <m:t>v</m:t>
                  </m:r>
                </m:e>
              </m:acc>
              <m:d>
                <m:dPr>
                  <m:begChr m:val="("/>
                  <m:sepChr m:val=""/>
                  <m:endChr m:val=")"/>
                  <m:grow/>
                </m:dPr>
                <m:e>
                  <m:sSub>
                    <m:e>
                      <m:acc>
                        <m:accPr>
                          <m:chr m:val="̂"/>
                        </m:accPr>
                        <m:e>
                          <m:r>
                            <m:t>t</m:t>
                          </m:r>
                        </m:e>
                      </m:acc>
                    </m:e>
                    <m:sub>
                      <m:r>
                        <m:t>y</m:t>
                      </m:r>
                    </m:sub>
                  </m:sSub>
                  <m:r>
                    <m:rPr>
                      <m:sty m:val="p"/>
                    </m:rPr>
                    <m:t>,</m:t>
                  </m:r>
                  <m:acc>
                    <m:accPr>
                      <m:chr m:val="̂"/>
                    </m:accPr>
                    <m:e>
                      <m:r>
                        <m:t>N</m:t>
                      </m:r>
                    </m:e>
                  </m:acc>
                </m:e>
              </m:d>
            </m:num>
            <m:den>
              <m:sSup>
                <m:e>
                  <m:acc>
                    <m:accPr>
                      <m:chr m:val="̂"/>
                    </m:accPr>
                    <m:e>
                      <m:r>
                        <m:t>N</m:t>
                      </m:r>
                    </m:e>
                  </m:acc>
                </m:e>
                <m:sup>
                  <m:r>
                    <m:t>2</m:t>
                  </m:r>
                </m:sup>
              </m:sSup>
            </m:den>
          </m:f>
        </m:oMath>
      </m:oMathPara>
    </w:p>
    <w:p>
      <w:pPr>
        <w:pStyle w:val="FirstParagraph"/>
      </w:pPr>
      <w:r>
        <w:t xml:space="preserve">Como se puede observar, el cálculo de la varianza de la media poblacional implica componentes analíticos complejos, como la covarianza entre el total estimado y el tamaño poblacional estimado. Sin embargo, el paquete</w:t>
      </w:r>
      <w:r>
        <w:t xml:space="preserve"> </w:t>
      </w:r>
      <w:r>
        <w:rPr>
          <w:rStyle w:val="VerbatimChar"/>
        </w:rPr>
        <w:t xml:space="preserve">srvyr</w:t>
      </w:r>
      <w:r>
        <w:t xml:space="preserve"> </w:t>
      </w:r>
      <w:r>
        <w:t xml:space="preserve">en</w:t>
      </w:r>
      <w:r>
        <w:t xml:space="preserve"> </w:t>
      </w:r>
      <w:r>
        <w:rPr>
          <w:rStyle w:val="VerbatimChar"/>
        </w:rPr>
        <w:t xml:space="preserve">R</w:t>
      </w:r>
      <w:r>
        <w:t xml:space="preserve"> </w:t>
      </w:r>
      <w:r>
        <w:t xml:space="preserve">facilita estos cálculos al incorporar funciones que estiman directamente la media, su error estándar, el intervalo de confianza y el efecto del diseño. A continuación, se presenta la sintaxis para estimar la media de los ingresos de los hogares, junto con su intervalo de confianza al 95%, cuyos resultados se presentan en la</w:t>
      </w:r>
      <w:r>
        <w:t xml:space="preserve"> </w:t>
      </w:r>
      <w:hyperlink w:anchor="tbl-media-ingreso">
        <w:r>
          <w:rPr>
            <w:rStyle w:val="Hyperlink"/>
          </w:rPr>
          <w:t xml:space="preserve">tabla 3.4</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(Income,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deff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media-ingreso"/>
          <w:p>
            <w:pPr>
              <w:jc w:val="center"/>
            </w:pPr>
            <w:pPr>
              <w:jc w:val="left"/>
              <w:spacing w:before="200"/>
              <w:pStyle w:val="ImageCaption"/>
            </w:pPr>
            <w:r>
              <w:t xml:space="preserve">Tabla 3.4: Estimación de la media de ingresos de los hogares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mean</w:t>
                  </w:r>
                </w:p>
              </w:tc>
              <w:tc>
                <w:tcPr/>
                <w:p>
                  <w:pPr>
                    <w:pStyle w:val="Compact"/>
                    <w:jc w:val="right"/>
                    <w:jc w:val="center"/>
                  </w:pPr>
                  <w:r>
                    <w:t xml:space="preserve">mean_se</w:t>
                  </w:r>
                </w:p>
              </w:tc>
              <w:tc>
                <w:tcPr/>
                <w:p>
                  <w:pPr>
                    <w:pStyle w:val="Compact"/>
                    <w:jc w:val="right"/>
                    <w:jc w:val="center"/>
                  </w:pPr>
                  <w:r>
                    <w:t xml:space="preserve">mean_low</w:t>
                  </w:r>
                </w:p>
              </w:tc>
              <w:tc>
                <w:tcPr/>
                <w:p>
                  <w:pPr>
                    <w:pStyle w:val="Compact"/>
                    <w:jc w:val="right"/>
                    <w:jc w:val="center"/>
                  </w:pPr>
                  <w:r>
                    <w:t xml:space="preserve">mean_upp</w:t>
                  </w:r>
                </w:p>
              </w:tc>
              <w:tc>
                <w:tcPr/>
                <w:p>
                  <w:pPr>
                    <w:pStyle w:val="Compact"/>
                    <w:jc w:val="right"/>
                    <w:jc w:val="center"/>
                  </w:pPr>
                  <w:r>
                    <w:t xml:space="preserve">mean_deff</w:t>
                  </w:r>
                </w:p>
              </w:tc>
            </w:tr>
            <w:tr>
              <w:tc>
                <w:tcPr/>
                <w:p>
                  <w:pPr>
                    <w:pStyle w:val="Compact"/>
                    <w:jc w:val="right"/>
                    <w:jc w:val="center"/>
                  </w:pPr>
                  <w:r>
                    <w:t xml:space="preserve">571</w:t>
                  </w:r>
                </w:p>
              </w:tc>
              <w:tc>
                <w:tcPr/>
                <w:p>
                  <w:pPr>
                    <w:pStyle w:val="Compact"/>
                    <w:jc w:val="right"/>
                    <w:jc w:val="center"/>
                  </w:pPr>
                  <w:r>
                    <w:t xml:space="preserve">28.5</w:t>
                  </w:r>
                </w:p>
              </w:tc>
              <w:tc>
                <w:tcPr/>
                <w:p>
                  <w:pPr>
                    <w:pStyle w:val="Compact"/>
                    <w:jc w:val="right"/>
                    <w:jc w:val="center"/>
                  </w:pPr>
                  <w:r>
                    <w:t xml:space="preserve">515</w:t>
                  </w:r>
                </w:p>
              </w:tc>
              <w:tc>
                <w:tcPr/>
                <w:p>
                  <w:pPr>
                    <w:pStyle w:val="Compact"/>
                    <w:jc w:val="right"/>
                    <w:jc w:val="center"/>
                  </w:pPr>
                  <w:r>
                    <w:t xml:space="preserve">627</w:t>
                  </w:r>
                </w:p>
              </w:tc>
              <w:tc>
                <w:tcPr/>
                <w:p>
                  <w:pPr>
                    <w:pStyle w:val="Compact"/>
                    <w:jc w:val="right"/>
                    <w:jc w:val="center"/>
                  </w:pPr>
                  <w:r>
                    <w:t xml:space="preserve">8.82</w:t>
                  </w:r>
                </w:p>
              </w:tc>
            </w:tr>
          </w:tbl>
          <w:bookmarkEnd w:id="32"/>
          <w:p/>
        </w:tc>
      </w:tr>
    </w:tbl>
    <w:p>
      <w:pPr>
        <w:pStyle w:val="BodyText"/>
      </w:pPr>
      <w:r>
        <w:t xml:space="preserve">Como se aprecia, los argumentos utilizados en la función</w:t>
      </w:r>
      <w:r>
        <w:t xml:space="preserve"> </w:t>
      </w:r>
      <w:r>
        <w:rPr>
          <w:rStyle w:val="VerbatimChar"/>
        </w:rPr>
        <w:t xml:space="preserve">survey_mean()</w:t>
      </w:r>
      <w:r>
        <w:t xml:space="preserve"> </w:t>
      </w:r>
      <w:r>
        <w:t xml:space="preserve">son similares a los de</w:t>
      </w:r>
      <w:r>
        <w:t xml:space="preserve"> </w:t>
      </w:r>
      <w:r>
        <w:rPr>
          <w:rStyle w:val="VerbatimChar"/>
        </w:rPr>
        <w:t xml:space="preserve">survey_total()</w:t>
      </w:r>
      <w:r>
        <w:t xml:space="preserve">. En este caso,</w:t>
      </w:r>
      <w:r>
        <w:t xml:space="preserve"> </w:t>
      </w:r>
      <w:r>
        <w:rPr>
          <w:rStyle w:val="VerbatimChar"/>
        </w:rPr>
        <w:t xml:space="preserve">vartype</w:t>
      </w:r>
      <w:r>
        <w:t xml:space="preserve"> </w:t>
      </w:r>
      <w:r>
        <w:t xml:space="preserve">permite obtener el error estándar (</w:t>
      </w:r>
      <w:r>
        <w:rPr>
          <w:rStyle w:val="VerbatimChar"/>
        </w:rPr>
        <w:t xml:space="preserve">"se"</w:t>
      </w:r>
      <w:r>
        <w:t xml:space="preserve">) y el intervalo de confianza (</w:t>
      </w:r>
      <w:r>
        <w:rPr>
          <w:rStyle w:val="VerbatimChar"/>
        </w:rPr>
        <w:t xml:space="preserve">"ci"</w:t>
      </w:r>
      <w:r>
        <w:t xml:space="preserve">), mientras que el argumento</w:t>
      </w:r>
      <w:r>
        <w:t xml:space="preserve"> </w:t>
      </w:r>
      <w:r>
        <w:rPr>
          <w:rStyle w:val="VerbatimChar"/>
        </w:rPr>
        <w:t xml:space="preserve">deff = TRUE</w:t>
      </w:r>
      <w:r>
        <w:t xml:space="preserve"> </w:t>
      </w:r>
      <w:r>
        <w:t xml:space="preserve">solicita el cálculo del efecto del diseño. De forma análoga, es posible estimar la media de los gastos de los hogares, empleando la misma estructura de código, presentada en la</w:t>
      </w:r>
      <w:r>
        <w:t xml:space="preserve"> </w:t>
      </w:r>
      <w:hyperlink w:anchor="tbl-media-gasto">
        <w:r>
          <w:rPr>
            <w:rStyle w:val="Hyperlink"/>
          </w:rPr>
          <w:t xml:space="preserve">tabla 3.5</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(Expenditure,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deff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tbl-media-gasto"/>
          <w:p>
            <w:pPr>
              <w:jc w:val="center"/>
            </w:pPr>
            <w:pPr>
              <w:jc w:val="left"/>
              <w:spacing w:before="200"/>
              <w:pStyle w:val="ImageCaption"/>
            </w:pPr>
            <w:r>
              <w:t xml:space="preserve">Tabla 3.5: Estimación de la media de gastos de los hogares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mean</w:t>
                  </w:r>
                </w:p>
              </w:tc>
              <w:tc>
                <w:tcPr/>
                <w:p>
                  <w:pPr>
                    <w:pStyle w:val="Compact"/>
                    <w:jc w:val="right"/>
                    <w:jc w:val="center"/>
                  </w:pPr>
                  <w:r>
                    <w:t xml:space="preserve">mean_se</w:t>
                  </w:r>
                </w:p>
              </w:tc>
              <w:tc>
                <w:tcPr/>
                <w:p>
                  <w:pPr>
                    <w:pStyle w:val="Compact"/>
                    <w:jc w:val="right"/>
                    <w:jc w:val="center"/>
                  </w:pPr>
                  <w:r>
                    <w:t xml:space="preserve">mean_low</w:t>
                  </w:r>
                </w:p>
              </w:tc>
              <w:tc>
                <w:tcPr/>
                <w:p>
                  <w:pPr>
                    <w:pStyle w:val="Compact"/>
                    <w:jc w:val="right"/>
                    <w:jc w:val="center"/>
                  </w:pPr>
                  <w:r>
                    <w:t xml:space="preserve">mean_upp</w:t>
                  </w:r>
                </w:p>
              </w:tc>
              <w:tc>
                <w:tcPr/>
                <w:p>
                  <w:pPr>
                    <w:pStyle w:val="Compact"/>
                    <w:jc w:val="right"/>
                    <w:jc w:val="center"/>
                  </w:pPr>
                  <w:r>
                    <w:t xml:space="preserve">mean_deff</w:t>
                  </w:r>
                </w:p>
              </w:tc>
            </w:tr>
            <w:tr>
              <w:tc>
                <w:tcPr/>
                <w:p>
                  <w:pPr>
                    <w:pStyle w:val="Compact"/>
                    <w:jc w:val="right"/>
                    <w:jc w:val="center"/>
                  </w:pPr>
                  <w:r>
                    <w:t xml:space="preserve">371</w:t>
                  </w:r>
                </w:p>
              </w:tc>
              <w:tc>
                <w:tcPr/>
                <w:p>
                  <w:pPr>
                    <w:pStyle w:val="Compact"/>
                    <w:jc w:val="right"/>
                    <w:jc w:val="center"/>
                  </w:pPr>
                  <w:r>
                    <w:t xml:space="preserve">13.3</w:t>
                  </w:r>
                </w:p>
              </w:tc>
              <w:tc>
                <w:tcPr/>
                <w:p>
                  <w:pPr>
                    <w:pStyle w:val="Compact"/>
                    <w:jc w:val="right"/>
                    <w:jc w:val="center"/>
                  </w:pPr>
                  <w:r>
                    <w:t xml:space="preserve">344</w:t>
                  </w:r>
                </w:p>
              </w:tc>
              <w:tc>
                <w:tcPr/>
                <w:p>
                  <w:pPr>
                    <w:pStyle w:val="Compact"/>
                    <w:jc w:val="right"/>
                    <w:jc w:val="center"/>
                  </w:pPr>
                  <w:r>
                    <w:t xml:space="preserve">397</w:t>
                  </w:r>
                </w:p>
              </w:tc>
              <w:tc>
                <w:tcPr/>
                <w:p>
                  <w:pPr>
                    <w:pStyle w:val="Compact"/>
                    <w:jc w:val="right"/>
                    <w:jc w:val="center"/>
                  </w:pPr>
                  <w:r>
                    <w:t xml:space="preserve">6.02</w:t>
                  </w:r>
                </w:p>
              </w:tc>
            </w:tr>
          </w:tbl>
          <w:bookmarkEnd w:id="33"/>
          <w:p/>
        </w:tc>
      </w:tr>
    </w:tbl>
    <w:p>
      <w:pPr>
        <w:pStyle w:val="BodyText"/>
      </w:pPr>
      <w:r>
        <w:t xml:space="preserve">También se pueden realizar estimaciones de la media por subgrupos siguiendo el mismo esquema mostrado previamente. Particularmente, los gastos de los hogares discriminados por sexo se presentan en la</w:t>
      </w:r>
      <w:r>
        <w:t xml:space="preserve"> </w:t>
      </w:r>
      <w:hyperlink w:anchor="tbl-media-gasto-sexo">
        <w:r>
          <w:rPr>
            <w:rStyle w:val="Hyperlink"/>
          </w:rPr>
          <w:t xml:space="preserve">tabla 3.6</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"Mean expenditure"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(Sex))</w:t>
      </w:r>
    </w:p>
    <w:tbl>
      <w:tblPr>
        <w:tblStyle w:val="Table"/>
        <w:tblW w:type="pct" w:w="5000"/>
        <w:tblLayout w:type="fixed"/>
        <w:tblLook w:firstRow="0" w:lastRow="0" w:firstColumn="0" w:lastColumn="0" w:noHBand="0" w:noVBand="0" w:val="0000"/>
      </w:tblPr>
      <w:tblGrid>
        <w:gridCol w:w="7920"/>
      </w:tblGrid>
      <w:tr>
        <w:tc>
          <w:tcPr/>
          <w:bookmarkStart w:id="34" w:name="tbl-media-gasto-sexo"/>
          <w:p>
            <w:pPr>
              <w:jc w:val="center"/>
            </w:pPr>
            <w:pPr>
              <w:jc w:val="left"/>
              <w:spacing w:before="200"/>
              <w:pStyle w:val="ImageCaption"/>
            </w:pPr>
            <w:r>
              <w:t xml:space="preserve">Tabla 3.6: Media de gastos de los hogares desagregada por sexo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Sex</w:t>
                  </w:r>
                </w:p>
              </w:tc>
              <w:tc>
                <w:tcPr/>
                <w:p>
                  <w:pPr>
                    <w:pStyle w:val="Compact"/>
                    <w:jc w:val="right"/>
                    <w:jc w:val="center"/>
                  </w:pPr>
                  <w:r>
                    <w:t xml:space="preserve">mean</w:t>
                  </w:r>
                </w:p>
              </w:tc>
              <w:tc>
                <w:tcPr/>
                <w:p>
                  <w:pPr>
                    <w:pStyle w:val="Compact"/>
                    <w:jc w:val="right"/>
                    <w:jc w:val="center"/>
                  </w:pPr>
                  <w:r>
                    <w:t xml:space="preserve">mean_se</w:t>
                  </w:r>
                </w:p>
              </w:tc>
              <w:tc>
                <w:tcPr/>
                <w:p>
                  <w:pPr>
                    <w:pStyle w:val="Compact"/>
                    <w:jc w:val="right"/>
                    <w:jc w:val="center"/>
                  </w:pPr>
                  <w:r>
                    <w:t xml:space="preserve">mean_low</w:t>
                  </w:r>
                </w:p>
              </w:tc>
              <w:tc>
                <w:tcPr/>
                <w:p>
                  <w:pPr>
                    <w:pStyle w:val="Compact"/>
                    <w:jc w:val="right"/>
                    <w:jc w:val="center"/>
                  </w:pPr>
                  <w:r>
                    <w:t xml:space="preserve">mean_upp</w:t>
                  </w:r>
                </w:p>
              </w:tc>
            </w:tr>
            <w:tr>
              <w:tc>
                <w:tcPr/>
                <w:p>
                  <w:pPr>
                    <w:pStyle w:val="Compact"/>
                    <w:jc w:val="left"/>
                    <w:jc w:val="center"/>
                  </w:pPr>
                  <w:r>
                    <w:t xml:space="preserve">Mean expenditure</w:t>
                  </w:r>
                </w:p>
              </w:tc>
              <w:tc>
                <w:tcPr/>
                <w:p>
                  <w:pPr>
                    <w:pStyle w:val="Compact"/>
                    <w:jc w:val="right"/>
                    <w:jc w:val="center"/>
                  </w:pPr>
                  <w:r>
                    <w:t xml:space="preserve">371</w:t>
                  </w:r>
                </w:p>
              </w:tc>
              <w:tc>
                <w:tcPr/>
                <w:p>
                  <w:pPr>
                    <w:pStyle w:val="Compact"/>
                    <w:jc w:val="right"/>
                    <w:jc w:val="center"/>
                  </w:pPr>
                  <w:r>
                    <w:t xml:space="preserve">13.3</w:t>
                  </w:r>
                </w:p>
              </w:tc>
              <w:tc>
                <w:tcPr/>
                <w:p>
                  <w:pPr>
                    <w:pStyle w:val="Compact"/>
                    <w:jc w:val="right"/>
                    <w:jc w:val="center"/>
                  </w:pPr>
                  <w:r>
                    <w:t xml:space="preserve">344</w:t>
                  </w:r>
                </w:p>
              </w:tc>
              <w:tc>
                <w:tcPr/>
                <w:p>
                  <w:pPr>
                    <w:pStyle w:val="Compact"/>
                    <w:jc w:val="right"/>
                    <w:jc w:val="center"/>
                  </w:pPr>
                  <w:r>
                    <w:t xml:space="preserve">397</w:t>
                  </w:r>
                </w:p>
              </w:tc>
            </w:tr>
            <w:tr>
              <w:tc>
                <w:tcPr/>
                <w:p>
                  <w:pPr>
                    <w:pStyle w:val="Compact"/>
                    <w:jc w:val="left"/>
                    <w:jc w:val="center"/>
                  </w:pPr>
                  <w:r>
                    <w:t xml:space="preserve">Male</w:t>
                  </w:r>
                </w:p>
              </w:tc>
              <w:tc>
                <w:tcPr/>
                <w:p>
                  <w:pPr>
                    <w:pStyle w:val="Compact"/>
                    <w:jc w:val="right"/>
                    <w:jc w:val="center"/>
                  </w:pPr>
                  <w:r>
                    <w:t xml:space="preserve">374</w:t>
                  </w:r>
                </w:p>
              </w:tc>
              <w:tc>
                <w:tcPr/>
                <w:p>
                  <w:pPr>
                    <w:pStyle w:val="Compact"/>
                    <w:jc w:val="right"/>
                    <w:jc w:val="center"/>
                  </w:pPr>
                  <w:r>
                    <w:t xml:space="preserve">16.1</w:t>
                  </w:r>
                </w:p>
              </w:tc>
              <w:tc>
                <w:tcPr/>
                <w:p>
                  <w:pPr>
                    <w:pStyle w:val="Compact"/>
                    <w:jc w:val="right"/>
                    <w:jc w:val="center"/>
                  </w:pPr>
                  <w:r>
                    <w:t xml:space="preserve">343</w:t>
                  </w:r>
                </w:p>
              </w:tc>
              <w:tc>
                <w:tcPr/>
                <w:p>
                  <w:pPr>
                    <w:pStyle w:val="Compact"/>
                    <w:jc w:val="right"/>
                    <w:jc w:val="center"/>
                  </w:pPr>
                  <w:r>
                    <w:t xml:space="preserve">406</w:t>
                  </w:r>
                </w:p>
              </w:tc>
            </w:tr>
            <w:tr>
              <w:tc>
                <w:tcPr/>
                <w:p>
                  <w:pPr>
                    <w:pStyle w:val="Compact"/>
                    <w:jc w:val="left"/>
                    <w:jc w:val="center"/>
                  </w:pPr>
                  <w:r>
                    <w:t xml:space="preserve">Female</w:t>
                  </w:r>
                </w:p>
              </w:tc>
              <w:tc>
                <w:tcPr/>
                <w:p>
                  <w:pPr>
                    <w:pStyle w:val="Compact"/>
                    <w:jc w:val="right"/>
                    <w:jc w:val="center"/>
                  </w:pPr>
                  <w:r>
                    <w:t xml:space="preserve">367</w:t>
                  </w:r>
                </w:p>
              </w:tc>
              <w:tc>
                <w:tcPr/>
                <w:p>
                  <w:pPr>
                    <w:pStyle w:val="Compact"/>
                    <w:jc w:val="right"/>
                    <w:jc w:val="center"/>
                  </w:pPr>
                  <w:r>
                    <w:t xml:space="preserve">12.3</w:t>
                  </w:r>
                </w:p>
              </w:tc>
              <w:tc>
                <w:tcPr/>
                <w:p>
                  <w:pPr>
                    <w:pStyle w:val="Compact"/>
                    <w:jc w:val="right"/>
                    <w:jc w:val="center"/>
                  </w:pPr>
                  <w:r>
                    <w:t xml:space="preserve">343</w:t>
                  </w:r>
                </w:p>
              </w:tc>
              <w:tc>
                <w:tcPr/>
                <w:p>
                  <w:pPr>
                    <w:pStyle w:val="Compact"/>
                    <w:jc w:val="right"/>
                    <w:jc w:val="center"/>
                  </w:pPr>
                  <w:r>
                    <w:t xml:space="preserve">391</w:t>
                  </w:r>
                </w:p>
              </w:tc>
            </w:tr>
          </w:tbl>
          <w:bookmarkEnd w:id="34"/>
          <w:p/>
        </w:tc>
      </w:tr>
    </w:tbl>
    <w:p>
      <w:pPr>
        <w:pStyle w:val="BodyText"/>
      </w:pPr>
      <w:r>
        <w:t xml:space="preserve">De manera análoga, se pueden calcular las medias del gasto por zona, las cuales son presentadas en la</w:t>
      </w:r>
      <w:r>
        <w:t xml:space="preserve"> </w:t>
      </w:r>
      <w:hyperlink w:anchor="tbl-media-gasto-zona">
        <w:r>
          <w:rPr>
            <w:rStyle w:val="Hyperlink"/>
          </w:rPr>
          <w:t xml:space="preserve">tabla 3.7</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"Mean expenditure"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(Zone))</w:t>
      </w:r>
    </w:p>
    <w:tbl>
      <w:tblPr>
        <w:tblStyle w:val="Table"/>
        <w:tblW w:type="pct" w:w="5000"/>
        <w:tblLayout w:type="fixed"/>
        <w:tblLook w:firstRow="0" w:lastRow="0" w:firstColumn="0" w:lastColumn="0" w:noHBand="0" w:noVBand="0" w:val="0000"/>
      </w:tblPr>
      <w:tblGrid>
        <w:gridCol w:w="7920"/>
      </w:tblGrid>
      <w:tr>
        <w:tc>
          <w:tcPr/>
          <w:bookmarkStart w:id="35" w:name="tbl-media-gasto-zona"/>
          <w:p>
            <w:pPr>
              <w:jc w:val="center"/>
            </w:pPr>
            <w:pPr>
              <w:jc w:val="left"/>
              <w:spacing w:before="200"/>
              <w:pStyle w:val="ImageCaption"/>
            </w:pPr>
            <w:r>
              <w:t xml:space="preserve">Tabla 3.7: Media de gastos de los hogares desagregada por zona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Zone</w:t>
                  </w:r>
                </w:p>
              </w:tc>
              <w:tc>
                <w:tcPr/>
                <w:p>
                  <w:pPr>
                    <w:pStyle w:val="Compact"/>
                    <w:jc w:val="right"/>
                    <w:jc w:val="center"/>
                  </w:pPr>
                  <w:r>
                    <w:t xml:space="preserve">mean</w:t>
                  </w:r>
                </w:p>
              </w:tc>
              <w:tc>
                <w:tcPr/>
                <w:p>
                  <w:pPr>
                    <w:pStyle w:val="Compact"/>
                    <w:jc w:val="right"/>
                    <w:jc w:val="center"/>
                  </w:pPr>
                  <w:r>
                    <w:t xml:space="preserve">mean_se</w:t>
                  </w:r>
                </w:p>
              </w:tc>
              <w:tc>
                <w:tcPr/>
                <w:p>
                  <w:pPr>
                    <w:pStyle w:val="Compact"/>
                    <w:jc w:val="right"/>
                    <w:jc w:val="center"/>
                  </w:pPr>
                  <w:r>
                    <w:t xml:space="preserve">mean_low</w:t>
                  </w:r>
                </w:p>
              </w:tc>
              <w:tc>
                <w:tcPr/>
                <w:p>
                  <w:pPr>
                    <w:pStyle w:val="Compact"/>
                    <w:jc w:val="right"/>
                    <w:jc w:val="center"/>
                  </w:pPr>
                  <w:r>
                    <w:t xml:space="preserve">mean_upp</w:t>
                  </w:r>
                </w:p>
              </w:tc>
            </w:tr>
            <w:tr>
              <w:tc>
                <w:tcPr/>
                <w:p>
                  <w:pPr>
                    <w:pStyle w:val="Compact"/>
                    <w:jc w:val="left"/>
                    <w:jc w:val="center"/>
                  </w:pPr>
                  <w:r>
                    <w:t xml:space="preserve">Urban</w:t>
                  </w:r>
                </w:p>
              </w:tc>
              <w:tc>
                <w:tcPr/>
                <w:p>
                  <w:pPr>
                    <w:pStyle w:val="Compact"/>
                    <w:jc w:val="right"/>
                    <w:jc w:val="center"/>
                  </w:pPr>
                  <w:r>
                    <w:t xml:space="preserve">460</w:t>
                  </w:r>
                </w:p>
              </w:tc>
              <w:tc>
                <w:tcPr/>
                <w:p>
                  <w:pPr>
                    <w:pStyle w:val="Compact"/>
                    <w:jc w:val="right"/>
                    <w:jc w:val="center"/>
                  </w:pPr>
                  <w:r>
                    <w:t xml:space="preserve">22.2</w:t>
                  </w:r>
                </w:p>
              </w:tc>
              <w:tc>
                <w:tcPr/>
                <w:p>
                  <w:pPr>
                    <w:pStyle w:val="Compact"/>
                    <w:jc w:val="right"/>
                    <w:jc w:val="center"/>
                  </w:pPr>
                  <w:r>
                    <w:t xml:space="preserve">416</w:t>
                  </w:r>
                </w:p>
              </w:tc>
              <w:tc>
                <w:tcPr/>
                <w:p>
                  <w:pPr>
                    <w:pStyle w:val="Compact"/>
                    <w:jc w:val="right"/>
                    <w:jc w:val="center"/>
                  </w:pPr>
                  <w:r>
                    <w:t xml:space="preserve">504</w:t>
                  </w:r>
                </w:p>
              </w:tc>
            </w:tr>
            <w:tr>
              <w:tc>
                <w:tcPr/>
                <w:p>
                  <w:pPr>
                    <w:pStyle w:val="Compact"/>
                    <w:jc w:val="left"/>
                    <w:jc w:val="center"/>
                  </w:pPr>
                  <w:r>
                    <w:t xml:space="preserve">Rural</w:t>
                  </w:r>
                </w:p>
              </w:tc>
              <w:tc>
                <w:tcPr/>
                <w:p>
                  <w:pPr>
                    <w:pStyle w:val="Compact"/>
                    <w:jc w:val="right"/>
                    <w:jc w:val="center"/>
                  </w:pPr>
                  <w:r>
                    <w:t xml:space="preserve">274</w:t>
                  </w:r>
                </w:p>
              </w:tc>
              <w:tc>
                <w:tcPr/>
                <w:p>
                  <w:pPr>
                    <w:pStyle w:val="Compact"/>
                    <w:jc w:val="right"/>
                    <w:jc w:val="center"/>
                  </w:pPr>
                  <w:r>
                    <w:t xml:space="preserve">10.3</w:t>
                  </w:r>
                </w:p>
              </w:tc>
              <w:tc>
                <w:tcPr/>
                <w:p>
                  <w:pPr>
                    <w:pStyle w:val="Compact"/>
                    <w:jc w:val="right"/>
                    <w:jc w:val="center"/>
                  </w:pPr>
                  <w:r>
                    <w:t xml:space="preserve">254</w:t>
                  </w:r>
                </w:p>
              </w:tc>
              <w:tc>
                <w:tcPr/>
                <w:p>
                  <w:pPr>
                    <w:pStyle w:val="Compact"/>
                    <w:jc w:val="right"/>
                    <w:jc w:val="center"/>
                  </w:pPr>
                  <w:r>
                    <w:t xml:space="preserve">294</w:t>
                  </w:r>
                </w:p>
              </w:tc>
            </w:tr>
            <w:tr>
              <w:tc>
                <w:tcPr/>
                <w:p>
                  <w:pPr>
                    <w:pStyle w:val="Compact"/>
                    <w:jc w:val="left"/>
                    <w:jc w:val="center"/>
                  </w:pPr>
                  <w:r>
                    <w:t xml:space="preserve">Mean expenditure</w:t>
                  </w:r>
                </w:p>
              </w:tc>
              <w:tc>
                <w:tcPr/>
                <w:p>
                  <w:pPr>
                    <w:pStyle w:val="Compact"/>
                    <w:jc w:val="right"/>
                    <w:jc w:val="center"/>
                  </w:pPr>
                  <w:r>
                    <w:t xml:space="preserve">371</w:t>
                  </w:r>
                </w:p>
              </w:tc>
              <w:tc>
                <w:tcPr/>
                <w:p>
                  <w:pPr>
                    <w:pStyle w:val="Compact"/>
                    <w:jc w:val="right"/>
                    <w:jc w:val="center"/>
                  </w:pPr>
                  <w:r>
                    <w:t xml:space="preserve">13.3</w:t>
                  </w:r>
                </w:p>
              </w:tc>
              <w:tc>
                <w:tcPr/>
                <w:p>
                  <w:pPr>
                    <w:pStyle w:val="Compact"/>
                    <w:jc w:val="right"/>
                    <w:jc w:val="center"/>
                  </w:pPr>
                  <w:r>
                    <w:t xml:space="preserve">344</w:t>
                  </w:r>
                </w:p>
              </w:tc>
              <w:tc>
                <w:tcPr/>
                <w:p>
                  <w:pPr>
                    <w:pStyle w:val="Compact"/>
                    <w:jc w:val="right"/>
                    <w:jc w:val="center"/>
                  </w:pPr>
                  <w:r>
                    <w:t xml:space="preserve">397</w:t>
                  </w:r>
                </w:p>
              </w:tc>
            </w:tr>
          </w:tbl>
          <w:bookmarkEnd w:id="35"/>
          <w:p/>
        </w:tc>
      </w:tr>
    </w:tbl>
    <w:p>
      <w:pPr>
        <w:pStyle w:val="BodyText"/>
      </w:pPr>
      <w:r>
        <w:t xml:space="preserve">Asimismo, es posible realizar una estimación combinada por sexo y zona, presentada en la</w:t>
      </w:r>
      <w:r>
        <w:t xml:space="preserve"> </w:t>
      </w:r>
      <w:hyperlink w:anchor="tbl-media-gasto-zona-sexo">
        <w:r>
          <w:rPr>
            <w:rStyle w:val="Hyperlink"/>
          </w:rPr>
          <w:t xml:space="preserve">tabla 3.8</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Sex)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"Mean expenditure"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(Zone), </w:t>
      </w:r>
      <w:r>
        <w:rPr>
          <w:rStyle w:val="FunctionTok"/>
        </w:rPr>
        <w:t xml:space="preserve">desc</w:t>
      </w:r>
      <w:r>
        <w:rPr>
          <w:rStyle w:val="NormalTok"/>
        </w:rPr>
        <w:t xml:space="preserve">(Sex))</w:t>
      </w:r>
    </w:p>
    <w:tbl>
      <w:tblPr>
        <w:tblStyle w:val="Table"/>
        <w:tblW w:type="pct" w:w="5000"/>
        <w:tblLayout w:type="fixed"/>
        <w:tblLook w:firstRow="0" w:lastRow="0" w:firstColumn="0" w:lastColumn="0" w:noHBand="0" w:noVBand="0" w:val="0000"/>
      </w:tblPr>
      <w:tblGrid>
        <w:gridCol w:w="7920"/>
      </w:tblGrid>
      <w:tr>
        <w:tc>
          <w:tcPr/>
          <w:bookmarkStart w:id="36" w:name="tbl-media-gasto-zona-sexo"/>
          <w:p>
            <w:pPr>
              <w:jc w:val="center"/>
            </w:pPr>
            <w:pPr>
              <w:jc w:val="left"/>
              <w:spacing w:before="200"/>
              <w:pStyle w:val="ImageCaption"/>
            </w:pPr>
            <w:r>
              <w:t xml:space="preserve">Tabla 3.8: Media de gastos de los hogares desagregada por zona y sexo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Zone</w:t>
                  </w:r>
                </w:p>
              </w:tc>
              <w:tc>
                <w:tcPr/>
                <w:p>
                  <w:pPr>
                    <w:pStyle w:val="Compact"/>
                    <w:jc w:val="left"/>
                    <w:jc w:val="center"/>
                  </w:pPr>
                  <w:r>
                    <w:t xml:space="preserve">Sex</w:t>
                  </w:r>
                </w:p>
              </w:tc>
              <w:tc>
                <w:tcPr/>
                <w:p>
                  <w:pPr>
                    <w:pStyle w:val="Compact"/>
                    <w:jc w:val="right"/>
                    <w:jc w:val="center"/>
                  </w:pPr>
                  <w:r>
                    <w:t xml:space="preserve">mean</w:t>
                  </w:r>
                </w:p>
              </w:tc>
              <w:tc>
                <w:tcPr/>
                <w:p>
                  <w:pPr>
                    <w:pStyle w:val="Compact"/>
                    <w:jc w:val="right"/>
                    <w:jc w:val="center"/>
                  </w:pPr>
                  <w:r>
                    <w:t xml:space="preserve">mean_se</w:t>
                  </w:r>
                </w:p>
              </w:tc>
              <w:tc>
                <w:tcPr/>
                <w:p>
                  <w:pPr>
                    <w:pStyle w:val="Compact"/>
                    <w:jc w:val="right"/>
                    <w:jc w:val="center"/>
                  </w:pPr>
                  <w:r>
                    <w:t xml:space="preserve">mean_low</w:t>
                  </w:r>
                </w:p>
              </w:tc>
              <w:tc>
                <w:tcPr/>
                <w:p>
                  <w:pPr>
                    <w:pStyle w:val="Compact"/>
                    <w:jc w:val="right"/>
                    <w:jc w:val="center"/>
                  </w:pPr>
                  <w:r>
                    <w:t xml:space="preserve">mean_upp</w:t>
                  </w:r>
                </w:p>
              </w:tc>
            </w:tr>
            <w:tr>
              <w:tc>
                <w:tcPr/>
                <w:p>
                  <w:pPr>
                    <w:pStyle w:val="Compact"/>
                    <w:jc w:val="left"/>
                    <w:jc w:val="center"/>
                  </w:pPr>
                  <w:r>
                    <w:t xml:space="preserve">Urban</w:t>
                  </w:r>
                </w:p>
              </w:tc>
              <w:tc>
                <w:tcPr/>
                <w:p>
                  <w:pPr>
                    <w:pStyle w:val="Compact"/>
                    <w:jc w:val="left"/>
                    <w:jc w:val="center"/>
                  </w:pPr>
                  <w:r>
                    <w:t xml:space="preserve">Mean expenditure</w:t>
                  </w:r>
                </w:p>
              </w:tc>
              <w:tc>
                <w:tcPr/>
                <w:p>
                  <w:pPr>
                    <w:pStyle w:val="Compact"/>
                    <w:jc w:val="right"/>
                    <w:jc w:val="center"/>
                  </w:pPr>
                  <w:r>
                    <w:t xml:space="preserve">460</w:t>
                  </w:r>
                </w:p>
              </w:tc>
              <w:tc>
                <w:tcPr/>
                <w:p>
                  <w:pPr>
                    <w:pStyle w:val="Compact"/>
                    <w:jc w:val="right"/>
                    <w:jc w:val="center"/>
                  </w:pPr>
                  <w:r>
                    <w:t xml:space="preserve">22.2</w:t>
                  </w:r>
                </w:p>
              </w:tc>
              <w:tc>
                <w:tcPr/>
                <w:p>
                  <w:pPr>
                    <w:pStyle w:val="Compact"/>
                    <w:jc w:val="right"/>
                    <w:jc w:val="center"/>
                  </w:pPr>
                  <w:r>
                    <w:t xml:space="preserve">416</w:t>
                  </w:r>
                </w:p>
              </w:tc>
              <w:tc>
                <w:tcPr/>
                <w:p>
                  <w:pPr>
                    <w:pStyle w:val="Compact"/>
                    <w:jc w:val="right"/>
                    <w:jc w:val="center"/>
                  </w:pPr>
                  <w:r>
                    <w:t xml:space="preserve">504</w:t>
                  </w:r>
                </w:p>
              </w:tc>
            </w:tr>
            <w:tr>
              <w:tc>
                <w:tcPr/>
                <w:p>
                  <w:pPr>
                    <w:pStyle w:val="Compact"/>
                    <w:jc w:val="left"/>
                    <w:jc w:val="center"/>
                  </w:pPr>
                  <w:r>
                    <w:t xml:space="preserve">Urban</w:t>
                  </w:r>
                </w:p>
              </w:tc>
              <w:tc>
                <w:tcPr/>
                <w:p>
                  <w:pPr>
                    <w:pStyle w:val="Compact"/>
                    <w:jc w:val="left"/>
                    <w:jc w:val="center"/>
                  </w:pPr>
                  <w:r>
                    <w:t xml:space="preserve">Male</w:t>
                  </w:r>
                </w:p>
              </w:tc>
              <w:tc>
                <w:tcPr/>
                <w:p>
                  <w:pPr>
                    <w:pStyle w:val="Compact"/>
                    <w:jc w:val="right"/>
                    <w:jc w:val="center"/>
                  </w:pPr>
                  <w:r>
                    <w:t xml:space="preserve">470</w:t>
                  </w:r>
                </w:p>
              </w:tc>
              <w:tc>
                <w:tcPr/>
                <w:p>
                  <w:pPr>
                    <w:pStyle w:val="Compact"/>
                    <w:jc w:val="right"/>
                    <w:jc w:val="center"/>
                  </w:pPr>
                  <w:r>
                    <w:t xml:space="preserve">27.0</w:t>
                  </w:r>
                </w:p>
              </w:tc>
              <w:tc>
                <w:tcPr/>
                <w:p>
                  <w:pPr>
                    <w:pStyle w:val="Compact"/>
                    <w:jc w:val="right"/>
                    <w:jc w:val="center"/>
                  </w:pPr>
                  <w:r>
                    <w:t xml:space="preserve">416</w:t>
                  </w:r>
                </w:p>
              </w:tc>
              <w:tc>
                <w:tcPr/>
                <w:p>
                  <w:pPr>
                    <w:pStyle w:val="Compact"/>
                    <w:jc w:val="right"/>
                    <w:jc w:val="center"/>
                  </w:pPr>
                  <w:r>
                    <w:t xml:space="preserve">523</w:t>
                  </w:r>
                </w:p>
              </w:tc>
            </w:tr>
            <w:tr>
              <w:tc>
                <w:tcPr/>
                <w:p>
                  <w:pPr>
                    <w:pStyle w:val="Compact"/>
                    <w:jc w:val="left"/>
                    <w:jc w:val="center"/>
                  </w:pPr>
                  <w:r>
                    <w:t xml:space="preserve">Urban</w:t>
                  </w:r>
                </w:p>
              </w:tc>
              <w:tc>
                <w:tcPr/>
                <w:p>
                  <w:pPr>
                    <w:pStyle w:val="Compact"/>
                    <w:jc w:val="left"/>
                    <w:jc w:val="center"/>
                  </w:pPr>
                  <w:r>
                    <w:t xml:space="preserve">Female</w:t>
                  </w:r>
                </w:p>
              </w:tc>
              <w:tc>
                <w:tcPr/>
                <w:p>
                  <w:pPr>
                    <w:pStyle w:val="Compact"/>
                    <w:jc w:val="right"/>
                    <w:jc w:val="center"/>
                  </w:pPr>
                  <w:r>
                    <w:t xml:space="preserve">451</w:t>
                  </w:r>
                </w:p>
              </w:tc>
              <w:tc>
                <w:tcPr/>
                <w:p>
                  <w:pPr>
                    <w:pStyle w:val="Compact"/>
                    <w:jc w:val="right"/>
                    <w:jc w:val="center"/>
                  </w:pPr>
                  <w:r>
                    <w:t xml:space="preserve">20.1</w:t>
                  </w:r>
                </w:p>
              </w:tc>
              <w:tc>
                <w:tcPr/>
                <w:p>
                  <w:pPr>
                    <w:pStyle w:val="Compact"/>
                    <w:jc w:val="right"/>
                    <w:jc w:val="center"/>
                  </w:pPr>
                  <w:r>
                    <w:t xml:space="preserve">411</w:t>
                  </w:r>
                </w:p>
              </w:tc>
              <w:tc>
                <w:tcPr/>
                <w:p>
                  <w:pPr>
                    <w:pStyle w:val="Compact"/>
                    <w:jc w:val="right"/>
                    <w:jc w:val="center"/>
                  </w:pPr>
                  <w:r>
                    <w:t xml:space="preserve">491</w:t>
                  </w:r>
                </w:p>
              </w:tc>
            </w:tr>
            <w:tr>
              <w:tc>
                <w:tcPr/>
                <w:p>
                  <w:pPr>
                    <w:pStyle w:val="Compact"/>
                    <w:jc w:val="left"/>
                    <w:jc w:val="center"/>
                  </w:pPr>
                  <w:r>
                    <w:t xml:space="preserve">Rural</w:t>
                  </w:r>
                </w:p>
              </w:tc>
              <w:tc>
                <w:tcPr/>
                <w:p>
                  <w:pPr>
                    <w:pStyle w:val="Compact"/>
                    <w:jc w:val="left"/>
                    <w:jc w:val="center"/>
                  </w:pPr>
                  <w:r>
                    <w:t xml:space="preserve">Mean expenditure</w:t>
                  </w:r>
                </w:p>
              </w:tc>
              <w:tc>
                <w:tcPr/>
                <w:p>
                  <w:pPr>
                    <w:pStyle w:val="Compact"/>
                    <w:jc w:val="right"/>
                    <w:jc w:val="center"/>
                  </w:pPr>
                  <w:r>
                    <w:t xml:space="preserve">274</w:t>
                  </w:r>
                </w:p>
              </w:tc>
              <w:tc>
                <w:tcPr/>
                <w:p>
                  <w:pPr>
                    <w:pStyle w:val="Compact"/>
                    <w:jc w:val="right"/>
                    <w:jc w:val="center"/>
                  </w:pPr>
                  <w:r>
                    <w:t xml:space="preserve">10.3</w:t>
                  </w:r>
                </w:p>
              </w:tc>
              <w:tc>
                <w:tcPr/>
                <w:p>
                  <w:pPr>
                    <w:pStyle w:val="Compact"/>
                    <w:jc w:val="right"/>
                    <w:jc w:val="center"/>
                  </w:pPr>
                  <w:r>
                    <w:t xml:space="preserve">254</w:t>
                  </w:r>
                </w:p>
              </w:tc>
              <w:tc>
                <w:tcPr/>
                <w:p>
                  <w:pPr>
                    <w:pStyle w:val="Compact"/>
                    <w:jc w:val="right"/>
                    <w:jc w:val="center"/>
                  </w:pPr>
                  <w:r>
                    <w:t xml:space="preserve">294</w:t>
                  </w:r>
                </w:p>
              </w:tc>
            </w:tr>
            <w:tr>
              <w:tc>
                <w:tcPr/>
                <w:p>
                  <w:pPr>
                    <w:pStyle w:val="Compact"/>
                    <w:jc w:val="left"/>
                    <w:jc w:val="center"/>
                  </w:pPr>
                  <w:r>
                    <w:t xml:space="preserve">Rural</w:t>
                  </w:r>
                </w:p>
              </w:tc>
              <w:tc>
                <w:tcPr/>
                <w:p>
                  <w:pPr>
                    <w:pStyle w:val="Compact"/>
                    <w:jc w:val="left"/>
                    <w:jc w:val="center"/>
                  </w:pPr>
                  <w:r>
                    <w:t xml:space="preserve">Male</w:t>
                  </w:r>
                </w:p>
              </w:tc>
              <w:tc>
                <w:tcPr/>
                <w:p>
                  <w:pPr>
                    <w:pStyle w:val="Compact"/>
                    <w:jc w:val="right"/>
                    <w:jc w:val="center"/>
                  </w:pPr>
                  <w:r>
                    <w:t xml:space="preserve">275</w:t>
                  </w:r>
                </w:p>
              </w:tc>
              <w:tc>
                <w:tcPr/>
                <w:p>
                  <w:pPr>
                    <w:pStyle w:val="Compact"/>
                    <w:jc w:val="right"/>
                    <w:jc w:val="center"/>
                  </w:pPr>
                  <w:r>
                    <w:t xml:space="preserve">10.2</w:t>
                  </w:r>
                </w:p>
              </w:tc>
              <w:tc>
                <w:tcPr/>
                <w:p>
                  <w:pPr>
                    <w:pStyle w:val="Compact"/>
                    <w:jc w:val="right"/>
                    <w:jc w:val="center"/>
                  </w:pPr>
                  <w:r>
                    <w:t xml:space="preserve">255</w:t>
                  </w:r>
                </w:p>
              </w:tc>
              <w:tc>
                <w:tcPr/>
                <w:p>
                  <w:pPr>
                    <w:pStyle w:val="Compact"/>
                    <w:jc w:val="right"/>
                    <w:jc w:val="center"/>
                  </w:pPr>
                  <w:r>
                    <w:t xml:space="preserve">296</w:t>
                  </w:r>
                </w:p>
              </w:tc>
            </w:tr>
            <w:tr>
              <w:tc>
                <w:tcPr/>
                <w:p>
                  <w:pPr>
                    <w:pStyle w:val="Compact"/>
                    <w:jc w:val="left"/>
                    <w:jc w:val="center"/>
                  </w:pPr>
                  <w:r>
                    <w:t xml:space="preserve">Rural</w:t>
                  </w:r>
                </w:p>
              </w:tc>
              <w:tc>
                <w:tcPr/>
                <w:p>
                  <w:pPr>
                    <w:pStyle w:val="Compact"/>
                    <w:jc w:val="left"/>
                    <w:jc w:val="center"/>
                  </w:pPr>
                  <w:r>
                    <w:t xml:space="preserve">Female</w:t>
                  </w:r>
                </w:p>
              </w:tc>
              <w:tc>
                <w:tcPr/>
                <w:p>
                  <w:pPr>
                    <w:pStyle w:val="Compact"/>
                    <w:jc w:val="right"/>
                    <w:jc w:val="center"/>
                  </w:pPr>
                  <w:r>
                    <w:t xml:space="preserve">273</w:t>
                  </w:r>
                </w:p>
              </w:tc>
              <w:tc>
                <w:tcPr/>
                <w:p>
                  <w:pPr>
                    <w:pStyle w:val="Compact"/>
                    <w:jc w:val="right"/>
                    <w:jc w:val="center"/>
                  </w:pPr>
                  <w:r>
                    <w:t xml:space="preserve">11.6</w:t>
                  </w:r>
                </w:p>
              </w:tc>
              <w:tc>
                <w:tcPr/>
                <w:p>
                  <w:pPr>
                    <w:pStyle w:val="Compact"/>
                    <w:jc w:val="right"/>
                    <w:jc w:val="center"/>
                  </w:pPr>
                  <w:r>
                    <w:t xml:space="preserve">250</w:t>
                  </w:r>
                </w:p>
              </w:tc>
              <w:tc>
                <w:tcPr/>
                <w:p>
                  <w:pPr>
                    <w:pStyle w:val="Compact"/>
                    <w:jc w:val="right"/>
                    <w:jc w:val="center"/>
                  </w:pPr>
                  <w:r>
                    <w:t xml:space="preserve">296</w:t>
                  </w:r>
                </w:p>
              </w:tc>
            </w:tr>
            <w:tr>
              <w:tc>
                <w:tcPr/>
                <w:p>
                  <w:pPr>
                    <w:pStyle w:val="Compact"/>
                    <w:jc w:val="left"/>
                    <w:jc w:val="center"/>
                  </w:pPr>
                  <w:r>
                    <w:t xml:space="preserve">Mean expenditure</w:t>
                  </w:r>
                </w:p>
              </w:tc>
              <w:tc>
                <w:tcPr/>
                <w:p>
                  <w:pPr>
                    <w:pStyle w:val="Compact"/>
                    <w:jc w:val="left"/>
                    <w:jc w:val="center"/>
                  </w:pPr>
                  <w:r>
                    <w:t xml:space="preserve">Mean expenditure</w:t>
                  </w:r>
                </w:p>
              </w:tc>
              <w:tc>
                <w:tcPr/>
                <w:p>
                  <w:pPr>
                    <w:pStyle w:val="Compact"/>
                    <w:jc w:val="right"/>
                    <w:jc w:val="center"/>
                  </w:pPr>
                  <w:r>
                    <w:t xml:space="preserve">371</w:t>
                  </w:r>
                </w:p>
              </w:tc>
              <w:tc>
                <w:tcPr/>
                <w:p>
                  <w:pPr>
                    <w:pStyle w:val="Compact"/>
                    <w:jc w:val="right"/>
                    <w:jc w:val="center"/>
                  </w:pPr>
                  <w:r>
                    <w:t xml:space="preserve">13.3</w:t>
                  </w:r>
                </w:p>
              </w:tc>
              <w:tc>
                <w:tcPr/>
                <w:p>
                  <w:pPr>
                    <w:pStyle w:val="Compact"/>
                    <w:jc w:val="right"/>
                    <w:jc w:val="center"/>
                  </w:pPr>
                  <w:r>
                    <w:t xml:space="preserve">344</w:t>
                  </w:r>
                </w:p>
              </w:tc>
              <w:tc>
                <w:tcPr/>
                <w:p>
                  <w:pPr>
                    <w:pStyle w:val="Compact"/>
                    <w:jc w:val="right"/>
                    <w:jc w:val="center"/>
                  </w:pPr>
                  <w:r>
                    <w:t xml:space="preserve">397</w:t>
                  </w:r>
                </w:p>
              </w:tc>
            </w:tr>
          </w:tbl>
          <w:bookmarkEnd w:id="36"/>
          <w:p/>
        </w:tc>
      </w:tr>
    </w:tbl>
    <w:bookmarkEnd w:id="37"/>
    <w:bookmarkStart w:id="43" w:name="estimacion-de-razones"/>
    <w:p>
      <w:pPr>
        <w:pStyle w:val="Heading3"/>
      </w:pPr>
      <w:r>
        <w:t xml:space="preserve">3.1.3 Estimación de razones</w:t>
      </w:r>
    </w:p>
    <w:p>
      <w:pPr>
        <w:pStyle w:val="FirstParagraph"/>
      </w:pPr>
      <w:r>
        <w:t xml:space="preserve">Según</w:t>
      </w:r>
      <w:r>
        <w:t xml:space="preserve"> </w:t>
      </w:r>
      <w:r>
        <w:t xml:space="preserve">Särndal et al. (2003)</w:t>
      </w:r>
      <w:r>
        <w:t xml:space="preserve"> </w:t>
      </w:r>
      <w:r>
        <w:t xml:space="preserve">y</w:t>
      </w:r>
      <w:r>
        <w:t xml:space="preserve"> </w:t>
      </w:r>
      <w:r>
        <w:t xml:space="preserve">Gutiérrez (2016)</w:t>
      </w:r>
      <w:r>
        <w:t xml:space="preserve">, un caso particular de funciones no lineales de totales es la razón poblacional, definida como el cociente entre dos totales poblacionales asociados a características de interés. Las razones permiten expresar la relación entre dos variables, lo cual resulta especialmente útil para construir indicadores comparativos y de seguimiento.</w:t>
      </w:r>
    </w:p>
    <w:p>
      <w:pPr>
        <w:pStyle w:val="BodyText"/>
      </w:pPr>
      <w:r>
        <w:t xml:space="preserve">De acuerdo con</w:t>
      </w:r>
      <w:r>
        <w:t xml:space="preserve"> </w:t>
      </w:r>
      <w:r>
        <w:t xml:space="preserve">FAO (2026)</w:t>
      </w:r>
      <w:r>
        <w:t xml:space="preserve">, dado que la razón corresponde al cociente entre dos parámetros poblacionales desconocidos, tanto el numerador como el denominador deben ser estimados a partir de la muestra. Este tipo de parámetro es ampliamente utilizado en encuestas de hogares para construir indicadores relativos, por ejemplo, la cantidad de hombres por cada mujer, la proporción de personas ocupadas respecto a la población en edad de trabajar o la prevalencia de la subalimentación. Con la notación de</w:t>
      </w:r>
      <w:r>
        <w:t xml:space="preserve"> </w:t>
      </w:r>
      <w:r>
        <w:t xml:space="preserve">Bautista (1998)</w:t>
      </w:r>
      <w:r>
        <w:t xml:space="preserve">, siendo</w:t>
      </w:r>
      <w:r>
        <w:t xml:space="preserve"> </w:t>
      </w:r>
      <m:oMath>
        <m:r>
          <m:t>Y</m:t>
        </m:r>
      </m:oMath>
      <w:r>
        <w:t xml:space="preserve"> </w:t>
      </w:r>
      <w:r>
        <w:t xml:space="preserve">el total de la variable</w:t>
      </w:r>
      <w:r>
        <w:t xml:space="preserve"> </w:t>
      </w:r>
      <m:oMath>
        <m:r>
          <m:t>y</m:t>
        </m:r>
      </m:oMath>
      <w:r>
        <w:t xml:space="preserve"> </w:t>
      </w:r>
      <w:r>
        <w:t xml:space="preserve">y</w:t>
      </w:r>
      <w:r>
        <w:t xml:space="preserve"> </w:t>
      </w:r>
      <m:oMath>
        <m:r>
          <m:t>X</m:t>
        </m:r>
      </m:oMath>
      <w:r>
        <w:t xml:space="preserve"> </w:t>
      </w:r>
      <w:r>
        <w:t xml:space="preserve">el total de la variable</w:t>
      </w:r>
      <w:r>
        <w:t xml:space="preserve"> </w:t>
      </w:r>
      <m:oMath>
        <m:r>
          <m:t>x</m:t>
        </m:r>
      </m:oMath>
      <w:r>
        <w:t xml:space="preserve">, la razón poblacional se define como</w:t>
      </w:r>
      <w:r>
        <w:t xml:space="preserve"> </w:t>
      </w:r>
      <m:oMath>
        <m:r>
          <m:t>R</m:t>
        </m:r>
        <m:r>
          <m:rPr>
            <m:sty m:val="p"/>
          </m:rPr>
          <m:t>=</m:t>
        </m:r>
        <m:f>
          <m:fPr>
            <m:type m:val="bar"/>
          </m:fPr>
          <m:num>
            <m:sSub>
              <m:e>
                <m:r>
                  <m:t>t</m:t>
                </m:r>
              </m:e>
              <m:sub>
                <m:r>
                  <m:t>y</m:t>
                </m:r>
              </m:sub>
            </m:sSub>
          </m:num>
          <m:den>
            <m:sSub>
              <m:e>
                <m:r>
                  <m:t>t</m:t>
                </m:r>
              </m:e>
              <m:sub>
                <m:r>
                  <m:t>x</m:t>
                </m:r>
              </m:sub>
            </m:sSub>
          </m:den>
        </m:f>
      </m:oMath>
      <w:r>
        <w:t xml:space="preserve"> </w:t>
      </w:r>
      <w:r>
        <w:t xml:space="preserve">y su estimador puntual en el marco de un muestreo complejo se expresa como:</w:t>
      </w:r>
    </w:p>
    <w:p>
      <w:pPr>
        <w:pStyle w:val="BodyText"/>
      </w:pPr>
      <m:oMathPara>
        <m:oMathParaPr>
          <m:jc m:val="center"/>
        </m:oMathParaPr>
        <m:oMath>
          <m:acc>
            <m:accPr>
              <m:chr m:val="̂"/>
            </m:accPr>
            <m:e>
              <m:r>
                <m:t>R</m:t>
              </m:r>
            </m:e>
          </m:acc>
          <m:r>
            <m:rPr>
              <m:sty m:val="p"/>
            </m:rPr>
            <m:t>=</m:t>
          </m:r>
          <m:f>
            <m:fPr>
              <m:type m:val="bar"/>
            </m:fPr>
            <m:num>
              <m:sSub>
                <m:e>
                  <m:acc>
                    <m:accPr>
                      <m:chr m:val="̂"/>
                    </m:accPr>
                    <m:e>
                      <m:r>
                        <m:t>t</m:t>
                      </m:r>
                    </m:e>
                  </m:acc>
                </m:e>
                <m:sub>
                  <m:r>
                    <m:t>y</m:t>
                  </m:r>
                </m:sub>
              </m:sSub>
            </m:num>
            <m:den>
              <m:sSub>
                <m:e>
                  <m:acc>
                    <m:accPr>
                      <m:chr m:val="̂"/>
                    </m:accPr>
                    <m:e>
                      <m:r>
                        <m:t>t</m:t>
                      </m:r>
                    </m:e>
                  </m:acc>
                </m:e>
                <m:sub>
                  <m:r>
                    <m:t>x</m:t>
                  </m:r>
                </m:sub>
              </m:sSub>
            </m:den>
          </m:f>
          <m:r>
            <m:rPr>
              <m:sty m:val="p"/>
            </m:rPr>
            <m:t>=</m:t>
          </m:r>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sSub>
                <m:e>
                  <m:r>
                    <m:t>y</m:t>
                  </m:r>
                </m:e>
                <m:sub>
                  <m:r>
                    <m:t>h</m:t>
                  </m:r>
                  <m:r>
                    <m:t>i</m:t>
                  </m:r>
                  <m:r>
                    <m:t>k</m:t>
                  </m:r>
                </m:sub>
              </m:sSub>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sSub>
                <m:e>
                  <m:r>
                    <m:t>x</m:t>
                  </m:r>
                </m:e>
                <m:sub>
                  <m:r>
                    <m:t>h</m:t>
                  </m:r>
                  <m:r>
                    <m:t>i</m:t>
                  </m:r>
                  <m:r>
                    <m:t>k</m:t>
                  </m:r>
                </m:sub>
              </m:sSub>
            </m:den>
          </m:f>
        </m:oMath>
      </m:oMathPara>
    </w:p>
    <w:p>
      <w:pPr>
        <w:pStyle w:val="FirstParagraph"/>
      </w:pPr>
      <w:r>
        <w:t xml:space="preserve">Sin embargo, dado que</w:t>
      </w:r>
      <w:r>
        <w:t xml:space="preserve"> </w:t>
      </w:r>
      <m:oMath>
        <m:acc>
          <m:accPr>
            <m:chr m:val="̂"/>
          </m:accPr>
          <m:e>
            <m:r>
              <m:t>R</m:t>
            </m:r>
          </m:e>
        </m:acc>
      </m:oMath>
      <w:r>
        <w:t xml:space="preserve"> </w:t>
      </w:r>
      <w:r>
        <w:t xml:space="preserve">es un cociente entre dos estimadores, es decir, dos variables aleatorias, el cálculo de su varianza no es trivial. Para ello se emplea la linealización de Taylor o bien métodos de remuestreo. En particular, la función</w:t>
      </w:r>
      <w:r>
        <w:t xml:space="preserve"> </w:t>
      </w:r>
      <w:r>
        <w:rPr>
          <w:rStyle w:val="VerbatimChar"/>
        </w:rPr>
        <w:t xml:space="preserve">survey_ratio()</w:t>
      </w:r>
      <w:r>
        <w:t xml:space="preserve"> </w:t>
      </w:r>
      <w:r>
        <w:t xml:space="preserve">implementa la estimación de razones y sus varianzas en el marco de encuestas complejas.</w:t>
      </w:r>
    </w:p>
    <w:p>
      <w:pPr>
        <w:pStyle w:val="BodyText"/>
      </w:pPr>
      <w:r>
        <w:t xml:space="preserve">Un ejemplo directo en encuestas de hogares es la razón entre el gasto y el ingreso, que ayuda a identificar patrones de consumo y niveles de sostenibilidad económica de los hogares. A continuación, se ilustra cómo estimar la razón entre el gasto y el ingreso de los hogares, presentada en la</w:t>
      </w:r>
      <w:r>
        <w:t xml:space="preserve"> </w:t>
      </w:r>
      <w:hyperlink w:anchor="tbl-razon-gasto-ingreso">
        <w:r>
          <w:rPr>
            <w:rStyle w:val="Hyperlink"/>
          </w:rPr>
          <w:t xml:space="preserve">tabla 3.9</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ratio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Expenditure,</w:t>
      </w:r>
      <w:r>
        <w:br/>
      </w:r>
      <w:r>
        <w:rPr>
          <w:rStyle w:val="NormalTok"/>
        </w:rPr>
        <w:t xml:space="preserve">                                 </w:t>
      </w:r>
      <w:r>
        <w:rPr>
          <w:rStyle w:val="AttributeTok"/>
        </w:rPr>
        <w:t xml:space="preserve">denominator =</w:t>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8" w:name="tbl-razon-gasto-ingreso"/>
          <w:p>
            <w:pPr>
              <w:jc w:val="center"/>
            </w:pPr>
            <w:pPr>
              <w:jc w:val="left"/>
              <w:spacing w:before="200"/>
              <w:pStyle w:val="ImageCaption"/>
            </w:pPr>
            <w:r>
              <w:t xml:space="preserve">Tabla 3.9: Razón gasto/ingreso de los hogares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ratio</w:t>
                  </w:r>
                </w:p>
              </w:tc>
              <w:tc>
                <w:tcPr/>
                <w:p>
                  <w:pPr>
                    <w:pStyle w:val="Compact"/>
                    <w:jc w:val="right"/>
                    <w:jc w:val="center"/>
                  </w:pPr>
                  <w:r>
                    <w:t xml:space="preserve">ratio_se</w:t>
                  </w:r>
                </w:p>
              </w:tc>
              <w:tc>
                <w:tcPr/>
                <w:p>
                  <w:pPr>
                    <w:pStyle w:val="Compact"/>
                    <w:jc w:val="right"/>
                    <w:jc w:val="center"/>
                  </w:pPr>
                  <w:r>
                    <w:t xml:space="preserve">ratio_low</w:t>
                  </w:r>
                </w:p>
              </w:tc>
              <w:tc>
                <w:tcPr/>
                <w:p>
                  <w:pPr>
                    <w:pStyle w:val="Compact"/>
                    <w:jc w:val="right"/>
                    <w:jc w:val="center"/>
                  </w:pPr>
                  <w:r>
                    <w:t xml:space="preserve">ratio_upp</w:t>
                  </w:r>
                </w:p>
              </w:tc>
            </w:tr>
            <w:tr>
              <w:tc>
                <w:tcPr/>
                <w:p>
                  <w:pPr>
                    <w:pStyle w:val="Compact"/>
                    <w:jc w:val="right"/>
                    <w:jc w:val="center"/>
                  </w:pPr>
                  <w:r>
                    <w:t xml:space="preserve">0.649</w:t>
                  </w:r>
                </w:p>
              </w:tc>
              <w:tc>
                <w:tcPr/>
                <w:p>
                  <w:pPr>
                    <w:pStyle w:val="Compact"/>
                    <w:jc w:val="right"/>
                    <w:jc w:val="center"/>
                  </w:pPr>
                  <w:r>
                    <w:t xml:space="preserve">0.023</w:t>
                  </w:r>
                </w:p>
              </w:tc>
              <w:tc>
                <w:tcPr/>
                <w:p>
                  <w:pPr>
                    <w:pStyle w:val="Compact"/>
                    <w:jc w:val="right"/>
                    <w:jc w:val="center"/>
                  </w:pPr>
                  <w:r>
                    <w:t xml:space="preserve">0.603</w:t>
                  </w:r>
                </w:p>
              </w:tc>
              <w:tc>
                <w:tcPr/>
                <w:p>
                  <w:pPr>
                    <w:pStyle w:val="Compact"/>
                    <w:jc w:val="right"/>
                    <w:jc w:val="center"/>
                  </w:pPr>
                  <w:r>
                    <w:t xml:space="preserve">0.695</w:t>
                  </w:r>
                </w:p>
              </w:tc>
            </w:tr>
          </w:tbl>
          <w:bookmarkEnd w:id="38"/>
          <w:p/>
        </w:tc>
      </w:tr>
    </w:tbl>
    <w:p>
      <w:pPr>
        <w:pStyle w:val="BodyText"/>
      </w:pPr>
      <w:r>
        <w:t xml:space="preserve">En este caso, se especificaron la variable de gasto como numerador (</w:t>
      </w:r>
      <w:r>
        <w:rPr>
          <w:rStyle w:val="VerbatimChar"/>
        </w:rPr>
        <w:t xml:space="preserve">numerator</w:t>
      </w:r>
      <w:r>
        <w:t xml:space="preserve">), la variable de ingreso como denominador (</w:t>
      </w:r>
      <w:r>
        <w:rPr>
          <w:rStyle w:val="VerbatimChar"/>
        </w:rPr>
        <w:t xml:space="preserve">denominator</w:t>
      </w:r>
      <w:r>
        <w:t xml:space="preserve">), el nivel de confianza (</w:t>
      </w:r>
      <w:r>
        <w:rPr>
          <w:rStyle w:val="VerbatimChar"/>
        </w:rPr>
        <w:t xml:space="preserve">level</w:t>
      </w:r>
      <w:r>
        <w:t xml:space="preserve">) utilizado para la construcción de los intervalos de confianza y las medidas de precisión requeridas mediante el argumento (</w:t>
      </w:r>
      <w:r>
        <w:rPr>
          <w:rStyle w:val="VerbatimChar"/>
        </w:rPr>
        <w:t xml:space="preserve">vartype</w:t>
      </w:r>
      <w:r>
        <w:t xml:space="preserve">). Como se puede observar, la razón entre el gasto y el ingreso es, aproximando, 0.65. Esto implica que, por cada 100 unidades monetarias que ingresan al hogar, se gastan aproximadamente 65; el intervalo de confianza al 95% va de 0.60 a 0.69.</w:t>
      </w:r>
    </w:p>
    <w:p>
      <w:pPr>
        <w:pStyle w:val="BodyText"/>
      </w:pPr>
      <w:r>
        <w:t xml:space="preserve">Si ahora el objetivo es estimar la razón entre mujeres y hombres en la base de ejemplo, se realiza de la siguiente manera, presentada en la</w:t>
      </w:r>
      <w:r>
        <w:t xml:space="preserve"> </w:t>
      </w:r>
      <w:hyperlink w:anchor="tbl-razon-sexo">
        <w:r>
          <w:rPr>
            <w:rStyle w:val="Hyperlink"/>
          </w:rPr>
          <w:t xml:space="preserve">tabla 3.10</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ratio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(Sex </w:t>
      </w:r>
      <w:r>
        <w:rPr>
          <w:rStyle w:val="SpecialCha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                                 </w:t>
      </w:r>
      <w:r>
        <w:rPr>
          <w:rStyle w:val="AttributeTok"/>
        </w:rPr>
        <w:t xml:space="preserve">denominator =</w:t>
      </w:r>
      <w:r>
        <w:rPr>
          <w:rStyle w:val="NormalTok"/>
        </w:rPr>
        <w:t xml:space="preserve"> (Sex </w:t>
      </w:r>
      <w:r>
        <w:rPr>
          <w:rStyle w:val="SpecialCharTok"/>
        </w:rPr>
        <w:t xml:space="preserv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9" w:name="tbl-razon-sexo"/>
          <w:p>
            <w:pPr>
              <w:jc w:val="center"/>
            </w:pPr>
            <w:pPr>
              <w:jc w:val="left"/>
              <w:spacing w:before="200"/>
              <w:pStyle w:val="ImageCaption"/>
            </w:pPr>
            <w:r>
              <w:t xml:space="preserve">Tabla 3.10: Razón de mujeres por hombre en la población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ratio</w:t>
                  </w:r>
                </w:p>
              </w:tc>
              <w:tc>
                <w:tcPr/>
                <w:p>
                  <w:pPr>
                    <w:pStyle w:val="Compact"/>
                    <w:jc w:val="right"/>
                    <w:jc w:val="center"/>
                  </w:pPr>
                  <w:r>
                    <w:t xml:space="preserve">ratio_se</w:t>
                  </w:r>
                </w:p>
              </w:tc>
              <w:tc>
                <w:tcPr/>
                <w:p>
                  <w:pPr>
                    <w:pStyle w:val="Compact"/>
                    <w:jc w:val="right"/>
                    <w:jc w:val="center"/>
                  </w:pPr>
                  <w:r>
                    <w:t xml:space="preserve">ratio_low</w:t>
                  </w:r>
                </w:p>
              </w:tc>
              <w:tc>
                <w:tcPr/>
                <w:p>
                  <w:pPr>
                    <w:pStyle w:val="Compact"/>
                    <w:jc w:val="right"/>
                    <w:jc w:val="center"/>
                  </w:pPr>
                  <w:r>
                    <w:t xml:space="preserve">ratio_upp</w:t>
                  </w:r>
                </w:p>
              </w:tc>
            </w:tr>
            <w:tr>
              <w:tc>
                <w:tcPr/>
                <w:p>
                  <w:pPr>
                    <w:pStyle w:val="Compact"/>
                    <w:jc w:val="right"/>
                    <w:jc w:val="center"/>
                  </w:pPr>
                  <w:r>
                    <w:t xml:space="preserve">1.11</w:t>
                  </w:r>
                </w:p>
              </w:tc>
              <w:tc>
                <w:tcPr/>
                <w:p>
                  <w:pPr>
                    <w:pStyle w:val="Compact"/>
                    <w:jc w:val="right"/>
                    <w:jc w:val="center"/>
                  </w:pPr>
                  <w:r>
                    <w:t xml:space="preserve">0.035</w:t>
                  </w:r>
                </w:p>
              </w:tc>
              <w:tc>
                <w:tcPr/>
                <w:p>
                  <w:pPr>
                    <w:pStyle w:val="Compact"/>
                    <w:jc w:val="right"/>
                    <w:jc w:val="center"/>
                  </w:pPr>
                  <w:r>
                    <w:t xml:space="preserve">1.04</w:t>
                  </w:r>
                </w:p>
              </w:tc>
              <w:tc>
                <w:tcPr/>
                <w:p>
                  <w:pPr>
                    <w:pStyle w:val="Compact"/>
                    <w:jc w:val="right"/>
                    <w:jc w:val="center"/>
                  </w:pPr>
                  <w:r>
                    <w:t xml:space="preserve">1.18</w:t>
                  </w:r>
                </w:p>
              </w:tc>
            </w:tr>
          </w:tbl>
          <w:bookmarkEnd w:id="39"/>
          <w:p/>
        </w:tc>
      </w:tr>
    </w:tbl>
    <w:p>
      <w:pPr>
        <w:pStyle w:val="BodyText"/>
      </w:pPr>
      <w:r>
        <w:t xml:space="preserve">Dado que la variable sexo en la base de datos es categórica, fue necesario acudir a variables indicadoras para realizar el cálculo de la razón, utilizando</w:t>
      </w:r>
      <w:r>
        <w:t xml:space="preserve"> </w:t>
      </w:r>
      <w:r>
        <w:rPr>
          <w:rStyle w:val="VerbatimChar"/>
        </w:rPr>
        <w:t xml:space="preserve">Sex == "Female"</w:t>
      </w:r>
      <w:r>
        <w:t xml:space="preserve"> </w:t>
      </w:r>
      <w:r>
        <w:t xml:space="preserve">para identificar a las mujeres y</w:t>
      </w:r>
      <w:r>
        <w:t xml:space="preserve"> </w:t>
      </w:r>
      <w:r>
        <w:rPr>
          <w:rStyle w:val="VerbatimChar"/>
        </w:rPr>
        <w:t xml:space="preserve">Sex == "Male"</w:t>
      </w:r>
      <w:r>
        <w:t xml:space="preserve"> </w:t>
      </w:r>
      <w:r>
        <w:t xml:space="preserve">para los hombres. Los resultados muestran que en la población analizada hay una mayor cantidad de mujeres que de hombres, obteniéndose una razón estimada de 1.11. Esto indica que, por cada 100 hombres, existen aproximadamente 111 mujeres. Además, el intervalo de confianza al 95% sugiere que esta razón podría variar entre 1.04 y 1.18. Si se desea hacer la razón de mujeres y hombres pero en la zona rural, se haría de la siguiente manera, presentada en la</w:t>
      </w:r>
      <w:r>
        <w:t xml:space="preserve"> </w:t>
      </w:r>
      <w:hyperlink w:anchor="tbl-razon-sexo-rural">
        <w:r>
          <w:rPr>
            <w:rStyle w:val="Hyperlink"/>
          </w:rPr>
          <w:t xml:space="preserve">tabla 3.11</w:t>
        </w:r>
      </w:hyperlink>
      <w:r>
        <w:t xml:space="preserve">:</w:t>
      </w:r>
    </w:p>
    <w:p>
      <w:pPr>
        <w:pStyle w:val="SourceCode"/>
      </w:pPr>
      <w:r>
        <w:rPr>
          <w:rStyle w:val="NormalTok"/>
        </w:rPr>
        <w:t xml:space="preserve">rural_subset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"Rural"</w:t>
      </w:r>
      <w:r>
        <w:rPr>
          <w:rStyle w:val="NormalTok"/>
        </w:rPr>
        <w:t xml:space="preserve">)</w:t>
      </w:r>
      <w:r>
        <w:br/>
      </w:r>
      <w:r>
        <w:rPr>
          <w:rStyle w:val="NormalTok"/>
        </w:rPr>
        <w:t xml:space="preserve">rural_subset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ratio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(Sex </w:t>
      </w:r>
      <w:r>
        <w:rPr>
          <w:rStyle w:val="SpecialCha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                                  </w:t>
      </w:r>
      <w:r>
        <w:rPr>
          <w:rStyle w:val="AttributeTok"/>
        </w:rPr>
        <w:t xml:space="preserve">denominator =</w:t>
      </w:r>
      <w:r>
        <w:rPr>
          <w:rStyle w:val="NormalTok"/>
        </w:rPr>
        <w:t xml:space="preserve"> (Sex </w:t>
      </w:r>
      <w:r>
        <w:rPr>
          <w:rStyle w:val="SpecialCharTok"/>
        </w:rPr>
        <w:t xml:space="preserv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40" w:name="tbl-razon-sexo-rural"/>
          <w:p>
            <w:pPr>
              <w:jc w:val="center"/>
            </w:pPr>
            <w:pPr>
              <w:jc w:val="left"/>
              <w:spacing w:before="200"/>
              <w:pStyle w:val="ImageCaption"/>
            </w:pPr>
            <w:r>
              <w:t xml:space="preserve">Tabla 3.11: Razón de mujeres por hombre en zona rural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ratio</w:t>
                  </w:r>
                </w:p>
              </w:tc>
              <w:tc>
                <w:tcPr/>
                <w:p>
                  <w:pPr>
                    <w:pStyle w:val="Compact"/>
                    <w:jc w:val="right"/>
                    <w:jc w:val="center"/>
                  </w:pPr>
                  <w:r>
                    <w:t xml:space="preserve">ratio_se</w:t>
                  </w:r>
                </w:p>
              </w:tc>
              <w:tc>
                <w:tcPr/>
                <w:p>
                  <w:pPr>
                    <w:pStyle w:val="Compact"/>
                    <w:jc w:val="right"/>
                    <w:jc w:val="center"/>
                  </w:pPr>
                  <w:r>
                    <w:t xml:space="preserve">ratio_low</w:t>
                  </w:r>
                </w:p>
              </w:tc>
              <w:tc>
                <w:tcPr/>
                <w:p>
                  <w:pPr>
                    <w:pStyle w:val="Compact"/>
                    <w:jc w:val="right"/>
                    <w:jc w:val="center"/>
                  </w:pPr>
                  <w:r>
                    <w:t xml:space="preserve">ratio_upp</w:t>
                  </w:r>
                </w:p>
              </w:tc>
            </w:tr>
            <w:tr>
              <w:tc>
                <w:tcPr/>
                <w:p>
                  <w:pPr>
                    <w:pStyle w:val="Compact"/>
                    <w:jc w:val="right"/>
                    <w:jc w:val="center"/>
                  </w:pPr>
                  <w:r>
                    <w:t xml:space="preserve">1.07</w:t>
                  </w:r>
                </w:p>
              </w:tc>
              <w:tc>
                <w:tcPr/>
                <w:p>
                  <w:pPr>
                    <w:pStyle w:val="Compact"/>
                    <w:jc w:val="right"/>
                    <w:jc w:val="center"/>
                  </w:pPr>
                  <w:r>
                    <w:t xml:space="preserve">0.035</w:t>
                  </w:r>
                </w:p>
              </w:tc>
              <w:tc>
                <w:tcPr/>
                <w:p>
                  <w:pPr>
                    <w:pStyle w:val="Compact"/>
                    <w:jc w:val="right"/>
                    <w:jc w:val="center"/>
                  </w:pPr>
                  <w:r>
                    <w:t xml:space="preserve">0.997</w:t>
                  </w:r>
                </w:p>
              </w:tc>
              <w:tc>
                <w:tcPr/>
                <w:p>
                  <w:pPr>
                    <w:pStyle w:val="Compact"/>
                    <w:jc w:val="right"/>
                    <w:jc w:val="center"/>
                  </w:pPr>
                  <w:r>
                    <w:t xml:space="preserve">1.14</w:t>
                  </w:r>
                </w:p>
              </w:tc>
            </w:tr>
          </w:tbl>
          <w:bookmarkEnd w:id="40"/>
          <w:p/>
        </w:tc>
      </w:tr>
    </w:tbl>
    <w:p>
      <w:pPr>
        <w:pStyle w:val="BodyText"/>
      </w:pPr>
      <w:r>
        <w:t xml:space="preserve">Ahora bien, otro análisis de interés es estimar la razón de gastos pero solo en la población femenina. A continuación, se presentan los códigos computacionales, como se muestra en la</w:t>
      </w:r>
      <w:r>
        <w:t xml:space="preserve"> </w:t>
      </w:r>
      <w:hyperlink w:anchor="tbl-razon-gasto-ingreso-mujer">
        <w:r>
          <w:rPr>
            <w:rStyle w:val="Hyperlink"/>
          </w:rPr>
          <w:t xml:space="preserve">tabla 3.12</w:t>
        </w:r>
      </w:hyperlink>
      <w:r>
        <w:t xml:space="preserve">.</w:t>
      </w:r>
    </w:p>
    <w:p>
      <w:pPr>
        <w:pStyle w:val="SourceCode"/>
      </w:pPr>
      <w:r>
        <w:rPr>
          <w:rStyle w:val="NormalTok"/>
        </w:rPr>
        <w:t xml:space="preserve">female_subset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w:t>
      </w:r>
      <w:r>
        <w:br/>
      </w:r>
      <w:r>
        <w:br/>
      </w:r>
      <w:r>
        <w:rPr>
          <w:rStyle w:val="NormalTok"/>
        </w:rPr>
        <w:t xml:space="preserve">female_subset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ratio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Expenditure,</w:t>
      </w:r>
      <w:r>
        <w:br/>
      </w:r>
      <w:r>
        <w:rPr>
          <w:rStyle w:val="NormalTok"/>
        </w:rPr>
        <w:t xml:space="preserve">                                 </w:t>
      </w:r>
      <w:r>
        <w:rPr>
          <w:rStyle w:val="AttributeTok"/>
        </w:rPr>
        <w:t xml:space="preserve">denominator =</w:t>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41" w:name="tbl-razon-gasto-ingreso-mujer"/>
          <w:p>
            <w:pPr>
              <w:jc w:val="center"/>
            </w:pPr>
            <w:pPr>
              <w:jc w:val="left"/>
              <w:spacing w:before="200"/>
              <w:pStyle w:val="ImageCaption"/>
            </w:pPr>
            <w:r>
              <w:t xml:space="preserve">Tabla 3.12: Razón gasto/ingreso en hogares con jefatura femenina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ratio</w:t>
                  </w:r>
                </w:p>
              </w:tc>
              <w:tc>
                <w:tcPr/>
                <w:p>
                  <w:pPr>
                    <w:pStyle w:val="Compact"/>
                    <w:jc w:val="right"/>
                    <w:jc w:val="center"/>
                  </w:pPr>
                  <w:r>
                    <w:t xml:space="preserve">ratio_se</w:t>
                  </w:r>
                </w:p>
              </w:tc>
              <w:tc>
                <w:tcPr/>
                <w:p>
                  <w:pPr>
                    <w:pStyle w:val="Compact"/>
                    <w:jc w:val="right"/>
                    <w:jc w:val="center"/>
                  </w:pPr>
                  <w:r>
                    <w:t xml:space="preserve">ratio_low</w:t>
                  </w:r>
                </w:p>
              </w:tc>
              <w:tc>
                <w:tcPr/>
                <w:p>
                  <w:pPr>
                    <w:pStyle w:val="Compact"/>
                    <w:jc w:val="right"/>
                    <w:jc w:val="center"/>
                  </w:pPr>
                  <w:r>
                    <w:t xml:space="preserve">ratio_upp</w:t>
                  </w:r>
                </w:p>
              </w:tc>
            </w:tr>
            <w:tr>
              <w:tc>
                <w:tcPr/>
                <w:p>
                  <w:pPr>
                    <w:pStyle w:val="Compact"/>
                    <w:jc w:val="right"/>
                    <w:jc w:val="center"/>
                  </w:pPr>
                  <w:r>
                    <w:t xml:space="preserve">0.658</w:t>
                  </w:r>
                </w:p>
              </w:tc>
              <w:tc>
                <w:tcPr/>
                <w:p>
                  <w:pPr>
                    <w:pStyle w:val="Compact"/>
                    <w:jc w:val="right"/>
                    <w:jc w:val="center"/>
                  </w:pPr>
                  <w:r>
                    <w:t xml:space="preserve">0.02</w:t>
                  </w:r>
                </w:p>
              </w:tc>
              <w:tc>
                <w:tcPr/>
                <w:p>
                  <w:pPr>
                    <w:pStyle w:val="Compact"/>
                    <w:jc w:val="right"/>
                    <w:jc w:val="center"/>
                  </w:pPr>
                  <w:r>
                    <w:t xml:space="preserve">0.619</w:t>
                  </w:r>
                </w:p>
              </w:tc>
              <w:tc>
                <w:tcPr/>
                <w:p>
                  <w:pPr>
                    <w:pStyle w:val="Compact"/>
                    <w:jc w:val="right"/>
                    <w:jc w:val="center"/>
                  </w:pPr>
                  <w:r>
                    <w:t xml:space="preserve">0.698</w:t>
                  </w:r>
                </w:p>
              </w:tc>
            </w:tr>
          </w:tbl>
          <w:bookmarkEnd w:id="41"/>
          <w:p/>
        </w:tc>
      </w:tr>
    </w:tbl>
    <w:p>
      <w:pPr>
        <w:pStyle w:val="BodyText"/>
      </w:pPr>
      <w:r>
        <w:t xml:space="preserve">El resultado indica que, por cada 100 unidades monetarias que les ingresan a las mujeres, se gastan 66, con un intervalo de confianza entre 0.62 y 0.70. Por último, análogamente para los hombres, la razón de gastos resulta muy similar a la de las mujeres, como se muestra en la</w:t>
      </w:r>
      <w:r>
        <w:t xml:space="preserve"> </w:t>
      </w:r>
      <w:hyperlink w:anchor="tbl-razon-gasto-ingreso-hombre">
        <w:r>
          <w:rPr>
            <w:rStyle w:val="Hyperlink"/>
          </w:rPr>
          <w:t xml:space="preserve">tabla 3.13</w:t>
        </w:r>
      </w:hyperlink>
      <w:r>
        <w:t xml:space="preserve">.</w:t>
      </w:r>
    </w:p>
    <w:p>
      <w:pPr>
        <w:pStyle w:val="SourceCode"/>
      </w:pPr>
      <w:r>
        <w:rPr>
          <w:rStyle w:val="NormalTok"/>
        </w:rPr>
        <w:t xml:space="preserve">male_subset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w:t>
      </w:r>
      <w:r>
        <w:br/>
      </w:r>
      <w:r>
        <w:br/>
      </w:r>
      <w:r>
        <w:rPr>
          <w:rStyle w:val="NormalTok"/>
        </w:rPr>
        <w:t xml:space="preserve">male_subset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ratio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Expenditure,</w:t>
      </w:r>
      <w:r>
        <w:br/>
      </w:r>
      <w:r>
        <w:rPr>
          <w:rStyle w:val="NormalTok"/>
        </w:rPr>
        <w:t xml:space="preserve">                                 </w:t>
      </w:r>
      <w:r>
        <w:rPr>
          <w:rStyle w:val="AttributeTok"/>
        </w:rPr>
        <w:t xml:space="preserve">denominator =</w:t>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42" w:name="tbl-razon-gasto-ingreso-hombre"/>
          <w:p>
            <w:pPr>
              <w:jc w:val="center"/>
            </w:pPr>
            <w:pPr>
              <w:jc w:val="left"/>
              <w:spacing w:before="200"/>
              <w:pStyle w:val="ImageCaption"/>
            </w:pPr>
            <w:r>
              <w:t xml:space="preserve">Tabla 3.13: Razón gasto/ingreso en hogares con jefatura masculina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ratio</w:t>
                  </w:r>
                </w:p>
              </w:tc>
              <w:tc>
                <w:tcPr/>
                <w:p>
                  <w:pPr>
                    <w:pStyle w:val="Compact"/>
                    <w:jc w:val="right"/>
                    <w:jc w:val="center"/>
                  </w:pPr>
                  <w:r>
                    <w:t xml:space="preserve">ratio_se</w:t>
                  </w:r>
                </w:p>
              </w:tc>
              <w:tc>
                <w:tcPr/>
                <w:p>
                  <w:pPr>
                    <w:pStyle w:val="Compact"/>
                    <w:jc w:val="right"/>
                    <w:jc w:val="center"/>
                  </w:pPr>
                  <w:r>
                    <w:t xml:space="preserve">ratio_low</w:t>
                  </w:r>
                </w:p>
              </w:tc>
              <w:tc>
                <w:tcPr/>
                <w:p>
                  <w:pPr>
                    <w:pStyle w:val="Compact"/>
                    <w:jc w:val="right"/>
                    <w:jc w:val="center"/>
                  </w:pPr>
                  <w:r>
                    <w:t xml:space="preserve">ratio_upp</w:t>
                  </w:r>
                </w:p>
              </w:tc>
            </w:tr>
            <w:tr>
              <w:tc>
                <w:tcPr/>
                <w:p>
                  <w:pPr>
                    <w:pStyle w:val="Compact"/>
                    <w:jc w:val="right"/>
                    <w:jc w:val="center"/>
                  </w:pPr>
                  <w:r>
                    <w:t xml:space="preserve">0.639</w:t>
                  </w:r>
                </w:p>
              </w:tc>
              <w:tc>
                <w:tcPr/>
                <w:p>
                  <w:pPr>
                    <w:pStyle w:val="Compact"/>
                    <w:jc w:val="right"/>
                    <w:jc w:val="center"/>
                  </w:pPr>
                  <w:r>
                    <w:t xml:space="preserve">0.029</w:t>
                  </w:r>
                </w:p>
              </w:tc>
              <w:tc>
                <w:tcPr/>
                <w:p>
                  <w:pPr>
                    <w:pStyle w:val="Compact"/>
                    <w:jc w:val="right"/>
                    <w:jc w:val="center"/>
                  </w:pPr>
                  <w:r>
                    <w:t xml:space="preserve">0.582</w:t>
                  </w:r>
                </w:p>
              </w:tc>
              <w:tc>
                <w:tcPr/>
                <w:p>
                  <w:pPr>
                    <w:pStyle w:val="Compact"/>
                    <w:jc w:val="right"/>
                    <w:jc w:val="center"/>
                  </w:pPr>
                  <w:r>
                    <w:t xml:space="preserve">0.696</w:t>
                  </w:r>
                </w:p>
              </w:tc>
            </w:tr>
          </w:tbl>
          <w:bookmarkEnd w:id="42"/>
          <w:p/>
        </w:tc>
      </w:tr>
    </w:tbl>
    <w:bookmarkEnd w:id="43"/>
    <w:bookmarkEnd w:id="44"/>
    <w:bookmarkStart w:id="61" w:name="X50eac87b0e6902951581eaae3f5501146a85648"/>
    <w:p>
      <w:pPr>
        <w:pStyle w:val="Heading2"/>
      </w:pPr>
      <w:r>
        <w:t xml:space="preserve">3.2 Estimación de parámetros de distribución y desigualdad</w:t>
      </w:r>
    </w:p>
    <w:bookmarkStart w:id="47" w:name="estimacion-de-la-dispersion"/>
    <w:p>
      <w:pPr>
        <w:pStyle w:val="Heading3"/>
      </w:pPr>
      <w:r>
        <w:t xml:space="preserve">3.2.1 Estimación de la dispersión</w:t>
      </w:r>
    </w:p>
    <w:p>
      <w:pPr>
        <w:pStyle w:val="FirstParagraph"/>
      </w:pPr>
      <w:r>
        <w:t xml:space="preserve">Según</w:t>
      </w:r>
      <w:r>
        <w:t xml:space="preserve"> </w:t>
      </w:r>
      <w:r>
        <w:t xml:space="preserve">Gutiérrez (2016)</w:t>
      </w:r>
      <w:r>
        <w:t xml:space="preserve"> </w:t>
      </w:r>
      <w:r>
        <w:t xml:space="preserve">y</w:t>
      </w:r>
      <w:r>
        <w:t xml:space="preserve"> </w:t>
      </w:r>
      <w:r>
        <w:t xml:space="preserve">Heeringa et al. (2017)</w:t>
      </w:r>
      <w:r>
        <w:t xml:space="preserve">, en las encuestas de hogares también es fundamental estimar medidas de dispersión de las variables estudiadas, ya que estas permiten evaluar el grado de heterogeneidad existente en la población. Por ejemplo, conocer qué tan dispersos son los ingresos de los hogares resulta clave para analizar desigualdades económicas y orientar el diseño de políticas públicas. Entre las medidas de dispersión más utilizadas se encuentra la desviación estándar, la cual cuantifica qué tan alejados se encuentran los valores observados respecto a su media. A continuación, se presenta el estimador de este parámetro:</w:t>
      </w:r>
    </w:p>
    <w:p>
      <w:pPr>
        <w:pStyle w:val="BodyText"/>
      </w:pPr>
      <m:oMathPara>
        <m:oMathParaPr>
          <m:jc m:val="center"/>
        </m:oMathParaPr>
        <m:oMath>
          <m:sSub>
            <m:e>
              <m:acc>
                <m:accPr>
                  <m:chr m:val="̂"/>
                </m:accPr>
                <m:e>
                  <m:r>
                    <m:t>s</m:t>
                  </m:r>
                </m:e>
              </m:acc>
            </m:e>
            <m:sub>
              <m:r>
                <m:t>y</m:t>
              </m:r>
            </m:sub>
          </m:sSub>
          <m:r>
            <m:rPr>
              <m:sty m:val="p"/>
            </m:rPr>
            <m:t>=</m:t>
          </m:r>
          <m:rad>
            <m:radPr>
              <m:degHide m:val="on"/>
            </m:radPr>
            <m:deg/>
            <m:e>
              <m:f>
                <m:fPr>
                  <m:type m:val="bar"/>
                </m:fPr>
                <m:num>
                  <m:r>
                    <m:t>n</m:t>
                  </m:r>
                </m:num>
                <m:den>
                  <m:r>
                    <m:t>n</m:t>
                  </m:r>
                  <m:r>
                    <m:rPr>
                      <m:sty m:val="p"/>
                    </m:rPr>
                    <m:t>−</m:t>
                  </m:r>
                  <m:r>
                    <m:t>1</m:t>
                  </m:r>
                </m:den>
              </m:f>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sSup>
                    <m:e>
                      <m:d>
                        <m:dPr>
                          <m:begChr m:val="("/>
                          <m:sepChr m:val=""/>
                          <m:endChr m:val=")"/>
                          <m:grow/>
                        </m:dPr>
                        <m:e>
                          <m:sSub>
                            <m:e>
                              <m:r>
                                <m:t>y</m:t>
                              </m:r>
                            </m:e>
                            <m:sub>
                              <m:r>
                                <m:t>h</m:t>
                              </m:r>
                              <m:r>
                                <m:t>i</m:t>
                              </m:r>
                              <m:r>
                                <m:t>k</m:t>
                              </m:r>
                            </m:sub>
                          </m:sSub>
                          <m:r>
                            <m:rPr>
                              <m:sty m:val="p"/>
                            </m:rPr>
                            <m:t>−</m:t>
                          </m:r>
                          <m:acc>
                            <m:accPr>
                              <m:chr m:val="̂"/>
                            </m:accPr>
                            <m:e>
                              <m:acc>
                                <m:accPr>
                                  <m:chr m:val="‾"/>
                                </m:accPr>
                                <m:e>
                                  <m:r>
                                    <m:t>y</m:t>
                                  </m:r>
                                </m:e>
                              </m:acc>
                            </m:e>
                          </m:acc>
                        </m:e>
                      </m:d>
                    </m:e>
                    <m:sup>
                      <m:r>
                        <m:t>2</m:t>
                      </m:r>
                    </m:sup>
                  </m:sSup>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den>
              </m:f>
            </m:e>
          </m:rad>
        </m:oMath>
      </m:oMathPara>
    </w:p>
    <w:p>
      <w:pPr>
        <w:pStyle w:val="FirstParagraph"/>
      </w:pPr>
      <w:r>
        <w:t xml:space="preserve">Note que esta expresión contiene una corrección por grados de libertad que utiliza el número de observaciones válidas</w:t>
      </w:r>
      <w:r>
        <w:t xml:space="preserve"> </w:t>
      </w:r>
      <m:oMath>
        <m:r>
          <m:t>n</m:t>
        </m:r>
      </m:oMath>
      <w:r>
        <w:t xml:space="preserve">. Para estimar la desviación estándar de variables numéricas en encuestas de hogares utilizando</w:t>
      </w:r>
      <w:r>
        <w:t xml:space="preserve"> </w:t>
      </w:r>
      <w:r>
        <w:rPr>
          <w:rStyle w:val="VerbatimChar"/>
        </w:rPr>
        <w:t xml:space="preserve">R</w:t>
      </w:r>
      <w:r>
        <w:t xml:space="preserve">, puede estimarse primero la varianza mediante</w:t>
      </w:r>
      <w:r>
        <w:t xml:space="preserve"> </w:t>
      </w:r>
      <w:r>
        <w:rPr>
          <w:rStyle w:val="VerbatimChar"/>
        </w:rPr>
        <w:t xml:space="preserve">survey_var()</w:t>
      </w:r>
      <w:r>
        <w:t xml:space="preserve"> </w:t>
      </w:r>
      <w:r>
        <w:t xml:space="preserve">y luego obtener su raíz cuadrada. A continuación, se presenta un ejemplo de su uso aplicado a la estimación de la desviación estándar del ingreso, cuyos resultados se muestran en la</w:t>
      </w:r>
      <w:r>
        <w:t xml:space="preserve"> </w:t>
      </w:r>
      <w:hyperlink w:anchor="tbl-sd-ingreso-zona">
        <w:r>
          <w:rPr>
            <w:rStyle w:val="Hyperlink"/>
          </w:rPr>
          <w:t xml:space="preserve">tabla 3.14</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Var =</w:t>
      </w:r>
      <w:r>
        <w:rPr>
          <w:rStyle w:val="NormalTok"/>
        </w:rPr>
        <w:t xml:space="preserve"> </w:t>
      </w:r>
      <w:r>
        <w:rPr>
          <w:rStyle w:val="FunctionTok"/>
        </w:rPr>
        <w:t xml:space="preserve">survey_var</w:t>
      </w:r>
      <w:r>
        <w:rPr>
          <w:rStyle w:val="NormalTok"/>
        </w:rPr>
        <w:t xml:space="preserve">(</w:t>
      </w:r>
      <w:r>
        <w:br/>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sqrt</w:t>
      </w:r>
      <w:r>
        <w:rPr>
          <w:rStyle w:val="NormalTok"/>
        </w:rPr>
        <w:t xml:space="preserve">(Var),</w:t>
      </w:r>
      <w:r>
        <w:br/>
      </w:r>
      <w:r>
        <w:rPr>
          <w:rStyle w:val="NormalTok"/>
        </w:rPr>
        <w:t xml:space="preserve">    </w:t>
      </w:r>
      <w:r>
        <w:rPr>
          <w:rStyle w:val="AttributeTok"/>
        </w:rPr>
        <w:t xml:space="preserve">Sd_low =</w:t>
      </w:r>
      <w:r>
        <w:rPr>
          <w:rStyle w:val="NormalTok"/>
        </w:rPr>
        <w:t xml:space="preserve"> </w:t>
      </w:r>
      <w:r>
        <w:rPr>
          <w:rStyle w:val="FunctionTok"/>
        </w:rPr>
        <w:t xml:space="preserve">sqrt</w:t>
      </w:r>
      <w:r>
        <w:rPr>
          <w:rStyle w:val="NormalTok"/>
        </w:rPr>
        <w:t xml:space="preserve">(Var_low),</w:t>
      </w:r>
      <w:r>
        <w:br/>
      </w:r>
      <w:r>
        <w:rPr>
          <w:rStyle w:val="NormalTok"/>
        </w:rPr>
        <w:t xml:space="preserve">    </w:t>
      </w:r>
      <w:r>
        <w:rPr>
          <w:rStyle w:val="AttributeTok"/>
        </w:rPr>
        <w:t xml:space="preserve">Sd_upp =</w:t>
      </w:r>
      <w:r>
        <w:rPr>
          <w:rStyle w:val="NormalTok"/>
        </w:rPr>
        <w:t xml:space="preserve"> </w:t>
      </w:r>
      <w:r>
        <w:rPr>
          <w:rStyle w:val="FunctionTok"/>
        </w:rPr>
        <w:t xml:space="preserve">sqrt</w:t>
      </w:r>
      <w:r>
        <w:rPr>
          <w:rStyle w:val="NormalTok"/>
        </w:rPr>
        <w:t xml:space="preserve">(Var_upp)</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45" w:name="tbl-sd-ingreso-zona"/>
          <w:p>
            <w:pPr>
              <w:jc w:val="center"/>
            </w:pPr>
            <w:pPr>
              <w:jc w:val="left"/>
              <w:spacing w:before="200"/>
              <w:pStyle w:val="ImageCaption"/>
            </w:pPr>
            <w:r>
              <w:t xml:space="preserve">Tabla 3.14: Desviación estándar de los ingresos desagregada por zona</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Zone</w:t>
                  </w:r>
                </w:p>
              </w:tc>
              <w:tc>
                <w:tcPr/>
                <w:p>
                  <w:pPr>
                    <w:pStyle w:val="Compact"/>
                    <w:jc w:val="right"/>
                    <w:jc w:val="center"/>
                  </w:pPr>
                  <w:r>
                    <w:t xml:space="preserve">Var</w:t>
                  </w:r>
                </w:p>
              </w:tc>
              <w:tc>
                <w:tcPr/>
                <w:p>
                  <w:pPr>
                    <w:pStyle w:val="Compact"/>
                    <w:jc w:val="right"/>
                    <w:jc w:val="center"/>
                  </w:pPr>
                  <w:r>
                    <w:t xml:space="preserve">Var_se</w:t>
                  </w:r>
                </w:p>
              </w:tc>
              <w:tc>
                <w:tcPr/>
                <w:p>
                  <w:pPr>
                    <w:pStyle w:val="Compact"/>
                    <w:jc w:val="right"/>
                    <w:jc w:val="center"/>
                  </w:pPr>
                  <w:r>
                    <w:t xml:space="preserve">Var_low</w:t>
                  </w:r>
                </w:p>
              </w:tc>
              <w:tc>
                <w:tcPr/>
                <w:p>
                  <w:pPr>
                    <w:pStyle w:val="Compact"/>
                    <w:jc w:val="right"/>
                    <w:jc w:val="center"/>
                  </w:pPr>
                  <w:r>
                    <w:t xml:space="preserve">Var_upp</w:t>
                  </w:r>
                </w:p>
              </w:tc>
              <w:tc>
                <w:tcPr/>
                <w:p>
                  <w:pPr>
                    <w:pStyle w:val="Compact"/>
                    <w:jc w:val="right"/>
                    <w:jc w:val="center"/>
                  </w:pPr>
                  <w:r>
                    <w:t xml:space="preserve">Sd</w:t>
                  </w:r>
                </w:p>
              </w:tc>
              <w:tc>
                <w:tcPr/>
                <w:p>
                  <w:pPr>
                    <w:pStyle w:val="Compact"/>
                    <w:jc w:val="right"/>
                    <w:jc w:val="center"/>
                  </w:pPr>
                  <w:r>
                    <w:t xml:space="preserve">Sd_low</w:t>
                  </w:r>
                </w:p>
              </w:tc>
              <w:tc>
                <w:tcPr/>
                <w:p>
                  <w:pPr>
                    <w:pStyle w:val="Compact"/>
                    <w:jc w:val="right"/>
                    <w:jc w:val="center"/>
                  </w:pPr>
                  <w:r>
                    <w:t xml:space="preserve">Sd_upp</w:t>
                  </w:r>
                </w:p>
              </w:tc>
            </w:tr>
            <w:tr>
              <w:tc>
                <w:tcPr/>
                <w:p>
                  <w:pPr>
                    <w:pStyle w:val="Compact"/>
                    <w:jc w:val="left"/>
                    <w:jc w:val="center"/>
                  </w:pPr>
                  <w:r>
                    <w:t xml:space="preserve">Rural</w:t>
                  </w:r>
                </w:p>
              </w:tc>
              <w:tc>
                <w:tcPr/>
                <w:p>
                  <w:pPr>
                    <w:pStyle w:val="Compact"/>
                    <w:jc w:val="right"/>
                    <w:jc w:val="center"/>
                  </w:pPr>
                  <w:r>
                    <w:t xml:space="preserve">96274</w:t>
                  </w:r>
                </w:p>
              </w:tc>
              <w:tc>
                <w:tcPr/>
                <w:p>
                  <w:pPr>
                    <w:pStyle w:val="Compact"/>
                    <w:jc w:val="right"/>
                    <w:jc w:val="center"/>
                  </w:pPr>
                  <w:r>
                    <w:t xml:space="preserve">13794</w:t>
                  </w:r>
                </w:p>
              </w:tc>
              <w:tc>
                <w:tcPr/>
                <w:p>
                  <w:pPr>
                    <w:pStyle w:val="Compact"/>
                    <w:jc w:val="right"/>
                    <w:jc w:val="center"/>
                  </w:pPr>
                  <w:r>
                    <w:t xml:space="preserve">68960</w:t>
                  </w:r>
                </w:p>
              </w:tc>
              <w:tc>
                <w:tcPr/>
                <w:p>
                  <w:pPr>
                    <w:pStyle w:val="Compact"/>
                    <w:jc w:val="right"/>
                    <w:jc w:val="center"/>
                  </w:pPr>
                  <w:r>
                    <w:t xml:space="preserve">123588</w:t>
                  </w:r>
                </w:p>
              </w:tc>
              <w:tc>
                <w:tcPr/>
                <w:p>
                  <w:pPr>
                    <w:pStyle w:val="Compact"/>
                    <w:jc w:val="right"/>
                    <w:jc w:val="center"/>
                  </w:pPr>
                  <w:r>
                    <w:t xml:space="preserve">310</w:t>
                  </w:r>
                </w:p>
              </w:tc>
              <w:tc>
                <w:tcPr/>
                <w:p>
                  <w:pPr>
                    <w:pStyle w:val="Compact"/>
                    <w:jc w:val="right"/>
                    <w:jc w:val="center"/>
                  </w:pPr>
                  <w:r>
                    <w:t xml:space="preserve">263</w:t>
                  </w:r>
                </w:p>
              </w:tc>
              <w:tc>
                <w:tcPr/>
                <w:p>
                  <w:pPr>
                    <w:pStyle w:val="Compact"/>
                    <w:jc w:val="right"/>
                    <w:jc w:val="center"/>
                  </w:pPr>
                  <w:r>
                    <w:t xml:space="preserve">352</w:t>
                  </w:r>
                </w:p>
              </w:tc>
            </w:tr>
            <w:tr>
              <w:tc>
                <w:tcPr/>
                <w:p>
                  <w:pPr>
                    <w:pStyle w:val="Compact"/>
                    <w:jc w:val="left"/>
                    <w:jc w:val="center"/>
                  </w:pPr>
                  <w:r>
                    <w:t xml:space="preserve">Urban</w:t>
                  </w:r>
                </w:p>
              </w:tc>
              <w:tc>
                <w:tcPr/>
                <w:p>
                  <w:pPr>
                    <w:pStyle w:val="Compact"/>
                    <w:jc w:val="right"/>
                    <w:jc w:val="center"/>
                  </w:pPr>
                  <w:r>
                    <w:t xml:space="preserve">338628</w:t>
                  </w:r>
                </w:p>
              </w:tc>
              <w:tc>
                <w:tcPr/>
                <w:p>
                  <w:pPr>
                    <w:pStyle w:val="Compact"/>
                    <w:jc w:val="right"/>
                    <w:jc w:val="center"/>
                  </w:pPr>
                  <w:r>
                    <w:t xml:space="preserve">81241</w:t>
                  </w:r>
                </w:p>
              </w:tc>
              <w:tc>
                <w:tcPr/>
                <w:p>
                  <w:pPr>
                    <w:pStyle w:val="Compact"/>
                    <w:jc w:val="right"/>
                    <w:jc w:val="center"/>
                  </w:pPr>
                  <w:r>
                    <w:t xml:space="preserve">177763</w:t>
                  </w:r>
                </w:p>
              </w:tc>
              <w:tc>
                <w:tcPr/>
                <w:p>
                  <w:pPr>
                    <w:pStyle w:val="Compact"/>
                    <w:jc w:val="right"/>
                    <w:jc w:val="center"/>
                  </w:pPr>
                  <w:r>
                    <w:t xml:space="preserve">499494</w:t>
                  </w:r>
                </w:p>
              </w:tc>
              <w:tc>
                <w:tcPr/>
                <w:p>
                  <w:pPr>
                    <w:pStyle w:val="Compact"/>
                    <w:jc w:val="right"/>
                    <w:jc w:val="center"/>
                  </w:pPr>
                  <w:r>
                    <w:t xml:space="preserve">582</w:t>
                  </w:r>
                </w:p>
              </w:tc>
              <w:tc>
                <w:tcPr/>
                <w:p>
                  <w:pPr>
                    <w:pStyle w:val="Compact"/>
                    <w:jc w:val="right"/>
                    <w:jc w:val="center"/>
                  </w:pPr>
                  <w:r>
                    <w:t xml:space="preserve">422</w:t>
                  </w:r>
                </w:p>
              </w:tc>
              <w:tc>
                <w:tcPr/>
                <w:p>
                  <w:pPr>
                    <w:pStyle w:val="Compact"/>
                    <w:jc w:val="right"/>
                    <w:jc w:val="center"/>
                  </w:pPr>
                  <w:r>
                    <w:t xml:space="preserve">707</w:t>
                  </w:r>
                </w:p>
              </w:tc>
            </w:tr>
          </w:tbl>
          <w:bookmarkEnd w:id="45"/>
          <w:p/>
        </w:tc>
      </w:tr>
    </w:tbl>
    <w:p>
      <w:pPr>
        <w:pStyle w:val="BodyText"/>
      </w:pPr>
      <w:r>
        <w:t xml:space="preserve">Como se observó en el ejemplo anterior, se estimó la desviación estándar de los ingresos por zona, reportando además su correspondiente intervalo de confianza al 95%. Los argumentos de la función</w:t>
      </w:r>
      <w:r>
        <w:t xml:space="preserve"> </w:t>
      </w:r>
      <w:r>
        <w:rPr>
          <w:rStyle w:val="VerbatimChar"/>
        </w:rPr>
        <w:t xml:space="preserve">survey_var()</w:t>
      </w:r>
      <w:r>
        <w:t xml:space="preserve"> </w:t>
      </w:r>
      <w:r>
        <w:t xml:space="preserve">son equivalentes a los utilizados previamente para la estimación de medias y totales. Si el interés es estimar la desviación estándar de los ingresos desagregando simultáneamente por sexo y zona, los códigos computacionales correspondientes se presentan en la</w:t>
      </w:r>
      <w:r>
        <w:t xml:space="preserve"> </w:t>
      </w:r>
      <w:hyperlink w:anchor="tbl-sd-ingreso-zona-sexo">
        <w:r>
          <w:rPr>
            <w:rStyle w:val="Hyperlink"/>
          </w:rPr>
          <w:t xml:space="preserve">tabla 3.15</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Var =</w:t>
      </w:r>
      <w:r>
        <w:rPr>
          <w:rStyle w:val="NormalTok"/>
        </w:rPr>
        <w:t xml:space="preserve"> </w:t>
      </w:r>
      <w:r>
        <w:rPr>
          <w:rStyle w:val="FunctionTok"/>
        </w:rPr>
        <w:t xml:space="preserve">survey_var</w:t>
      </w:r>
      <w:r>
        <w:rPr>
          <w:rStyle w:val="NormalTok"/>
        </w:rPr>
        <w:t xml:space="preserve">(</w:t>
      </w:r>
      <w:r>
        <w:br/>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sqrt</w:t>
      </w:r>
      <w:r>
        <w:rPr>
          <w:rStyle w:val="NormalTok"/>
        </w:rPr>
        <w:t xml:space="preserve">(Var),</w:t>
      </w:r>
      <w:r>
        <w:br/>
      </w:r>
      <w:r>
        <w:rPr>
          <w:rStyle w:val="NormalTok"/>
        </w:rPr>
        <w:t xml:space="preserve">    </w:t>
      </w:r>
      <w:r>
        <w:rPr>
          <w:rStyle w:val="AttributeTok"/>
        </w:rPr>
        <w:t xml:space="preserve">Sd_low =</w:t>
      </w:r>
      <w:r>
        <w:rPr>
          <w:rStyle w:val="NormalTok"/>
        </w:rPr>
        <w:t xml:space="preserve"> </w:t>
      </w:r>
      <w:r>
        <w:rPr>
          <w:rStyle w:val="FunctionTok"/>
        </w:rPr>
        <w:t xml:space="preserve">sqrt</w:t>
      </w:r>
      <w:r>
        <w:rPr>
          <w:rStyle w:val="NormalTok"/>
        </w:rPr>
        <w:t xml:space="preserve">(Var_low),</w:t>
      </w:r>
      <w:r>
        <w:br/>
      </w:r>
      <w:r>
        <w:rPr>
          <w:rStyle w:val="NormalTok"/>
        </w:rPr>
        <w:t xml:space="preserve">    </w:t>
      </w:r>
      <w:r>
        <w:rPr>
          <w:rStyle w:val="AttributeTok"/>
        </w:rPr>
        <w:t xml:space="preserve">Sd_upp =</w:t>
      </w:r>
      <w:r>
        <w:rPr>
          <w:rStyle w:val="NormalTok"/>
        </w:rPr>
        <w:t xml:space="preserve"> </w:t>
      </w:r>
      <w:r>
        <w:rPr>
          <w:rStyle w:val="FunctionTok"/>
        </w:rPr>
        <w:t xml:space="preserve">sqrt</w:t>
      </w:r>
      <w:r>
        <w:rPr>
          <w:rStyle w:val="NormalTok"/>
        </w:rPr>
        <w:t xml:space="preserve">(Var_upp)</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46" w:name="tbl-sd-ingreso-zona-sexo"/>
          <w:p>
            <w:pPr>
              <w:jc w:val="center"/>
            </w:pPr>
            <w:pPr>
              <w:jc w:val="left"/>
              <w:spacing w:before="200"/>
              <w:pStyle w:val="ImageCaption"/>
            </w:pPr>
            <w:r>
              <w:t xml:space="preserve">Tabla 3.15: Desviación estándar de los ingresos desagregada por zona y sexo</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Zone</w:t>
                  </w:r>
                </w:p>
              </w:tc>
              <w:tc>
                <w:tcPr/>
                <w:p>
                  <w:pPr>
                    <w:pStyle w:val="Compact"/>
                    <w:jc w:val="left"/>
                    <w:jc w:val="center"/>
                  </w:pPr>
                  <w:r>
                    <w:t xml:space="preserve">Sex</w:t>
                  </w:r>
                </w:p>
              </w:tc>
              <w:tc>
                <w:tcPr/>
                <w:p>
                  <w:pPr>
                    <w:pStyle w:val="Compact"/>
                    <w:jc w:val="right"/>
                    <w:jc w:val="center"/>
                  </w:pPr>
                  <w:r>
                    <w:t xml:space="preserve">Var</w:t>
                  </w:r>
                </w:p>
              </w:tc>
              <w:tc>
                <w:tcPr/>
                <w:p>
                  <w:pPr>
                    <w:pStyle w:val="Compact"/>
                    <w:jc w:val="right"/>
                    <w:jc w:val="center"/>
                  </w:pPr>
                  <w:r>
                    <w:t xml:space="preserve">Var_se</w:t>
                  </w:r>
                </w:p>
              </w:tc>
              <w:tc>
                <w:tcPr/>
                <w:p>
                  <w:pPr>
                    <w:pStyle w:val="Compact"/>
                    <w:jc w:val="right"/>
                    <w:jc w:val="center"/>
                  </w:pPr>
                  <w:r>
                    <w:t xml:space="preserve">Var_low</w:t>
                  </w:r>
                </w:p>
              </w:tc>
              <w:tc>
                <w:tcPr/>
                <w:p>
                  <w:pPr>
                    <w:pStyle w:val="Compact"/>
                    <w:jc w:val="right"/>
                    <w:jc w:val="center"/>
                  </w:pPr>
                  <w:r>
                    <w:t xml:space="preserve">Var_upp</w:t>
                  </w:r>
                </w:p>
              </w:tc>
              <w:tc>
                <w:tcPr/>
                <w:p>
                  <w:pPr>
                    <w:pStyle w:val="Compact"/>
                    <w:jc w:val="right"/>
                    <w:jc w:val="center"/>
                  </w:pPr>
                  <w:r>
                    <w:t xml:space="preserve">Sd</w:t>
                  </w:r>
                </w:p>
              </w:tc>
              <w:tc>
                <w:tcPr/>
                <w:p>
                  <w:pPr>
                    <w:pStyle w:val="Compact"/>
                    <w:jc w:val="right"/>
                    <w:jc w:val="center"/>
                  </w:pPr>
                  <w:r>
                    <w:t xml:space="preserve">Sd_low</w:t>
                  </w:r>
                </w:p>
              </w:tc>
              <w:tc>
                <w:tcPr/>
                <w:p>
                  <w:pPr>
                    <w:pStyle w:val="Compact"/>
                    <w:jc w:val="right"/>
                    <w:jc w:val="center"/>
                  </w:pPr>
                  <w:r>
                    <w:t xml:space="preserve">Sd_upp</w:t>
                  </w:r>
                </w:p>
              </w:tc>
            </w:tr>
            <w:tr>
              <w:tc>
                <w:tcPr/>
                <w:p>
                  <w:pPr>
                    <w:pStyle w:val="Compact"/>
                    <w:jc w:val="left"/>
                    <w:jc w:val="center"/>
                  </w:pPr>
                  <w:r>
                    <w:t xml:space="preserve">Rural</w:t>
                  </w:r>
                </w:p>
              </w:tc>
              <w:tc>
                <w:tcPr/>
                <w:p>
                  <w:pPr>
                    <w:pStyle w:val="Compact"/>
                    <w:jc w:val="left"/>
                    <w:jc w:val="center"/>
                  </w:pPr>
                  <w:r>
                    <w:t xml:space="preserve">Female</w:t>
                  </w:r>
                </w:p>
              </w:tc>
              <w:tc>
                <w:tcPr/>
                <w:p>
                  <w:pPr>
                    <w:pStyle w:val="Compact"/>
                    <w:jc w:val="right"/>
                    <w:jc w:val="center"/>
                  </w:pPr>
                  <w:r>
                    <w:t xml:space="preserve">86947</w:t>
                  </w:r>
                </w:p>
              </w:tc>
              <w:tc>
                <w:tcPr/>
                <w:p>
                  <w:pPr>
                    <w:pStyle w:val="Compact"/>
                    <w:jc w:val="right"/>
                    <w:jc w:val="center"/>
                  </w:pPr>
                  <w:r>
                    <w:t xml:space="preserve">12459</w:t>
                  </w:r>
                </w:p>
              </w:tc>
              <w:tc>
                <w:tcPr/>
                <w:p>
                  <w:pPr>
                    <w:pStyle w:val="Compact"/>
                    <w:jc w:val="right"/>
                    <w:jc w:val="center"/>
                  </w:pPr>
                  <w:r>
                    <w:t xml:space="preserve">62277</w:t>
                  </w:r>
                </w:p>
              </w:tc>
              <w:tc>
                <w:tcPr/>
                <w:p>
                  <w:pPr>
                    <w:pStyle w:val="Compact"/>
                    <w:jc w:val="right"/>
                    <w:jc w:val="center"/>
                  </w:pPr>
                  <w:r>
                    <w:t xml:space="preserve">111618</w:t>
                  </w:r>
                </w:p>
              </w:tc>
              <w:tc>
                <w:tcPr/>
                <w:p>
                  <w:pPr>
                    <w:pStyle w:val="Compact"/>
                    <w:jc w:val="right"/>
                    <w:jc w:val="center"/>
                  </w:pPr>
                  <w:r>
                    <w:t xml:space="preserve">295</w:t>
                  </w:r>
                </w:p>
              </w:tc>
              <w:tc>
                <w:tcPr/>
                <w:p>
                  <w:pPr>
                    <w:pStyle w:val="Compact"/>
                    <w:jc w:val="right"/>
                    <w:jc w:val="center"/>
                  </w:pPr>
                  <w:r>
                    <w:t xml:space="preserve">250</w:t>
                  </w:r>
                </w:p>
              </w:tc>
              <w:tc>
                <w:tcPr/>
                <w:p>
                  <w:pPr>
                    <w:pStyle w:val="Compact"/>
                    <w:jc w:val="right"/>
                    <w:jc w:val="center"/>
                  </w:pPr>
                  <w:r>
                    <w:t xml:space="preserve">334</w:t>
                  </w:r>
                </w:p>
              </w:tc>
            </w:tr>
            <w:tr>
              <w:tc>
                <w:tcPr/>
                <w:p>
                  <w:pPr>
                    <w:pStyle w:val="Compact"/>
                    <w:jc w:val="left"/>
                    <w:jc w:val="center"/>
                  </w:pPr>
                  <w:r>
                    <w:t xml:space="preserve">Rural</w:t>
                  </w:r>
                </w:p>
              </w:tc>
              <w:tc>
                <w:tcPr/>
                <w:p>
                  <w:pPr>
                    <w:pStyle w:val="Compact"/>
                    <w:jc w:val="left"/>
                    <w:jc w:val="center"/>
                  </w:pPr>
                  <w:r>
                    <w:t xml:space="preserve">Male</w:t>
                  </w:r>
                </w:p>
              </w:tc>
              <w:tc>
                <w:tcPr/>
                <w:p>
                  <w:pPr>
                    <w:pStyle w:val="Compact"/>
                    <w:jc w:val="right"/>
                    <w:jc w:val="center"/>
                  </w:pPr>
                  <w:r>
                    <w:t xml:space="preserve">106119</w:t>
                  </w:r>
                </w:p>
              </w:tc>
              <w:tc>
                <w:tcPr/>
                <w:p>
                  <w:pPr>
                    <w:pStyle w:val="Compact"/>
                    <w:jc w:val="right"/>
                    <w:jc w:val="center"/>
                  </w:pPr>
                  <w:r>
                    <w:t xml:space="preserve">15616</w:t>
                  </w:r>
                </w:p>
              </w:tc>
              <w:tc>
                <w:tcPr/>
                <w:p>
                  <w:pPr>
                    <w:pStyle w:val="Compact"/>
                    <w:jc w:val="right"/>
                    <w:jc w:val="center"/>
                  </w:pPr>
                  <w:r>
                    <w:t xml:space="preserve">75197</w:t>
                  </w:r>
                </w:p>
              </w:tc>
              <w:tc>
                <w:tcPr/>
                <w:p>
                  <w:pPr>
                    <w:pStyle w:val="Compact"/>
                    <w:jc w:val="right"/>
                    <w:jc w:val="center"/>
                  </w:pPr>
                  <w:r>
                    <w:t xml:space="preserve">137040</w:t>
                  </w:r>
                </w:p>
              </w:tc>
              <w:tc>
                <w:tcPr/>
                <w:p>
                  <w:pPr>
                    <w:pStyle w:val="Compact"/>
                    <w:jc w:val="right"/>
                    <w:jc w:val="center"/>
                  </w:pPr>
                  <w:r>
                    <w:t xml:space="preserve">326</w:t>
                  </w:r>
                </w:p>
              </w:tc>
              <w:tc>
                <w:tcPr/>
                <w:p>
                  <w:pPr>
                    <w:pStyle w:val="Compact"/>
                    <w:jc w:val="right"/>
                    <w:jc w:val="center"/>
                  </w:pPr>
                  <w:r>
                    <w:t xml:space="preserve">274</w:t>
                  </w:r>
                </w:p>
              </w:tc>
              <w:tc>
                <w:tcPr/>
                <w:p>
                  <w:pPr>
                    <w:pStyle w:val="Compact"/>
                    <w:jc w:val="right"/>
                    <w:jc w:val="center"/>
                  </w:pPr>
                  <w:r>
                    <w:t xml:space="preserve">370</w:t>
                  </w:r>
                </w:p>
              </w:tc>
            </w:tr>
            <w:tr>
              <w:tc>
                <w:tcPr/>
                <w:p>
                  <w:pPr>
                    <w:pStyle w:val="Compact"/>
                    <w:jc w:val="left"/>
                    <w:jc w:val="center"/>
                  </w:pPr>
                  <w:r>
                    <w:t xml:space="preserve">Urban</w:t>
                  </w:r>
                </w:p>
              </w:tc>
              <w:tc>
                <w:tcPr/>
                <w:p>
                  <w:pPr>
                    <w:pStyle w:val="Compact"/>
                    <w:jc w:val="left"/>
                    <w:jc w:val="center"/>
                  </w:pPr>
                  <w:r>
                    <w:t xml:space="preserve">Female</w:t>
                  </w:r>
                </w:p>
              </w:tc>
              <w:tc>
                <w:tcPr/>
                <w:p>
                  <w:pPr>
                    <w:pStyle w:val="Compact"/>
                    <w:jc w:val="right"/>
                    <w:jc w:val="center"/>
                  </w:pPr>
                  <w:r>
                    <w:t xml:space="preserve">323069</w:t>
                  </w:r>
                </w:p>
              </w:tc>
              <w:tc>
                <w:tcPr/>
                <w:p>
                  <w:pPr>
                    <w:pStyle w:val="Compact"/>
                    <w:jc w:val="right"/>
                    <w:jc w:val="center"/>
                  </w:pPr>
                  <w:r>
                    <w:t xml:space="preserve">82058</w:t>
                  </w:r>
                </w:p>
              </w:tc>
              <w:tc>
                <w:tcPr/>
                <w:p>
                  <w:pPr>
                    <w:pStyle w:val="Compact"/>
                    <w:jc w:val="right"/>
                    <w:jc w:val="center"/>
                  </w:pPr>
                  <w:r>
                    <w:t xml:space="preserve">160585</w:t>
                  </w:r>
                </w:p>
              </w:tc>
              <w:tc>
                <w:tcPr/>
                <w:p>
                  <w:pPr>
                    <w:pStyle w:val="Compact"/>
                    <w:jc w:val="right"/>
                    <w:jc w:val="center"/>
                  </w:pPr>
                  <w:r>
                    <w:t xml:space="preserve">485553</w:t>
                  </w:r>
                </w:p>
              </w:tc>
              <w:tc>
                <w:tcPr/>
                <w:p>
                  <w:pPr>
                    <w:pStyle w:val="Compact"/>
                    <w:jc w:val="right"/>
                    <w:jc w:val="center"/>
                  </w:pPr>
                  <w:r>
                    <w:t xml:space="preserve">568</w:t>
                  </w:r>
                </w:p>
              </w:tc>
              <w:tc>
                <w:tcPr/>
                <w:p>
                  <w:pPr>
                    <w:pStyle w:val="Compact"/>
                    <w:jc w:val="right"/>
                    <w:jc w:val="center"/>
                  </w:pPr>
                  <w:r>
                    <w:t xml:space="preserve">401</w:t>
                  </w:r>
                </w:p>
              </w:tc>
              <w:tc>
                <w:tcPr/>
                <w:p>
                  <w:pPr>
                    <w:pStyle w:val="Compact"/>
                    <w:jc w:val="right"/>
                    <w:jc w:val="center"/>
                  </w:pPr>
                  <w:r>
                    <w:t xml:space="preserve">697</w:t>
                  </w:r>
                </w:p>
              </w:tc>
            </w:tr>
            <w:tr>
              <w:tc>
                <w:tcPr/>
                <w:p>
                  <w:pPr>
                    <w:pStyle w:val="Compact"/>
                    <w:jc w:val="left"/>
                    <w:jc w:val="center"/>
                  </w:pPr>
                  <w:r>
                    <w:t xml:space="preserve">Urban</w:t>
                  </w:r>
                </w:p>
              </w:tc>
              <w:tc>
                <w:tcPr/>
                <w:p>
                  <w:pPr>
                    <w:pStyle w:val="Compact"/>
                    <w:jc w:val="left"/>
                    <w:jc w:val="center"/>
                  </w:pPr>
                  <w:r>
                    <w:t xml:space="preserve">Male</w:t>
                  </w:r>
                </w:p>
              </w:tc>
              <w:tc>
                <w:tcPr/>
                <w:p>
                  <w:pPr>
                    <w:pStyle w:val="Compact"/>
                    <w:jc w:val="right"/>
                    <w:jc w:val="center"/>
                  </w:pPr>
                  <w:r>
                    <w:t xml:space="preserve">356141</w:t>
                  </w:r>
                </w:p>
              </w:tc>
              <w:tc>
                <w:tcPr/>
                <w:p>
                  <w:pPr>
                    <w:pStyle w:val="Compact"/>
                    <w:jc w:val="right"/>
                    <w:jc w:val="center"/>
                  </w:pPr>
                  <w:r>
                    <w:t xml:space="preserve">83488</w:t>
                  </w:r>
                </w:p>
              </w:tc>
              <w:tc>
                <w:tcPr/>
                <w:p>
                  <w:pPr>
                    <w:pStyle w:val="Compact"/>
                    <w:jc w:val="right"/>
                    <w:jc w:val="center"/>
                  </w:pPr>
                  <w:r>
                    <w:t xml:space="preserve">190826</w:t>
                  </w:r>
                </w:p>
              </w:tc>
              <w:tc>
                <w:tcPr/>
                <w:p>
                  <w:pPr>
                    <w:pStyle w:val="Compact"/>
                    <w:jc w:val="right"/>
                    <w:jc w:val="center"/>
                  </w:pPr>
                  <w:r>
                    <w:t xml:space="preserve">521456</w:t>
                  </w:r>
                </w:p>
              </w:tc>
              <w:tc>
                <w:tcPr/>
                <w:p>
                  <w:pPr>
                    <w:pStyle w:val="Compact"/>
                    <w:jc w:val="right"/>
                    <w:jc w:val="center"/>
                  </w:pPr>
                  <w:r>
                    <w:t xml:space="preserve">597</w:t>
                  </w:r>
                </w:p>
              </w:tc>
              <w:tc>
                <w:tcPr/>
                <w:p>
                  <w:pPr>
                    <w:pStyle w:val="Compact"/>
                    <w:jc w:val="right"/>
                    <w:jc w:val="center"/>
                  </w:pPr>
                  <w:r>
                    <w:t xml:space="preserve">437</w:t>
                  </w:r>
                </w:p>
              </w:tc>
              <w:tc>
                <w:tcPr/>
                <w:p>
                  <w:pPr>
                    <w:pStyle w:val="Compact"/>
                    <w:jc w:val="right"/>
                    <w:jc w:val="center"/>
                  </w:pPr>
                  <w:r>
                    <w:t xml:space="preserve">722</w:t>
                  </w:r>
                </w:p>
              </w:tc>
            </w:tr>
          </w:tbl>
          <w:bookmarkEnd w:id="46"/>
          <w:p/>
        </w:tc>
      </w:tr>
    </w:tbl>
    <w:bookmarkEnd w:id="47"/>
    <w:bookmarkStart w:id="52" w:name="estimacion-de-percentiles"/>
    <w:p>
      <w:pPr>
        <w:pStyle w:val="Heading3"/>
      </w:pPr>
      <w:r>
        <w:t xml:space="preserve">3.2.2 Estimación de percentiles</w:t>
      </w:r>
    </w:p>
    <w:p>
      <w:pPr>
        <w:pStyle w:val="FirstParagraph"/>
      </w:pPr>
      <w:r>
        <w:t xml:space="preserve">Según</w:t>
      </w:r>
      <w:r>
        <w:t xml:space="preserve"> </w:t>
      </w:r>
      <w:r>
        <w:t xml:space="preserve">Schulze Waltrup y Kauermann (2016)</w:t>
      </w:r>
      <w:r>
        <w:t xml:space="preserve"> </w:t>
      </w:r>
      <w:r>
        <w:t xml:space="preserve">y</w:t>
      </w:r>
      <w:r>
        <w:t xml:space="preserve"> </w:t>
      </w:r>
      <w:r>
        <w:t xml:space="preserve">Heeringa et al. (2017)</w:t>
      </w:r>
      <w:r>
        <w:t xml:space="preserve">, las medidas de posición no central, como los percentiles y la mediana, permiten identificar puntos específicos de la distribución de una variable de interés distintos de su valor promedio. En las encuestas de hogares, este tipo de medidas resulta especialmente útil para caracterizar la distribución de variables económicas y sociales, como el ingreso, el gasto o las horas trabajadas. La mediana, por ejemplo, corresponde al valor que divide a la población en dos partes iguales: el 50% de las observaciones se encuentra por debajo de dicho valor y el otro 50% por encima. A diferencia de la media, la mediana es poco sensible a valores extremos, razón por la cual suele considerarse una medida robusta de tendencia central.</w:t>
      </w:r>
    </w:p>
    <w:p>
      <w:pPr>
        <w:pStyle w:val="BodyText"/>
      </w:pPr>
      <w:r>
        <w:t xml:space="preserve">De manera similar, los percentiles permiten identificar segmentos específicos de la distribución poblacional. Por ejemplo, los percentiles de ingreso pueden utilizarse para identificar a la población perteneciente al 10% superior de la distribución con fines tributarios, o para focalizar subsidios dirigidos a los hogares ubicados en los percentiles más bajos. La estimación de cuantiles en encuestas complejas se basa en el uso de estimadores ponderados y en la estimación de la función de distribución acumulada (FDA) de la población. Para una población finita de tamaño</w:t>
      </w:r>
      <w:r>
        <w:t xml:space="preserve"> </w:t>
      </w:r>
      <m:oMath>
        <m:r>
          <m:t>N</m:t>
        </m:r>
      </m:oMath>
      <w:r>
        <w:t xml:space="preserve">, un estimador de esta distribución está dado por:</w:t>
      </w:r>
    </w:p>
    <w:p>
      <w:pPr>
        <w:pStyle w:val="BodyText"/>
      </w:pPr>
      <m:oMathPara>
        <m:oMathParaPr>
          <m:jc m:val="center"/>
        </m:oMathParaPr>
        <m:oMath>
          <m:acc>
            <m:accPr>
              <m:chr m:val="̂"/>
            </m:accPr>
            <m:e>
              <m:r>
                <m:t>F</m:t>
              </m:r>
            </m:e>
          </m:acc>
          <m:d>
            <m:dPr>
              <m:begChr m:val="("/>
              <m:sepChr m:val=""/>
              <m:endChr m:val=")"/>
              <m:grow/>
            </m:dPr>
            <m:e>
              <m:r>
                <m:t>x</m:t>
              </m:r>
            </m:e>
          </m:d>
          <m:r>
            <m:rPr>
              <m:sty m:val="p"/>
            </m:rPr>
            <m:t>=</m:t>
          </m:r>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t>I</m:t>
              </m:r>
              <m:d>
                <m:dPr>
                  <m:begChr m:val="("/>
                  <m:sepChr m:val=""/>
                  <m:endChr m:val=")"/>
                  <m:grow/>
                </m:dPr>
                <m:e>
                  <m:sSub>
                    <m:e>
                      <m:r>
                        <m:t>y</m:t>
                      </m:r>
                    </m:e>
                    <m:sub>
                      <m:r>
                        <m:t>k</m:t>
                      </m:r>
                    </m:sub>
                  </m:sSub>
                  <m:r>
                    <m:rPr>
                      <m:sty m:val="p"/>
                    </m:rPr>
                    <m:t>≤</m:t>
                  </m:r>
                  <m:r>
                    <m:t>x</m:t>
                  </m:r>
                </m:e>
              </m:d>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den>
          </m:f>
        </m:oMath>
      </m:oMathPara>
    </w:p>
    <w:p>
      <w:pPr>
        <w:pStyle w:val="FirstParagraph"/>
      </w:pPr>
      <w:r>
        <w:t xml:space="preserve">en donde la función</w:t>
      </w:r>
      <w:r>
        <w:t xml:space="preserve"> </w:t>
      </w:r>
      <m:oMath>
        <m:r>
          <m:t>I</m:t>
        </m:r>
        <m:d>
          <m:dPr>
            <m:begChr m:val="("/>
            <m:sepChr m:val=""/>
            <m:endChr m:val=")"/>
            <m:grow/>
          </m:dPr>
          <m:e>
            <m:sSub>
              <m:e>
                <m:r>
                  <m:t>y</m:t>
                </m:r>
              </m:e>
              <m:sub>
                <m:r>
                  <m:t>k</m:t>
                </m:r>
              </m:sub>
            </m:sSub>
            <m:r>
              <m:rPr>
                <m:sty m:val="p"/>
              </m:rPr>
              <m:t>≤</m:t>
            </m:r>
            <m:r>
              <m:t>x</m:t>
            </m:r>
          </m:e>
        </m:d>
      </m:oMath>
      <w:r>
        <w:t xml:space="preserve"> </w:t>
      </w:r>
      <w:r>
        <w:t xml:space="preserve">es una variable indicadora que toma el valor uno si</w:t>
      </w:r>
      <w:r>
        <w:t xml:space="preserve"> </w:t>
      </w:r>
      <m:oMath>
        <m:sSub>
          <m:e>
            <m:r>
              <m:t>y</m:t>
            </m:r>
          </m:e>
          <m:sub>
            <m:r>
              <m:t>k</m:t>
            </m:r>
          </m:sub>
        </m:sSub>
        <m:r>
          <m:rPr>
            <m:sty m:val="p"/>
          </m:rPr>
          <m:t>≤</m:t>
        </m:r>
        <m:r>
          <m:t>x</m:t>
        </m:r>
      </m:oMath>
      <w:r>
        <w:t xml:space="preserve"> </w:t>
      </w:r>
      <w:r>
        <w:t xml:space="preserve">y cero en otro caso.</w:t>
      </w:r>
    </w:p>
    <w:p>
      <w:pPr>
        <w:pStyle w:val="BodyText"/>
      </w:pPr>
      <w:r>
        <w:t xml:space="preserve">Una vez estimada la FDA utilizando los pesos del diseño muestral, el cuantil</w:t>
      </w:r>
      <w:r>
        <w:t xml:space="preserve"> </w:t>
      </w:r>
      <m:oMath>
        <m:r>
          <m:t>q</m:t>
        </m:r>
      </m:oMath>
      <w:r>
        <w:t xml:space="preserve">-ésimo de una variable</w:t>
      </w:r>
      <w:r>
        <w:t xml:space="preserve"> </w:t>
      </w:r>
      <m:oMath>
        <m:r>
          <m:t>y</m:t>
        </m:r>
      </m:oMath>
      <w:r>
        <w:t xml:space="preserve"> </w:t>
      </w:r>
      <w:r>
        <w:t xml:space="preserve">se define como el menor valor de</w:t>
      </w:r>
      <w:r>
        <w:t xml:space="preserve"> </w:t>
      </w:r>
      <m:oMath>
        <m:r>
          <m:t>y</m:t>
        </m:r>
      </m:oMath>
      <w:r>
        <w:t xml:space="preserve"> </w:t>
      </w:r>
      <w:r>
        <w:t xml:space="preserve">para el cual la FDA es mayor o igual que</w:t>
      </w:r>
      <w:r>
        <w:t xml:space="preserve"> </w:t>
      </w:r>
      <m:oMath>
        <m:r>
          <m:t>q</m:t>
        </m:r>
      </m:oMath>
      <w:r>
        <w:t xml:space="preserve">. En particular, la mediana corresponde al valor para el cual la FDA alcanza o supera 0.5; por tanto, la mediana estimada es el valor donde la FDA estimada es mayor o igual a 0.5. Para la estimación de cuantiles en encuestas complejas, se ordenan las observaciones en orden ascendente (estadísticas de orden) de forma que</w:t>
      </w:r>
      <w:r>
        <w:t xml:space="preserve"> </w:t>
      </w:r>
      <m:oMath>
        <m:sSub>
          <m:e>
            <m:r>
              <m:t>y</m:t>
            </m:r>
          </m:e>
          <m:sub>
            <m:r>
              <m:rPr>
                <m:sty m:val="p"/>
              </m:rPr>
              <m:t>(</m:t>
            </m:r>
            <m:r>
              <m:t>1</m:t>
            </m:r>
            <m:r>
              <m:rPr>
                <m:sty m:val="p"/>
              </m:rPr>
              <m:t>)</m:t>
            </m:r>
          </m:sub>
        </m:sSub>
        <m:r>
          <m:rPr>
            <m:sty m:val="p"/>
          </m:rPr>
          <m:t>≤</m:t>
        </m:r>
        <m:sSub>
          <m:e>
            <m:r>
              <m:t>y</m:t>
            </m:r>
          </m:e>
          <m:sub>
            <m:r>
              <m:rPr>
                <m:sty m:val="p"/>
              </m:rPr>
              <m:t>(</m:t>
            </m:r>
            <m:r>
              <m:t>2</m:t>
            </m:r>
            <m:r>
              <m:rPr>
                <m:sty m:val="p"/>
              </m:rPr>
              <m:t>)</m:t>
            </m:r>
          </m:sub>
        </m:sSub>
        <m:r>
          <m:rPr>
            <m:sty m:val="p"/>
          </m:rPr>
          <m:t>≤</m:t>
        </m:r>
        <m:r>
          <m:rPr>
            <m:sty m:val="p"/>
          </m:rPr>
          <m:t>…</m:t>
        </m:r>
        <m:r>
          <m:rPr>
            <m:sty m:val="p"/>
          </m:rPr>
          <m:t>≤</m:t>
        </m:r>
        <m:sSub>
          <m:e>
            <m:r>
              <m:t>y</m:t>
            </m:r>
          </m:e>
          <m:sub>
            <m:r>
              <m:rPr>
                <m:sty m:val="p"/>
              </m:rPr>
              <m:t>(</m:t>
            </m:r>
            <m:r>
              <m:t>n</m:t>
            </m:r>
            <m:r>
              <m:rPr>
                <m:sty m:val="p"/>
              </m:rPr>
              <m:t>)</m:t>
            </m:r>
          </m:sub>
        </m:sSub>
      </m:oMath>
      <w:r>
        <w:t xml:space="preserve"> </w:t>
      </w:r>
      <w:r>
        <w:t xml:space="preserve">y se identifica el valor de</w:t>
      </w:r>
      <w:r>
        <w:t xml:space="preserve"> </w:t>
      </w:r>
      <m:oMath>
        <m:r>
          <m:t>j</m:t>
        </m:r>
      </m:oMath>
      <w:r>
        <w:t xml:space="preserve"> </w:t>
      </w:r>
      <m:oMath>
        <m:r>
          <m:rPr>
            <m:sty m:val="p"/>
          </m:rPr>
          <m:t>(</m:t>
        </m:r>
        <m:r>
          <m:t>j</m:t>
        </m:r>
        <m:r>
          <m:rPr>
            <m:sty m:val="p"/>
          </m:rPr>
          <m:t>=</m:t>
        </m:r>
        <m:r>
          <m:t>1</m:t>
        </m:r>
        <m:r>
          <m:rPr>
            <m:sty m:val="p"/>
          </m:rPr>
          <m:t>,</m:t>
        </m:r>
        <m:r>
          <m:rPr>
            <m:sty m:val="p"/>
          </m:rPr>
          <m:t>…</m:t>
        </m:r>
        <m:r>
          <m:rPr>
            <m:sty m:val="p"/>
          </m:rPr>
          <m:t>,</m:t>
        </m:r>
        <m:r>
          <m:t>n</m:t>
        </m:r>
        <m:r>
          <m:rPr>
            <m:sty m:val="p"/>
          </m:rPr>
          <m:t>)</m:t>
        </m:r>
      </m:oMath>
      <w:r>
        <w:t xml:space="preserve"> </w:t>
      </w:r>
      <w:r>
        <w:t xml:space="preserve">tal que:</w:t>
      </w:r>
    </w:p>
    <w:p>
      <w:pPr>
        <w:pStyle w:val="BodyText"/>
      </w:pPr>
      <m:oMathPara>
        <m:oMathParaPr>
          <m:jc m:val="center"/>
        </m:oMathParaPr>
        <m:oMath>
          <m:acc>
            <m:accPr>
              <m:chr m:val="̂"/>
            </m:accPr>
            <m:e>
              <m:r>
                <m:t>F</m:t>
              </m:r>
            </m:e>
          </m:acc>
          <m:d>
            <m:dPr>
              <m:begChr m:val="("/>
              <m:sepChr m:val=""/>
              <m:endChr m:val=")"/>
              <m:grow/>
            </m:dPr>
            <m:e>
              <m:sSub>
                <m:e>
                  <m:r>
                    <m:t>y</m:t>
                  </m:r>
                </m:e>
                <m:sub>
                  <m:r>
                    <m:rPr>
                      <m:sty m:val="p"/>
                    </m:rPr>
                    <m:t>(</m:t>
                  </m:r>
                  <m:r>
                    <m:t>j</m:t>
                  </m:r>
                  <m:r>
                    <m:rPr>
                      <m:sty m:val="p"/>
                    </m:rPr>
                    <m:t>)</m:t>
                  </m:r>
                </m:sub>
              </m:sSub>
            </m:e>
          </m:d>
          <m:r>
            <m:rPr>
              <m:sty m:val="p"/>
            </m:rPr>
            <m:t>≤</m:t>
          </m:r>
          <m:r>
            <m:t>q</m:t>
          </m:r>
          <m:r>
            <m:rPr>
              <m:sty m:val="p"/>
            </m:rPr>
            <m:t>≤</m:t>
          </m:r>
          <m:acc>
            <m:accPr>
              <m:chr m:val="̂"/>
            </m:accPr>
            <m:e>
              <m:r>
                <m:t>F</m:t>
              </m:r>
            </m:e>
          </m:acc>
          <m:d>
            <m:dPr>
              <m:begChr m:val="("/>
              <m:sepChr m:val=""/>
              <m:endChr m:val=")"/>
              <m:grow/>
            </m:dPr>
            <m:e>
              <m:sSub>
                <m:e>
                  <m:r>
                    <m:t>y</m:t>
                  </m:r>
                </m:e>
                <m:sub>
                  <m:r>
                    <m:rPr>
                      <m:sty m:val="p"/>
                    </m:rPr>
                    <m:t>(</m:t>
                  </m:r>
                  <m:r>
                    <m:t>j</m:t>
                  </m:r>
                  <m:r>
                    <m:rPr>
                      <m:sty m:val="p"/>
                    </m:rPr>
                    <m:t>+</m:t>
                  </m:r>
                  <m:r>
                    <m:t>1</m:t>
                  </m:r>
                  <m:r>
                    <m:rPr>
                      <m:sty m:val="p"/>
                    </m:rPr>
                    <m:t>)</m:t>
                  </m:r>
                </m:sub>
              </m:sSub>
            </m:e>
          </m:d>
        </m:oMath>
      </m:oMathPara>
    </w:p>
    <w:p>
      <w:pPr>
        <w:pStyle w:val="FirstParagraph"/>
      </w:pPr>
      <w:r>
        <w:t xml:space="preserve">Bajo esta condición, el estimador del cuantil</w:t>
      </w:r>
      <w:r>
        <w:t xml:space="preserve"> </w:t>
      </w:r>
      <m:oMath>
        <m:r>
          <m:t>q</m:t>
        </m:r>
      </m:oMath>
      <w:r>
        <w:t xml:space="preserve">-ésimo se obtiene mediante interpolación lineal, la cual permite obtener estimaciones más estables y precisas de los cuantiles, especialmente cuando la FDA presenta saltos importantes asociados al uso de pesos muestrales.</w:t>
      </w:r>
      <w:r>
        <w:t xml:space="preserve"> </w:t>
      </w:r>
      <w:r>
        <w:t xml:space="preserve">Woodruff (1952)</w:t>
      </w:r>
      <w:r>
        <w:t xml:space="preserve"> </w:t>
      </w:r>
      <w:r>
        <w:t xml:space="preserve">fundamenta el método de inversión de la FDA como base para construir intervalos de confianza de cuantiles. En el caso de la varianza de percentiles y medianas, así como de la construcción de intervalos de confianza,</w:t>
      </w:r>
      <w:r>
        <w:t xml:space="preserve"> </w:t>
      </w:r>
      <w:r>
        <w:t xml:space="preserve">Kovar et al. (1988)</w:t>
      </w:r>
      <w:r>
        <w:t xml:space="preserve"> </w:t>
      </w:r>
      <w:r>
        <w:t xml:space="preserve">muestra que los métodos de replicación presentan buen desempeño para este tipo de parámetros no lineales en diseños complejos.</w:t>
      </w:r>
    </w:p>
    <w:p>
      <w:pPr>
        <w:pStyle w:val="BodyText"/>
      </w:pPr>
      <w:r>
        <w:t xml:space="preserve">Tanto los estimadores de cuantiles como los métodos para estimar sus varianzas se encuentran implementados en</w:t>
      </w:r>
      <w:r>
        <w:t xml:space="preserve"> </w:t>
      </w:r>
      <w:r>
        <w:rPr>
          <w:rStyle w:val="VerbatimChar"/>
        </w:rPr>
        <w:t xml:space="preserve">R</w:t>
      </w:r>
      <w:r>
        <w:t xml:space="preserve">. En particular, la función</w:t>
      </w:r>
      <w:r>
        <w:t xml:space="preserve"> </w:t>
      </w:r>
      <w:r>
        <w:rPr>
          <w:rStyle w:val="VerbatimChar"/>
        </w:rPr>
        <w:t xml:space="preserve">survey_median()</w:t>
      </w:r>
      <w:r>
        <w:t xml:space="preserve"> </w:t>
      </w:r>
      <w:r>
        <w:t xml:space="preserve">permite obtener la mediana junto con su error estándar e intervalo de confianza. A continuación, se presenta la sintaxis para estimar la mediana del gasto de los hogares utilizando la base de datos de ejemplo, cuyos resultados se muestran en la</w:t>
      </w:r>
      <w:r>
        <w:t xml:space="preserve"> </w:t>
      </w:r>
      <w:hyperlink w:anchor="tbl-mediana-gasto">
        <w:r>
          <w:rPr>
            <w:rStyle w:val="Hyperlink"/>
          </w:rPr>
          <w:t xml:space="preserve">tabla 3.16</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median =</w:t>
      </w:r>
      <w:r>
        <w:rPr>
          <w:rStyle w:val="NormalTok"/>
        </w:rPr>
        <w:t xml:space="preserve"> </w:t>
      </w:r>
      <w:r>
        <w:rPr>
          <w:rStyle w:val="FunctionTok"/>
        </w:rPr>
        <w:t xml:space="preserve">survey_median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48" w:name="tbl-mediana-gasto"/>
          <w:p>
            <w:pPr>
              <w:jc w:val="center"/>
            </w:pPr>
            <w:pPr>
              <w:jc w:val="left"/>
              <w:spacing w:before="200"/>
              <w:pStyle w:val="ImageCaption"/>
            </w:pPr>
            <w:r>
              <w:t xml:space="preserve">Tabla 3.16: Estimación de la mediana de los gastos de los hogares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median</w:t>
                  </w:r>
                </w:p>
              </w:tc>
              <w:tc>
                <w:tcPr/>
                <w:p>
                  <w:pPr>
                    <w:pStyle w:val="Compact"/>
                    <w:jc w:val="right"/>
                    <w:jc w:val="center"/>
                  </w:pPr>
                  <w:r>
                    <w:t xml:space="preserve">median_se</w:t>
                  </w:r>
                </w:p>
              </w:tc>
              <w:tc>
                <w:tcPr/>
                <w:p>
                  <w:pPr>
                    <w:pStyle w:val="Compact"/>
                    <w:jc w:val="right"/>
                    <w:jc w:val="center"/>
                  </w:pPr>
                  <w:r>
                    <w:t xml:space="preserve">median_low</w:t>
                  </w:r>
                </w:p>
              </w:tc>
              <w:tc>
                <w:tcPr/>
                <w:p>
                  <w:pPr>
                    <w:pStyle w:val="Compact"/>
                    <w:jc w:val="right"/>
                    <w:jc w:val="center"/>
                  </w:pPr>
                  <w:r>
                    <w:t xml:space="preserve">median_upp</w:t>
                  </w:r>
                </w:p>
              </w:tc>
            </w:tr>
            <w:tr>
              <w:tc>
                <w:tcPr/>
                <w:p>
                  <w:pPr>
                    <w:pStyle w:val="Compact"/>
                    <w:jc w:val="right"/>
                    <w:jc w:val="center"/>
                  </w:pPr>
                  <w:r>
                    <w:t xml:space="preserve">298</w:t>
                  </w:r>
                </w:p>
              </w:tc>
              <w:tc>
                <w:tcPr/>
                <w:p>
                  <w:pPr>
                    <w:pStyle w:val="Compact"/>
                    <w:jc w:val="right"/>
                    <w:jc w:val="center"/>
                  </w:pPr>
                  <w:r>
                    <w:t xml:space="preserve">8.82</w:t>
                  </w:r>
                </w:p>
              </w:tc>
              <w:tc>
                <w:tcPr/>
                <w:p>
                  <w:pPr>
                    <w:pStyle w:val="Compact"/>
                    <w:jc w:val="right"/>
                    <w:jc w:val="center"/>
                  </w:pPr>
                  <w:r>
                    <w:t xml:space="preserve">282</w:t>
                  </w:r>
                </w:p>
              </w:tc>
              <w:tc>
                <w:tcPr/>
                <w:p>
                  <w:pPr>
                    <w:pStyle w:val="Compact"/>
                    <w:jc w:val="right"/>
                    <w:jc w:val="center"/>
                  </w:pPr>
                  <w:r>
                    <w:t xml:space="preserve">317</w:t>
                  </w:r>
                </w:p>
              </w:tc>
            </w:tr>
          </w:tbl>
          <w:bookmarkEnd w:id="48"/>
          <w:p/>
        </w:tc>
      </w:tr>
    </w:tbl>
    <w:p>
      <w:pPr>
        <w:pStyle w:val="BodyText"/>
      </w:pPr>
      <w:r>
        <w:t xml:space="preserve">Como puede observarse, los argumentos de la función</w:t>
      </w:r>
      <w:r>
        <w:t xml:space="preserve"> </w:t>
      </w:r>
      <w:r>
        <w:rPr>
          <w:rStyle w:val="VerbatimChar"/>
        </w:rPr>
        <w:t xml:space="preserve">survey_median()</w:t>
      </w:r>
      <w:r>
        <w:t xml:space="preserve"> </w:t>
      </w:r>
      <w:r>
        <w:t xml:space="preserve">son equivalentes a los utilizados previamente para estimar totales y medias. Al igual que con otros parámetros poblacionales, la mediana también puede estimarse para distintos dominios de estudio, como zona geográfica, sexo o grupos de edad. La</w:t>
      </w:r>
      <w:r>
        <w:t xml:space="preserve"> </w:t>
      </w:r>
      <w:hyperlink w:anchor="tbl-mediana-gasto-zona">
        <w:r>
          <w:rPr>
            <w:rStyle w:val="Hyperlink"/>
          </w:rPr>
          <w:t xml:space="preserve">tabla 3.17</w:t>
        </w:r>
      </w:hyperlink>
      <w:r>
        <w:t xml:space="preserve"> </w:t>
      </w:r>
      <w:r>
        <w:t xml:space="preserve">muestra los resultados por zona geográfica.</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median =</w:t>
      </w:r>
      <w:r>
        <w:rPr>
          <w:rStyle w:val="NormalTok"/>
        </w:rPr>
        <w:t xml:space="preserve"> </w:t>
      </w:r>
      <w:r>
        <w:rPr>
          <w:rStyle w:val="FunctionTok"/>
        </w:rPr>
        <w:t xml:space="preserve">survey_median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49" w:name="tbl-mediana-gasto-zona"/>
          <w:p>
            <w:pPr>
              <w:jc w:val="center"/>
            </w:pPr>
            <w:pPr>
              <w:jc w:val="left"/>
              <w:spacing w:before="200"/>
              <w:pStyle w:val="ImageCaption"/>
            </w:pPr>
            <w:r>
              <w:t xml:space="preserve">Tabla 3.17: Estimación de la mediana de los gastos desagregada por zona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Zone</w:t>
                  </w:r>
                </w:p>
              </w:tc>
              <w:tc>
                <w:tcPr/>
                <w:p>
                  <w:pPr>
                    <w:pStyle w:val="Compact"/>
                    <w:jc w:val="right"/>
                    <w:jc w:val="center"/>
                  </w:pPr>
                  <w:r>
                    <w:t xml:space="preserve">median</w:t>
                  </w:r>
                </w:p>
              </w:tc>
              <w:tc>
                <w:tcPr/>
                <w:p>
                  <w:pPr>
                    <w:pStyle w:val="Compact"/>
                    <w:jc w:val="right"/>
                    <w:jc w:val="center"/>
                  </w:pPr>
                  <w:r>
                    <w:t xml:space="preserve">median_se</w:t>
                  </w:r>
                </w:p>
              </w:tc>
              <w:tc>
                <w:tcPr/>
                <w:p>
                  <w:pPr>
                    <w:pStyle w:val="Compact"/>
                    <w:jc w:val="right"/>
                    <w:jc w:val="center"/>
                  </w:pPr>
                  <w:r>
                    <w:t xml:space="preserve">median_low</w:t>
                  </w:r>
                </w:p>
              </w:tc>
              <w:tc>
                <w:tcPr/>
                <w:p>
                  <w:pPr>
                    <w:pStyle w:val="Compact"/>
                    <w:jc w:val="right"/>
                    <w:jc w:val="center"/>
                  </w:pPr>
                  <w:r>
                    <w:t xml:space="preserve">median_upp</w:t>
                  </w:r>
                </w:p>
              </w:tc>
            </w:tr>
            <w:tr>
              <w:tc>
                <w:tcPr/>
                <w:p>
                  <w:pPr>
                    <w:pStyle w:val="Compact"/>
                    <w:jc w:val="left"/>
                    <w:jc w:val="center"/>
                  </w:pPr>
                  <w:r>
                    <w:t xml:space="preserve">Rural</w:t>
                  </w:r>
                </w:p>
              </w:tc>
              <w:tc>
                <w:tcPr/>
                <w:p>
                  <w:pPr>
                    <w:pStyle w:val="Compact"/>
                    <w:jc w:val="right"/>
                    <w:jc w:val="center"/>
                  </w:pPr>
                  <w:r>
                    <w:t xml:space="preserve">241</w:t>
                  </w:r>
                </w:p>
              </w:tc>
              <w:tc>
                <w:tcPr/>
                <w:p>
                  <w:pPr>
                    <w:pStyle w:val="Compact"/>
                    <w:jc w:val="right"/>
                    <w:jc w:val="center"/>
                  </w:pPr>
                  <w:r>
                    <w:t xml:space="preserve">11.0</w:t>
                  </w:r>
                </w:p>
              </w:tc>
              <w:tc>
                <w:tcPr/>
                <w:p>
                  <w:pPr>
                    <w:pStyle w:val="Compact"/>
                    <w:jc w:val="right"/>
                    <w:jc w:val="center"/>
                  </w:pPr>
                  <w:r>
                    <w:t xml:space="preserve">214</w:t>
                  </w:r>
                </w:p>
              </w:tc>
              <w:tc>
                <w:tcPr/>
                <w:p>
                  <w:pPr>
                    <w:pStyle w:val="Compact"/>
                    <w:jc w:val="right"/>
                    <w:jc w:val="center"/>
                  </w:pPr>
                  <w:r>
                    <w:t xml:space="preserve">258</w:t>
                  </w:r>
                </w:p>
              </w:tc>
            </w:tr>
            <w:tr>
              <w:tc>
                <w:tcPr/>
                <w:p>
                  <w:pPr>
                    <w:pStyle w:val="Compact"/>
                    <w:jc w:val="left"/>
                    <w:jc w:val="center"/>
                  </w:pPr>
                  <w:r>
                    <w:t xml:space="preserve">Urban</w:t>
                  </w:r>
                </w:p>
              </w:tc>
              <w:tc>
                <w:tcPr/>
                <w:p>
                  <w:pPr>
                    <w:pStyle w:val="Compact"/>
                    <w:jc w:val="right"/>
                    <w:jc w:val="center"/>
                  </w:pPr>
                  <w:r>
                    <w:t xml:space="preserve">381</w:t>
                  </w:r>
                </w:p>
              </w:tc>
              <w:tc>
                <w:tcPr/>
                <w:p>
                  <w:pPr>
                    <w:pStyle w:val="Compact"/>
                    <w:jc w:val="right"/>
                    <w:jc w:val="center"/>
                  </w:pPr>
                  <w:r>
                    <w:t xml:space="preserve">19.8</w:t>
                  </w:r>
                </w:p>
              </w:tc>
              <w:tc>
                <w:tcPr/>
                <w:p>
                  <w:pPr>
                    <w:pStyle w:val="Compact"/>
                    <w:jc w:val="right"/>
                    <w:jc w:val="center"/>
                  </w:pPr>
                  <w:r>
                    <w:t xml:space="preserve">337</w:t>
                  </w:r>
                </w:p>
              </w:tc>
              <w:tc>
                <w:tcPr/>
                <w:p>
                  <w:pPr>
                    <w:pStyle w:val="Compact"/>
                    <w:jc w:val="right"/>
                    <w:jc w:val="center"/>
                  </w:pPr>
                  <w:r>
                    <w:t xml:space="preserve">416</w:t>
                  </w:r>
                </w:p>
              </w:tc>
            </w:tr>
          </w:tbl>
          <w:bookmarkEnd w:id="49"/>
          <w:p/>
        </w:tc>
      </w:tr>
    </w:tbl>
    <w:p>
      <w:pPr>
        <w:pStyle w:val="BodyText"/>
      </w:pPr>
      <w:r>
        <w:t xml:space="preserve">Si el objetivo es estimar un percentil específico diferente de la mediana, por ejemplo el percentil 25 (primer cuartil), puede utilizarse la función</w:t>
      </w:r>
      <w:r>
        <w:t xml:space="preserve"> </w:t>
      </w:r>
      <w:r>
        <w:rPr>
          <w:rStyle w:val="VerbatimChar"/>
        </w:rPr>
        <w:t xml:space="preserve">survey_quantile()</w:t>
      </w:r>
      <w:r>
        <w:t xml:space="preserve"> </w:t>
      </w:r>
      <w:r>
        <w:t xml:space="preserve">de la siguiente manera. Los resultados correspondientes se presentan en la</w:t>
      </w:r>
      <w:r>
        <w:t xml:space="preserve"> </w:t>
      </w:r>
      <w:hyperlink w:anchor="tbl-cuantil-gasto">
        <w:r>
          <w:rPr>
            <w:rStyle w:val="Hyperlink"/>
          </w:rPr>
          <w:t xml:space="preserve">tabla 3.18</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quantile =</w:t>
      </w:r>
      <w:r>
        <w:rPr>
          <w:rStyle w:val="NormalTok"/>
        </w:rPr>
        <w:t xml:space="preserve"> </w:t>
      </w:r>
      <w:r>
        <w:rPr>
          <w:rStyle w:val="FunctionTok"/>
        </w:rPr>
        <w:t xml:space="preserve">survey_quantile</w:t>
      </w:r>
      <w:r>
        <w:rPr>
          <w:rStyle w:val="NormalTok"/>
        </w:rPr>
        <w:t xml:space="preserve">(Expenditure,</w:t>
      </w:r>
      <w:r>
        <w:br/>
      </w:r>
      <w:r>
        <w:rPr>
          <w:rStyle w:val="NormalTok"/>
        </w:rPr>
        <w:t xml:space="preserve">                                </w:t>
      </w:r>
      <w:r>
        <w:rPr>
          <w:rStyle w:val="AttributeTok"/>
        </w:rPr>
        <w:t xml:space="preserve">quantiles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interval_type =</w:t>
      </w:r>
      <w:r>
        <w:rPr>
          <w:rStyle w:val="NormalTok"/>
        </w:rPr>
        <w:t xml:space="preserve"> </w:t>
      </w:r>
      <w:r>
        <w:rPr>
          <w:rStyle w:val="StringTok"/>
        </w:rPr>
        <w:t xml:space="preserve">"score"</w:t>
      </w:r>
      <w:r>
        <w:br/>
      </w:r>
      <w:r>
        <w:rPr>
          <w:rStyle w:val="NormalTok"/>
        </w:rPr>
        <w:t xml:space="preserve">                                )</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50" w:name="tbl-cuantil-gasto"/>
          <w:p>
            <w:pPr>
              <w:jc w:val="center"/>
            </w:pPr>
            <w:pPr>
              <w:jc w:val="left"/>
              <w:spacing w:before="200"/>
              <w:pStyle w:val="ImageCaption"/>
            </w:pPr>
            <w:r>
              <w:t xml:space="preserve">Tabla 3.18: Estimación del primer cuartil de los gastos de los hogares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quantile_q25</w:t>
                  </w:r>
                </w:p>
              </w:tc>
              <w:tc>
                <w:tcPr/>
                <w:p>
                  <w:pPr>
                    <w:pStyle w:val="Compact"/>
                    <w:jc w:val="right"/>
                    <w:jc w:val="center"/>
                  </w:pPr>
                  <w:r>
                    <w:t xml:space="preserve">quantile_q25_se</w:t>
                  </w:r>
                </w:p>
              </w:tc>
              <w:tc>
                <w:tcPr/>
                <w:p>
                  <w:pPr>
                    <w:pStyle w:val="Compact"/>
                    <w:jc w:val="right"/>
                    <w:jc w:val="center"/>
                  </w:pPr>
                  <w:r>
                    <w:t xml:space="preserve">quantile_q25_low</w:t>
                  </w:r>
                </w:p>
              </w:tc>
              <w:tc>
                <w:tcPr/>
                <w:p>
                  <w:pPr>
                    <w:pStyle w:val="Compact"/>
                    <w:jc w:val="right"/>
                    <w:jc w:val="center"/>
                  </w:pPr>
                  <w:r>
                    <w:t xml:space="preserve">quantile_q25_upp</w:t>
                  </w:r>
                </w:p>
              </w:tc>
            </w:tr>
            <w:tr>
              <w:tc>
                <w:tcPr/>
                <w:p>
                  <w:pPr>
                    <w:pStyle w:val="Compact"/>
                    <w:jc w:val="right"/>
                    <w:jc w:val="center"/>
                  </w:pPr>
                  <w:r>
                    <w:t xml:space="preserve">200</w:t>
                  </w:r>
                </w:p>
              </w:tc>
              <w:tc>
                <w:tcPr/>
                <w:p>
                  <w:pPr>
                    <w:pStyle w:val="Compact"/>
                    <w:jc w:val="right"/>
                    <w:jc w:val="center"/>
                  </w:pPr>
                  <w:r>
                    <w:t xml:space="preserve">13.8</w:t>
                  </w:r>
                </w:p>
              </w:tc>
              <w:tc>
                <w:tcPr/>
                <w:p>
                  <w:pPr>
                    <w:pStyle w:val="Compact"/>
                    <w:jc w:val="right"/>
                    <w:jc w:val="center"/>
                  </w:pPr>
                  <w:r>
                    <w:t xml:space="preserve">163</w:t>
                  </w:r>
                </w:p>
              </w:tc>
              <w:tc>
                <w:tcPr/>
                <w:p>
                  <w:pPr>
                    <w:pStyle w:val="Compact"/>
                    <w:jc w:val="right"/>
                    <w:jc w:val="center"/>
                  </w:pPr>
                  <w:r>
                    <w:t xml:space="preserve">218</w:t>
                  </w:r>
                </w:p>
              </w:tc>
            </w:tr>
          </w:tbl>
          <w:bookmarkEnd w:id="50"/>
          <w:p/>
        </w:tc>
      </w:tr>
    </w:tbl>
    <w:p>
      <w:pPr>
        <w:pStyle w:val="BodyText"/>
      </w:pPr>
      <w:r>
        <w:t xml:space="preserve">En el marco metodológico de</w:t>
      </w:r>
      <w:r>
        <w:t xml:space="preserve"> </w:t>
      </w:r>
      <w:r>
        <w:t xml:space="preserve">Dorfman y Valliant (1993)</w:t>
      </w:r>
      <w:r>
        <w:t xml:space="preserve"> </w:t>
      </w:r>
      <w:r>
        <w:t xml:space="preserve">y en las implementaciones descritas por</w:t>
      </w:r>
      <w:r>
        <w:t xml:space="preserve"> </w:t>
      </w:r>
      <w:r>
        <w:t xml:space="preserve">Freedman Ellis y Schneider (2026)</w:t>
      </w:r>
      <w:r>
        <w:t xml:space="preserve"> </w:t>
      </w:r>
      <w:r>
        <w:t xml:space="preserve">y</w:t>
      </w:r>
      <w:r>
        <w:t xml:space="preserve"> </w:t>
      </w:r>
      <w:r>
        <w:t xml:space="preserve">Lumley et al. (2026)</w:t>
      </w:r>
      <w:r>
        <w:t xml:space="preserve">, el método basado en una prueba</w:t>
      </w:r>
      <w:r>
        <w:t xml:space="preserve"> </w:t>
      </w:r>
      <w:r>
        <w:rPr>
          <w:i/>
          <w:iCs/>
        </w:rPr>
        <w:t xml:space="preserve">score</w:t>
      </w:r>
      <w:r>
        <w:t xml:space="preserve"> </w:t>
      </w:r>
      <w:r>
        <w:t xml:space="preserve">puede producir resultados menos satisfactorios que otros procedimientos disponibles. El argumento</w:t>
      </w:r>
      <w:r>
        <w:t xml:space="preserve"> </w:t>
      </w:r>
      <w:r>
        <w:rPr>
          <w:rStyle w:val="VerbatimChar"/>
        </w:rPr>
        <w:t xml:space="preserve">interval_type = "score"</w:t>
      </w:r>
      <w:r>
        <w:t xml:space="preserve"> </w:t>
      </w:r>
      <w:r>
        <w:t xml:space="preserve">no calcula el intervalo de confianza a partir de la función de influencia del percentil; en su lugar, obtiene los límites buscando los valores del parámetro que no serían rechazados por una prueba</w:t>
      </w:r>
      <w:r>
        <w:t xml:space="preserve"> </w:t>
      </w:r>
      <w:r>
        <w:rPr>
          <w:i/>
          <w:iCs/>
        </w:rPr>
        <w:t xml:space="preserve">score</w:t>
      </w:r>
      <w:r>
        <w:t xml:space="preserve"> </w:t>
      </w:r>
      <w:r>
        <w:t xml:space="preserve">robusta. Aquí se utiliza para mantener la coherencia con el código presentado. De manera análoga, la estimación del percentil 25 puede obtenerse para distintos subgrupos de la población, como sexo o zona geográfica, utilizando</w:t>
      </w:r>
      <w:r>
        <w:t xml:space="preserve"> </w:t>
      </w:r>
      <w:r>
        <w:rPr>
          <w:rStyle w:val="VerbatimChar"/>
        </w:rPr>
        <w:t xml:space="preserve">group_by()</w:t>
      </w:r>
      <w:r>
        <w:t xml:space="preserve">, tal como se muestra en la</w:t>
      </w:r>
      <w:r>
        <w:t xml:space="preserve"> </w:t>
      </w:r>
      <w:hyperlink w:anchor="tbl-cuantil-gasto-zona-sexo">
        <w:r>
          <w:rPr>
            <w:rStyle w:val="Hyperlink"/>
          </w:rPr>
          <w:t xml:space="preserve">tabla 3.19</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quantile =</w:t>
      </w:r>
      <w:r>
        <w:rPr>
          <w:rStyle w:val="NormalTok"/>
        </w:rPr>
        <w:t xml:space="preserve"> </w:t>
      </w:r>
      <w:r>
        <w:rPr>
          <w:rStyle w:val="FunctionTok"/>
        </w:rPr>
        <w:t xml:space="preserve">survey_quantile</w:t>
      </w:r>
      <w:r>
        <w:rPr>
          <w:rStyle w:val="NormalTok"/>
        </w:rPr>
        <w:t xml:space="preserve">(Expenditure,</w:t>
      </w:r>
      <w:r>
        <w:br/>
      </w:r>
      <w:r>
        <w:rPr>
          <w:rStyle w:val="NormalTok"/>
        </w:rPr>
        <w:t xml:space="preserve">                                </w:t>
      </w:r>
      <w:r>
        <w:rPr>
          <w:rStyle w:val="AttributeTok"/>
        </w:rPr>
        <w:t xml:space="preserve">quantiles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interval_type =</w:t>
      </w:r>
      <w:r>
        <w:rPr>
          <w:rStyle w:val="NormalTok"/>
        </w:rPr>
        <w:t xml:space="preserve"> </w:t>
      </w:r>
      <w:r>
        <w:rPr>
          <w:rStyle w:val="StringTok"/>
        </w:rPr>
        <w:t xml:space="preserve">"score"</w:t>
      </w:r>
      <w:r>
        <w:br/>
      </w:r>
      <w:r>
        <w:rPr>
          <w:rStyle w:val="NormalTok"/>
        </w:rPr>
        <w:t xml:space="preserve">                                )</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51" w:name="tbl-cuantil-gasto-zona-sexo"/>
          <w:p>
            <w:pPr>
              <w:jc w:val="center"/>
            </w:pPr>
            <w:pPr>
              <w:jc w:val="left"/>
              <w:spacing w:before="200"/>
              <w:pStyle w:val="ImageCaption"/>
            </w:pPr>
            <w:r>
              <w:t xml:space="preserve">Tabla 3.19: Primer cuartil de los gastos desagregado por zona y sexo</w:t>
            </w:r>
          </w:p>
          <w:tbl>
            <w:tblPr>
              <w:tblStyle w:val="Table"/>
              <w:tblW w:type="pct" w:w="5000"/>
              <w:tblLayout w:type="fixed"/>
              <w:tblLook w:firstRow="1" w:lastRow="0" w:firstColumn="0" w:lastColumn="0" w:noHBand="0" w:noVBand="0" w:val="0020"/>
            </w:tblPr>
            <w:tblGrid>
              <w:gridCol w:w="625"/>
              <w:gridCol w:w="729"/>
              <w:gridCol w:w="1354"/>
              <w:gridCol w:w="1667"/>
              <w:gridCol w:w="1771"/>
              <w:gridCol w:w="1771"/>
            </w:tblGrid>
            <w:tr>
              <w:trPr>
                <w:tblHeader w:val="on"/>
              </w:trPr>
              <w:tc>
                <w:tcPr/>
                <w:p>
                  <w:pPr>
                    <w:pStyle w:val="Compact"/>
                    <w:jc w:val="left"/>
                    <w:jc w:val="center"/>
                  </w:pPr>
                  <w:r>
                    <w:t xml:space="preserve">Zone</w:t>
                  </w:r>
                </w:p>
              </w:tc>
              <w:tc>
                <w:tcPr/>
                <w:p>
                  <w:pPr>
                    <w:pStyle w:val="Compact"/>
                    <w:jc w:val="left"/>
                    <w:jc w:val="center"/>
                  </w:pPr>
                  <w:r>
                    <w:t xml:space="preserve">Sex</w:t>
                  </w:r>
                </w:p>
              </w:tc>
              <w:tc>
                <w:tcPr/>
                <w:p>
                  <w:pPr>
                    <w:pStyle w:val="Compact"/>
                    <w:jc w:val="right"/>
                    <w:jc w:val="center"/>
                  </w:pPr>
                  <w:r>
                    <w:t xml:space="preserve">quantile_q25</w:t>
                  </w:r>
                </w:p>
              </w:tc>
              <w:tc>
                <w:tcPr/>
                <w:p>
                  <w:pPr>
                    <w:pStyle w:val="Compact"/>
                    <w:jc w:val="right"/>
                    <w:jc w:val="center"/>
                  </w:pPr>
                  <w:r>
                    <w:t xml:space="preserve">quantile_q25_se</w:t>
                  </w:r>
                </w:p>
              </w:tc>
              <w:tc>
                <w:tcPr/>
                <w:p>
                  <w:pPr>
                    <w:pStyle w:val="Compact"/>
                    <w:jc w:val="right"/>
                    <w:jc w:val="center"/>
                  </w:pPr>
                  <w:r>
                    <w:t xml:space="preserve">quantile_q25_low</w:t>
                  </w:r>
                </w:p>
              </w:tc>
              <w:tc>
                <w:tcPr/>
                <w:p>
                  <w:pPr>
                    <w:pStyle w:val="Compact"/>
                    <w:jc w:val="right"/>
                    <w:jc w:val="center"/>
                  </w:pPr>
                  <w:r>
                    <w:t xml:space="preserve">quantile_q25_upp</w:t>
                  </w:r>
                </w:p>
              </w:tc>
            </w:tr>
            <w:tr>
              <w:tc>
                <w:tcPr/>
                <w:p>
                  <w:pPr>
                    <w:pStyle w:val="Compact"/>
                    <w:jc w:val="left"/>
                    <w:jc w:val="center"/>
                  </w:pPr>
                  <w:r>
                    <w:t xml:space="preserve">Rural</w:t>
                  </w:r>
                </w:p>
              </w:tc>
              <w:tc>
                <w:tcPr/>
                <w:p>
                  <w:pPr>
                    <w:pStyle w:val="Compact"/>
                    <w:jc w:val="left"/>
                    <w:jc w:val="center"/>
                  </w:pPr>
                  <w:r>
                    <w:t xml:space="preserve">Female</w:t>
                  </w:r>
                </w:p>
              </w:tc>
              <w:tc>
                <w:tcPr/>
                <w:p>
                  <w:pPr>
                    <w:pStyle w:val="Compact"/>
                    <w:jc w:val="right"/>
                    <w:jc w:val="center"/>
                  </w:pPr>
                  <w:r>
                    <w:t xml:space="preserve">160</w:t>
                  </w:r>
                </w:p>
              </w:tc>
              <w:tc>
                <w:tcPr/>
                <w:p>
                  <w:pPr>
                    <w:pStyle w:val="Compact"/>
                    <w:jc w:val="right"/>
                    <w:jc w:val="center"/>
                  </w:pPr>
                  <w:r>
                    <w:t xml:space="preserve">7.18</w:t>
                  </w:r>
                </w:p>
              </w:tc>
              <w:tc>
                <w:tcPr/>
                <w:p>
                  <w:pPr>
                    <w:pStyle w:val="Compact"/>
                    <w:jc w:val="right"/>
                    <w:jc w:val="center"/>
                  </w:pPr>
                  <w:r>
                    <w:t xml:space="preserve">135</w:t>
                  </w:r>
                </w:p>
              </w:tc>
              <w:tc>
                <w:tcPr/>
                <w:p>
                  <w:pPr>
                    <w:pStyle w:val="Compact"/>
                    <w:jc w:val="right"/>
                    <w:jc w:val="center"/>
                  </w:pPr>
                  <w:r>
                    <w:t xml:space="preserve">163</w:t>
                  </w:r>
                </w:p>
              </w:tc>
            </w:tr>
            <w:tr>
              <w:tc>
                <w:tcPr/>
                <w:p>
                  <w:pPr>
                    <w:pStyle w:val="Compact"/>
                    <w:jc w:val="left"/>
                    <w:jc w:val="center"/>
                  </w:pPr>
                  <w:r>
                    <w:t xml:space="preserve">Rural</w:t>
                  </w:r>
                </w:p>
              </w:tc>
              <w:tc>
                <w:tcPr/>
                <w:p>
                  <w:pPr>
                    <w:pStyle w:val="Compact"/>
                    <w:jc w:val="left"/>
                    <w:jc w:val="center"/>
                  </w:pPr>
                  <w:r>
                    <w:t xml:space="preserve">Male</w:t>
                  </w:r>
                </w:p>
              </w:tc>
              <w:tc>
                <w:tcPr/>
                <w:p>
                  <w:pPr>
                    <w:pStyle w:val="Compact"/>
                    <w:jc w:val="right"/>
                    <w:jc w:val="center"/>
                  </w:pPr>
                  <w:r>
                    <w:t xml:space="preserve">163</w:t>
                  </w:r>
                </w:p>
              </w:tc>
              <w:tc>
                <w:tcPr/>
                <w:p>
                  <w:pPr>
                    <w:pStyle w:val="Compact"/>
                    <w:jc w:val="right"/>
                    <w:jc w:val="center"/>
                  </w:pPr>
                  <w:r>
                    <w:t xml:space="preserve">3.45</w:t>
                  </w:r>
                </w:p>
              </w:tc>
              <w:tc>
                <w:tcPr/>
                <w:p>
                  <w:pPr>
                    <w:pStyle w:val="Compact"/>
                    <w:jc w:val="right"/>
                    <w:jc w:val="center"/>
                  </w:pPr>
                  <w:r>
                    <w:t xml:space="preserve">150</w:t>
                  </w:r>
                </w:p>
              </w:tc>
              <w:tc>
                <w:tcPr/>
                <w:p>
                  <w:pPr>
                    <w:pStyle w:val="Compact"/>
                    <w:jc w:val="right"/>
                    <w:jc w:val="center"/>
                  </w:pPr>
                  <w:r>
                    <w:t xml:space="preserve">163</w:t>
                  </w:r>
                </w:p>
              </w:tc>
            </w:tr>
            <w:tr>
              <w:tc>
                <w:tcPr/>
                <w:p>
                  <w:pPr>
                    <w:pStyle w:val="Compact"/>
                    <w:jc w:val="left"/>
                    <w:jc w:val="center"/>
                  </w:pPr>
                  <w:r>
                    <w:t xml:space="preserve">Urban</w:t>
                  </w:r>
                </w:p>
              </w:tc>
              <w:tc>
                <w:tcPr/>
                <w:p>
                  <w:pPr>
                    <w:pStyle w:val="Compact"/>
                    <w:jc w:val="left"/>
                    <w:jc w:val="center"/>
                  </w:pPr>
                  <w:r>
                    <w:t xml:space="preserve">Female</w:t>
                  </w:r>
                </w:p>
              </w:tc>
              <w:tc>
                <w:tcPr/>
                <w:p>
                  <w:pPr>
                    <w:pStyle w:val="Compact"/>
                    <w:jc w:val="right"/>
                    <w:jc w:val="center"/>
                  </w:pPr>
                  <w:r>
                    <w:t xml:space="preserve">258</w:t>
                  </w:r>
                </w:p>
              </w:tc>
              <w:tc>
                <w:tcPr/>
                <w:p>
                  <w:pPr>
                    <w:pStyle w:val="Compact"/>
                    <w:jc w:val="right"/>
                    <w:jc w:val="center"/>
                  </w:pPr>
                  <w:r>
                    <w:t xml:space="preserve">10.40</w:t>
                  </w:r>
                </w:p>
              </w:tc>
              <w:tc>
                <w:tcPr/>
                <w:p>
                  <w:pPr>
                    <w:pStyle w:val="Compact"/>
                    <w:jc w:val="right"/>
                    <w:jc w:val="center"/>
                  </w:pPr>
                  <w:r>
                    <w:t xml:space="preserve">249</w:t>
                  </w:r>
                </w:p>
              </w:tc>
              <w:tc>
                <w:tcPr/>
                <w:p>
                  <w:pPr>
                    <w:pStyle w:val="Compact"/>
                    <w:jc w:val="right"/>
                    <w:jc w:val="center"/>
                  </w:pPr>
                  <w:r>
                    <w:t xml:space="preserve">291</w:t>
                  </w:r>
                </w:p>
              </w:tc>
            </w:tr>
            <w:tr>
              <w:tc>
                <w:tcPr/>
                <w:p>
                  <w:pPr>
                    <w:pStyle w:val="Compact"/>
                    <w:jc w:val="left"/>
                    <w:jc w:val="center"/>
                  </w:pPr>
                  <w:r>
                    <w:t xml:space="preserve">Urban</w:t>
                  </w:r>
                </w:p>
              </w:tc>
              <w:tc>
                <w:tcPr/>
                <w:p>
                  <w:pPr>
                    <w:pStyle w:val="Compact"/>
                    <w:jc w:val="left"/>
                    <w:jc w:val="center"/>
                  </w:pPr>
                  <w:r>
                    <w:t xml:space="preserve">Male</w:t>
                  </w:r>
                </w:p>
              </w:tc>
              <w:tc>
                <w:tcPr/>
                <w:p>
                  <w:pPr>
                    <w:pStyle w:val="Compact"/>
                    <w:jc w:val="right"/>
                    <w:jc w:val="center"/>
                  </w:pPr>
                  <w:r>
                    <w:t xml:space="preserve">259</w:t>
                  </w:r>
                </w:p>
              </w:tc>
              <w:tc>
                <w:tcPr/>
                <w:p>
                  <w:pPr>
                    <w:pStyle w:val="Compact"/>
                    <w:jc w:val="right"/>
                    <w:jc w:val="center"/>
                  </w:pPr>
                  <w:r>
                    <w:t xml:space="preserve">10.03</w:t>
                  </w:r>
                </w:p>
              </w:tc>
              <w:tc>
                <w:tcPr/>
                <w:p>
                  <w:pPr>
                    <w:pStyle w:val="Compact"/>
                    <w:jc w:val="right"/>
                    <w:jc w:val="center"/>
                  </w:pPr>
                  <w:r>
                    <w:t xml:space="preserve">257</w:t>
                  </w:r>
                </w:p>
              </w:tc>
              <w:tc>
                <w:tcPr/>
                <w:p>
                  <w:pPr>
                    <w:pStyle w:val="Compact"/>
                    <w:jc w:val="right"/>
                    <w:jc w:val="center"/>
                  </w:pPr>
                  <w:r>
                    <w:t xml:space="preserve">297</w:t>
                  </w:r>
                </w:p>
              </w:tc>
            </w:tr>
          </w:tbl>
          <w:bookmarkEnd w:id="51"/>
          <w:p/>
        </w:tc>
      </w:tr>
    </w:tbl>
    <w:bookmarkEnd w:id="52"/>
    <w:bookmarkStart w:id="58" w:name="estimacion-del-coeficiente-de-gini"/>
    <w:p>
      <w:pPr>
        <w:pStyle w:val="Heading3"/>
      </w:pPr>
      <w:r>
        <w:t xml:space="preserve">3.2.3 Estimación del coeficiente de Gini</w:t>
      </w:r>
    </w:p>
    <w:p>
      <w:pPr>
        <w:pStyle w:val="FirstParagraph"/>
      </w:pPr>
      <w:r>
        <w:t xml:space="preserve">Como plantean</w:t>
      </w:r>
      <w:r>
        <w:t xml:space="preserve"> </w:t>
      </w:r>
      <w:r>
        <w:t xml:space="preserve">Binder y Kovačević (1995)</w:t>
      </w:r>
      <w:r>
        <w:t xml:space="preserve">, el tema sobre desigualdad económica trasciende el ámbito estrictamente estadístico y constituye uno de los temas centrales del análisis social contemporáneo. Existe un amplio consenso respecto a la importancia de comprender cómo las desigualdades económicas condicionan las oportunidades, el bienestar y la calidad de vida de las personas. En este sentido, la medición rigurosa de la desigualdad representa un insumo fundamental para el diseño, seguimiento y evaluación de políticas públicas orientadas a la equidad social.</w:t>
      </w:r>
    </w:p>
    <w:p>
      <w:pPr>
        <w:pStyle w:val="BodyText"/>
      </w:pPr>
      <w:r>
        <w:t xml:space="preserve">Según</w:t>
      </w:r>
      <w:r>
        <w:t xml:space="preserve"> </w:t>
      </w:r>
      <w:r>
        <w:t xml:space="preserve">Langel y Tillé (2013)</w:t>
      </w:r>
      <w:r>
        <w:t xml:space="preserve">, entre los indicadores más ampliamente utilizados para cuantificar la desigualdad económica se encuentra el coeficiente de Gini (</w:t>
      </w:r>
      <m:oMath>
        <m:r>
          <m:t>G</m:t>
        </m:r>
      </m:oMath>
      <w:r>
        <w:t xml:space="preserve">), el cual mide el grado de concentración del ingreso comparando la distribución observada con una situación hipotética de igualdad perfecta. Este coeficiente toma valores entre 0 y 1, donde</w:t>
      </w:r>
      <w:r>
        <w:t xml:space="preserve"> </w:t>
      </w:r>
      <m:oMath>
        <m:r>
          <m:t>G</m:t>
        </m:r>
        <m:r>
          <m:rPr>
            <m:sty m:val="p"/>
          </m:rPr>
          <m:t>=</m:t>
        </m:r>
        <m:r>
          <m:t>0</m:t>
        </m:r>
      </m:oMath>
      <w:r>
        <w:t xml:space="preserve"> </w:t>
      </w:r>
      <w:r>
        <w:t xml:space="preserve">representa igualdad perfecta y</w:t>
      </w:r>
      <w:r>
        <w:t xml:space="preserve"> </w:t>
      </w:r>
      <m:oMath>
        <m:r>
          <m:t>G</m:t>
        </m:r>
        <m:r>
          <m:rPr>
            <m:sty m:val="p"/>
          </m:rPr>
          <m:t>=</m:t>
        </m:r>
        <m:r>
          <m:t>1</m:t>
        </m:r>
      </m:oMath>
      <w:r>
        <w:t xml:space="preserve"> </w:t>
      </w:r>
      <w:r>
        <w:t xml:space="preserve">corresponde al máximo nivel de desigualdad posible. Valores más elevados indican una mayor concentración del ingreso en un grupo reducido de la población.</w:t>
      </w:r>
    </w:p>
    <w:p>
      <w:pPr>
        <w:pStyle w:val="BodyText"/>
      </w:pPr>
      <w:r>
        <w:t xml:space="preserve">En el contexto de las encuestas de hogares, la estimación del coeficiente de Gini debe incorporar adecuadamente las características del diseño muestral, incluyendo los factores de expansión, la estratificación y la conglomeración. En muchos casos, los pesos muestrales son previamente normalizados con el fin de simplificar los procedimientos de estimación y facilitar el procesamiento computacional. El estimador del coeficiente de Gini puede expresarse como:</w:t>
      </w:r>
    </w:p>
    <w:p>
      <w:pPr>
        <w:pStyle w:val="BodyText"/>
      </w:pPr>
      <m:oMathPara>
        <m:oMathParaPr>
          <m:jc m:val="center"/>
        </m:oMathParaPr>
        <m:oMath>
          <m:acc>
            <m:accPr>
              <m:chr m:val="̂"/>
            </m:accPr>
            <m:e>
              <m:r>
                <m:t>G</m:t>
              </m:r>
            </m:e>
          </m:acc>
          <m:r>
            <m:rPr>
              <m:sty m:val="p"/>
            </m:rPr>
            <m:t>=</m:t>
          </m:r>
          <m:f>
            <m:fPr>
              <m:type m:val="bar"/>
            </m:fPr>
            <m:num>
              <m:r>
                <m:t>2</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Sup>
                            <m:e>
                              <m:r>
                                <m:t>w</m:t>
                              </m:r>
                            </m:e>
                            <m:sub>
                              <m:r>
                                <m:t>h</m:t>
                              </m:r>
                              <m:r>
                                <m:t>i</m:t>
                              </m:r>
                              <m:r>
                                <m:t>k</m:t>
                              </m:r>
                            </m:sub>
                            <m:sup>
                              <m:r>
                                <m:rPr>
                                  <m:sty m:val="p"/>
                                </m:rPr>
                                <m:t>*</m:t>
                              </m:r>
                            </m:sup>
                          </m:sSubSup>
                        </m:e>
                      </m:nary>
                    </m:e>
                  </m:nary>
                </m:e>
              </m:nary>
              <m:r>
                <m:t> </m:t>
              </m:r>
              <m:sSub>
                <m:e>
                  <m:acc>
                    <m:accPr>
                      <m:chr m:val="̂"/>
                    </m:accPr>
                    <m:e>
                      <m:r>
                        <m:t>F</m:t>
                      </m:r>
                    </m:e>
                  </m:acc>
                </m:e>
                <m:sub>
                  <m:r>
                    <m:t>h</m:t>
                  </m:r>
                  <m:r>
                    <m:t>i</m:t>
                  </m:r>
                  <m:r>
                    <m:t>k</m:t>
                  </m:r>
                </m:sub>
              </m:sSub>
              <m:r>
                <m:t> </m:t>
              </m:r>
              <m:sSub>
                <m:e>
                  <m:r>
                    <m:t>y</m:t>
                  </m:r>
                </m:e>
                <m:sub>
                  <m:r>
                    <m:t>h</m:t>
                  </m:r>
                  <m:r>
                    <m:t>i</m:t>
                  </m:r>
                  <m:r>
                    <m:t>k</m:t>
                  </m:r>
                </m:sub>
              </m:sSub>
            </m:num>
            <m:den>
              <m:acc>
                <m:accPr>
                  <m:chr m:val="̂"/>
                </m:accPr>
                <m:e>
                  <m:acc>
                    <m:accPr>
                      <m:chr m:val="‾"/>
                    </m:accPr>
                    <m:e>
                      <m:r>
                        <m:t>y</m:t>
                      </m:r>
                    </m:e>
                  </m:acc>
                </m:e>
              </m:acc>
            </m:den>
          </m:f>
          <m:r>
            <m:rPr>
              <m:sty m:val="p"/>
            </m:rPr>
            <m:t>−</m:t>
          </m:r>
          <m:r>
            <m:t>1</m:t>
          </m:r>
        </m:oMath>
      </m:oMathPara>
    </w:p>
    <w:p>
      <w:pPr>
        <w:pStyle w:val="FirstParagraph"/>
      </w:pPr>
      <w:r>
        <w:t xml:space="preserve">donde</w:t>
      </w:r>
      <w:r>
        <w:t xml:space="preserve"> </w:t>
      </w:r>
      <m:oMath>
        <m:sSubSup>
          <m:e>
            <m:r>
              <m:t>w</m:t>
            </m:r>
          </m:e>
          <m:sub>
            <m:r>
              <m:t>h</m:t>
            </m:r>
            <m:r>
              <m:t>i</m:t>
            </m:r>
            <m:r>
              <m:t>k</m:t>
            </m:r>
          </m:sub>
          <m:sup>
            <m:r>
              <m:rPr>
                <m:sty m:val="p"/>
              </m:rPr>
              <m:t>*</m:t>
            </m:r>
          </m:sup>
        </m:sSubSup>
        <m:r>
          <m:rPr>
            <m:sty m:val="p"/>
          </m:rPr>
          <m:t>=</m:t>
        </m:r>
        <m:f>
          <m:fPr>
            <m:type m:val="bar"/>
          </m:fPr>
          <m:num>
            <m:sSub>
              <m:e>
                <m:r>
                  <m:t>w</m:t>
                </m:r>
              </m:e>
              <m:sub>
                <m:r>
                  <m:t>h</m:t>
                </m:r>
                <m:r>
                  <m:t>i</m:t>
                </m:r>
                <m:r>
                  <m:t>k</m:t>
                </m:r>
              </m:sub>
            </m:sSub>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den>
        </m:f>
      </m:oMath>
      <w:r>
        <w:t xml:space="preserve"> </w:t>
      </w:r>
      <w:r>
        <w:t xml:space="preserve">corresponde al peso muestral normalizado,</w:t>
      </w:r>
      <w:r>
        <w:t xml:space="preserve"> </w:t>
      </w:r>
      <m:oMath>
        <m:sSub>
          <m:e>
            <m:acc>
              <m:accPr>
                <m:chr m:val="̂"/>
              </m:accPr>
              <m:e>
                <m:r>
                  <m:t>F</m:t>
                </m:r>
              </m:e>
            </m:acc>
          </m:e>
          <m:sub>
            <m:r>
              <m:t>h</m:t>
            </m:r>
            <m:r>
              <m:t>i</m:t>
            </m:r>
            <m:r>
              <m:t>k</m:t>
            </m:r>
          </m:sub>
        </m:sSub>
      </m:oMath>
      <w:r>
        <w:t xml:space="preserve"> </w:t>
      </w:r>
      <w:r>
        <w:t xml:space="preserve">representa la función de distribución acumulada (FDA) estimada para la observación</w:t>
      </w:r>
      <w:r>
        <w:t xml:space="preserve"> </w:t>
      </w:r>
      <m:oMath>
        <m:r>
          <m:t>k</m:t>
        </m:r>
      </m:oMath>
      <w:r>
        <w:t xml:space="preserve"> </w:t>
      </w:r>
      <w:r>
        <w:t xml:space="preserve">dentro del conglomerado</w:t>
      </w:r>
      <w:r>
        <w:t xml:space="preserve"> </w:t>
      </w:r>
      <m:oMath>
        <m:r>
          <m:t>i</m:t>
        </m:r>
      </m:oMath>
      <w:r>
        <w:t xml:space="preserve"> </w:t>
      </w:r>
      <w:r>
        <w:t xml:space="preserve">del estrato</w:t>
      </w:r>
      <w:r>
        <w:t xml:space="preserve"> </w:t>
      </w:r>
      <m:oMath>
        <m:r>
          <m:t>h</m:t>
        </m:r>
      </m:oMath>
      <w:r>
        <w:t xml:space="preserve">, y</w:t>
      </w:r>
      <w:r>
        <w:t xml:space="preserve"> </w:t>
      </w:r>
      <m:oMath>
        <m:acc>
          <m:accPr>
            <m:chr m:val="̂"/>
          </m:accPr>
          <m:e>
            <m:acc>
              <m:accPr>
                <m:chr m:val="‾"/>
              </m:accPr>
              <m:e>
                <m:r>
                  <m:t>y</m:t>
                </m:r>
              </m:e>
            </m:acc>
          </m:e>
        </m:acc>
      </m:oMath>
      <w:r>
        <w:t xml:space="preserve"> </w:t>
      </w:r>
      <w:r>
        <w:t xml:space="preserve">denota la media ponderada de la variable de ingreso en la población.</w:t>
      </w:r>
    </w:p>
    <w:p>
      <w:pPr>
        <w:pStyle w:val="BodyText"/>
      </w:pPr>
      <w:r>
        <w:t xml:space="preserve">De acuerdo con</w:t>
      </w:r>
      <w:r>
        <w:t xml:space="preserve"> </w:t>
      </w:r>
      <w:r>
        <w:t xml:space="preserve">Osier (2009)</w:t>
      </w:r>
      <w:r>
        <w:t xml:space="preserve"> </w:t>
      </w:r>
      <w:r>
        <w:t xml:space="preserve">y</w:t>
      </w:r>
      <w:r>
        <w:t xml:space="preserve"> </w:t>
      </w:r>
      <w:r>
        <w:t xml:space="preserve">Jacob et al. (2024)</w:t>
      </w:r>
      <w:r>
        <w:t xml:space="preserve">, la literatura especializada profundiza en aspectos técnicos adicionales, especialmente en lo relacionado con la estimación de la varianza del coeficiente de Gini bajo diseños complejos. El paquete</w:t>
      </w:r>
      <w:r>
        <w:t xml:space="preserve"> </w:t>
      </w:r>
      <w:r>
        <w:rPr>
          <w:rStyle w:val="VerbatimChar"/>
        </w:rPr>
        <w:t xml:space="preserve">convey</w:t>
      </w:r>
      <w:r>
        <w:t xml:space="preserve"> </w:t>
      </w:r>
      <w:r>
        <w:t xml:space="preserve">implementa procedimientos para calcular el coeficiente de Gini y su varianza en encuestas de hogares. Primero, se prepara el diseño muestral mediante</w:t>
      </w:r>
      <w:r>
        <w:t xml:space="preserve"> </w:t>
      </w:r>
      <w:r>
        <w:rPr>
          <w:rStyle w:val="VerbatimChar"/>
        </w:rPr>
        <w:t xml:space="preserve">convey_prep()</w:t>
      </w:r>
      <w:r>
        <w:t xml:space="preserve">. Luego, la función</w:t>
      </w:r>
      <w:r>
        <w:t xml:space="preserve"> </w:t>
      </w:r>
      <w:r>
        <w:rPr>
          <w:rStyle w:val="VerbatimChar"/>
        </w:rPr>
        <w:t xml:space="preserve">svygini()</w:t>
      </w:r>
      <w:r>
        <w:t xml:space="preserve"> </w:t>
      </w:r>
      <w:r>
        <w:t xml:space="preserve">calcula el índice de Gini utilizando la variable de ingreso y el diseño de encuesta complejo especificado. A continuación se muestra la sintaxis para estimarlo en la base de datos de ejemplo, presentada en la</w:t>
      </w:r>
      <w:r>
        <w:t xml:space="preserve"> </w:t>
      </w:r>
      <w:hyperlink w:anchor="tbl-gini">
        <w:r>
          <w:rPr>
            <w:rStyle w:val="Hyperlink"/>
          </w:rPr>
          <w:t xml:space="preserve">tabla 3.20</w:t>
        </w:r>
      </w:hyperlink>
      <w:r>
        <w:t xml:space="preserve">:</w:t>
      </w:r>
    </w:p>
    <w:p>
      <w:pPr>
        <w:pStyle w:val="SourceCode"/>
      </w:pPr>
      <w:r>
        <w:rPr>
          <w:rStyle w:val="FunctionTok"/>
        </w:rPr>
        <w:t xml:space="preserve">library</w:t>
      </w:r>
      <w:r>
        <w:rPr>
          <w:rStyle w:val="NormalTok"/>
        </w:rPr>
        <w:t xml:space="preserve">(convey)</w:t>
      </w:r>
      <w:r>
        <w:br/>
      </w:r>
      <w:r>
        <w:rPr>
          <w:rStyle w:val="NormalTok"/>
        </w:rPr>
        <w:t xml:space="preserve">gini_design </w:t>
      </w:r>
      <w:r>
        <w:rPr>
          <w:rStyle w:val="OtherTok"/>
        </w:rPr>
        <w:t xml:space="preserve">&lt;-</w:t>
      </w:r>
      <w:r>
        <w:rPr>
          <w:rStyle w:val="NormalTok"/>
        </w:rPr>
        <w:t xml:space="preserve"> </w:t>
      </w:r>
      <w:r>
        <w:rPr>
          <w:rStyle w:val="FunctionTok"/>
        </w:rPr>
        <w:t xml:space="preserve">convey_prep</w:t>
      </w:r>
      <w:r>
        <w:rPr>
          <w:rStyle w:val="NormalTok"/>
        </w:rPr>
        <w:t xml:space="preserve">(survey_design)</w:t>
      </w:r>
      <w:r>
        <w:br/>
      </w:r>
      <w:r>
        <w:rPr>
          <w:rStyle w:val="NormalTok"/>
        </w:rPr>
        <w:t xml:space="preserve">gini </w:t>
      </w:r>
      <w:r>
        <w:rPr>
          <w:rStyle w:val="OtherTok"/>
        </w:rPr>
        <w:t xml:space="preserve">&lt;-</w:t>
      </w:r>
      <w:r>
        <w:rPr>
          <w:rStyle w:val="NormalTok"/>
        </w:rPr>
        <w:t xml:space="preserve"> </w:t>
      </w:r>
      <w:r>
        <w:rPr>
          <w:rStyle w:val="FunctionTok"/>
        </w:rPr>
        <w:t xml:space="preserve">svygini</w:t>
      </w:r>
      <w:r>
        <w:rPr>
          <w:rStyle w:val="NormalTok"/>
        </w:rPr>
        <w:t xml:space="preserve">(</w:t>
      </w:r>
      <w:r>
        <w:rPr>
          <w:rStyle w:val="SpecialCharTok"/>
        </w:rPr>
        <w:t xml:space="preserve">~</w:t>
      </w:r>
      <w:r>
        <w:rPr>
          <w:rStyle w:val="NormalTok"/>
        </w:rPr>
        <w:t xml:space="preserve">Income, </w:t>
      </w:r>
      <w:r>
        <w:rPr>
          <w:rStyle w:val="AttributeTok"/>
        </w:rPr>
        <w:t xml:space="preserve">design =</w:t>
      </w:r>
      <w:r>
        <w:rPr>
          <w:rStyle w:val="NormalTok"/>
        </w:rPr>
        <w:t xml:space="preserve"> gini_design)</w:t>
      </w:r>
      <w:r>
        <w:br/>
      </w:r>
      <w:r>
        <w:br/>
      </w:r>
      <w:r>
        <w:rPr>
          <w:rStyle w:val="FunctionTok"/>
        </w:rPr>
        <w:t xml:space="preserve">data.frame</w:t>
      </w:r>
      <w:r>
        <w:rPr>
          <w:rStyle w:val="NormalTok"/>
        </w:rPr>
        <w:t xml:space="preserve">(</w:t>
      </w:r>
      <w:r>
        <w:rPr>
          <w:rStyle w:val="AttributeTok"/>
        </w:rPr>
        <w:t xml:space="preserve">Gini =</w:t>
      </w:r>
      <w:r>
        <w:rPr>
          <w:rStyle w:val="NormalTok"/>
        </w:rPr>
        <w:t xml:space="preserve"> </w:t>
      </w:r>
      <w:r>
        <w:rPr>
          <w:rStyle w:val="FunctionTok"/>
        </w:rPr>
        <w:t xml:space="preserve">coef</w:t>
      </w:r>
      <w:r>
        <w:rPr>
          <w:rStyle w:val="NormalTok"/>
        </w:rPr>
        <w:t xml:space="preserve">(gini),</w:t>
      </w:r>
      <w:r>
        <w:br/>
      </w:r>
      <w:r>
        <w:rPr>
          <w:rStyle w:val="NormalTok"/>
        </w:rPr>
        <w:t xml:space="preserve">           </w:t>
      </w:r>
      <w:r>
        <w:rPr>
          <w:rStyle w:val="AttributeTok"/>
        </w:rPr>
        <w:t xml:space="preserve">standard_error =</w:t>
      </w:r>
      <w:r>
        <w:rPr>
          <w:rStyle w:val="NormalTok"/>
        </w:rPr>
        <w:t xml:space="preserve"> </w:t>
      </w:r>
      <w:r>
        <w:rPr>
          <w:rStyle w:val="FunctionTok"/>
        </w:rPr>
        <w:t xml:space="preserve">SE</w:t>
      </w:r>
      <w:r>
        <w:rPr>
          <w:rStyle w:val="NormalTok"/>
        </w:rPr>
        <w:t xml:space="preserve">(gini),</w:t>
      </w:r>
      <w:r>
        <w:br/>
      </w:r>
      <w:r>
        <w:rPr>
          <w:rStyle w:val="NormalTok"/>
        </w:rPr>
        <w:t xml:space="preserve">           </w:t>
      </w:r>
      <w:r>
        <w:rPr>
          <w:rStyle w:val="AttributeTok"/>
        </w:rPr>
        <w:t xml:space="preserve">ci_lower =</w:t>
      </w:r>
      <w:r>
        <w:rPr>
          <w:rStyle w:val="NormalTok"/>
        </w:rPr>
        <w:t xml:space="preserve"> </w:t>
      </w:r>
      <w:r>
        <w:rPr>
          <w:rStyle w:val="FunctionTok"/>
        </w:rPr>
        <w:t xml:space="preserve">confint</w:t>
      </w:r>
      <w:r>
        <w:rPr>
          <w:rStyle w:val="NormalTok"/>
        </w:rPr>
        <w:t xml:space="preserve">(gini)[</w:t>
      </w:r>
      <w:r>
        <w:rPr>
          <w:rStyle w:val="DecValTok"/>
        </w:rPr>
        <w:t xml:space="preserve">1</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confint</w:t>
      </w:r>
      <w:r>
        <w:rPr>
          <w:rStyle w:val="NormalTok"/>
        </w:rPr>
        <w:t xml:space="preserve">(gini)[</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3" w:name="tbl-gini"/>
          <w:p>
            <w:pPr>
              <w:jc w:val="center"/>
            </w:pPr>
            <w:pPr>
              <w:jc w:val="left"/>
              <w:spacing w:before="200"/>
              <w:pStyle w:val="ImageCaption"/>
            </w:pPr>
            <w:r>
              <w:t xml:space="preserve">Tabla 3.20: Estimación del coeficiente de Gini para el ingreso de los hogares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Gini</w:t>
                  </w:r>
                </w:p>
              </w:tc>
              <w:tc>
                <w:tcPr/>
                <w:p>
                  <w:pPr>
                    <w:pStyle w:val="Compact"/>
                    <w:jc w:val="right"/>
                    <w:jc w:val="center"/>
                  </w:pPr>
                  <w:r>
                    <w:t xml:space="preserve">Income</w:t>
                  </w:r>
                </w:p>
              </w:tc>
              <w:tc>
                <w:tcPr/>
                <w:p>
                  <w:pPr>
                    <w:pStyle w:val="Compact"/>
                    <w:jc w:val="right"/>
                    <w:jc w:val="center"/>
                  </w:pPr>
                  <w:r>
                    <w:t xml:space="preserve">ci_lower</w:t>
                  </w:r>
                </w:p>
              </w:tc>
              <w:tc>
                <w:tcPr/>
                <w:p>
                  <w:pPr>
                    <w:pStyle w:val="Compact"/>
                    <w:jc w:val="right"/>
                    <w:jc w:val="center"/>
                  </w:pPr>
                  <w:r>
                    <w:t xml:space="preserve">ci_upper</w:t>
                  </w:r>
                </w:p>
              </w:tc>
            </w:tr>
            <w:tr>
              <w:tc>
                <w:tcPr/>
                <w:p>
                  <w:pPr>
                    <w:pStyle w:val="Compact"/>
                    <w:jc w:val="left"/>
                    <w:jc w:val="center"/>
                  </w:pPr>
                  <w:r>
                    <w:t xml:space="preserve">Income</w:t>
                  </w:r>
                </w:p>
              </w:tc>
              <w:tc>
                <w:tcPr/>
                <w:p>
                  <w:pPr>
                    <w:pStyle w:val="Compact"/>
                    <w:jc w:val="right"/>
                    <w:jc w:val="center"/>
                  </w:pPr>
                  <w:r>
                    <w:t xml:space="preserve">0.413</w:t>
                  </w:r>
                </w:p>
              </w:tc>
              <w:tc>
                <w:tcPr/>
                <w:p>
                  <w:pPr>
                    <w:pStyle w:val="Compact"/>
                    <w:jc w:val="right"/>
                    <w:jc w:val="center"/>
                  </w:pPr>
                  <w:r>
                    <w:t xml:space="preserve">0.019</w:t>
                  </w:r>
                </w:p>
              </w:tc>
              <w:tc>
                <w:tcPr/>
                <w:p>
                  <w:pPr>
                    <w:pStyle w:val="Compact"/>
                    <w:jc w:val="right"/>
                    <w:jc w:val="center"/>
                  </w:pPr>
                  <w:r>
                    <w:t xml:space="preserve">0.377</w:t>
                  </w:r>
                </w:p>
              </w:tc>
              <w:tc>
                <w:tcPr/>
                <w:p>
                  <w:pPr>
                    <w:pStyle w:val="Compact"/>
                    <w:jc w:val="right"/>
                    <w:jc w:val="center"/>
                  </w:pPr>
                  <w:r>
                    <w:t xml:space="preserve">0.45</w:t>
                  </w:r>
                </w:p>
              </w:tc>
            </w:tr>
          </w:tbl>
          <w:bookmarkEnd w:id="53"/>
          <w:p/>
        </w:tc>
      </w:tr>
    </w:tbl>
    <w:p>
      <w:pPr>
        <w:pStyle w:val="BodyText"/>
      </w:pPr>
      <w:r>
        <w:t xml:space="preserve">Como explica</w:t>
      </w:r>
      <w:r>
        <w:t xml:space="preserve"> </w:t>
      </w:r>
      <w:r>
        <w:t xml:space="preserve">Kovacevic y Binder (1997)</w:t>
      </w:r>
      <w:r>
        <w:t xml:space="preserve">, si el interés se centra en la estimación de la curva de Lorenz, es importante recordar que esta representa la relación entre el porcentaje acumulado de la población (ordenada desde los hogares con menores ingresos hasta aquellos con mayores ingresos) y la proporción acumulada del ingreso total que concentra dicha población. La línea diagonal de 45 grados corresponde a una situación hipotética de igualdad perfecta, en la cual todos los individuos participan proporcionalmente del ingreso total.</w:t>
      </w:r>
    </w:p>
    <w:p>
      <w:pPr>
        <w:pStyle w:val="BodyText"/>
      </w:pPr>
      <w:r>
        <w:t xml:space="preserve">El área comprendida entre la curva de Lorenz y la diagonal de igualdad se conoce como el área de Lorenz, y el coeficiente de Gini puede interpretarse como el doble de esta área relativa. En consecuencia, cuanto más cercana se encuentre la curva de Lorenz a la diagonal, mayor será el nivel de equidad en la distribución del ingreso; por el contrario, curvas más alejadas reflejan mayores niveles de desigualdad económica.</w:t>
      </w:r>
    </w:p>
    <w:p>
      <w:pPr>
        <w:pStyle w:val="BodyText"/>
      </w:pPr>
      <w:r>
        <w:t xml:space="preserve">Para realizar la curva de Lorenz en</w:t>
      </w:r>
      <w:r>
        <w:t xml:space="preserve"> </w:t>
      </w:r>
      <w:r>
        <w:rPr>
          <w:rStyle w:val="VerbatimChar"/>
        </w:rPr>
        <w:t xml:space="preserve">R</w:t>
      </w:r>
      <w:r>
        <w:t xml:space="preserve"> </w:t>
      </w:r>
      <w:r>
        <w:t xml:space="preserve">se utiliza la función</w:t>
      </w:r>
      <w:r>
        <w:t xml:space="preserve"> </w:t>
      </w:r>
      <w:r>
        <w:rPr>
          <w:rStyle w:val="VerbatimChar"/>
        </w:rPr>
        <w:t xml:space="preserve">svylorenz()</w:t>
      </w:r>
      <w:r>
        <w:t xml:space="preserve">, presentada en la</w:t>
      </w:r>
      <w:r>
        <w:t xml:space="preserve"> </w:t>
      </w:r>
      <w:hyperlink w:anchor="fig-lorenz">
        <w:r>
          <w:rPr>
            <w:rStyle w:val="Hyperlink"/>
          </w:rPr>
          <w:t xml:space="preserve">figura 3.1</w:t>
        </w:r>
      </w:hyperlink>
      <w:r>
        <w:t xml:space="preserve">:</w:t>
      </w:r>
    </w:p>
    <w:p>
      <w:pPr>
        <w:pStyle w:val="SourceCode"/>
      </w:pPr>
      <w:r>
        <w:rPr>
          <w:rStyle w:val="NormalTok"/>
        </w:rPr>
        <w:t xml:space="preserve">clorenz </w:t>
      </w:r>
      <w:r>
        <w:rPr>
          <w:rStyle w:val="OtherTok"/>
        </w:rPr>
        <w:t xml:space="preserve">&lt;-</w:t>
      </w:r>
      <w:r>
        <w:rPr>
          <w:rStyle w:val="NormalTok"/>
        </w:rPr>
        <w:t xml:space="preserve"> </w:t>
      </w:r>
      <w:r>
        <w:rPr>
          <w:rStyle w:val="FunctionTok"/>
        </w:rPr>
        <w:t xml:space="preserve">svylorenz</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design =</w:t>
      </w:r>
      <w:r>
        <w:rPr>
          <w:rStyle w:val="NormalTok"/>
        </w:rPr>
        <w:t xml:space="preserve"> gini_design,</w:t>
      </w:r>
      <w:r>
        <w:br/>
      </w:r>
      <w:r>
        <w:rPr>
          <w:rStyle w:val="NormalTok"/>
        </w:rPr>
        <w:t xml:space="preserve">  </w:t>
      </w:r>
      <w:r>
        <w:rPr>
          <w:rStyle w:val="AttributeTok"/>
        </w:rPr>
        <w:t xml:space="preserve">quantiles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01</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ConstantTok"/>
        </w:rPr>
        <w:t xml:space="preserve">TRUE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7" w:name="fig-lorenz"/>
          <w:p>
            <w:pPr>
              <w:pStyle w:val="Compact"/>
              <w:jc w:val="center"/>
            </w:pPr>
            <w:r>
              <w:drawing>
                <wp:inline>
                  <wp:extent cx="3467100" cy="2311400"/>
                  <wp:effectExtent b="0" l="0" r="0" t="0"/>
                  <wp:docPr descr="" title="" id="55" name="Picture"/>
                  <a:graphic>
                    <a:graphicData uri="http://schemas.openxmlformats.org/drawingml/2006/picture">
                      <pic:pic>
                        <pic:nvPicPr>
                          <pic:cNvPr descr="chapters/../figures/fig-lorenz-1.png" id="56" name="Picture"/>
                          <pic:cNvPicPr>
                            <a:picLocks noChangeArrowheads="1" noChangeAspect="1"/>
                          </pic:cNvPicPr>
                        </pic:nvPicPr>
                        <pic:blipFill>
                          <a:blip r:embed="rId54"/>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Curva de Lorenz estimada para el ingreso de los hogares</w:t>
            </w:r>
          </w:p>
          <w:bookmarkEnd w:id="57"/>
        </w:tc>
      </w:tr>
    </w:tbl>
    <w:p>
      <w:pPr>
        <w:pStyle w:val="BodyText"/>
      </w:pPr>
      <w:r>
        <w:t xml:space="preserve">El argumento</w:t>
      </w:r>
      <w:r>
        <w:t xml:space="preserve"> </w:t>
      </w:r>
      <w:r>
        <w:rPr>
          <w:rStyle w:val="VerbatimChar"/>
        </w:rPr>
        <w:t xml:space="preserve">formula = ~Income</w:t>
      </w:r>
      <w:r>
        <w:t xml:space="preserve"> </w:t>
      </w:r>
      <w:r>
        <w:t xml:space="preserve">especifica la variable de ingreso sobre la cual se calculará la distribución acumulada. El argumento</w:t>
      </w:r>
      <w:r>
        <w:t xml:space="preserve"> </w:t>
      </w:r>
      <w:r>
        <w:rPr>
          <w:rStyle w:val="VerbatimChar"/>
        </w:rPr>
        <w:t xml:space="preserve">design = gini_design</w:t>
      </w:r>
      <w:r>
        <w:t xml:space="preserve"> </w:t>
      </w:r>
      <w:r>
        <w:t xml:space="preserve">indica el objeto de diseño muestral previamente definido, el cual contiene la información relacionada con pesos, estratos y conglomerados de la encuesta. Por su parte,</w:t>
      </w:r>
      <w:r>
        <w:t xml:space="preserve"> </w:t>
      </w:r>
      <w:r>
        <w:rPr>
          <w:rStyle w:val="VerbatimChar"/>
        </w:rPr>
        <w:t xml:space="preserve">quantiles = seq(0, 1, .05)</w:t>
      </w:r>
      <w:r>
        <w:t xml:space="preserve"> </w:t>
      </w:r>
      <w:r>
        <w:t xml:space="preserve">define los puntos de la distribución en los cuales se evaluará la curva de Lorenz, generando percentiles desde 0 hasta 1 en incrementos de 0.05. Finalmente, el argumento</w:t>
      </w:r>
      <w:r>
        <w:t xml:space="preserve"> </w:t>
      </w:r>
      <w:r>
        <w:rPr>
          <w:rStyle w:val="VerbatimChar"/>
        </w:rPr>
        <w:t xml:space="preserve">alpha = .01</w:t>
      </w:r>
      <w:r>
        <w:t xml:space="preserve"> </w:t>
      </w:r>
      <w:r>
        <w:t xml:space="preserve">establece un nivel de significación del 1%, lo que equivale a construir intervalos de confianza del 99% para las estimaciones asociadas a la curva.</w:t>
      </w:r>
    </w:p>
    <w:bookmarkEnd w:id="58"/>
    <w:bookmarkStart w:id="60" w:name="estimacion-de-la-correlacion"/>
    <w:p>
      <w:pPr>
        <w:pStyle w:val="Heading3"/>
      </w:pPr>
      <w:r>
        <w:t xml:space="preserve">3.2.4 Estimación de la correlación</w:t>
      </w:r>
    </w:p>
    <w:p>
      <w:pPr>
        <w:pStyle w:val="FirstParagraph"/>
      </w:pPr>
      <w:r>
        <w:t xml:space="preserve">Según</w:t>
      </w:r>
      <w:r>
        <w:t xml:space="preserve"> </w:t>
      </w:r>
      <w:r>
        <w:t xml:space="preserve">Heeringa et al. (2017)</w:t>
      </w:r>
      <w:r>
        <w:t xml:space="preserve"> </w:t>
      </w:r>
      <w:r>
        <w:t xml:space="preserve">y</w:t>
      </w:r>
      <w:r>
        <w:t xml:space="preserve"> </w:t>
      </w:r>
      <w:r>
        <w:t xml:space="preserve">Long (2026a)</w:t>
      </w:r>
      <w:r>
        <w:t xml:space="preserve">, en el estudio de encuestas de hogares, además de describir variables de forma individual, resulta fundamental analizar cómo se relacionan entre sí. Una de las herramientas más utilizadas para este propósito es el coeficiente de correlación de Pearson, el cual mide la fuerza y la dirección de la relación lineal entre dos variables numéricas. Este coeficiente toma valores entre –1 y 1. Un valor positivo indica que ambas variables tienden a aumentar simultáneamente, mientras que un valor negativo señala que cuando una variable aumenta, la otra tiende a disminuir. Por su parte, valores cercanos a cero sugieren la ausencia de una relación lineal fuerte entre las variables analizadas.</w:t>
      </w:r>
    </w:p>
    <w:p>
      <w:pPr>
        <w:pStyle w:val="BodyText"/>
      </w:pPr>
      <w:r>
        <w:t xml:space="preserve">Por ejemplo, en una encuesta de hogares puede ser de interés estudiar si existe una asociación entre el ingreso de los hogares y su nivel de gasto, así como evaluar la magnitud de dicha relación. Este tipo de análisis permite comprender mejor los patrones económicos y sociales observados en la población.</w:t>
      </w:r>
    </w:p>
    <w:p>
      <w:pPr>
        <w:pStyle w:val="BodyText"/>
      </w:pPr>
      <w:r>
        <w:t xml:space="preserve">De acuerdo con</w:t>
      </w:r>
      <w:r>
        <w:t xml:space="preserve"> </w:t>
      </w:r>
      <w:r>
        <w:t xml:space="preserve">Särndal et al. (2003)</w:t>
      </w:r>
      <w:r>
        <w:t xml:space="preserve">, en encuestas complejas, es necesario incorporar los pesos muestrales para que la estimación sea representativa de la población, además de las variables de estratificación y conglomeración, que intervienen principalmente en la estimación de la incertidumbre de los estimadores. El cálculo ponderado implica evaluar la covarianza entre las dos variables y dividirla entre el producto de sus desviaciones estándar ponderadas, eliminando así la influencia de las unidades de medida. Asumiendo que</w:t>
      </w:r>
      <w:r>
        <w:t xml:space="preserve"> </w:t>
      </w:r>
      <m:oMath>
        <m:acc>
          <m:accPr>
            <m:chr m:val="̂"/>
          </m:accPr>
          <m:e>
            <m:acc>
              <m:accPr>
                <m:chr m:val="‾"/>
              </m:accPr>
              <m:e>
                <m:r>
                  <m:t>x</m:t>
                </m:r>
              </m:e>
            </m:acc>
          </m:e>
        </m:acc>
      </m:oMath>
      <w:r>
        <w:t xml:space="preserve"> </w:t>
      </w:r>
      <w:r>
        <w:t xml:space="preserve">es una estimación de la media poblacional de la variable</w:t>
      </w:r>
      <w:r>
        <w:t xml:space="preserve"> </w:t>
      </w:r>
      <m:oMath>
        <m:r>
          <m:t>x</m:t>
        </m:r>
      </m:oMath>
      <w:r>
        <w:t xml:space="preserve">, entonces el coeficiente de correlación de Pearson ajustado por pesos se expresa como:</w:t>
      </w:r>
    </w:p>
    <w:p>
      <w:pPr>
        <w:pStyle w:val="BodyText"/>
      </w:pPr>
      <m:oMathPara>
        <m:oMathParaPr>
          <m:jc m:val="center"/>
        </m:oMathParaPr>
        <m:oMath>
          <m:sSub>
            <m:e>
              <m:acc>
                <m:accPr>
                  <m:chr m:val="̂"/>
                </m:accPr>
                <m:e>
                  <m:r>
                    <m:t>ρ</m:t>
                  </m:r>
                </m:e>
              </m:acc>
            </m:e>
            <m:sub>
              <m:r>
                <m:t>x</m:t>
              </m:r>
              <m:r>
                <m:t>y</m:t>
              </m:r>
            </m:sub>
          </m:sSub>
          <m:r>
            <m:rPr>
              <m:sty m:val="p"/>
            </m:rPr>
            <m:t>=</m:t>
          </m:r>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rPr>
                  <m:sty m:val="p"/>
                </m:rPr>
                <m:t>(</m:t>
              </m:r>
              <m:sSub>
                <m:e>
                  <m:r>
                    <m:t>y</m:t>
                  </m:r>
                </m:e>
                <m:sub>
                  <m:r>
                    <m:t>h</m:t>
                  </m:r>
                  <m:r>
                    <m:t>i</m:t>
                  </m:r>
                  <m:r>
                    <m:t>k</m:t>
                  </m:r>
                </m:sub>
              </m:sSub>
              <m:r>
                <m:rPr>
                  <m:sty m:val="p"/>
                </m:rPr>
                <m:t>−</m:t>
              </m:r>
              <m:acc>
                <m:accPr>
                  <m:chr m:val="̂"/>
                </m:accPr>
                <m:e>
                  <m:acc>
                    <m:accPr>
                      <m:chr m:val="‾"/>
                    </m:accPr>
                    <m:e>
                      <m:r>
                        <m:t>y</m:t>
                      </m:r>
                    </m:e>
                  </m:acc>
                </m:e>
              </m:acc>
              <m:r>
                <m:rPr>
                  <m:sty m:val="p"/>
                </m:rPr>
                <m:t>)</m:t>
              </m:r>
              <m:r>
                <m:rPr>
                  <m:sty m:val="p"/>
                </m:rPr>
                <m:t>(</m:t>
              </m:r>
              <m:sSub>
                <m:e>
                  <m:r>
                    <m:t>x</m:t>
                  </m:r>
                </m:e>
                <m:sub>
                  <m:r>
                    <m:t>h</m:t>
                  </m:r>
                  <m:r>
                    <m:t>i</m:t>
                  </m:r>
                  <m:r>
                    <m:t>k</m:t>
                  </m:r>
                </m:sub>
              </m:sSub>
              <m:r>
                <m:rPr>
                  <m:sty m:val="p"/>
                </m:rPr>
                <m:t>−</m:t>
              </m:r>
              <m:acc>
                <m:accPr>
                  <m:chr m:val="̂"/>
                </m:accPr>
                <m:e>
                  <m:acc>
                    <m:accPr>
                      <m:chr m:val="‾"/>
                    </m:accPr>
                    <m:e>
                      <m:r>
                        <m:t>x</m:t>
                      </m:r>
                    </m:e>
                  </m:acc>
                </m:e>
              </m:acc>
              <m:r>
                <m:rPr>
                  <m:sty m:val="p"/>
                </m:rPr>
                <m:t>)</m:t>
              </m:r>
            </m:num>
            <m:den>
              <m:rad>
                <m:radPr>
                  <m:degHide m:val="on"/>
                </m:radPr>
                <m:deg/>
                <m:e>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rPr>
                      <m:sty m:val="p"/>
                    </m:rPr>
                    <m:t>(</m:t>
                  </m:r>
                  <m:sSub>
                    <m:e>
                      <m:r>
                        <m:t>y</m:t>
                      </m:r>
                    </m:e>
                    <m:sub>
                      <m:r>
                        <m:t>h</m:t>
                      </m:r>
                      <m:r>
                        <m:t>i</m:t>
                      </m:r>
                      <m:r>
                        <m:t>k</m:t>
                      </m:r>
                    </m:sub>
                  </m:sSub>
                  <m:r>
                    <m:rPr>
                      <m:sty m:val="p"/>
                    </m:rPr>
                    <m:t>−</m:t>
                  </m:r>
                  <m:acc>
                    <m:accPr>
                      <m:chr m:val="̂"/>
                    </m:accPr>
                    <m:e>
                      <m:acc>
                        <m:accPr>
                          <m:chr m:val="‾"/>
                        </m:accPr>
                        <m:e>
                          <m:r>
                            <m:t>y</m:t>
                          </m:r>
                        </m:e>
                      </m:acc>
                    </m:e>
                  </m:acc>
                  <m:sSup>
                    <m:e>
                      <m:r>
                        <m:rPr>
                          <m:sty m:val="p"/>
                        </m:rPr>
                        <m:t>)</m:t>
                      </m:r>
                    </m:e>
                    <m:sup>
                      <m:r>
                        <m:t>2</m:t>
                      </m:r>
                    </m:sup>
                  </m:sSup>
                </m:e>
              </m:rad>
              <m:rad>
                <m:radPr>
                  <m:degHide m:val="on"/>
                </m:radPr>
                <m:deg/>
                <m:e>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rPr>
                      <m:sty m:val="p"/>
                    </m:rPr>
                    <m:t>(</m:t>
                  </m:r>
                  <m:sSub>
                    <m:e>
                      <m:r>
                        <m:t>x</m:t>
                      </m:r>
                    </m:e>
                    <m:sub>
                      <m:r>
                        <m:t>h</m:t>
                      </m:r>
                      <m:r>
                        <m:t>i</m:t>
                      </m:r>
                      <m:r>
                        <m:t>k</m:t>
                      </m:r>
                    </m:sub>
                  </m:sSub>
                  <m:r>
                    <m:rPr>
                      <m:sty m:val="p"/>
                    </m:rPr>
                    <m:t>−</m:t>
                  </m:r>
                  <m:acc>
                    <m:accPr>
                      <m:chr m:val="̂"/>
                    </m:accPr>
                    <m:e>
                      <m:acc>
                        <m:accPr>
                          <m:chr m:val="‾"/>
                        </m:accPr>
                        <m:e>
                          <m:r>
                            <m:t>x</m:t>
                          </m:r>
                        </m:e>
                      </m:acc>
                    </m:e>
                  </m:acc>
                  <m:sSup>
                    <m:e>
                      <m:r>
                        <m:rPr>
                          <m:sty m:val="p"/>
                        </m:rPr>
                        <m:t>)</m:t>
                      </m:r>
                    </m:e>
                    <m:sup>
                      <m:r>
                        <m:t>2</m:t>
                      </m:r>
                    </m:sup>
                  </m:sSup>
                </m:e>
              </m:rad>
            </m:den>
          </m:f>
        </m:oMath>
      </m:oMathPara>
    </w:p>
    <w:p>
      <w:pPr>
        <w:pStyle w:val="FirstParagraph"/>
      </w:pPr>
      <w:r>
        <w:t xml:space="preserve">El paquete</w:t>
      </w:r>
      <w:r>
        <w:t xml:space="preserve"> </w:t>
      </w:r>
      <w:r>
        <w:rPr>
          <w:rStyle w:val="VerbatimChar"/>
        </w:rPr>
        <w:t xml:space="preserve">survey</w:t>
      </w:r>
      <w:r>
        <w:t xml:space="preserve"> </w:t>
      </w:r>
      <w:r>
        <w:t xml:space="preserve">cuenta con la función</w:t>
      </w:r>
      <w:r>
        <w:t xml:space="preserve"> </w:t>
      </w:r>
      <w:r>
        <w:rPr>
          <w:rStyle w:val="VerbatimChar"/>
        </w:rPr>
        <w:t xml:space="preserve">svyvar()</w:t>
      </w:r>
      <w:r>
        <w:t xml:space="preserve"> </w:t>
      </w:r>
      <w:r>
        <w:t xml:space="preserve">que permite obtener matrices de covarianzas ponderadas, a partir de las cuales se puede calcular la correlación. La</w:t>
      </w:r>
      <w:r>
        <w:t xml:space="preserve"> </w:t>
      </w:r>
      <w:hyperlink w:anchor="tbl-covarianza">
        <w:r>
          <w:rPr>
            <w:rStyle w:val="Hyperlink"/>
          </w:rPr>
          <w:t xml:space="preserve">tabla 3.21</w:t>
        </w:r>
      </w:hyperlink>
      <w:r>
        <w:t xml:space="preserve"> </w:t>
      </w:r>
      <w:r>
        <w:t xml:space="preserve">presenta un ejemplo de estimación para la matriz de varianzas y covarianzas entre el ingreso y el gasto de los hogares.</w:t>
      </w:r>
    </w:p>
    <w:p>
      <w:pPr>
        <w:pStyle w:val="SourceCode"/>
      </w:pPr>
      <w:r>
        <w:rPr>
          <w:rStyle w:val="NormalTok"/>
        </w:rPr>
        <w:t xml:space="preserve">cov_matrix </w:t>
      </w:r>
      <w:r>
        <w:rPr>
          <w:rStyle w:val="OtherTok"/>
        </w:rPr>
        <w:t xml:space="preserve">&lt;-</w:t>
      </w:r>
      <w:r>
        <w:rPr>
          <w:rStyle w:val="NormalTok"/>
        </w:rPr>
        <w:t xml:space="preserve"> </w:t>
      </w:r>
      <w:r>
        <w:rPr>
          <w:rStyle w:val="FunctionTok"/>
        </w:rPr>
        <w:t xml:space="preserve">svyvar</w:t>
      </w:r>
      <w:r>
        <w:rPr>
          <w:rStyle w:val="NormalTok"/>
        </w:rPr>
        <w:t xml:space="preserve">(</w:t>
      </w:r>
      <w:r>
        <w:rPr>
          <w:rStyle w:val="SpecialCharTok"/>
        </w:rPr>
        <w:t xml:space="preserve">~</w:t>
      </w:r>
      <w:r>
        <w:rPr>
          <w:rStyle w:val="NormalTok"/>
        </w:rPr>
        <w:t xml:space="preserve">Income </w:t>
      </w:r>
      <w:r>
        <w:rPr>
          <w:rStyle w:val="SpecialCharTok"/>
        </w:rPr>
        <w:t xml:space="preserve">+</w:t>
      </w:r>
      <w:r>
        <w:rPr>
          <w:rStyle w:val="NormalTok"/>
        </w:rPr>
        <w:t xml:space="preserve"> Expenditure, </w:t>
      </w:r>
      <w:r>
        <w:rPr>
          <w:rStyle w:val="AttributeTok"/>
        </w:rPr>
        <w:t xml:space="preserve">design =</w:t>
      </w:r>
      <w:r>
        <w:rPr>
          <w:rStyle w:val="NormalTok"/>
        </w:rPr>
        <w:t xml:space="preserve"> survey_design)</w:t>
      </w:r>
    </w:p>
    <w:tbl>
      <w:tblPr>
        <w:tblStyle w:val="Table"/>
        <w:tblW w:type="pct" w:w="5000"/>
        <w:tblLayout w:type="fixed"/>
        <w:tblLook w:firstRow="0" w:lastRow="0" w:firstColumn="0" w:lastColumn="0" w:noHBand="0" w:noVBand="0" w:val="0000"/>
      </w:tblPr>
      <w:tblGrid>
        <w:gridCol w:w="7920"/>
      </w:tblGrid>
      <w:tr>
        <w:tc>
          <w:tcPr/>
          <w:bookmarkStart w:id="59" w:name="tbl-covarianza"/>
          <w:p>
            <w:pPr>
              <w:jc w:val="center"/>
            </w:pPr>
            <w:pPr>
              <w:jc w:val="left"/>
              <w:spacing w:before="200"/>
              <w:pStyle w:val="ImageCaption"/>
            </w:pPr>
            <w:r>
              <w:t xml:space="preserve">Tabla 3.21: Matriz de varianzas y covarianzas ponderada entre ingreso y gasto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Variable</w:t>
                  </w:r>
                </w:p>
              </w:tc>
              <w:tc>
                <w:tcPr/>
                <w:p>
                  <w:pPr>
                    <w:pStyle w:val="Compact"/>
                    <w:jc w:val="right"/>
                    <w:jc w:val="center"/>
                  </w:pPr>
                  <w:r>
                    <w:t xml:space="preserve">Income</w:t>
                  </w:r>
                </w:p>
              </w:tc>
              <w:tc>
                <w:tcPr/>
                <w:p>
                  <w:pPr>
                    <w:pStyle w:val="Compact"/>
                    <w:jc w:val="right"/>
                    <w:jc w:val="center"/>
                  </w:pPr>
                  <w:r>
                    <w:t xml:space="preserve">Expenditure</w:t>
                  </w:r>
                </w:p>
              </w:tc>
            </w:tr>
            <w:tr>
              <w:tc>
                <w:tcPr/>
                <w:p>
                  <w:pPr>
                    <w:pStyle w:val="Compact"/>
                    <w:jc w:val="left"/>
                    <w:jc w:val="center"/>
                  </w:pPr>
                  <w:r>
                    <w:t xml:space="preserve">Income</w:t>
                  </w:r>
                </w:p>
              </w:tc>
              <w:tc>
                <w:tcPr/>
                <w:p>
                  <w:pPr>
                    <w:pStyle w:val="Compact"/>
                    <w:jc w:val="left"/>
                    <w:jc w:val="center"/>
                  </w:pPr>
                  <w:r>
                    <w:t xml:space="preserve">Income</w:t>
                  </w:r>
                </w:p>
              </w:tc>
              <w:tc>
                <w:tcPr/>
                <w:p>
                  <w:pPr>
                    <w:pStyle w:val="Compact"/>
                    <w:jc w:val="right"/>
                    <w:jc w:val="center"/>
                  </w:pPr>
                  <w:r>
                    <w:t xml:space="preserve">243719</w:t>
                  </w:r>
                </w:p>
              </w:tc>
              <w:tc>
                <w:tcPr/>
                <w:p>
                  <w:pPr>
                    <w:pStyle w:val="Compact"/>
                    <w:jc w:val="right"/>
                    <w:jc w:val="center"/>
                  </w:pPr>
                  <w:r>
                    <w:t xml:space="preserve">98337</w:t>
                  </w:r>
                </w:p>
              </w:tc>
            </w:tr>
            <w:tr>
              <w:tc>
                <w:tcPr/>
                <w:p>
                  <w:pPr>
                    <w:pStyle w:val="Compact"/>
                    <w:jc w:val="left"/>
                    <w:jc w:val="center"/>
                  </w:pPr>
                  <w:r>
                    <w:t xml:space="preserve">Expenditure</w:t>
                  </w:r>
                </w:p>
              </w:tc>
              <w:tc>
                <w:tcPr/>
                <w:p>
                  <w:pPr>
                    <w:pStyle w:val="Compact"/>
                    <w:jc w:val="left"/>
                    <w:jc w:val="center"/>
                  </w:pPr>
                  <w:r>
                    <w:t xml:space="preserve">Expenditure</w:t>
                  </w:r>
                </w:p>
              </w:tc>
              <w:tc>
                <w:tcPr/>
                <w:p>
                  <w:pPr>
                    <w:pStyle w:val="Compact"/>
                    <w:jc w:val="right"/>
                    <w:jc w:val="center"/>
                  </w:pPr>
                  <w:r>
                    <w:t xml:space="preserve">98337</w:t>
                  </w:r>
                </w:p>
              </w:tc>
              <w:tc>
                <w:tcPr/>
                <w:p>
                  <w:pPr>
                    <w:pStyle w:val="Compact"/>
                    <w:jc w:val="right"/>
                    <w:jc w:val="center"/>
                  </w:pPr>
                  <w:r>
                    <w:t xml:space="preserve">77887</w:t>
                  </w:r>
                </w:p>
              </w:tc>
            </w:tr>
          </w:tbl>
          <w:bookmarkEnd w:id="59"/>
          <w:p/>
        </w:tc>
      </w:tr>
    </w:tbl>
    <w:p>
      <w:pPr>
        <w:pStyle w:val="BodyText"/>
      </w:pPr>
      <w:r>
        <w:t xml:space="preserve">La función</w:t>
      </w:r>
      <w:r>
        <w:t xml:space="preserve"> </w:t>
      </w:r>
      <w:r>
        <w:rPr>
          <w:rStyle w:val="VerbatimChar"/>
        </w:rPr>
        <w:t xml:space="preserve">svyvar</w:t>
      </w:r>
      <w:r>
        <w:t xml:space="preserve"> </w:t>
      </w:r>
      <w:r>
        <w:t xml:space="preserve">estima la matriz de varianzas y covarianzas considerando el diseño muestral. A partir de dicha matriz puede obtenerse la correlación aplicando las siguientes instrucciones:</w:t>
      </w:r>
    </w:p>
    <w:p>
      <w:pPr>
        <w:pStyle w:val="SourceCode"/>
      </w:pPr>
      <w:r>
        <w:rPr>
          <w:rStyle w:val="NormalTok"/>
        </w:rPr>
        <w:t xml:space="preserve">cov_xy </w:t>
      </w:r>
      <w:r>
        <w:rPr>
          <w:rStyle w:val="OtherTok"/>
        </w:rPr>
        <w:t xml:space="preserve">&lt;-</w:t>
      </w:r>
      <w:r>
        <w:rPr>
          <w:rStyle w:val="NormalTok"/>
        </w:rPr>
        <w:t xml:space="preserve"> cov_matrix[</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sd_x </w:t>
      </w:r>
      <w:r>
        <w:rPr>
          <w:rStyle w:val="OtherTok"/>
        </w:rPr>
        <w:t xml:space="preserve">&lt;-</w:t>
      </w:r>
      <w:r>
        <w:rPr>
          <w:rStyle w:val="NormalTok"/>
        </w:rPr>
        <w:t xml:space="preserve"> </w:t>
      </w:r>
      <w:r>
        <w:rPr>
          <w:rStyle w:val="FunctionTok"/>
        </w:rPr>
        <w:t xml:space="preserve">sqrt</w:t>
      </w:r>
      <w:r>
        <w:rPr>
          <w:rStyle w:val="NormalTok"/>
        </w:rPr>
        <w:t xml:space="preserve">(cov_matrix[</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sd_y </w:t>
      </w:r>
      <w:r>
        <w:rPr>
          <w:rStyle w:val="OtherTok"/>
        </w:rPr>
        <w:t xml:space="preserve">&lt;-</w:t>
      </w:r>
      <w:r>
        <w:rPr>
          <w:rStyle w:val="NormalTok"/>
        </w:rPr>
        <w:t xml:space="preserve"> </w:t>
      </w:r>
      <w:r>
        <w:rPr>
          <w:rStyle w:val="FunctionTok"/>
        </w:rPr>
        <w:t xml:space="preserve">sqrt</w:t>
      </w:r>
      <w:r>
        <w:rPr>
          <w:rStyle w:val="NormalTok"/>
        </w:rPr>
        <w:t xml:space="preserve">(cov_matrix[</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weighted_cor </w:t>
      </w:r>
      <w:r>
        <w:rPr>
          <w:rStyle w:val="OtherTok"/>
        </w:rPr>
        <w:t xml:space="preserve">&lt;-</w:t>
      </w:r>
      <w:r>
        <w:rPr>
          <w:rStyle w:val="NormalTok"/>
        </w:rPr>
        <w:t xml:space="preserve"> cov_xy </w:t>
      </w:r>
      <w:r>
        <w:rPr>
          <w:rStyle w:val="SpecialCharTok"/>
        </w:rPr>
        <w:t xml:space="preserve">/</w:t>
      </w:r>
      <w:r>
        <w:rPr>
          <w:rStyle w:val="NormalTok"/>
        </w:rPr>
        <w:t xml:space="preserve"> (sd_x </w:t>
      </w:r>
      <w:r>
        <w:rPr>
          <w:rStyle w:val="SpecialCharTok"/>
        </w:rPr>
        <w:t xml:space="preserve">*</w:t>
      </w:r>
      <w:r>
        <w:rPr>
          <w:rStyle w:val="NormalTok"/>
        </w:rPr>
        <w:t xml:space="preserve"> sd_y)</w:t>
      </w:r>
      <w:r>
        <w:br/>
      </w:r>
      <w:r>
        <w:rPr>
          <w:rStyle w:val="NormalTok"/>
        </w:rPr>
        <w:t xml:space="preserve">weighted_cor</w:t>
      </w:r>
    </w:p>
    <w:p>
      <w:pPr>
        <w:pStyle w:val="SourceCode"/>
      </w:pPr>
      <w:r>
        <w:rPr>
          <w:rStyle w:val="VerbatimChar"/>
        </w:rPr>
        <w:t xml:space="preserve">[1] 0.714</w:t>
      </w:r>
    </w:p>
    <w:p>
      <w:pPr>
        <w:pStyle w:val="FirstParagraph"/>
      </w:pPr>
      <w:r>
        <w:t xml:space="preserve">Si además se desea realizar inferencia estadística sobre la correlación, por ejemplo obtener errores estándar o intervalos de confianza, pueden utilizarse métodos de replicación (bootstrap/jackknife) compatibles con el paquete</w:t>
      </w:r>
      <w:r>
        <w:t xml:space="preserve"> </w:t>
      </w:r>
      <w:r>
        <w:rPr>
          <w:rStyle w:val="VerbatimChar"/>
        </w:rPr>
        <w:t xml:space="preserve">survey</w:t>
      </w:r>
      <w:r>
        <w:t xml:space="preserve">. Otra opción es utilizar la función</w:t>
      </w:r>
      <w:r>
        <w:t xml:space="preserve"> </w:t>
      </w:r>
      <w:r>
        <w:rPr>
          <w:rStyle w:val="VerbatimChar"/>
        </w:rPr>
        <w:t xml:space="preserve">svycor()</w:t>
      </w:r>
      <w:r>
        <w:t xml:space="preserve"> </w:t>
      </w:r>
      <w:r>
        <w:t xml:space="preserve">del paquete</w:t>
      </w:r>
      <w:r>
        <w:t xml:space="preserve"> </w:t>
      </w:r>
      <w:r>
        <w:rPr>
          <w:rStyle w:val="VerbatimChar"/>
        </w:rPr>
        <w:t xml:space="preserve">jtools</w:t>
      </w:r>
      <w:r>
        <w:t xml:space="preserve"> </w:t>
      </w:r>
      <w:r>
        <w:t xml:space="preserve">para estimar directamente la correlación:</w:t>
      </w:r>
    </w:p>
    <w:p>
      <w:pPr>
        <w:pStyle w:val="SourceCode"/>
      </w:pPr>
      <w:r>
        <w:rPr>
          <w:rStyle w:val="FunctionTok"/>
        </w:rPr>
        <w:t xml:space="preserve">library</w:t>
      </w:r>
      <w:r>
        <w:rPr>
          <w:rStyle w:val="NormalTok"/>
        </w:rPr>
        <w:t xml:space="preserve">(jtools)</w:t>
      </w:r>
      <w:r>
        <w:br/>
      </w:r>
      <w:r>
        <w:br/>
      </w:r>
      <w:r>
        <w:rPr>
          <w:rStyle w:val="FunctionTok"/>
        </w:rPr>
        <w:t xml:space="preserve">svycor</w:t>
      </w:r>
      <w:r>
        <w:rPr>
          <w:rStyle w:val="NormalTok"/>
        </w:rPr>
        <w:t xml:space="preserve">(</w:t>
      </w:r>
      <w:r>
        <w:rPr>
          <w:rStyle w:val="SpecialCharTok"/>
        </w:rPr>
        <w:t xml:space="preserve">~</w:t>
      </w:r>
      <w:r>
        <w:rPr>
          <w:rStyle w:val="NormalTok"/>
        </w:rPr>
        <w:t xml:space="preserve">Income </w:t>
      </w:r>
      <w:r>
        <w:rPr>
          <w:rStyle w:val="SpecialCharTok"/>
        </w:rPr>
        <w:t xml:space="preserve">+</w:t>
      </w:r>
      <w:r>
        <w:rPr>
          <w:rStyle w:val="NormalTok"/>
        </w:rPr>
        <w:t xml:space="preserve"> Expenditure, </w:t>
      </w:r>
      <w:r>
        <w:rPr>
          <w:rStyle w:val="AttributeTok"/>
        </w:rPr>
        <w:t xml:space="preserve">design =</w:t>
      </w:r>
      <w:r>
        <w:rPr>
          <w:rStyle w:val="NormalTok"/>
        </w:rPr>
        <w:t xml:space="preserve"> survey_design)</w:t>
      </w:r>
    </w:p>
    <w:p>
      <w:pPr>
        <w:pStyle w:val="SourceCode"/>
      </w:pPr>
      <w:r>
        <w:rPr>
          <w:rStyle w:val="VerbatimChar"/>
        </w:rPr>
        <w:t xml:space="preserve">            Income Expenditure</w:t>
      </w:r>
      <w:r>
        <w:br/>
      </w:r>
      <w:r>
        <w:rPr>
          <w:rStyle w:val="VerbatimChar"/>
        </w:rPr>
        <w:t xml:space="preserve">Income        1.00        0.71</w:t>
      </w:r>
      <w:r>
        <w:br/>
      </w:r>
      <w:r>
        <w:rPr>
          <w:rStyle w:val="VerbatimChar"/>
        </w:rPr>
        <w:t xml:space="preserve">Expenditure   0.71        1.00</w:t>
      </w:r>
    </w:p>
    <w:bookmarkEnd w:id="60"/>
    <w:bookmarkEnd w:id="61"/>
    <w:bookmarkStart w:id="64" w:name="pruebas-de-hipotesis"/>
    <w:p>
      <w:pPr>
        <w:pStyle w:val="Heading2"/>
      </w:pPr>
      <w:r>
        <w:t xml:space="preserve">3.3 Pruebas de hipótesis</w:t>
      </w:r>
    </w:p>
    <w:p>
      <w:pPr>
        <w:pStyle w:val="FirstParagraph"/>
      </w:pPr>
      <w:r>
        <w:t xml:space="preserve">En el análisis de datos provenientes de encuestas de hogares no basta con estudiar cada variable de manera aislada, como estimar el ingreso medio de hombres y mujeres en un país. También es fundamental comparar grupos y evaluar si las diferencias observadas entre ellos reflejan desigualdades reales en la población o si podrían explicarse simplemente por el error de muestreo. Por ejemplo, una pregunta frecuente consiste en determinar si existen diferencias estadísticamente significativas en el ingreso medio entre hogares dirigidos por hombres y hogares dirigidos por mujeres. Este tipo de análisis permite identificar brechas sociales y económicas, además de generar evidencia útil para el diseño y evaluación de políticas públicas.</w:t>
      </w:r>
    </w:p>
    <w:p>
      <w:pPr>
        <w:pStyle w:val="BodyText"/>
      </w:pPr>
      <w:r>
        <w:t xml:space="preserve">Según</w:t>
      </w:r>
      <w:r>
        <w:t xml:space="preserve"> </w:t>
      </w:r>
      <w:r>
        <w:t xml:space="preserve">Heeringa et al. (2017)</w:t>
      </w:r>
      <w:r>
        <w:t xml:space="preserve">, para responder este tipo de interrogantes se utilizan pruebas de hipótesis, es decir, procedimientos estadísticos que permiten contrastar afirmaciones sobre parámetros poblacionales utilizando la información observada en la muestra. En el contexto de encuestas de hogares, estas pruebas deben incorporar adecuadamente las características del diseño muestral con el fin de garantizar inferencias válidas y resultados confiables.</w:t>
      </w:r>
    </w:p>
    <w:p>
      <w:pPr>
        <w:pStyle w:val="BodyText"/>
      </w:pPr>
      <w:r>
        <w:t xml:space="preserve">Las pruebas de hipótesis constituyen una herramienta fundamental para evaluar afirmaciones sobre parámetros poblacionales a partir de la información observada en una muestra. En términos generales, toda prueba de hipótesis se basa en el contraste entre dos proposiciones opuestas: la hipótesis nula, denotada por</w:t>
      </w:r>
      <w:r>
        <w:t xml:space="preserve"> </w:t>
      </w:r>
      <m:oMath>
        <m:sSub>
          <m:e>
            <m:r>
              <m:t>H</m:t>
            </m:r>
          </m:e>
          <m:sub>
            <m:r>
              <m:t>0</m:t>
            </m:r>
          </m:sub>
        </m:sSub>
      </m:oMath>
      <w:r>
        <w:t xml:space="preserve">, y la hipótesis alternativa, denotada por</w:t>
      </w:r>
      <w:r>
        <w:t xml:space="preserve"> </w:t>
      </w:r>
      <m:oMath>
        <m:sSub>
          <m:e>
            <m:r>
              <m:t>H</m:t>
            </m:r>
          </m:e>
          <m:sub>
            <m:r>
              <m:t>1</m:t>
            </m:r>
          </m:sub>
        </m:sSub>
      </m:oMath>
      <w:r>
        <w:t xml:space="preserve">. En el caso más común de una prueba bilateral, estas hipótesis se expresan como:</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sSub>
                      <m:e>
                        <m:r>
                          <m:t>H</m:t>
                        </m:r>
                      </m:e>
                      <m:sub>
                        <m:r>
                          <m:t>0</m:t>
                        </m:r>
                      </m:sub>
                    </m:sSub>
                    <m:r>
                      <m:rPr>
                        <m:sty m:val="p"/>
                      </m:rPr>
                      <m:t>:</m:t>
                    </m:r>
                  </m:e>
                  <m:e>
                    <m:r>
                      <m:t>θ</m:t>
                    </m:r>
                    <m:r>
                      <m:rPr>
                        <m:sty m:val="p"/>
                      </m:rPr>
                      <m:t>=</m:t>
                    </m:r>
                    <m:sSub>
                      <m:e>
                        <m:r>
                          <m:t>θ</m:t>
                        </m:r>
                      </m:e>
                      <m:sub>
                        <m:r>
                          <m:t>0</m:t>
                        </m:r>
                      </m:sub>
                    </m:sSub>
                  </m:e>
                </m:mr>
                <m:mr>
                  <m:e>
                    <m:sSub>
                      <m:e>
                        <m:r>
                          <m:t>H</m:t>
                        </m:r>
                      </m:e>
                      <m:sub>
                        <m:r>
                          <m:t>1</m:t>
                        </m:r>
                      </m:sub>
                    </m:sSub>
                    <m:r>
                      <m:rPr>
                        <m:sty m:val="p"/>
                      </m:rPr>
                      <m:t>:</m:t>
                    </m:r>
                  </m:e>
                  <m:e>
                    <m:r>
                      <m:t>θ</m:t>
                    </m:r>
                    <m:r>
                      <m:rPr>
                        <m:sty m:val="p"/>
                      </m:rPr>
                      <m:t>≠</m:t>
                    </m:r>
                    <m:sSub>
                      <m:e>
                        <m:r>
                          <m:t>θ</m:t>
                        </m:r>
                      </m:e>
                      <m:sub>
                        <m:r>
                          <m:t>0</m:t>
                        </m:r>
                      </m:sub>
                    </m:sSub>
                  </m:e>
                </m:mr>
              </m:m>
            </m:e>
          </m:d>
        </m:oMath>
      </m:oMathPara>
    </w:p>
    <w:p>
      <w:pPr>
        <w:pStyle w:val="FirstParagraph"/>
      </w:pPr>
      <w:r>
        <w:t xml:space="preserve">donde</w:t>
      </w:r>
      <w:r>
        <w:t xml:space="preserve"> </w:t>
      </w:r>
      <m:oMath>
        <m:r>
          <m:t>θ</m:t>
        </m:r>
      </m:oMath>
      <w:r>
        <w:t xml:space="preserve"> </w:t>
      </w:r>
      <w:r>
        <w:t xml:space="preserve">representa el parámetro poblacional de interés y</w:t>
      </w:r>
      <w:r>
        <w:t xml:space="preserve"> </w:t>
      </w:r>
      <m:oMath>
        <m:sSub>
          <m:e>
            <m:r>
              <m:t>θ</m:t>
            </m:r>
          </m:e>
          <m:sub>
            <m:r>
              <m:t>0</m:t>
            </m:r>
          </m:sub>
        </m:sSub>
      </m:oMath>
      <w:r>
        <w:t xml:space="preserve"> </w:t>
      </w:r>
      <w:r>
        <w:t xml:space="preserve">un valor de referencia especificado bajo la hipótesis nula. Dependiendo del objetivo del análisis, la hipótesis alternativa también puede formularse de manera unilateral, por ejemplo, cuando se desea evaluar si</w:t>
      </w:r>
      <w:r>
        <w:t xml:space="preserve"> </w:t>
      </w:r>
      <m:oMath>
        <m:r>
          <m:t>θ</m:t>
        </m:r>
        <m:r>
          <m:rPr>
            <m:sty m:val="p"/>
          </m:rPr>
          <m:t>&gt;</m:t>
        </m:r>
        <m:sSub>
          <m:e>
            <m:r>
              <m:t>θ</m:t>
            </m:r>
          </m:e>
          <m:sub>
            <m:r>
              <m:t>0</m:t>
            </m:r>
          </m:sub>
        </m:sSub>
      </m:oMath>
      <w:r>
        <w:t xml:space="preserve"> </w:t>
      </w:r>
      <w:r>
        <w:t xml:space="preserve">o si</w:t>
      </w:r>
      <w:r>
        <w:t xml:space="preserve"> </w:t>
      </w:r>
      <m:oMath>
        <m:r>
          <m:t>θ</m:t>
        </m:r>
        <m:r>
          <m:rPr>
            <m:sty m:val="p"/>
          </m:rPr>
          <m:t>&lt;</m:t>
        </m:r>
        <m:sSub>
          <m:e>
            <m:r>
              <m:t>θ</m:t>
            </m:r>
          </m:e>
          <m:sub>
            <m:r>
              <m:t>0</m:t>
            </m:r>
          </m:sub>
        </m:sSub>
      </m:oMath>
      <w:r>
        <w:t xml:space="preserve">. El propósito de la prueba es determinar si la evidencia contenida en la muestra resulta suficientemente fuerte para rechazar la hipótesis nula en favor de la hipótesis alternativa.</w:t>
      </w:r>
    </w:p>
    <w:p>
      <w:pPr>
        <w:pStyle w:val="BodyText"/>
      </w:pPr>
      <w:r>
        <w:t xml:space="preserve">Supóngase que</w:t>
      </w:r>
      <w:r>
        <w:t xml:space="preserve"> </w:t>
      </w:r>
      <m:oMath>
        <m:sSub>
          <m:e>
            <m:acc>
              <m:accPr>
                <m:chr m:val="‾"/>
              </m:accPr>
              <m:e>
                <m:r>
                  <m:t>y</m:t>
                </m:r>
              </m:e>
            </m:acc>
          </m:e>
          <m:sub>
            <m:r>
              <m:t>1</m:t>
            </m:r>
          </m:sub>
        </m:sSub>
      </m:oMath>
      <w:r>
        <w:t xml:space="preserve"> </w:t>
      </w:r>
      <w:r>
        <w:t xml:space="preserve">y</w:t>
      </w:r>
      <w:r>
        <w:t xml:space="preserve"> </w:t>
      </w:r>
      <m:oMath>
        <m:sSub>
          <m:e>
            <m:acc>
              <m:accPr>
                <m:chr m:val="‾"/>
              </m:accPr>
              <m:e>
                <m:r>
                  <m:t>y</m:t>
                </m:r>
              </m:e>
            </m:acc>
          </m:e>
          <m:sub>
            <m:r>
              <m:t>2</m:t>
            </m:r>
          </m:sub>
        </m:sSub>
      </m:oMath>
      <w:r>
        <w:t xml:space="preserve"> </w:t>
      </w:r>
      <w:r>
        <w:t xml:space="preserve">representan las medias poblacionales de una variable</w:t>
      </w:r>
      <w:r>
        <w:t xml:space="preserve"> </w:t>
      </w:r>
      <m:oMath>
        <m:r>
          <m:t>y</m:t>
        </m:r>
      </m:oMath>
      <w:r>
        <w:t xml:space="preserve"> </w:t>
      </w:r>
      <w:r>
        <w:t xml:space="preserve">en dos dominios distintos, por ejemplo, el ingreso medio de hogares con jefatura masculina y el ingreso medio de hogares con jefatura femenina. Entonces, el parámetro de interés corresponde a la diferencia:</w:t>
      </w:r>
    </w:p>
    <w:p>
      <w:pPr>
        <w:pStyle w:val="BodyText"/>
      </w:pPr>
      <m:oMathPara>
        <m:oMathParaPr>
          <m:jc m:val="center"/>
        </m:oMathParaPr>
        <m:oMath>
          <m:r>
            <m:rPr>
              <m:sty m:val="p"/>
            </m:rPr>
            <m:t>Δ</m:t>
          </m:r>
          <m:r>
            <m:rPr>
              <m:sty m:val="p"/>
            </m:rPr>
            <m:t>=</m:t>
          </m:r>
          <m:sSub>
            <m:e>
              <m:acc>
                <m:accPr>
                  <m:chr m:val="‾"/>
                </m:accPr>
                <m:e>
                  <m:r>
                    <m:t>y</m:t>
                  </m:r>
                </m:e>
              </m:acc>
            </m:e>
            <m:sub>
              <m:r>
                <m:t>1</m:t>
              </m:r>
            </m:sub>
          </m:sSub>
          <m:r>
            <m:rPr>
              <m:sty m:val="p"/>
            </m:rPr>
            <m:t>−</m:t>
          </m:r>
          <m:sSub>
            <m:e>
              <m:acc>
                <m:accPr>
                  <m:chr m:val="‾"/>
                </m:accPr>
                <m:e>
                  <m:r>
                    <m:t>y</m:t>
                  </m:r>
                </m:e>
              </m:acc>
            </m:e>
            <m:sub>
              <m:r>
                <m:t>2</m:t>
              </m:r>
            </m:sub>
          </m:sSub>
        </m:oMath>
      </m:oMathPara>
    </w:p>
    <w:p>
      <w:pPr>
        <w:pStyle w:val="FirstParagraph"/>
      </w:pPr>
      <w:r>
        <w:t xml:space="preserve">Su estimador muestral se define como:</w:t>
      </w:r>
    </w:p>
    <w:p>
      <w:pPr>
        <w:pStyle w:val="BodyText"/>
      </w:pPr>
      <m:oMathPara>
        <m:oMathParaPr>
          <m:jc m:val="center"/>
        </m:oMathParaPr>
        <m:oMath>
          <m:acc>
            <m:accPr>
              <m:chr m:val="̂"/>
            </m:accPr>
            <m:e>
              <m:r>
                <m:rPr>
                  <m:sty m:val="p"/>
                </m:rPr>
                <m:t>Δ</m:t>
              </m:r>
            </m:e>
          </m:acc>
          <m:r>
            <m:rPr>
              <m:sty m:val="p"/>
            </m:rPr>
            <m:t>=</m:t>
          </m:r>
          <m:sSub>
            <m:e>
              <m:acc>
                <m:accPr>
                  <m:chr m:val="̂"/>
                </m:accPr>
                <m:e>
                  <m:acc>
                    <m:accPr>
                      <m:chr m:val="‾"/>
                    </m:accPr>
                    <m:e>
                      <m:r>
                        <m:t>y</m:t>
                      </m:r>
                    </m:e>
                  </m:acc>
                </m:e>
              </m:acc>
            </m:e>
            <m:sub>
              <m:r>
                <m:t>1</m:t>
              </m:r>
            </m:sub>
          </m:sSub>
          <m:r>
            <m:rPr>
              <m:sty m:val="p"/>
            </m:rPr>
            <m:t>−</m:t>
          </m:r>
          <m:sSub>
            <m:e>
              <m:acc>
                <m:accPr>
                  <m:chr m:val="̂"/>
                </m:accPr>
                <m:e>
                  <m:acc>
                    <m:accPr>
                      <m:chr m:val="‾"/>
                    </m:accPr>
                    <m:e>
                      <m:r>
                        <m:t>y</m:t>
                      </m:r>
                    </m:e>
                  </m:acc>
                </m:e>
              </m:acc>
            </m:e>
            <m:sub>
              <m:r>
                <m:t>2</m:t>
              </m:r>
            </m:sub>
          </m:sSub>
        </m:oMath>
      </m:oMathPara>
    </w:p>
    <w:p>
      <w:pPr>
        <w:pStyle w:val="FirstParagraph"/>
      </w:pPr>
      <w:r>
        <w:t xml:space="preserve">Su error estándar se estima mediante la siguiente expresión:</w:t>
      </w:r>
    </w:p>
    <w:p>
      <w:pPr>
        <w:pStyle w:val="BodyText"/>
      </w:pPr>
      <m:oMathPara>
        <m:oMathParaPr>
          <m:jc m:val="center"/>
        </m:oMathParaPr>
        <m:oMath>
          <m:acc>
            <m:accPr>
              <m:chr m:val="̂"/>
            </m:accPr>
            <m:e>
              <m:r>
                <m:t>s</m:t>
              </m:r>
              <m:r>
                <m:t>e</m:t>
              </m:r>
            </m:e>
          </m:acc>
          <m:r>
            <m:rPr>
              <m:sty m:val="p"/>
            </m:rPr>
            <m:t>(</m:t>
          </m:r>
          <m:acc>
            <m:accPr>
              <m:chr m:val="̂"/>
            </m:accPr>
            <m:e>
              <m:r>
                <m:rPr>
                  <m:sty m:val="p"/>
                </m:rPr>
                <m:t>Δ</m:t>
              </m:r>
            </m:e>
          </m:acc>
          <m:r>
            <m:rPr>
              <m:sty m:val="p"/>
            </m:rPr>
            <m:t>)</m:t>
          </m:r>
          <m:r>
            <m:rPr>
              <m:sty m:val="p"/>
            </m:rPr>
            <m:t>=</m:t>
          </m:r>
          <m:rad>
            <m:radPr>
              <m:degHide m:val="on"/>
            </m:radPr>
            <m:deg/>
            <m:e>
              <m:acc>
                <m:accPr>
                  <m:chr m:val="̂"/>
                </m:accPr>
                <m:e>
                  <m:r>
                    <m:t>V</m:t>
                  </m:r>
                  <m:r>
                    <m:t>a</m:t>
                  </m:r>
                  <m:r>
                    <m:t>r</m:t>
                  </m:r>
                </m:e>
              </m:acc>
              <m:r>
                <m:rPr>
                  <m:sty m:val="p"/>
                </m:rPr>
                <m:t>(</m:t>
              </m:r>
              <m:sSub>
                <m:e>
                  <m:acc>
                    <m:accPr>
                      <m:chr m:val="̂"/>
                    </m:accPr>
                    <m:e>
                      <m:acc>
                        <m:accPr>
                          <m:chr m:val="‾"/>
                        </m:accPr>
                        <m:e>
                          <m:r>
                            <m:t>y</m:t>
                          </m:r>
                        </m:e>
                      </m:acc>
                    </m:e>
                  </m:acc>
                </m:e>
                <m:sub>
                  <m:r>
                    <m:t>1</m:t>
                  </m:r>
                </m:sub>
              </m:sSub>
              <m:r>
                <m:rPr>
                  <m:sty m:val="p"/>
                </m:rPr>
                <m:t>)</m:t>
              </m:r>
              <m:r>
                <m:rPr>
                  <m:sty m:val="p"/>
                </m:rPr>
                <m:t>+</m:t>
              </m:r>
              <m:acc>
                <m:accPr>
                  <m:chr m:val="̂"/>
                </m:accPr>
                <m:e>
                  <m:r>
                    <m:t>V</m:t>
                  </m:r>
                  <m:r>
                    <m:t>a</m:t>
                  </m:r>
                  <m:r>
                    <m:t>r</m:t>
                  </m:r>
                </m:e>
              </m:acc>
              <m:r>
                <m:rPr>
                  <m:sty m:val="p"/>
                </m:rPr>
                <m:t>(</m:t>
              </m:r>
              <m:sSub>
                <m:e>
                  <m:acc>
                    <m:accPr>
                      <m:chr m:val="̂"/>
                    </m:accPr>
                    <m:e>
                      <m:acc>
                        <m:accPr>
                          <m:chr m:val="‾"/>
                        </m:accPr>
                        <m:e>
                          <m:r>
                            <m:t>y</m:t>
                          </m:r>
                        </m:e>
                      </m:acc>
                    </m:e>
                  </m:acc>
                </m:e>
                <m:sub>
                  <m:r>
                    <m:t>2</m:t>
                  </m:r>
                </m:sub>
              </m:sSub>
              <m:r>
                <m:rPr>
                  <m:sty m:val="p"/>
                </m:rPr>
                <m:t>)</m:t>
              </m:r>
              <m:r>
                <m:rPr>
                  <m:sty m:val="p"/>
                </m:rPr>
                <m:t>−</m:t>
              </m:r>
              <m:r>
                <m:t>2</m:t>
              </m:r>
              <m:acc>
                <m:accPr>
                  <m:chr m:val="̂"/>
                </m:accPr>
                <m:e>
                  <m:r>
                    <m:t>C</m:t>
                  </m:r>
                  <m:r>
                    <m:t>o</m:t>
                  </m:r>
                  <m:r>
                    <m:t>v</m:t>
                  </m:r>
                </m:e>
              </m:acc>
              <m:r>
                <m:rPr>
                  <m:sty m:val="p"/>
                </m:rPr>
                <m:t>(</m:t>
              </m:r>
              <m:sSub>
                <m:e>
                  <m:acc>
                    <m:accPr>
                      <m:chr m:val="̂"/>
                    </m:accPr>
                    <m:e>
                      <m:acc>
                        <m:accPr>
                          <m:chr m:val="‾"/>
                        </m:accPr>
                        <m:e>
                          <m:r>
                            <m:t>y</m:t>
                          </m:r>
                        </m:e>
                      </m:acc>
                    </m:e>
                  </m:acc>
                </m:e>
                <m:sub>
                  <m:r>
                    <m:t>1</m:t>
                  </m:r>
                </m:sub>
              </m:sSub>
              <m:r>
                <m:rPr>
                  <m:sty m:val="p"/>
                </m:rPr>
                <m:t>,</m:t>
              </m:r>
              <m:sSub>
                <m:e>
                  <m:acc>
                    <m:accPr>
                      <m:chr m:val="̂"/>
                    </m:accPr>
                    <m:e>
                      <m:acc>
                        <m:accPr>
                          <m:chr m:val="‾"/>
                        </m:accPr>
                        <m:e>
                          <m:r>
                            <m:t>y</m:t>
                          </m:r>
                        </m:e>
                      </m:acc>
                    </m:e>
                  </m:acc>
                </m:e>
                <m:sub>
                  <m:r>
                    <m:t>2</m:t>
                  </m:r>
                </m:sub>
              </m:sSub>
              <m:r>
                <m:rPr>
                  <m:sty m:val="p"/>
                </m:rPr>
                <m:t>)</m:t>
              </m:r>
            </m:e>
          </m:rad>
        </m:oMath>
      </m:oMathPara>
    </w:p>
    <w:p>
      <w:pPr>
        <w:pStyle w:val="FirstParagraph"/>
      </w:pPr>
      <w:r>
        <w:t xml:space="preserve">La presencia del término de covarianza es importante porque las estimaciones de ambos dominios suelen provenir de la misma muestra y, por tanto, no necesariamente son independientes. Una vez calculado el estimador y su error estándar, el contraste de hipótesis se realiza utilizando el siguiente estadístico de prueba:</w:t>
      </w:r>
    </w:p>
    <w:p>
      <w:pPr>
        <w:pStyle w:val="BodyText"/>
      </w:pPr>
      <m:oMathPara>
        <m:oMathParaPr>
          <m:jc m:val="center"/>
        </m:oMathParaPr>
        <m:oMath>
          <m:r>
            <m:t>t</m:t>
          </m:r>
          <m:r>
            <m:rPr>
              <m:sty m:val="p"/>
            </m:rPr>
            <m:t>=</m:t>
          </m:r>
          <m:f>
            <m:fPr>
              <m:type m:val="bar"/>
            </m:fPr>
            <m:num>
              <m:acc>
                <m:accPr>
                  <m:chr m:val="̂"/>
                </m:accPr>
                <m:e>
                  <m:r>
                    <m:rPr>
                      <m:sty m:val="p"/>
                    </m:rPr>
                    <m:t>Δ</m:t>
                  </m:r>
                </m:e>
              </m:acc>
            </m:num>
            <m:den>
              <m:acc>
                <m:accPr>
                  <m:chr m:val="̂"/>
                </m:accPr>
                <m:e>
                  <m:r>
                    <m:t>s</m:t>
                  </m:r>
                  <m:r>
                    <m:t>e</m:t>
                  </m:r>
                </m:e>
              </m:acc>
              <m:r>
                <m:rPr>
                  <m:sty m:val="p"/>
                </m:rPr>
                <m:t>(</m:t>
              </m:r>
              <m:acc>
                <m:accPr>
                  <m:chr m:val="̂"/>
                </m:accPr>
                <m:e>
                  <m:r>
                    <m:rPr>
                      <m:sty m:val="p"/>
                    </m:rPr>
                    <m:t>Δ</m:t>
                  </m:r>
                </m:e>
              </m:acc>
              <m:r>
                <m:rPr>
                  <m:sty m:val="p"/>
                </m:rPr>
                <m:t>)</m:t>
              </m:r>
            </m:den>
          </m:f>
          <m:r>
            <m:rPr>
              <m:sty m:val="p"/>
            </m:rPr>
            <m:t>∼</m:t>
          </m:r>
          <m:sSub>
            <m:e>
              <m:r>
                <m:t>t</m:t>
              </m:r>
            </m:e>
            <m:sub>
              <m:r>
                <m:t>d</m:t>
              </m:r>
              <m:r>
                <m:t>f</m:t>
              </m:r>
            </m:sub>
          </m:sSub>
        </m:oMath>
      </m:oMathPara>
    </w:p>
    <w:p>
      <w:pPr>
        <w:pStyle w:val="FirstParagraph"/>
      </w:pPr>
      <w:r>
        <w:t xml:space="preserve">Este estadístico sigue aproximadamente una distribución</w:t>
      </w:r>
      <w:r>
        <w:t xml:space="preserve"> </w:t>
      </w:r>
      <m:oMath>
        <m:r>
          <m:t>t</m:t>
        </m:r>
      </m:oMath>
      <w:r>
        <w:t xml:space="preserve"> </w:t>
      </w:r>
      <w:r>
        <w:t xml:space="preserve">de Student con</w:t>
      </w:r>
      <w:r>
        <w:t xml:space="preserve"> </w:t>
      </w:r>
      <m:oMath>
        <m:r>
          <m:rPr>
            <m:sty m:val="p"/>
          </m:rPr>
          <m:t>(</m:t>
        </m:r>
        <m:r>
          <m:t>d</m:t>
        </m:r>
        <m:r>
          <m:t>f</m:t>
        </m:r>
        <m:r>
          <m:rPr>
            <m:sty m:val="p"/>
          </m:rPr>
          <m:t>)</m:t>
        </m:r>
      </m:oMath>
      <w:r>
        <w:t xml:space="preserve"> </w:t>
      </w:r>
      <w:r>
        <w:t xml:space="preserve">grados de libertad. En la práctica, estos grados de libertad suelen aproximarse mediante</w:t>
      </w:r>
      <w:r>
        <w:t xml:space="preserve"> </w:t>
      </w:r>
      <m:oMath>
        <m:r>
          <m:t>d</m:t>
        </m:r>
        <m:r>
          <m:t>f</m:t>
        </m:r>
        <m:r>
          <m:rPr>
            <m:sty m:val="p"/>
          </m:rPr>
          <m:t>=</m:t>
        </m:r>
        <m:sSub>
          <m:e>
            <m:r>
              <m:t>n</m:t>
            </m:r>
          </m:e>
          <m:sub>
            <m:r>
              <m:t>I</m:t>
            </m:r>
          </m:sub>
        </m:sSub>
        <m:r>
          <m:rPr>
            <m:sty m:val="p"/>
          </m:rPr>
          <m:t>−</m:t>
        </m:r>
        <m:r>
          <m:t>H</m:t>
        </m:r>
      </m:oMath>
      <w:r>
        <w:t xml:space="preserve">, donde</w:t>
      </w:r>
      <w:r>
        <w:t xml:space="preserve"> </w:t>
      </w:r>
      <m:oMath>
        <m:sSub>
          <m:e>
            <m:r>
              <m:t>n</m:t>
            </m:r>
          </m:e>
          <m:sub>
            <m:r>
              <m:t>I</m:t>
            </m:r>
          </m:sub>
        </m:sSub>
      </m:oMath>
      <w:r>
        <w:t xml:space="preserve"> </w:t>
      </w:r>
      <w:r>
        <w:t xml:space="preserve">representa el número de unidades primarias de muestreo y</w:t>
      </w:r>
      <w:r>
        <w:t xml:space="preserve"> </w:t>
      </w:r>
      <m:oMath>
        <m:r>
          <m:t>H</m:t>
        </m:r>
      </m:oMath>
      <w:r>
        <w:t xml:space="preserve"> </w:t>
      </w:r>
      <w:r>
        <w:t xml:space="preserve">el número de estratos. Bajo la hipótesis nula, valores absolutos elevados del estadístico</w:t>
      </w:r>
      <w:r>
        <w:t xml:space="preserve"> </w:t>
      </w:r>
      <m:oMath>
        <m:r>
          <m:t>t</m:t>
        </m:r>
      </m:oMath>
      <w:r>
        <w:t xml:space="preserve"> </w:t>
      </w:r>
      <w:r>
        <w:t xml:space="preserve">constituyen evidencia en contra de</w:t>
      </w:r>
      <w:r>
        <w:t xml:space="preserve"> </w:t>
      </w:r>
      <m:oMath>
        <m:sSub>
          <m:e>
            <m:r>
              <m:t>H</m:t>
            </m:r>
          </m:e>
          <m:sub>
            <m:r>
              <m:t>0</m:t>
            </m:r>
          </m:sub>
        </m:sSub>
      </m:oMath>
      <w:r>
        <w:t xml:space="preserve">. De manera complementaria, también puede construirse un intervalo de confianza para el parámetro</w:t>
      </w:r>
      <w:r>
        <w:t xml:space="preserve"> </w:t>
      </w:r>
      <m:oMath>
        <m:r>
          <m:rPr>
            <m:sty m:val="p"/>
          </m:rPr>
          <m:t>Δ</m:t>
        </m:r>
      </m:oMath>
      <w:r>
        <w:t xml:space="preserve">. Para un nivel de confianza de</w:t>
      </w:r>
      <w:r>
        <w:t xml:space="preserve"> </w:t>
      </w:r>
      <m:oMath>
        <m:r>
          <m:rPr>
            <m:sty m:val="p"/>
          </m:rPr>
          <m:t>(</m:t>
        </m:r>
        <m:r>
          <m:t>1</m:t>
        </m:r>
        <m:r>
          <m:rPr>
            <m:sty m:val="p"/>
          </m:rPr>
          <m:t>−</m:t>
        </m:r>
        <m:r>
          <m:t>α</m:t>
        </m:r>
        <m:r>
          <m:rPr>
            <m:sty m:val="p"/>
          </m:rPr>
          <m:t>)</m:t>
        </m:r>
        <m:r>
          <m:t>100</m:t>
        </m:r>
        <m:r>
          <m:rPr>
            <m:sty m:val="p"/>
          </m:rPr>
          <m:t>%</m:t>
        </m:r>
      </m:oMath>
      <w:r>
        <w:t xml:space="preserve">, dicho intervalo está dado por:</w:t>
      </w:r>
    </w:p>
    <w:p>
      <w:pPr>
        <w:pStyle w:val="BodyText"/>
      </w:pPr>
      <m:oMathPara>
        <m:oMathParaPr>
          <m:jc m:val="center"/>
        </m:oMathParaPr>
        <m:oMath>
          <m:acc>
            <m:accPr>
              <m:chr m:val="̂"/>
            </m:accPr>
            <m:e>
              <m:r>
                <m:rPr>
                  <m:sty m:val="p"/>
                </m:rPr>
                <m:t>Δ</m:t>
              </m:r>
            </m:e>
          </m:acc>
          <m:r>
            <m:t> </m:t>
          </m:r>
          <m:r>
            <m:rPr>
              <m:sty m:val="p"/>
            </m:rPr>
            <m:t>±</m:t>
          </m:r>
          <m:r>
            <m:t> </m:t>
          </m:r>
          <m:sSub>
            <m:e>
              <m:r>
                <m:t>t</m:t>
              </m:r>
            </m:e>
            <m:sub>
              <m:r>
                <m:rPr>
                  <m:sty m:val="p"/>
                </m:rPr>
                <m:t>(</m:t>
              </m:r>
              <m:r>
                <m:t>1</m:t>
              </m:r>
              <m:r>
                <m:rPr>
                  <m:sty m:val="p"/>
                </m:rPr>
                <m:t>−</m:t>
              </m:r>
              <m:r>
                <m:t>α</m:t>
              </m:r>
              <m:r>
                <m:rPr>
                  <m:sty m:val="p"/>
                </m:rPr>
                <m:t>/</m:t>
              </m:r>
              <m:r>
                <m:t>2</m:t>
              </m:r>
              <m:r>
                <m:rPr>
                  <m:sty m:val="p"/>
                </m:rPr>
                <m:t>,</m:t>
              </m:r>
              <m:r>
                <m:t>d</m:t>
              </m:r>
              <m:r>
                <m:t>f</m:t>
              </m:r>
              <m:r>
                <m:rPr>
                  <m:sty m:val="p"/>
                </m:rPr>
                <m:t>)</m:t>
              </m:r>
            </m:sub>
          </m:sSub>
          <m:r>
            <m:t> </m:t>
          </m:r>
          <m:acc>
            <m:accPr>
              <m:chr m:val="̂"/>
            </m:accPr>
            <m:e>
              <m:r>
                <m:t>s</m:t>
              </m:r>
              <m:r>
                <m:t>e</m:t>
              </m:r>
            </m:e>
          </m:acc>
          <m:r>
            <m:rPr>
              <m:sty m:val="p"/>
            </m:rPr>
            <m:t>(</m:t>
          </m:r>
          <m:acc>
            <m:accPr>
              <m:chr m:val="̂"/>
            </m:accPr>
            <m:e>
              <m:r>
                <m:rPr>
                  <m:sty m:val="p"/>
                </m:rPr>
                <m:t>Δ</m:t>
              </m:r>
            </m:e>
          </m:acc>
          <m:r>
            <m:rPr>
              <m:sty m:val="p"/>
            </m:rPr>
            <m:t>)</m:t>
          </m:r>
          <m:r>
            <m:rPr>
              <m:sty m:val="p"/>
            </m:rPr>
            <m:t>.</m:t>
          </m:r>
        </m:oMath>
      </m:oMathPara>
    </w:p>
    <w:p>
      <w:pPr>
        <w:pStyle w:val="FirstParagraph"/>
      </w:pPr>
      <w:r>
        <w:t xml:space="preserve">Este intervalo proporciona un rango de valores plausibles para la diferencia poblacional y constituye una herramienta útil para evaluar tanto la magnitud como la significación estadística de las diferencias observadas entre grupos.</w:t>
      </w:r>
    </w:p>
    <w:p>
      <w:pPr>
        <w:pStyle w:val="BodyText"/>
      </w:pPr>
      <w:r>
        <w:t xml:space="preserve">En</w:t>
      </w:r>
      <w:r>
        <w:t xml:space="preserve"> </w:t>
      </w:r>
      <w:r>
        <w:rPr>
          <w:rStyle w:val="VerbatimChar"/>
        </w:rPr>
        <w:t xml:space="preserve">R</w:t>
      </w:r>
      <w:r>
        <w:t xml:space="preserve">, estas pruebas pueden implementarse mediante la función</w:t>
      </w:r>
      <w:r>
        <w:t xml:space="preserve"> </w:t>
      </w:r>
      <w:r>
        <w:rPr>
          <w:rStyle w:val="VerbatimChar"/>
        </w:rPr>
        <w:t xml:space="preserve">svyttest()</w:t>
      </w:r>
      <w:r>
        <w:t xml:space="preserve"> </w:t>
      </w:r>
      <w:r>
        <w:t xml:space="preserve">del paquete</w:t>
      </w:r>
      <w:r>
        <w:t xml:space="preserve"> </w:t>
      </w:r>
      <w:r>
        <w:rPr>
          <w:rStyle w:val="VerbatimChar"/>
        </w:rPr>
        <w:t xml:space="preserve">survey</w:t>
      </w:r>
      <w:r>
        <w:t xml:space="preserve">, la cual incorpora automáticamente los ajustes asociados al diseño muestral. A partir de los resultados presentados en la</w:t>
      </w:r>
      <w:r>
        <w:t xml:space="preserve"> </w:t>
      </w:r>
      <w:hyperlink w:anchor="tbl-ttest-sexo">
        <w:r>
          <w:rPr>
            <w:rStyle w:val="Hyperlink"/>
          </w:rPr>
          <w:t xml:space="preserve">tabla 3.22</w:t>
        </w:r>
      </w:hyperlink>
      <w:r>
        <w:t xml:space="preserve"> </w:t>
      </w:r>
      <w:r>
        <w:t xml:space="preserve">puede concluirse que, con un nivel de confianza del 95%, no existe evidencia estadística suficiente para afirmar que los ingresos medios difieren según el sexo.</w:t>
      </w:r>
    </w:p>
    <w:p>
      <w:pPr>
        <w:pStyle w:val="SourceCode"/>
      </w:pPr>
      <w:r>
        <w:rPr>
          <w:rStyle w:val="NormalTok"/>
        </w:rPr>
        <w:t xml:space="preserve">ttest_sex </w:t>
      </w:r>
      <w:r>
        <w:rPr>
          <w:rStyle w:val="OtherTok"/>
        </w:rPr>
        <w:t xml:space="preserve">&lt;-</w:t>
      </w:r>
      <w:r>
        <w:rPr>
          <w:rStyle w:val="NormalTok"/>
        </w:rPr>
        <w:t xml:space="preserve"> </w:t>
      </w:r>
      <w:r>
        <w:rPr>
          <w:rStyle w:val="FunctionTok"/>
        </w:rPr>
        <w:t xml:space="preserve">svyttest</w:t>
      </w:r>
      <w:r>
        <w:rPr>
          <w:rStyle w:val="NormalTok"/>
        </w:rPr>
        <w:t xml:space="preserve">(Income </w:t>
      </w:r>
      <w:r>
        <w:rPr>
          <w:rStyle w:val="SpecialCharTok"/>
        </w:rPr>
        <w:t xml:space="preserve">~</w:t>
      </w:r>
      <w:r>
        <w:rPr>
          <w:rStyle w:val="NormalTok"/>
        </w:rPr>
        <w:t xml:space="preserve"> Sex, </w:t>
      </w:r>
      <w:r>
        <w:rPr>
          <w:rStyle w:val="AttributeTok"/>
        </w:rPr>
        <w:t xml:space="preserve">design =</w:t>
      </w:r>
      <w:r>
        <w:rPr>
          <w:rStyle w:val="NormalTok"/>
        </w:rPr>
        <w:t xml:space="preserve"> survey_design, </w:t>
      </w:r>
      <w:r>
        <w:rPr>
          <w:rStyle w:val="AttributeTok"/>
        </w:rPr>
        <w:t xml:space="preserve">level =</w:t>
      </w:r>
      <w:r>
        <w:rPr>
          <w:rStyle w:val="NormalTok"/>
        </w:rPr>
        <w:t xml:space="preserve"> </w:t>
      </w:r>
      <w:r>
        <w:rPr>
          <w:rStyle w:val="FloatTok"/>
        </w:rPr>
        <w:t xml:space="preserve">0.95</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2" w:name="tbl-ttest-sexo"/>
          <w:p>
            <w:pPr>
              <w:jc w:val="center"/>
            </w:pPr>
            <w:pPr>
              <w:jc w:val="left"/>
              <w:spacing w:before="200"/>
              <w:pStyle w:val="ImageCaption"/>
            </w:pPr>
            <w:r>
              <w:t xml:space="preserve">Tabla 3.22: Prueba de diferencia de ingresos medios por sexo (población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statistic</w:t>
                  </w:r>
                </w:p>
              </w:tc>
              <w:tc>
                <w:tcPr/>
                <w:p>
                  <w:pPr>
                    <w:pStyle w:val="Compact"/>
                    <w:jc w:val="right"/>
                    <w:jc w:val="center"/>
                  </w:pPr>
                  <w:r>
                    <w:t xml:space="preserve">p_value</w:t>
                  </w:r>
                </w:p>
              </w:tc>
              <w:tc>
                <w:tcPr/>
                <w:p>
                  <w:pPr>
                    <w:pStyle w:val="Compact"/>
                    <w:jc w:val="right"/>
                    <w:jc w:val="center"/>
                  </w:pPr>
                  <w:r>
                    <w:t xml:space="preserve">gl</w:t>
                  </w:r>
                </w:p>
              </w:tc>
              <w:tc>
                <w:tcPr/>
                <w:p>
                  <w:pPr>
                    <w:pStyle w:val="Compact"/>
                    <w:jc w:val="right"/>
                    <w:jc w:val="center"/>
                  </w:pPr>
                  <w:r>
                    <w:t xml:space="preserve">ci_lower</w:t>
                  </w:r>
                </w:p>
              </w:tc>
              <w:tc>
                <w:tcPr/>
                <w:p>
                  <w:pPr>
                    <w:pStyle w:val="Compact"/>
                    <w:jc w:val="right"/>
                    <w:jc w:val="center"/>
                  </w:pPr>
                  <w:r>
                    <w:t xml:space="preserve">ci_upper</w:t>
                  </w:r>
                </w:p>
              </w:tc>
              <w:tc>
                <w:tcPr/>
                <w:p>
                  <w:pPr>
                    <w:pStyle w:val="Compact"/>
                    <w:jc w:val="right"/>
                    <w:jc w:val="center"/>
                  </w:pPr>
                  <w:r>
                    <w:t xml:space="preserve">estimated_difference</w:t>
                  </w:r>
                </w:p>
              </w:tc>
            </w:tr>
            <w:tr>
              <w:tc>
                <w:tcPr/>
                <w:p>
                  <w:pPr>
                    <w:pStyle w:val="Compact"/>
                    <w:jc w:val="right"/>
                    <w:jc w:val="center"/>
                  </w:pPr>
                  <w:r>
                    <w:t xml:space="preserve">1.36</w:t>
                  </w:r>
                </w:p>
              </w:tc>
              <w:tc>
                <w:tcPr/>
                <w:p>
                  <w:pPr>
                    <w:pStyle w:val="Compact"/>
                    <w:jc w:val="right"/>
                    <w:jc w:val="center"/>
                  </w:pPr>
                  <w:r>
                    <w:t xml:space="preserve">0.176</w:t>
                  </w:r>
                </w:p>
              </w:tc>
              <w:tc>
                <w:tcPr/>
                <w:p>
                  <w:pPr>
                    <w:pStyle w:val="Compact"/>
                    <w:jc w:val="right"/>
                    <w:jc w:val="center"/>
                  </w:pPr>
                  <w:r>
                    <w:t xml:space="preserve">118</w:t>
                  </w:r>
                </w:p>
              </w:tc>
              <w:tc>
                <w:tcPr/>
                <w:p>
                  <w:pPr>
                    <w:pStyle w:val="Compact"/>
                    <w:jc w:val="right"/>
                    <w:jc w:val="center"/>
                  </w:pPr>
                  <w:r>
                    <w:t xml:space="preserve">-12.8</w:t>
                  </w:r>
                </w:p>
              </w:tc>
              <w:tc>
                <w:tcPr/>
                <w:p>
                  <w:pPr>
                    <w:pStyle w:val="Compact"/>
                    <w:jc w:val="right"/>
                    <w:jc w:val="center"/>
                  </w:pPr>
                  <w:r>
                    <w:t xml:space="preserve">69.4</w:t>
                  </w:r>
                </w:p>
              </w:tc>
              <w:tc>
                <w:tcPr/>
                <w:p>
                  <w:pPr>
                    <w:pStyle w:val="Compact"/>
                    <w:jc w:val="right"/>
                    <w:jc w:val="center"/>
                  </w:pPr>
                  <w:r>
                    <w:t xml:space="preserve">28.3</w:t>
                  </w:r>
                </w:p>
              </w:tc>
            </w:tr>
          </w:tbl>
          <w:bookmarkEnd w:id="62"/>
          <w:p/>
        </w:tc>
      </w:tr>
    </w:tbl>
    <w:p>
      <w:pPr>
        <w:pStyle w:val="BodyText"/>
      </w:pPr>
      <w:r>
        <w:t xml:space="preserve">Otra hipótesis de interés consiste en evaluar si los ingresos medios de los hogares difieren según el sexo de la jefatura dentro del área urbana, como se presenta en la</w:t>
      </w:r>
      <w:r>
        <w:t xml:space="preserve"> </w:t>
      </w:r>
      <w:hyperlink w:anchor="tbl-ttest-sexo-urbano">
        <w:r>
          <w:rPr>
            <w:rStyle w:val="Hyperlink"/>
          </w:rPr>
          <w:t xml:space="preserve">tabla 3.23</w:t>
        </w:r>
      </w:hyperlink>
      <w:r>
        <w:t xml:space="preserve">. Los resultados indican que no se rechaza la hipótesis nula</w:t>
      </w:r>
      <w:r>
        <w:t xml:space="preserve"> </w:t>
      </w:r>
      <m:oMath>
        <m:sSub>
          <m:e>
            <m:r>
              <m:t>H</m:t>
            </m:r>
          </m:e>
          <m:sub>
            <m:r>
              <m:t>0</m:t>
            </m:r>
          </m:sub>
        </m:sSub>
      </m:oMath>
      <w:r>
        <w:t xml:space="preserve">, por lo que no existe evidencia estadística suficiente para afirmar que los ingresos medios difieren por sexo en la zona urbana.</w:t>
      </w:r>
    </w:p>
    <w:p>
      <w:pPr>
        <w:pStyle w:val="SourceCode"/>
      </w:pPr>
      <w:r>
        <w:rPr>
          <w:rStyle w:val="NormalTok"/>
        </w:rPr>
        <w:t xml:space="preserve">urban_subset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"Urban"</w:t>
      </w:r>
      <w:r>
        <w:rPr>
          <w:rStyle w:val="NormalTok"/>
        </w:rPr>
        <w:t xml:space="preserve">)</w:t>
      </w:r>
      <w:r>
        <w:br/>
      </w:r>
      <w:r>
        <w:br/>
      </w:r>
      <w:r>
        <w:rPr>
          <w:rStyle w:val="NormalTok"/>
        </w:rPr>
        <w:t xml:space="preserve">ttest_urban </w:t>
      </w:r>
      <w:r>
        <w:rPr>
          <w:rStyle w:val="OtherTok"/>
        </w:rPr>
        <w:t xml:space="preserve">&lt;-</w:t>
      </w:r>
      <w:r>
        <w:rPr>
          <w:rStyle w:val="NormalTok"/>
        </w:rPr>
        <w:t xml:space="preserve"> </w:t>
      </w:r>
      <w:r>
        <w:rPr>
          <w:rStyle w:val="FunctionTok"/>
        </w:rPr>
        <w:t xml:space="preserve">svyttest</w:t>
      </w:r>
      <w:r>
        <w:rPr>
          <w:rStyle w:val="NormalTok"/>
        </w:rPr>
        <w:t xml:space="preserve">(Income </w:t>
      </w:r>
      <w:r>
        <w:rPr>
          <w:rStyle w:val="SpecialCharTok"/>
        </w:rPr>
        <w:t xml:space="preserve">~</w:t>
      </w:r>
      <w:r>
        <w:rPr>
          <w:rStyle w:val="NormalTok"/>
        </w:rPr>
        <w:t xml:space="preserve"> Sex, </w:t>
      </w:r>
      <w:r>
        <w:rPr>
          <w:rStyle w:val="AttributeTok"/>
        </w:rPr>
        <w:t xml:space="preserve">design =</w:t>
      </w:r>
      <w:r>
        <w:rPr>
          <w:rStyle w:val="NormalTok"/>
        </w:rPr>
        <w:t xml:space="preserve"> urban_subset, </w:t>
      </w:r>
      <w:r>
        <w:rPr>
          <w:rStyle w:val="AttributeTok"/>
        </w:rPr>
        <w:t xml:space="preserve">level =</w:t>
      </w:r>
      <w:r>
        <w:rPr>
          <w:rStyle w:val="NormalTok"/>
        </w:rPr>
        <w:t xml:space="preserve"> </w:t>
      </w:r>
      <w:r>
        <w:rPr>
          <w:rStyle w:val="FloatTok"/>
        </w:rPr>
        <w:t xml:space="preserve">0.95</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3" w:name="tbl-ttest-sexo-urbano"/>
          <w:p>
            <w:pPr>
              <w:jc w:val="center"/>
            </w:pPr>
            <w:pPr>
              <w:jc w:val="left"/>
              <w:spacing w:before="200"/>
              <w:pStyle w:val="ImageCaption"/>
            </w:pPr>
            <w:r>
              <w:t xml:space="preserve">Tabla 3.23: Prueba de diferencia de ingresos medios por sexo en zona urbana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statistic</w:t>
                  </w:r>
                </w:p>
              </w:tc>
              <w:tc>
                <w:tcPr/>
                <w:p>
                  <w:pPr>
                    <w:pStyle w:val="Compact"/>
                    <w:jc w:val="right"/>
                    <w:jc w:val="center"/>
                  </w:pPr>
                  <w:r>
                    <w:t xml:space="preserve">p_value</w:t>
                  </w:r>
                </w:p>
              </w:tc>
              <w:tc>
                <w:tcPr/>
                <w:p>
                  <w:pPr>
                    <w:pStyle w:val="Compact"/>
                    <w:jc w:val="right"/>
                    <w:jc w:val="center"/>
                  </w:pPr>
                  <w:r>
                    <w:t xml:space="preserve">gl</w:t>
                  </w:r>
                </w:p>
              </w:tc>
              <w:tc>
                <w:tcPr/>
                <w:p>
                  <w:pPr>
                    <w:pStyle w:val="Compact"/>
                    <w:jc w:val="right"/>
                    <w:jc w:val="center"/>
                  </w:pPr>
                  <w:r>
                    <w:t xml:space="preserve">ci_lower</w:t>
                  </w:r>
                </w:p>
              </w:tc>
              <w:tc>
                <w:tcPr/>
                <w:p>
                  <w:pPr>
                    <w:pStyle w:val="Compact"/>
                    <w:jc w:val="right"/>
                    <w:jc w:val="center"/>
                  </w:pPr>
                  <w:r>
                    <w:t xml:space="preserve">ci_upper</w:t>
                  </w:r>
                </w:p>
              </w:tc>
              <w:tc>
                <w:tcPr/>
                <w:p>
                  <w:pPr>
                    <w:pStyle w:val="Compact"/>
                    <w:jc w:val="right"/>
                    <w:jc w:val="center"/>
                  </w:pPr>
                  <w:r>
                    <w:t xml:space="preserve">estimated_difference</w:t>
                  </w:r>
                </w:p>
              </w:tc>
            </w:tr>
            <w:tr>
              <w:tc>
                <w:tcPr/>
                <w:p>
                  <w:pPr>
                    <w:pStyle w:val="Compact"/>
                    <w:jc w:val="right"/>
                    <w:jc w:val="center"/>
                  </w:pPr>
                  <w:r>
                    <w:t xml:space="preserve">1.57</w:t>
                  </w:r>
                </w:p>
              </w:tc>
              <w:tc>
                <w:tcPr/>
                <w:p>
                  <w:pPr>
                    <w:pStyle w:val="Compact"/>
                    <w:jc w:val="right"/>
                    <w:jc w:val="center"/>
                  </w:pPr>
                  <w:r>
                    <w:t xml:space="preserve">0.122</w:t>
                  </w:r>
                </w:p>
              </w:tc>
              <w:tc>
                <w:tcPr/>
                <w:p>
                  <w:pPr>
                    <w:pStyle w:val="Compact"/>
                    <w:jc w:val="right"/>
                    <w:jc w:val="center"/>
                  </w:pPr>
                  <w:r>
                    <w:t xml:space="preserve">63</w:t>
                  </w:r>
                </w:p>
              </w:tc>
              <w:tc>
                <w:tcPr/>
                <w:p>
                  <w:pPr>
                    <w:pStyle w:val="Compact"/>
                    <w:jc w:val="right"/>
                    <w:jc w:val="center"/>
                  </w:pPr>
                  <w:r>
                    <w:t xml:space="preserve">-12.3</w:t>
                  </w:r>
                </w:p>
              </w:tc>
              <w:tc>
                <w:tcPr/>
                <w:p>
                  <w:pPr>
                    <w:pStyle w:val="Compact"/>
                    <w:jc w:val="right"/>
                    <w:jc w:val="center"/>
                  </w:pPr>
                  <w:r>
                    <w:t xml:space="preserve">102</w:t>
                  </w:r>
                </w:p>
              </w:tc>
              <w:tc>
                <w:tcPr/>
                <w:p>
                  <w:pPr>
                    <w:pStyle w:val="Compact"/>
                    <w:jc w:val="right"/>
                    <w:jc w:val="center"/>
                  </w:pPr>
                  <w:r>
                    <w:t xml:space="preserve">44.7</w:t>
                  </w:r>
                </w:p>
              </w:tc>
            </w:tr>
          </w:tbl>
          <w:bookmarkEnd w:id="63"/>
          <w:p/>
        </w:tc>
      </w:tr>
    </w:tbl>
    <w:p>
      <w:pPr>
        <w:pStyle w:val="BodyText"/>
      </w:pPr>
      <w:r>
        <w:t xml:space="preserve">Como plantea</w:t>
      </w:r>
      <w:r>
        <w:t xml:space="preserve"> </w:t>
      </w:r>
      <w:r>
        <w:t xml:space="preserve">Gutiérrez (2016)</w:t>
      </w:r>
      <w:r>
        <w:t xml:space="preserve">, el procedimiento descrito no se limita a las medias, sino que también puede aplicarse a proporciones, totales, razones o cualquier función diferenciable de totales. En todos los casos, el contraste se fundamenta en la estimación puntual, su varianza (incluyendo covarianzas cuando corresponde) y la comparación con la distribución</w:t>
      </w:r>
      <w:r>
        <w:t xml:space="preserve"> </w:t>
      </w:r>
      <m:oMath>
        <m:r>
          <m:t>t</m:t>
        </m:r>
      </m:oMath>
      <w:r>
        <w:t xml:space="preserve"> </w:t>
      </w:r>
      <w:r>
        <w:t xml:space="preserve">ajustada al diseño muestral.</w:t>
      </w:r>
    </w:p>
    <w:bookmarkEnd w:id="64"/>
    <w:bookmarkStart w:id="73" w:name="estimacion-de-contrastes"/>
    <w:p>
      <w:pPr>
        <w:pStyle w:val="Heading2"/>
      </w:pPr>
      <w:r>
        <w:t xml:space="preserve">3.4 Estimación de contrastes</w:t>
      </w:r>
    </w:p>
    <w:p>
      <w:pPr>
        <w:pStyle w:val="FirstParagraph"/>
      </w:pPr>
      <w:r>
        <w:t xml:space="preserve">En el análisis de encuestas de hogares es frecuente que el interés no se limite a comparar únicamente dos poblaciones, sino varias de manera simultánea. Por ejemplo, puede ser necesario comparar los ingresos medios de los hogares entre distintas regiones, áreas geográficas o grupos poblacionales, con el propósito de identificar diferencias y establecer patrones de desigualdad entre ellos. En este tipo de situaciones, las pruebas de diferencia de medias presentadas anteriormente resultan limitadas, ya que están diseñadas para comparar únicamente pares de poblaciones.</w:t>
      </w:r>
    </w:p>
    <w:p>
      <w:pPr>
        <w:pStyle w:val="BodyText"/>
      </w:pPr>
      <w:r>
        <w:t xml:space="preserve">Según</w:t>
      </w:r>
      <w:r>
        <w:t xml:space="preserve"> </w:t>
      </w:r>
      <w:r>
        <w:t xml:space="preserve">Heeringa et al. (2017)</w:t>
      </w:r>
      <w:r>
        <w:t xml:space="preserve">, para abordar comparaciones más generales se utilizan los contrastes, que constituyen una herramienta flexible para evaluar combinaciones lineales de parámetros poblacionales. En términos generales, un contraste se define como:</w:t>
      </w:r>
    </w:p>
    <w:p>
      <w:pPr>
        <w:pStyle w:val="BodyText"/>
      </w:pPr>
      <m:oMathPara>
        <m:oMathParaPr>
          <m:jc m:val="center"/>
        </m:oMathParaPr>
        <m:oMath>
          <m:r>
            <m:t>f</m:t>
          </m:r>
          <m:d>
            <m:dPr>
              <m:begChr m:val="("/>
              <m:sepChr m:val=""/>
              <m:endChr m:val=")"/>
              <m:grow/>
            </m:dPr>
            <m:e>
              <m:sSub>
                <m:e>
                  <m:r>
                    <m:t>θ</m:t>
                  </m:r>
                </m:e>
                <m:sub>
                  <m:r>
                    <m:t>1</m:t>
                  </m:r>
                </m:sub>
              </m:sSub>
              <m:r>
                <m:rPr>
                  <m:sty m:val="p"/>
                </m:rPr>
                <m:t>,</m:t>
              </m:r>
              <m:sSub>
                <m:e>
                  <m:r>
                    <m:t>θ</m:t>
                  </m:r>
                </m:e>
                <m:sub>
                  <m:r>
                    <m:t>2</m:t>
                  </m:r>
                </m:sub>
              </m:sSub>
              <m:r>
                <m:rPr>
                  <m:sty m:val="p"/>
                </m:rPr>
                <m:t>,</m:t>
              </m:r>
              <m:r>
                <m:rPr>
                  <m:sty m:val="p"/>
                </m:rPr>
                <m:t>…</m:t>
              </m:r>
              <m:r>
                <m:rPr>
                  <m:sty m:val="p"/>
                </m:rPr>
                <m:t>,</m:t>
              </m:r>
              <m:sSub>
                <m:e>
                  <m:r>
                    <m:t>θ</m:t>
                  </m:r>
                </m:e>
                <m:sub>
                  <m:r>
                    <m:t>J</m:t>
                  </m:r>
                </m:sub>
              </m:sSub>
            </m:e>
          </m:d>
          <m:r>
            <m:rPr>
              <m:sty m:val="p"/>
            </m:rPr>
            <m:t>=</m:t>
          </m:r>
          <m:nary>
            <m:naryPr>
              <m:chr m:val="∑"/>
              <m:limLoc m:val="undOvr"/>
              <m:subHide m:val="off"/>
              <m:supHide m:val="off"/>
            </m:naryPr>
            <m:sub>
              <m:r>
                <m:t>j</m:t>
              </m:r>
              <m:r>
                <m:rPr>
                  <m:sty m:val="p"/>
                </m:rPr>
                <m:t>=</m:t>
              </m:r>
              <m:r>
                <m:t>1</m:t>
              </m:r>
            </m:sub>
            <m:sup>
              <m:r>
                <m:t>J</m:t>
              </m:r>
            </m:sup>
            <m:e>
              <m:sSub>
                <m:e>
                  <m:r>
                    <m:t>a</m:t>
                  </m:r>
                </m:e>
                <m:sub>
                  <m:r>
                    <m:t>j</m:t>
                  </m:r>
                </m:sub>
              </m:sSub>
            </m:e>
          </m:nary>
          <m:sSub>
            <m:e>
              <m:r>
                <m:t>θ</m:t>
              </m:r>
            </m:e>
            <m:sub>
              <m:r>
                <m:t>j</m:t>
              </m:r>
            </m:sub>
          </m:sSub>
          <m:r>
            <m:rPr>
              <m:sty m:val="p"/>
            </m:rPr>
            <m:t>,</m:t>
          </m:r>
        </m:oMath>
      </m:oMathPara>
    </w:p>
    <w:p>
      <w:pPr>
        <w:pStyle w:val="FirstParagraph"/>
      </w:pPr>
      <w:r>
        <w:t xml:space="preserve">donde los coeficientes</w:t>
      </w:r>
      <w:r>
        <w:t xml:space="preserve"> </w:t>
      </w:r>
      <m:oMath>
        <m:sSub>
          <m:e>
            <m:r>
              <m:t>a</m:t>
            </m:r>
          </m:e>
          <m:sub>
            <m:r>
              <m:t>j</m:t>
            </m:r>
          </m:sub>
        </m:sSub>
      </m:oMath>
      <w:r>
        <w:t xml:space="preserve"> </w:t>
      </w:r>
      <w:r>
        <w:t xml:space="preserve">son constantes conocidas y</w:t>
      </w:r>
      <w:r>
        <w:t xml:space="preserve"> </w:t>
      </w:r>
      <m:oMath>
        <m:sSub>
          <m:e>
            <m:r>
              <m:t>θ</m:t>
            </m:r>
          </m:e>
          <m:sub>
            <m:r>
              <m:t>j</m:t>
            </m:r>
          </m:sub>
        </m:sSub>
      </m:oMath>
      <w:r>
        <w:t xml:space="preserve"> </w:t>
      </w:r>
      <w:r>
        <w:t xml:space="preserve">representan los parámetros de interés. Este enfoque permite formular y evaluar una amplia variedad de comparaciones entre grupos, incluyendo diferencias entre medias, comparaciones múltiples y combinaciones más complejas de parámetros.</w:t>
      </w:r>
    </w:p>
    <w:p>
      <w:pPr>
        <w:pStyle w:val="BodyText"/>
      </w:pPr>
      <w:r>
        <w:t xml:space="preserve">Los contrastes permiten comparar combinaciones lineales de parámetros estimados en diseños de muestreo complejos. En</w:t>
      </w:r>
      <w:r>
        <w:t xml:space="preserve"> </w:t>
      </w:r>
      <w:r>
        <w:rPr>
          <w:rStyle w:val="VerbatimChar"/>
        </w:rPr>
        <w:t xml:space="preserve">R</w:t>
      </w:r>
      <w:r>
        <w:t xml:space="preserve">, estos procedimientos se encuentran disponibles mediante la función</w:t>
      </w:r>
      <w:r>
        <w:t xml:space="preserve"> </w:t>
      </w:r>
      <w:r>
        <w:rPr>
          <w:rStyle w:val="VerbatimChar"/>
        </w:rPr>
        <w:t xml:space="preserve">svycontrast()</w:t>
      </w:r>
      <w:r>
        <w:t xml:space="preserve"> </w:t>
      </w:r>
      <w:r>
        <w:t xml:space="preserve">del paquete</w:t>
      </w:r>
      <w:r>
        <w:t xml:space="preserve"> </w:t>
      </w:r>
      <w:r>
        <w:rPr>
          <w:rStyle w:val="VerbatimChar"/>
        </w:rPr>
        <w:t xml:space="preserve">survey</w:t>
      </w:r>
      <w:r>
        <w:t xml:space="preserve">. Por ejemplo, si se quiere comparar los ingresos medios de dos subpoblaciones particulares (las regiones Norte y Sur) se puede usar el contraste</w:t>
      </w:r>
      <w:r>
        <w:t xml:space="preserve"> </w:t>
      </w:r>
      <m:oMath>
        <m:sSub>
          <m:e>
            <m:acc>
              <m:accPr>
                <m:chr m:val="‾"/>
              </m:accPr>
              <m:e>
                <m:r>
                  <m:t>y</m:t>
                </m:r>
              </m:e>
            </m:acc>
          </m:e>
          <m:sub>
            <m:r>
              <m:t>N</m:t>
            </m:r>
            <m:r>
              <m:t>o</m:t>
            </m:r>
            <m:r>
              <m:t>r</m:t>
            </m:r>
            <m:r>
              <m:t>t</m:t>
            </m:r>
            <m:r>
              <m:t>e</m:t>
            </m:r>
          </m:sub>
        </m:sSub>
        <m:r>
          <m:rPr>
            <m:sty m:val="p"/>
          </m:rPr>
          <m:t>−</m:t>
        </m:r>
        <m:sSub>
          <m:e>
            <m:acc>
              <m:accPr>
                <m:chr m:val="‾"/>
              </m:accPr>
              <m:e>
                <m:r>
                  <m:t>y</m:t>
                </m:r>
              </m:e>
            </m:acc>
          </m:e>
          <m:sub>
            <m:r>
              <m:t>S</m:t>
            </m:r>
            <m:r>
              <m:t>u</m:t>
            </m:r>
            <m:r>
              <m:t>r</m:t>
            </m:r>
          </m:sub>
        </m:sSub>
      </m:oMath>
      <w:r>
        <w:t xml:space="preserve">. Dado que la muestra cubre cinco regiones en total, el contraste debe construirse asignando coeficientes únicamente a las regiones involucradas en la comparación y dejando coeficientes iguales a cero para las demás regiones. De esta manera, el contraste se define como:</w:t>
      </w:r>
    </w:p>
    <w:p>
      <w:pPr>
        <w:pStyle w:val="BodyText"/>
      </w:pPr>
      <m:oMathPara>
        <m:oMathParaPr>
          <m:jc m:val="center"/>
        </m:oMathParaPr>
        <m:oMath>
          <m:r>
            <m:t>1</m:t>
          </m:r>
          <m:r>
            <m:rPr>
              <m:sty m:val="p"/>
            </m:rPr>
            <m:t>×</m:t>
          </m:r>
          <m:sSub>
            <m:e>
              <m:acc>
                <m:accPr>
                  <m:chr m:val="̂"/>
                </m:accPr>
                <m:e>
                  <m:acc>
                    <m:accPr>
                      <m:chr m:val="‾"/>
                    </m:accPr>
                    <m:e>
                      <m:r>
                        <m:t>y</m:t>
                      </m:r>
                    </m:e>
                  </m:acc>
                </m:e>
              </m:acc>
            </m:e>
            <m:sub>
              <m:r>
                <m:t>N</m:t>
              </m:r>
              <m:r>
                <m:t>o</m:t>
              </m:r>
              <m:r>
                <m:t>r</m:t>
              </m:r>
              <m:r>
                <m:t>t</m:t>
              </m:r>
              <m:r>
                <m:t>e</m:t>
              </m:r>
            </m:sub>
          </m:sSub>
          <m:r>
            <m:rPr>
              <m:sty m:val="p"/>
            </m:rPr>
            <m:t>+</m:t>
          </m:r>
          <m:d>
            <m:dPr>
              <m:begChr m:val="("/>
              <m:sepChr m:val=""/>
              <m:endChr m:val=")"/>
              <m:grow/>
            </m:dPr>
            <m:e>
              <m:r>
                <m:rPr>
                  <m:sty m:val="p"/>
                </m:rPr>
                <m:t>−</m:t>
              </m:r>
              <m:r>
                <m:t>1</m:t>
              </m:r>
            </m:e>
          </m:d>
          <m:r>
            <m:rPr>
              <m:sty m:val="p"/>
            </m:rPr>
            <m:t>×</m:t>
          </m:r>
          <m:sSub>
            <m:e>
              <m:acc>
                <m:accPr>
                  <m:chr m:val="̂"/>
                </m:accPr>
                <m:e>
                  <m:acc>
                    <m:accPr>
                      <m:chr m:val="‾"/>
                    </m:accPr>
                    <m:e>
                      <m:r>
                        <m:t>y</m:t>
                      </m:r>
                    </m:e>
                  </m:acc>
                </m:e>
              </m:acc>
            </m:e>
            <m:sub>
              <m:r>
                <m:t>S</m:t>
              </m:r>
              <m:r>
                <m:t>u</m:t>
              </m:r>
              <m:r>
                <m:t>r</m:t>
              </m:r>
            </m:sub>
          </m:sSub>
          <m:r>
            <m:rPr>
              <m:sty m:val="p"/>
            </m:rPr>
            <m:t>+</m:t>
          </m:r>
          <m:r>
            <m:t>0</m:t>
          </m:r>
          <m:r>
            <m:rPr>
              <m:sty m:val="p"/>
            </m:rPr>
            <m:t>×</m:t>
          </m:r>
          <m:sSub>
            <m:e>
              <m:acc>
                <m:accPr>
                  <m:chr m:val="̂"/>
                </m:accPr>
                <m:e>
                  <m:acc>
                    <m:accPr>
                      <m:chr m:val="‾"/>
                    </m:accPr>
                    <m:e>
                      <m:r>
                        <m:t>y</m:t>
                      </m:r>
                    </m:e>
                  </m:acc>
                </m:e>
              </m:acc>
            </m:e>
            <m:sub>
              <m:r>
                <m:t>C</m:t>
              </m:r>
              <m:r>
                <m:t>e</m:t>
              </m:r>
              <m:r>
                <m:t>n</m:t>
              </m:r>
              <m:r>
                <m:t>t</m:t>
              </m:r>
              <m:r>
                <m:t>r</m:t>
              </m:r>
              <m:r>
                <m:t>o</m:t>
              </m:r>
            </m:sub>
          </m:sSub>
          <m:r>
            <m:rPr>
              <m:sty m:val="p"/>
            </m:rPr>
            <m:t>+</m:t>
          </m:r>
          <m:r>
            <m:t>0</m:t>
          </m:r>
          <m:r>
            <m:rPr>
              <m:sty m:val="p"/>
            </m:rPr>
            <m:t>×</m:t>
          </m:r>
          <m:sSub>
            <m:e>
              <m:acc>
                <m:accPr>
                  <m:chr m:val="̂"/>
                </m:accPr>
                <m:e>
                  <m:acc>
                    <m:accPr>
                      <m:chr m:val="‾"/>
                    </m:accPr>
                    <m:e>
                      <m:r>
                        <m:t>y</m:t>
                      </m:r>
                    </m:e>
                  </m:acc>
                </m:e>
              </m:acc>
            </m:e>
            <m:sub>
              <m:r>
                <m:t>O</m:t>
              </m:r>
              <m:r>
                <m:t>c</m:t>
              </m:r>
              <m:r>
                <m:t>c</m:t>
              </m:r>
              <m:r>
                <m:t>i</m:t>
              </m:r>
              <m:r>
                <m:t>d</m:t>
              </m:r>
              <m:r>
                <m:t>e</m:t>
              </m:r>
              <m:r>
                <m:t>n</m:t>
              </m:r>
              <m:r>
                <m:t>t</m:t>
              </m:r>
              <m:r>
                <m:t>e</m:t>
              </m:r>
            </m:sub>
          </m:sSub>
          <m:r>
            <m:rPr>
              <m:sty m:val="p"/>
            </m:rPr>
            <m:t>+</m:t>
          </m:r>
          <m:r>
            <m:t>0</m:t>
          </m:r>
          <m:r>
            <m:rPr>
              <m:sty m:val="p"/>
            </m:rPr>
            <m:t>×</m:t>
          </m:r>
          <m:sSub>
            <m:e>
              <m:acc>
                <m:accPr>
                  <m:chr m:val="̂"/>
                </m:accPr>
                <m:e>
                  <m:acc>
                    <m:accPr>
                      <m:chr m:val="‾"/>
                    </m:accPr>
                    <m:e>
                      <m:r>
                        <m:t>y</m:t>
                      </m:r>
                    </m:e>
                  </m:acc>
                </m:e>
              </m:acc>
            </m:e>
            <m:sub>
              <m:r>
                <m:t>O</m:t>
              </m:r>
              <m:r>
                <m:t>r</m:t>
              </m:r>
              <m:r>
                <m:t>i</m:t>
              </m:r>
              <m:r>
                <m:t>e</m:t>
              </m:r>
              <m:r>
                <m:t>n</m:t>
              </m:r>
              <m:r>
                <m:t>t</m:t>
              </m:r>
              <m:r>
                <m:t>e</m:t>
              </m:r>
            </m:sub>
          </m:sSub>
          <m:r>
            <m:rPr>
              <m:sty m:val="p"/>
            </m:rPr>
            <m:t>.</m:t>
          </m:r>
        </m:oMath>
      </m:oMathPara>
    </w:p>
    <w:p>
      <w:pPr>
        <w:pStyle w:val="FirstParagraph"/>
      </w:pPr>
      <w:r>
        <w:t xml:space="preserve">Esta expresión indica que el contraste corresponde a la diferencia entre las medias estimadas de las regiones Norte y Sur, mientras que las demás regiones no participan en la comparación. De forma matricial, el contraste puede escribirse como:</w:t>
      </w:r>
    </w:p>
    <w:p>
      <w:pPr>
        <w:pStyle w:val="BodyText"/>
      </w:pPr>
      <m:oMathPara>
        <m:oMathParaPr>
          <m:jc m:val="center"/>
        </m:oMathParaPr>
        <m:oMath>
          <m:d>
            <m:dPr>
              <m:begChr m:val="["/>
              <m:sepChr m:val=""/>
              <m:endChr m:val="]"/>
              <m:grow/>
            </m:dPr>
            <m:e>
              <m:r>
                <m:t>1</m:t>
              </m:r>
              <m:r>
                <m:rPr>
                  <m:sty m:val="p"/>
                </m:rPr>
                <m:t>,</m:t>
              </m:r>
              <m:r>
                <m:t> </m:t>
              </m:r>
              <m:r>
                <m:rPr>
                  <m:sty m:val="p"/>
                </m:rPr>
                <m:t>−</m:t>
              </m:r>
              <m:r>
                <m:t>1</m:t>
              </m:r>
              <m:r>
                <m:rPr>
                  <m:sty m:val="p"/>
                </m:rPr>
                <m:t>,</m:t>
              </m:r>
              <m:r>
                <m:t> </m:t>
              </m:r>
              <m:r>
                <m:t>0</m:t>
              </m:r>
              <m:r>
                <m:rPr>
                  <m:sty m:val="p"/>
                </m:rPr>
                <m:t>,</m:t>
              </m:r>
              <m:r>
                <m:t> </m:t>
              </m:r>
              <m:r>
                <m:t>0</m:t>
              </m:r>
              <m:r>
                <m:rPr>
                  <m:sty m:val="p"/>
                </m:rPr>
                <m:t>,</m:t>
              </m:r>
              <m:r>
                <m:t> </m:t>
              </m:r>
              <m:r>
                <m:t>0</m:t>
              </m:r>
            </m:e>
          </m:d>
          <m:r>
            <m:rPr>
              <m:sty m:val="p"/>
            </m:rPr>
            <m:t>×</m:t>
          </m:r>
          <m:d>
            <m:dPr>
              <m:begChr m:val="["/>
              <m:sepChr m:val=""/>
              <m:endChr m:val="]"/>
              <m:grow/>
            </m:dPr>
            <m:e>
              <m:m>
                <m:mPr>
                  <m:baseJc m:val="center"/>
                  <m:plcHide m:val="on"/>
                  <m:mcs>
                    <m:mc>
                      <m:mcPr>
                        <m:mcJc m:val="center"/>
                        <m:count m:val="1"/>
                      </m:mcPr>
                    </m:mc>
                  </m:mcs>
                </m:mPr>
                <m:mr>
                  <m:e>
                    <m:sSub>
                      <m:e>
                        <m:acc>
                          <m:accPr>
                            <m:chr m:val="̂"/>
                          </m:accPr>
                          <m:e>
                            <m:acc>
                              <m:accPr>
                                <m:chr m:val="‾"/>
                              </m:accPr>
                              <m:e>
                                <m:r>
                                  <m:t>y</m:t>
                                </m:r>
                              </m:e>
                            </m:acc>
                          </m:e>
                        </m:acc>
                      </m:e>
                      <m:sub>
                        <m:r>
                          <m:t>N</m:t>
                        </m:r>
                        <m:r>
                          <m:t>o</m:t>
                        </m:r>
                        <m:r>
                          <m:t>r</m:t>
                        </m:r>
                        <m:r>
                          <m:t>t</m:t>
                        </m:r>
                        <m:r>
                          <m:t>e</m:t>
                        </m:r>
                      </m:sub>
                    </m:sSub>
                  </m:e>
                </m:mr>
                <m:mr>
                  <m:e>
                    <m:sSub>
                      <m:e>
                        <m:acc>
                          <m:accPr>
                            <m:chr m:val="̂"/>
                          </m:accPr>
                          <m:e>
                            <m:acc>
                              <m:accPr>
                                <m:chr m:val="‾"/>
                              </m:accPr>
                              <m:e>
                                <m:r>
                                  <m:t>y</m:t>
                                </m:r>
                              </m:e>
                            </m:acc>
                          </m:e>
                        </m:acc>
                      </m:e>
                      <m:sub>
                        <m:r>
                          <m:t>S</m:t>
                        </m:r>
                        <m:r>
                          <m:t>u</m:t>
                        </m:r>
                        <m:r>
                          <m:t>r</m:t>
                        </m:r>
                      </m:sub>
                    </m:sSub>
                  </m:e>
                </m:mr>
                <m:mr>
                  <m:e>
                    <m:sSub>
                      <m:e>
                        <m:acc>
                          <m:accPr>
                            <m:chr m:val="̂"/>
                          </m:accPr>
                          <m:e>
                            <m:acc>
                              <m:accPr>
                                <m:chr m:val="‾"/>
                              </m:accPr>
                              <m:e>
                                <m:r>
                                  <m:t>y</m:t>
                                </m:r>
                              </m:e>
                            </m:acc>
                          </m:e>
                        </m:acc>
                      </m:e>
                      <m:sub>
                        <m:r>
                          <m:t>C</m:t>
                        </m:r>
                        <m:r>
                          <m:t>e</m:t>
                        </m:r>
                        <m:r>
                          <m:t>n</m:t>
                        </m:r>
                        <m:r>
                          <m:t>t</m:t>
                        </m:r>
                        <m:r>
                          <m:t>r</m:t>
                        </m:r>
                        <m:r>
                          <m:t>o</m:t>
                        </m:r>
                      </m:sub>
                    </m:sSub>
                  </m:e>
                </m:mr>
                <m:mr>
                  <m:e>
                    <m:sSub>
                      <m:e>
                        <m:acc>
                          <m:accPr>
                            <m:chr m:val="̂"/>
                          </m:accPr>
                          <m:e>
                            <m:acc>
                              <m:accPr>
                                <m:chr m:val="‾"/>
                              </m:accPr>
                              <m:e>
                                <m:r>
                                  <m:t>y</m:t>
                                </m:r>
                              </m:e>
                            </m:acc>
                          </m:e>
                        </m:acc>
                      </m:e>
                      <m:sub>
                        <m:r>
                          <m:t>O</m:t>
                        </m:r>
                        <m:r>
                          <m:t>c</m:t>
                        </m:r>
                        <m:r>
                          <m:t>c</m:t>
                        </m:r>
                        <m:r>
                          <m:t>i</m:t>
                        </m:r>
                        <m:r>
                          <m:t>d</m:t>
                        </m:r>
                        <m:r>
                          <m:t>e</m:t>
                        </m:r>
                        <m:r>
                          <m:t>n</m:t>
                        </m:r>
                        <m:r>
                          <m:t>t</m:t>
                        </m:r>
                        <m:r>
                          <m:t>e</m:t>
                        </m:r>
                      </m:sub>
                    </m:sSub>
                  </m:e>
                </m:mr>
                <m:mr>
                  <m:e>
                    <m:sSub>
                      <m:e>
                        <m:acc>
                          <m:accPr>
                            <m:chr m:val="̂"/>
                          </m:accPr>
                          <m:e>
                            <m:acc>
                              <m:accPr>
                                <m:chr m:val="‾"/>
                              </m:accPr>
                              <m:e>
                                <m:r>
                                  <m:t>y</m:t>
                                </m:r>
                              </m:e>
                            </m:acc>
                          </m:e>
                        </m:acc>
                      </m:e>
                      <m:sub>
                        <m:r>
                          <m:t>O</m:t>
                        </m:r>
                        <m:r>
                          <m:t>r</m:t>
                        </m:r>
                        <m:r>
                          <m:t>i</m:t>
                        </m:r>
                        <m:r>
                          <m:t>e</m:t>
                        </m:r>
                        <m:r>
                          <m:t>n</m:t>
                        </m:r>
                        <m:r>
                          <m:t>t</m:t>
                        </m:r>
                        <m:r>
                          <m:t>e</m:t>
                        </m:r>
                      </m:sub>
                    </m:sSub>
                  </m:e>
                </m:mr>
              </m:m>
            </m:e>
          </m:d>
          <m:r>
            <m:rPr>
              <m:sty m:val="p"/>
            </m:rPr>
            <m:t>.</m:t>
          </m:r>
        </m:oMath>
      </m:oMathPara>
    </w:p>
    <w:p>
      <w:pPr>
        <w:pStyle w:val="FirstParagraph"/>
      </w:pPr>
      <w:r>
        <w:t xml:space="preserve">En consecuencia, el vector de contraste asociado a esta comparación es</w:t>
      </w:r>
      <w:r>
        <w:t xml:space="preserve"> </w:t>
      </w:r>
      <m:oMath>
        <m:d>
          <m:dPr>
            <m:begChr m:val="["/>
            <m:sepChr m:val=""/>
            <m:endChr m:val="]"/>
            <m:grow/>
          </m:dPr>
          <m:e>
            <m:r>
              <m:t>1</m:t>
            </m:r>
            <m:r>
              <m:rPr>
                <m:sty m:val="p"/>
              </m:rPr>
              <m:t>,</m:t>
            </m:r>
            <m:r>
              <m:t> </m:t>
            </m:r>
            <m:r>
              <m:rPr>
                <m:sty m:val="p"/>
              </m:rPr>
              <m:t>−</m:t>
            </m:r>
            <m:r>
              <m:t>1</m:t>
            </m:r>
            <m:r>
              <m:rPr>
                <m:sty m:val="p"/>
              </m:rPr>
              <m:t>,</m:t>
            </m:r>
            <m:r>
              <m:t> </m:t>
            </m:r>
            <m:r>
              <m:t>0</m:t>
            </m:r>
            <m:r>
              <m:rPr>
                <m:sty m:val="p"/>
              </m:rPr>
              <m:t>,</m:t>
            </m:r>
            <m:r>
              <m:t> </m:t>
            </m:r>
            <m:r>
              <m:t>0</m:t>
            </m:r>
            <m:r>
              <m:rPr>
                <m:sty m:val="p"/>
              </m:rPr>
              <m:t>,</m:t>
            </m:r>
            <m:r>
              <m:t> </m:t>
            </m:r>
            <m:r>
              <m:t>0</m:t>
            </m:r>
          </m:e>
        </m:d>
      </m:oMath>
      <w:r>
        <w:t xml:space="preserve">, donde los coeficientes positivos y negativos indican las poblaciones que se desean comparar y los ceros representan las poblaciones excluidas del contraste. El primer paso consiste en calcular las medias estimadas para cada región mediante</w:t>
      </w:r>
      <w:r>
        <w:t xml:space="preserve"> </w:t>
      </w:r>
      <w:r>
        <w:rPr>
          <w:rStyle w:val="VerbatimChar"/>
        </w:rPr>
        <w:t xml:space="preserve">group_by()</w:t>
      </w:r>
      <w:r>
        <w:t xml:space="preserve"> </w:t>
      </w:r>
      <w:r>
        <w:t xml:space="preserve">y</w:t>
      </w:r>
      <w:r>
        <w:t xml:space="preserve"> </w:t>
      </w:r>
      <w:r>
        <w:rPr>
          <w:rStyle w:val="VerbatimChar"/>
        </w:rPr>
        <w:t xml:space="preserve">survey_mean()</w:t>
      </w:r>
      <w:r>
        <w:t xml:space="preserve">, como se presenta en la</w:t>
      </w:r>
      <w:r>
        <w:t xml:space="preserve"> </w:t>
      </w:r>
      <w:hyperlink w:anchor="tbl-prom-region">
        <w:r>
          <w:rPr>
            <w:rStyle w:val="Hyperlink"/>
          </w:rPr>
          <w:t xml:space="preserve">tabla 3.24</w:t>
        </w:r>
      </w:hyperlink>
      <w:r>
        <w:t xml:space="preserve">. El objeto visible de resultados se construye con</w:t>
      </w:r>
      <w:r>
        <w:t xml:space="preserve"> </w:t>
      </w:r>
      <w:r>
        <w:rPr>
          <w:rStyle w:val="VerbatimChar"/>
        </w:rPr>
        <w:t xml:space="preserve">srvyr</w:t>
      </w:r>
      <w:r>
        <w:t xml:space="preserve">; adicionalmente se crea un objeto auxiliar con matriz de covarianzas para los contrastes posteriores. Como resultado se obtienen las medias estimadas de los ingresos por región.</w:t>
      </w:r>
    </w:p>
    <w:p>
      <w:pPr>
        <w:pStyle w:val="SourceCode"/>
      </w:pPr>
      <w:r>
        <w:rPr>
          <w:rStyle w:val="NormalTok"/>
        </w:rPr>
        <w:t xml:space="preserve">region_mean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(Income,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region_mean_contrast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Region,</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5" w:name="tbl-prom-region"/>
          <w:p>
            <w:pPr>
              <w:jc w:val="center"/>
            </w:pPr>
            <w:pPr>
              <w:jc w:val="left"/>
              <w:spacing w:before="200"/>
              <w:pStyle w:val="ImageCaption"/>
            </w:pPr>
            <w:r>
              <w:t xml:space="preserve">Tabla 3.24: Ingreso medio estimado por región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right"/>
                    <w:jc w:val="center"/>
                  </w:pPr>
                  <w:r>
                    <w:t xml:space="preserve">mean</w:t>
                  </w:r>
                </w:p>
              </w:tc>
              <w:tc>
                <w:tcPr/>
                <w:p>
                  <w:pPr>
                    <w:pStyle w:val="Compact"/>
                    <w:jc w:val="right"/>
                    <w:jc w:val="center"/>
                  </w:pPr>
                  <w:r>
                    <w:t xml:space="preserve">mean_se</w:t>
                  </w:r>
                </w:p>
              </w:tc>
              <w:tc>
                <w:tcPr/>
                <w:p>
                  <w:pPr>
                    <w:pStyle w:val="Compact"/>
                    <w:jc w:val="right"/>
                    <w:jc w:val="center"/>
                  </w:pPr>
                  <w:r>
                    <w:t xml:space="preserve">mean_low</w:t>
                  </w:r>
                </w:p>
              </w:tc>
              <w:tc>
                <w:tcPr/>
                <w:p>
                  <w:pPr>
                    <w:pStyle w:val="Compact"/>
                    <w:jc w:val="right"/>
                    <w:jc w:val="center"/>
                  </w:pPr>
                  <w:r>
                    <w:t xml:space="preserve">mean_upp</w:t>
                  </w:r>
                </w:p>
              </w:tc>
            </w:tr>
            <w:tr>
              <w:tc>
                <w:tcPr/>
                <w:p>
                  <w:pPr>
                    <w:pStyle w:val="Compact"/>
                    <w:jc w:val="left"/>
                    <w:jc w:val="center"/>
                  </w:pPr>
                  <w:r>
                    <w:t xml:space="preserve">Norte</w:t>
                  </w:r>
                </w:p>
              </w:tc>
              <w:tc>
                <w:tcPr/>
                <w:p>
                  <w:pPr>
                    <w:pStyle w:val="Compact"/>
                    <w:jc w:val="right"/>
                    <w:jc w:val="center"/>
                  </w:pPr>
                  <w:r>
                    <w:t xml:space="preserve">552</w:t>
                  </w:r>
                </w:p>
              </w:tc>
              <w:tc>
                <w:tcPr/>
                <w:p>
                  <w:pPr>
                    <w:pStyle w:val="Compact"/>
                    <w:jc w:val="right"/>
                    <w:jc w:val="center"/>
                  </w:pPr>
                  <w:r>
                    <w:t xml:space="preserve">55.4</w:t>
                  </w:r>
                </w:p>
              </w:tc>
              <w:tc>
                <w:tcPr/>
                <w:p>
                  <w:pPr>
                    <w:pStyle w:val="Compact"/>
                    <w:jc w:val="right"/>
                    <w:jc w:val="center"/>
                  </w:pPr>
                  <w:r>
                    <w:t xml:space="preserve">443</w:t>
                  </w:r>
                </w:p>
              </w:tc>
              <w:tc>
                <w:tcPr/>
                <w:p>
                  <w:pPr>
                    <w:pStyle w:val="Compact"/>
                    <w:jc w:val="right"/>
                    <w:jc w:val="center"/>
                  </w:pPr>
                  <w:r>
                    <w:t xml:space="preserve">662</w:t>
                  </w:r>
                </w:p>
              </w:tc>
            </w:tr>
            <w:tr>
              <w:tc>
                <w:tcPr/>
                <w:p>
                  <w:pPr>
                    <w:pStyle w:val="Compact"/>
                    <w:jc w:val="left"/>
                    <w:jc w:val="center"/>
                  </w:pPr>
                  <w:r>
                    <w:t xml:space="preserve">Sur</w:t>
                  </w:r>
                </w:p>
              </w:tc>
              <w:tc>
                <w:tcPr/>
                <w:p>
                  <w:pPr>
                    <w:pStyle w:val="Compact"/>
                    <w:jc w:val="right"/>
                    <w:jc w:val="center"/>
                  </w:pPr>
                  <w:r>
                    <w:t xml:space="preserve">626</w:t>
                  </w:r>
                </w:p>
              </w:tc>
              <w:tc>
                <w:tcPr/>
                <w:p>
                  <w:pPr>
                    <w:pStyle w:val="Compact"/>
                    <w:jc w:val="right"/>
                    <w:jc w:val="center"/>
                  </w:pPr>
                  <w:r>
                    <w:t xml:space="preserve">62.4</w:t>
                  </w:r>
                </w:p>
              </w:tc>
              <w:tc>
                <w:tcPr/>
                <w:p>
                  <w:pPr>
                    <w:pStyle w:val="Compact"/>
                    <w:jc w:val="right"/>
                    <w:jc w:val="center"/>
                  </w:pPr>
                  <w:r>
                    <w:t xml:space="preserve">502</w:t>
                  </w:r>
                </w:p>
              </w:tc>
              <w:tc>
                <w:tcPr/>
                <w:p>
                  <w:pPr>
                    <w:pStyle w:val="Compact"/>
                    <w:jc w:val="right"/>
                    <w:jc w:val="center"/>
                  </w:pPr>
                  <w:r>
                    <w:t xml:space="preserve">749</w:t>
                  </w:r>
                </w:p>
              </w:tc>
            </w:tr>
            <w:tr>
              <w:tc>
                <w:tcPr/>
                <w:p>
                  <w:pPr>
                    <w:pStyle w:val="Compact"/>
                    <w:jc w:val="left"/>
                    <w:jc w:val="center"/>
                  </w:pPr>
                  <w:r>
                    <w:t xml:space="preserve">Centro</w:t>
                  </w:r>
                </w:p>
              </w:tc>
              <w:tc>
                <w:tcPr/>
                <w:p>
                  <w:pPr>
                    <w:pStyle w:val="Compact"/>
                    <w:jc w:val="right"/>
                    <w:jc w:val="center"/>
                  </w:pPr>
                  <w:r>
                    <w:t xml:space="preserve">651</w:t>
                  </w:r>
                </w:p>
              </w:tc>
              <w:tc>
                <w:tcPr/>
                <w:p>
                  <w:pPr>
                    <w:pStyle w:val="Compact"/>
                    <w:jc w:val="right"/>
                    <w:jc w:val="center"/>
                  </w:pPr>
                  <w:r>
                    <w:t xml:space="preserve">61.5</w:t>
                  </w:r>
                </w:p>
              </w:tc>
              <w:tc>
                <w:tcPr/>
                <w:p>
                  <w:pPr>
                    <w:pStyle w:val="Compact"/>
                    <w:jc w:val="right"/>
                    <w:jc w:val="center"/>
                  </w:pPr>
                  <w:r>
                    <w:t xml:space="preserve">529</w:t>
                  </w:r>
                </w:p>
              </w:tc>
              <w:tc>
                <w:tcPr/>
                <w:p>
                  <w:pPr>
                    <w:pStyle w:val="Compact"/>
                    <w:jc w:val="right"/>
                    <w:jc w:val="center"/>
                  </w:pPr>
                  <w:r>
                    <w:t xml:space="preserve">772</w:t>
                  </w:r>
                </w:p>
              </w:tc>
            </w:tr>
            <w:tr>
              <w:tc>
                <w:tcPr/>
                <w:p>
                  <w:pPr>
                    <w:pStyle w:val="Compact"/>
                    <w:jc w:val="left"/>
                    <w:jc w:val="center"/>
                  </w:pPr>
                  <w:r>
                    <w:t xml:space="preserve">Occidente</w:t>
                  </w:r>
                </w:p>
              </w:tc>
              <w:tc>
                <w:tcPr/>
                <w:p>
                  <w:pPr>
                    <w:pStyle w:val="Compact"/>
                    <w:jc w:val="right"/>
                    <w:jc w:val="center"/>
                  </w:pPr>
                  <w:r>
                    <w:t xml:space="preserve">517</w:t>
                  </w:r>
                </w:p>
              </w:tc>
              <w:tc>
                <w:tcPr/>
                <w:p>
                  <w:pPr>
                    <w:pStyle w:val="Compact"/>
                    <w:jc w:val="right"/>
                    <w:jc w:val="center"/>
                  </w:pPr>
                  <w:r>
                    <w:t xml:space="preserve">46.2</w:t>
                  </w:r>
                </w:p>
              </w:tc>
              <w:tc>
                <w:tcPr/>
                <w:p>
                  <w:pPr>
                    <w:pStyle w:val="Compact"/>
                    <w:jc w:val="right"/>
                    <w:jc w:val="center"/>
                  </w:pPr>
                  <w:r>
                    <w:t xml:space="preserve">425</w:t>
                  </w:r>
                </w:p>
              </w:tc>
              <w:tc>
                <w:tcPr/>
                <w:p>
                  <w:pPr>
                    <w:pStyle w:val="Compact"/>
                    <w:jc w:val="right"/>
                    <w:jc w:val="center"/>
                  </w:pPr>
                  <w:r>
                    <w:t xml:space="preserve">609</w:t>
                  </w:r>
                </w:p>
              </w:tc>
            </w:tr>
            <w:tr>
              <w:tc>
                <w:tcPr/>
                <w:p>
                  <w:pPr>
                    <w:pStyle w:val="Compact"/>
                    <w:jc w:val="left"/>
                    <w:jc w:val="center"/>
                  </w:pPr>
                  <w:r>
                    <w:t xml:space="preserve">Oriente</w:t>
                  </w:r>
                </w:p>
              </w:tc>
              <w:tc>
                <w:tcPr/>
                <w:p>
                  <w:pPr>
                    <w:pStyle w:val="Compact"/>
                    <w:jc w:val="right"/>
                    <w:jc w:val="center"/>
                  </w:pPr>
                  <w:r>
                    <w:t xml:space="preserve">542</w:t>
                  </w:r>
                </w:p>
              </w:tc>
              <w:tc>
                <w:tcPr/>
                <w:p>
                  <w:pPr>
                    <w:pStyle w:val="Compact"/>
                    <w:jc w:val="right"/>
                    <w:jc w:val="center"/>
                  </w:pPr>
                  <w:r>
                    <w:t xml:space="preserve">71.7</w:t>
                  </w:r>
                </w:p>
              </w:tc>
              <w:tc>
                <w:tcPr/>
                <w:p>
                  <w:pPr>
                    <w:pStyle w:val="Compact"/>
                    <w:jc w:val="right"/>
                    <w:jc w:val="center"/>
                  </w:pPr>
                  <w:r>
                    <w:t xml:space="preserve">400</w:t>
                  </w:r>
                </w:p>
              </w:tc>
              <w:tc>
                <w:tcPr/>
                <w:p>
                  <w:pPr>
                    <w:pStyle w:val="Compact"/>
                    <w:jc w:val="right"/>
                    <w:jc w:val="center"/>
                  </w:pPr>
                  <w:r>
                    <w:t xml:space="preserve">684</w:t>
                  </w:r>
                </w:p>
              </w:tc>
            </w:tr>
          </w:tbl>
          <w:bookmarkEnd w:id="65"/>
          <w:p/>
        </w:tc>
      </w:tr>
    </w:tbl>
    <w:p>
      <w:pPr>
        <w:pStyle w:val="BodyText"/>
      </w:pPr>
      <w:r>
        <w:t xml:space="preserve">La función</w:t>
      </w:r>
      <w:r>
        <w:t xml:space="preserve"> </w:t>
      </w:r>
      <w:r>
        <w:rPr>
          <w:rStyle w:val="VerbatimChar"/>
        </w:rPr>
        <w:t xml:space="preserve">svycontrast()</w:t>
      </w:r>
      <w:r>
        <w:t xml:space="preserve"> </w:t>
      </w:r>
      <w:r>
        <w:t xml:space="preserve">devuelve el contraste estimado y su error estándar. Los argumentos de esta función son los promedios de los ingresos estimados (</w:t>
      </w:r>
      <w:r>
        <w:rPr>
          <w:rStyle w:val="VerbatimChar"/>
        </w:rPr>
        <w:t xml:space="preserve">stat</w:t>
      </w:r>
      <w:r>
        <w:t xml:space="preserve">) y las constantes de contraste (</w:t>
      </w:r>
      <w:r>
        <w:rPr>
          <w:rStyle w:val="VerbatimChar"/>
        </w:rPr>
        <w:t xml:space="preserve">contrasts</w:t>
      </w:r>
      <w:r>
        <w:t xml:space="preserve">), como se muestra en la</w:t>
      </w:r>
      <w:r>
        <w:t xml:space="preserve"> </w:t>
      </w:r>
      <w:hyperlink w:anchor="tbl-contraste-ns">
        <w:r>
          <w:rPr>
            <w:rStyle w:val="Hyperlink"/>
          </w:rPr>
          <w:t xml:space="preserve">tabla 3.25</w:t>
        </w:r>
      </w:hyperlink>
      <w:r>
        <w:t xml:space="preserve">.</w:t>
      </w:r>
    </w:p>
    <w:p>
      <w:pPr>
        <w:pStyle w:val="SourceCode"/>
      </w:pPr>
      <w:r>
        <w:rPr>
          <w:rStyle w:val="NormalTok"/>
        </w:rPr>
        <w:t xml:space="preserve">contrast_region_ns </w:t>
      </w:r>
      <w:r>
        <w:rPr>
          <w:rStyle w:val="OtherTok"/>
        </w:rPr>
        <w:t xml:space="preserve">&lt;-</w:t>
      </w:r>
      <w:r>
        <w:rPr>
          <w:rStyle w:val="NormalTok"/>
        </w:rPr>
        <w:t xml:space="preserve"> </w:t>
      </w:r>
      <w:r>
        <w:rPr>
          <w:rStyle w:val="FunctionTok"/>
        </w:rPr>
        <w:t xml:space="preserve">svycontrast</w:t>
      </w:r>
      <w:r>
        <w:rPr>
          <w:rStyle w:val="NormalTok"/>
        </w:rPr>
        <w:t xml:space="preserve">(</w:t>
      </w:r>
      <w:r>
        <w:br/>
      </w:r>
      <w:r>
        <w:rPr>
          <w:rStyle w:val="NormalTok"/>
        </w:rPr>
        <w:t xml:space="preserve">  </w:t>
      </w:r>
      <w:r>
        <w:rPr>
          <w:rStyle w:val="AttributeTok"/>
        </w:rPr>
        <w:t xml:space="preserve">stat =</w:t>
      </w:r>
      <w:r>
        <w:rPr>
          <w:rStyle w:val="NormalTok"/>
        </w:rPr>
        <w:t xml:space="preserve"> region_mean_contrast,</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rPr>
          <w:rStyle w:val="AttributeTok"/>
        </w:rPr>
        <w:t xml:space="preserve">north_south_difference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tbl-contraste-ns"/>
          <w:p>
            <w:pPr>
              <w:jc w:val="center"/>
            </w:pPr>
            <w:pPr>
              <w:jc w:val="left"/>
              <w:spacing w:before="200"/>
              <w:pStyle w:val="ImageCaption"/>
            </w:pPr>
            <w:r>
              <w:t xml:space="preserve">Tabla 3.25: Contraste de ingresos medios: región Norte menos región Sur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right"/>
                    <w:jc w:val="center"/>
                  </w:pPr>
                  <w:r>
                    <w:t xml:space="preserve">estimate</w:t>
                  </w:r>
                </w:p>
              </w:tc>
              <w:tc>
                <w:tcPr/>
                <w:p>
                  <w:pPr>
                    <w:pStyle w:val="Compact"/>
                    <w:jc w:val="right"/>
                    <w:jc w:val="center"/>
                  </w:pPr>
                  <w:r>
                    <w:t xml:space="preserve">variance</w:t>
                  </w:r>
                </w:p>
              </w:tc>
              <w:tc>
                <w:tcPr/>
                <w:p>
                  <w:pPr>
                    <w:pStyle w:val="Compact"/>
                    <w:jc w:val="right"/>
                    <w:jc w:val="center"/>
                  </w:pPr>
                  <w:r>
                    <w:t xml:space="preserve">standard_error</w:t>
                  </w:r>
                </w:p>
              </w:tc>
            </w:tr>
            <w:tr>
              <w:tc>
                <w:tcPr/>
                <w:p>
                  <w:pPr>
                    <w:pStyle w:val="Compact"/>
                    <w:jc w:val="left"/>
                    <w:jc w:val="center"/>
                  </w:pPr>
                  <w:r>
                    <w:t xml:space="preserve">north_south_difference</w:t>
                  </w:r>
                </w:p>
              </w:tc>
              <w:tc>
                <w:tcPr/>
                <w:p>
                  <w:pPr>
                    <w:pStyle w:val="Compact"/>
                    <w:jc w:val="right"/>
                    <w:jc w:val="center"/>
                  </w:pPr>
                  <w:r>
                    <w:t xml:space="preserve">-73.4</w:t>
                  </w:r>
                </w:p>
              </w:tc>
              <w:tc>
                <w:tcPr/>
                <w:p>
                  <w:pPr>
                    <w:pStyle w:val="Compact"/>
                    <w:jc w:val="right"/>
                    <w:jc w:val="center"/>
                  </w:pPr>
                  <w:r>
                    <w:t xml:space="preserve">6959</w:t>
                  </w:r>
                </w:p>
              </w:tc>
              <w:tc>
                <w:tcPr/>
                <w:p>
                  <w:pPr>
                    <w:pStyle w:val="Compact"/>
                    <w:jc w:val="right"/>
                    <w:jc w:val="center"/>
                  </w:pPr>
                  <w:r>
                    <w:t xml:space="preserve">83.4</w:t>
                  </w:r>
                </w:p>
              </w:tc>
            </w:tr>
          </w:tbl>
          <w:bookmarkEnd w:id="66"/>
          <w:p/>
        </w:tc>
      </w:tr>
    </w:tbl>
    <w:p>
      <w:pPr>
        <w:pStyle w:val="BodyText"/>
      </w:pPr>
      <w:r>
        <w:t xml:space="preserve">Nótese que estos mismos resultados podrían obtenerse realizando explícitamente el proceso de construcción del estimador del contraste y de su varianza estimada. Si se consideran únicamente los ingresos medios estimados de las regiones Norte y Sur, su diferencia es:</w:t>
      </w:r>
    </w:p>
    <w:p>
      <w:pPr>
        <w:pStyle w:val="SourceCode"/>
      </w:pPr>
      <w:r>
        <w:rPr>
          <w:rStyle w:val="CommentTok"/>
        </w:rPr>
        <w:t xml:space="preserve"># Paso 1: diferencia de las estimaciones (Norte - Sur)</w:t>
      </w:r>
      <w:r>
        <w:br/>
      </w:r>
      <w:r>
        <w:rPr>
          <w:rStyle w:val="NormalTok"/>
        </w:rPr>
        <w:t xml:space="preserve">region_income_mean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as.numeric</w:t>
      </w:r>
      <w:r>
        <w:rPr>
          <w:rStyle w:val="NormalTok"/>
        </w:rPr>
        <w:t xml:space="preserve">(region_mean_contrast[[</w:t>
      </w:r>
      <w:r>
        <w:rPr>
          <w:rStyle w:val="StringTok"/>
        </w:rPr>
        <w:t xml:space="preserve">"Income"</w:t>
      </w:r>
      <w:r>
        <w:rPr>
          <w:rStyle w:val="NormalTok"/>
        </w:rPr>
        <w:t xml:space="preserve">]]),</w:t>
      </w:r>
      <w:r>
        <w:br/>
      </w:r>
      <w:r>
        <w:rPr>
          <w:rStyle w:val="NormalTok"/>
        </w:rPr>
        <w:t xml:space="preserve">  region_mean_contrast[[</w:t>
      </w:r>
      <w:r>
        <w:rPr>
          <w:rStyle w:val="StringTok"/>
        </w:rPr>
        <w:t xml:space="preserve">"Region"</w:t>
      </w:r>
      <w:r>
        <w:rPr>
          <w:rStyle w:val="NormalTok"/>
        </w:rPr>
        <w:t xml:space="preserve">]]</w:t>
      </w:r>
      <w:r>
        <w:br/>
      </w:r>
      <w:r>
        <w:rPr>
          <w:rStyle w:val="NormalTok"/>
        </w:rPr>
        <w:t xml:space="preserve">)</w:t>
      </w:r>
      <w:r>
        <w:br/>
      </w:r>
      <w:r>
        <w:br/>
      </w:r>
      <w:r>
        <w:rPr>
          <w:rStyle w:val="NormalTok"/>
        </w:rPr>
        <w:t xml:space="preserve">region_income_mean[</w:t>
      </w:r>
      <w:r>
        <w:rPr>
          <w:rStyle w:val="StringTok"/>
        </w:rPr>
        <w:t xml:space="preserve">"Norte"</w:t>
      </w:r>
      <w:r>
        <w:rPr>
          <w:rStyle w:val="NormalTok"/>
        </w:rPr>
        <w:t xml:space="preserve">] </w:t>
      </w:r>
      <w:r>
        <w:rPr>
          <w:rStyle w:val="SpecialCharTok"/>
        </w:rPr>
        <w:t xml:space="preserve">-</w:t>
      </w:r>
      <w:r>
        <w:rPr>
          <w:rStyle w:val="NormalTok"/>
        </w:rPr>
        <w:t xml:space="preserve"> region_income_mean[</w:t>
      </w:r>
      <w:r>
        <w:rPr>
          <w:rStyle w:val="StringTok"/>
        </w:rPr>
        <w:t xml:space="preserve">"Sur"</w:t>
      </w:r>
      <w:r>
        <w:rPr>
          <w:rStyle w:val="NormalTok"/>
        </w:rPr>
        <w:t xml:space="preserve">]</w:t>
      </w:r>
    </w:p>
    <w:p>
      <w:pPr>
        <w:pStyle w:val="SourceCode"/>
      </w:pPr>
      <w:r>
        <w:rPr>
          <w:rStyle w:val="VerbatimChar"/>
        </w:rPr>
        <w:t xml:space="preserve">Norte </w:t>
      </w:r>
      <w:r>
        <w:br/>
      </w:r>
      <w:r>
        <w:rPr>
          <w:rStyle w:val="VerbatimChar"/>
        </w:rPr>
        <w:t xml:space="preserve">-73.4 </w:t>
      </w:r>
    </w:p>
    <w:p>
      <w:pPr>
        <w:pStyle w:val="FirstParagraph"/>
      </w:pPr>
      <w:r>
        <w:t xml:space="preserve">El paso siguiente es calcular la matriz de varianzas y covarianzas y de allí extraer las varianzas y covarianzas de las regiones Norte y Sur, presentada en la</w:t>
      </w:r>
      <w:r>
        <w:t xml:space="preserve"> </w:t>
      </w:r>
      <w:hyperlink w:anchor="tbl-vcov-region">
        <w:r>
          <w:rPr>
            <w:rStyle w:val="Hyperlink"/>
          </w:rPr>
          <w:t xml:space="preserve">tabla 3.26</w:t>
        </w:r>
      </w:hyperlink>
      <w:r>
        <w:t xml:space="preserve">:</w:t>
      </w:r>
    </w:p>
    <w:p>
      <w:pPr>
        <w:pStyle w:val="SourceCode"/>
      </w:pPr>
      <w:r>
        <w:rPr>
          <w:rStyle w:val="CommentTok"/>
        </w:rPr>
        <w:t xml:space="preserve"># Paso 2: matriz de varianzas y covarianzas</w:t>
      </w:r>
      <w:r>
        <w:br/>
      </w:r>
      <w:r>
        <w:rPr>
          <w:rStyle w:val="NormalTok"/>
        </w:rPr>
        <w:t xml:space="preserve">region_vcov </w:t>
      </w:r>
      <w:r>
        <w:rPr>
          <w:rStyle w:val="OtherTok"/>
        </w:rPr>
        <w:t xml:space="preserve">&lt;-</w:t>
      </w:r>
      <w:r>
        <w:rPr>
          <w:rStyle w:val="NormalTok"/>
        </w:rPr>
        <w:t xml:space="preserve"> </w:t>
      </w:r>
      <w:r>
        <w:rPr>
          <w:rStyle w:val="FunctionTok"/>
        </w:rPr>
        <w:t xml:space="preserve">vcov</w:t>
      </w:r>
      <w:r>
        <w:rPr>
          <w:rStyle w:val="NormalTok"/>
        </w:rPr>
        <w:t xml:space="preserve">(region_mean_contrast)</w:t>
      </w:r>
    </w:p>
    <w:tbl>
      <w:tblPr>
        <w:tblStyle w:val="Table"/>
        <w:tblW w:type="pct" w:w="5000"/>
        <w:tblLayout w:type="fixed"/>
        <w:tblLook w:firstRow="0" w:lastRow="0" w:firstColumn="0" w:lastColumn="0" w:noHBand="0" w:noVBand="0" w:val="0000"/>
      </w:tblPr>
      <w:tblGrid>
        <w:gridCol w:w="7920"/>
      </w:tblGrid>
      <w:tr>
        <w:tc>
          <w:tcPr/>
          <w:bookmarkStart w:id="67" w:name="tbl-vcov-region"/>
          <w:p>
            <w:pPr>
              <w:jc w:val="center"/>
            </w:pPr>
            <w:pPr>
              <w:jc w:val="left"/>
              <w:spacing w:before="200"/>
              <w:pStyle w:val="ImageCaption"/>
            </w:pPr>
            <w:r>
              <w:t xml:space="preserve">Tabla 3.26: Matriz de varianzas y covarianzas de los ingresos medios por región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right"/>
                    <w:jc w:val="center"/>
                  </w:pPr>
                  <w:r>
                    <w:t xml:space="preserve">Norte</w:t>
                  </w:r>
                </w:p>
              </w:tc>
              <w:tc>
                <w:tcPr/>
                <w:p>
                  <w:pPr>
                    <w:pStyle w:val="Compact"/>
                    <w:jc w:val="right"/>
                    <w:jc w:val="center"/>
                  </w:pPr>
                  <w:r>
                    <w:t xml:space="preserve">Sur</w:t>
                  </w:r>
                </w:p>
              </w:tc>
              <w:tc>
                <w:tcPr/>
                <w:p>
                  <w:pPr>
                    <w:pStyle w:val="Compact"/>
                    <w:jc w:val="right"/>
                    <w:jc w:val="center"/>
                  </w:pPr>
                  <w:r>
                    <w:t xml:space="preserve">Centro</w:t>
                  </w:r>
                </w:p>
              </w:tc>
              <w:tc>
                <w:tcPr/>
                <w:p>
                  <w:pPr>
                    <w:pStyle w:val="Compact"/>
                    <w:jc w:val="right"/>
                    <w:jc w:val="center"/>
                  </w:pPr>
                  <w:r>
                    <w:t xml:space="preserve">Occidente</w:t>
                  </w:r>
                </w:p>
              </w:tc>
              <w:tc>
                <w:tcPr/>
                <w:p>
                  <w:pPr>
                    <w:pStyle w:val="Compact"/>
                    <w:jc w:val="right"/>
                    <w:jc w:val="center"/>
                  </w:pPr>
                  <w:r>
                    <w:t xml:space="preserve">Oriente</w:t>
                  </w:r>
                </w:p>
              </w:tc>
            </w:tr>
            <w:tr>
              <w:tc>
                <w:tcPr/>
                <w:p>
                  <w:pPr>
                    <w:pStyle w:val="Compact"/>
                    <w:jc w:val="left"/>
                    <w:jc w:val="center"/>
                  </w:pPr>
                  <w:r>
                    <w:t xml:space="preserve">Norte</w:t>
                  </w:r>
                </w:p>
              </w:tc>
              <w:tc>
                <w:tcPr/>
                <w:p>
                  <w:pPr>
                    <w:pStyle w:val="Compact"/>
                    <w:jc w:val="right"/>
                    <w:jc w:val="center"/>
                  </w:pPr>
                  <w:r>
                    <w:t xml:space="preserve">3065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Sur</w:t>
                  </w:r>
                </w:p>
              </w:tc>
              <w:tc>
                <w:tcPr/>
                <w:p>
                  <w:pPr>
                    <w:pStyle w:val="Compact"/>
                    <w:jc w:val="right"/>
                    <w:jc w:val="center"/>
                  </w:pPr>
                  <w:r>
                    <w:t xml:space="preserve">0</w:t>
                  </w:r>
                </w:p>
              </w:tc>
              <w:tc>
                <w:tcPr/>
                <w:p>
                  <w:pPr>
                    <w:pStyle w:val="Compact"/>
                    <w:jc w:val="right"/>
                    <w:jc w:val="center"/>
                  </w:pPr>
                  <w:r>
                    <w:t xml:space="preserve">3894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Centro</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3778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Occidente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2136</w:t>
                  </w:r>
                </w:p>
              </w:tc>
              <w:tc>
                <w:tcPr/>
                <w:p>
                  <w:pPr>
                    <w:pStyle w:val="Compact"/>
                    <w:jc w:val="right"/>
                    <w:jc w:val="center"/>
                  </w:pPr>
                  <w:r>
                    <w:t xml:space="preserve">0</w:t>
                  </w:r>
                </w:p>
              </w:tc>
            </w:tr>
            <w:tr>
              <w:tc>
                <w:tcPr/>
                <w:p>
                  <w:pPr>
                    <w:pStyle w:val="Compact"/>
                    <w:jc w:val="left"/>
                    <w:jc w:val="center"/>
                  </w:pPr>
                  <w:r>
                    <w:t xml:space="preserve">Oriente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5136</w:t>
                  </w:r>
                </w:p>
              </w:tc>
            </w:tr>
          </w:tbl>
          <w:bookmarkEnd w:id="67"/>
          <w:p/>
        </w:tc>
      </w:tr>
    </w:tbl>
    <w:p>
      <w:pPr>
        <w:pStyle w:val="BodyText"/>
      </w:pPr>
      <w:r>
        <w:t xml:space="preserve">Para calcular el error estándar de la diferencia (contraste) se usarán las propiedades de la varianza, de la siguiente forma:</w:t>
      </w:r>
    </w:p>
    <w:p>
      <w:pPr>
        <w:pStyle w:val="BodyText"/>
      </w:pPr>
      <m:oMathPara>
        <m:oMathParaPr>
          <m:jc m:val="center"/>
        </m:oMathParaPr>
        <m:oMath>
          <m:acc>
            <m:accPr>
              <m:chr m:val="̂"/>
            </m:accPr>
            <m:e>
              <m:r>
                <m:t>s</m:t>
              </m:r>
              <m:r>
                <m:t>e</m:t>
              </m:r>
            </m:e>
          </m:acc>
          <m:d>
            <m:dPr>
              <m:begChr m:val="("/>
              <m:sepChr m:val=""/>
              <m:endChr m:val=")"/>
              <m:grow/>
            </m:dPr>
            <m:e>
              <m:sSub>
                <m:e>
                  <m:acc>
                    <m:accPr>
                      <m:chr m:val="̂"/>
                    </m:accPr>
                    <m:e>
                      <m:acc>
                        <m:accPr>
                          <m:chr m:val="‾"/>
                        </m:accPr>
                        <m:e>
                          <m:r>
                            <m:t>y</m:t>
                          </m:r>
                        </m:e>
                      </m:acc>
                    </m:e>
                  </m:acc>
                </m:e>
                <m:sub>
                  <m:r>
                    <m:t>N</m:t>
                  </m:r>
                  <m:r>
                    <m:t>o</m:t>
                  </m:r>
                  <m:r>
                    <m:t>r</m:t>
                  </m:r>
                  <m:r>
                    <m:t>t</m:t>
                  </m:r>
                  <m:r>
                    <m:t>e</m:t>
                  </m:r>
                </m:sub>
              </m:sSub>
              <m:r>
                <m:rPr>
                  <m:sty m:val="p"/>
                </m:rPr>
                <m:t>−</m:t>
              </m:r>
              <m:sSub>
                <m:e>
                  <m:acc>
                    <m:accPr>
                      <m:chr m:val="̂"/>
                    </m:accPr>
                    <m:e>
                      <m:acc>
                        <m:accPr>
                          <m:chr m:val="‾"/>
                        </m:accPr>
                        <m:e>
                          <m:r>
                            <m:t>y</m:t>
                          </m:r>
                        </m:e>
                      </m:acc>
                    </m:e>
                  </m:acc>
                </m:e>
                <m:sub>
                  <m:r>
                    <m:t>S</m:t>
                  </m:r>
                  <m:r>
                    <m:t>u</m:t>
                  </m:r>
                  <m:r>
                    <m:t>r</m:t>
                  </m:r>
                </m:sub>
              </m:sSub>
            </m:e>
          </m:d>
          <m:r>
            <m:rPr>
              <m:sty m:val="p"/>
            </m:rPr>
            <m:t>=</m:t>
          </m:r>
          <m:rad>
            <m:radPr>
              <m:degHide m:val="on"/>
            </m:radPr>
            <m:deg/>
            <m:e>
              <m:acc>
                <m:accPr>
                  <m:chr m:val="̂"/>
                </m:accPr>
                <m:e>
                  <m:r>
                    <m:t>V</m:t>
                  </m:r>
                  <m:r>
                    <m:t>a</m:t>
                  </m:r>
                  <m:r>
                    <m:t>r</m:t>
                  </m:r>
                </m:e>
              </m:acc>
              <m:d>
                <m:dPr>
                  <m:begChr m:val="("/>
                  <m:sepChr m:val=""/>
                  <m:endChr m:val=")"/>
                  <m:grow/>
                </m:dPr>
                <m:e>
                  <m:sSub>
                    <m:e>
                      <m:acc>
                        <m:accPr>
                          <m:chr m:val="̂"/>
                        </m:accPr>
                        <m:e>
                          <m:acc>
                            <m:accPr>
                              <m:chr m:val="‾"/>
                            </m:accPr>
                            <m:e>
                              <m:r>
                                <m:t>y</m:t>
                              </m:r>
                            </m:e>
                          </m:acc>
                        </m:e>
                      </m:acc>
                    </m:e>
                    <m:sub>
                      <m:r>
                        <m:t>N</m:t>
                      </m:r>
                      <m:r>
                        <m:t>o</m:t>
                      </m:r>
                      <m:r>
                        <m:t>r</m:t>
                      </m:r>
                      <m:r>
                        <m:t>t</m:t>
                      </m:r>
                      <m:r>
                        <m:t>e</m:t>
                      </m:r>
                    </m:sub>
                  </m:sSub>
                </m:e>
              </m:d>
              <m:r>
                <m:rPr>
                  <m:sty m:val="p"/>
                </m:rPr>
                <m:t>+</m:t>
              </m:r>
              <m:acc>
                <m:accPr>
                  <m:chr m:val="̂"/>
                </m:accPr>
                <m:e>
                  <m:r>
                    <m:t>V</m:t>
                  </m:r>
                  <m:r>
                    <m:t>a</m:t>
                  </m:r>
                  <m:r>
                    <m:t>r</m:t>
                  </m:r>
                </m:e>
              </m:acc>
              <m:d>
                <m:dPr>
                  <m:begChr m:val="("/>
                  <m:sepChr m:val=""/>
                  <m:endChr m:val=")"/>
                  <m:grow/>
                </m:dPr>
                <m:e>
                  <m:sSub>
                    <m:e>
                      <m:acc>
                        <m:accPr>
                          <m:chr m:val="̂"/>
                        </m:accPr>
                        <m:e>
                          <m:acc>
                            <m:accPr>
                              <m:chr m:val="‾"/>
                            </m:accPr>
                            <m:e>
                              <m:r>
                                <m:t>y</m:t>
                              </m:r>
                            </m:e>
                          </m:acc>
                        </m:e>
                      </m:acc>
                    </m:e>
                    <m:sub>
                      <m:r>
                        <m:t>S</m:t>
                      </m:r>
                      <m:r>
                        <m:t>u</m:t>
                      </m:r>
                      <m:r>
                        <m:t>r</m:t>
                      </m:r>
                    </m:sub>
                  </m:sSub>
                </m:e>
              </m:d>
              <m:r>
                <m:rPr>
                  <m:sty m:val="p"/>
                </m:rPr>
                <m:t>−</m:t>
              </m:r>
              <m:r>
                <m:t>2</m:t>
              </m:r>
              <m:r>
                <m:t> </m:t>
              </m:r>
              <m:acc>
                <m:accPr>
                  <m:chr m:val="̂"/>
                </m:accPr>
                <m:e>
                  <m:r>
                    <m:t>C</m:t>
                  </m:r>
                  <m:r>
                    <m:t>o</m:t>
                  </m:r>
                  <m:r>
                    <m:t>v</m:t>
                  </m:r>
                </m:e>
              </m:acc>
              <m:d>
                <m:dPr>
                  <m:begChr m:val="("/>
                  <m:sepChr m:val=""/>
                  <m:endChr m:val=")"/>
                  <m:grow/>
                </m:dPr>
                <m:e>
                  <m:sSub>
                    <m:e>
                      <m:acc>
                        <m:accPr>
                          <m:chr m:val="̂"/>
                        </m:accPr>
                        <m:e>
                          <m:acc>
                            <m:accPr>
                              <m:chr m:val="‾"/>
                            </m:accPr>
                            <m:e>
                              <m:r>
                                <m:t>y</m:t>
                              </m:r>
                            </m:e>
                          </m:acc>
                        </m:e>
                      </m:acc>
                    </m:e>
                    <m:sub>
                      <m:r>
                        <m:t>N</m:t>
                      </m:r>
                      <m:r>
                        <m:t>o</m:t>
                      </m:r>
                      <m:r>
                        <m:t>r</m:t>
                      </m:r>
                      <m:r>
                        <m:t>t</m:t>
                      </m:r>
                      <m:r>
                        <m:t>e</m:t>
                      </m:r>
                    </m:sub>
                  </m:sSub>
                  <m:r>
                    <m:rPr>
                      <m:sty m:val="p"/>
                    </m:rPr>
                    <m:t>,</m:t>
                  </m:r>
                  <m:sSub>
                    <m:e>
                      <m:acc>
                        <m:accPr>
                          <m:chr m:val="̂"/>
                        </m:accPr>
                        <m:e>
                          <m:acc>
                            <m:accPr>
                              <m:chr m:val="‾"/>
                            </m:accPr>
                            <m:e>
                              <m:r>
                                <m:t>y</m:t>
                              </m:r>
                            </m:e>
                          </m:acc>
                        </m:e>
                      </m:acc>
                    </m:e>
                    <m:sub>
                      <m:r>
                        <m:t>S</m:t>
                      </m:r>
                      <m:r>
                        <m:t>u</m:t>
                      </m:r>
                      <m:r>
                        <m:t>r</m:t>
                      </m:r>
                    </m:sub>
                  </m:sSub>
                </m:e>
              </m:d>
            </m:e>
          </m:rad>
        </m:oMath>
      </m:oMathPara>
    </w:p>
    <w:p>
      <w:pPr>
        <w:pStyle w:val="FirstParagraph"/>
      </w:pPr>
      <w:r>
        <w:t xml:space="preserve">Para evitar inconsistencias con valores redondeados, el cálculo se realiza directamente a partir de la matriz estimada:</w:t>
      </w:r>
    </w:p>
    <w:p>
      <w:pPr>
        <w:pStyle w:val="SourceCode"/>
      </w:pPr>
      <w:r>
        <w:rPr>
          <w:rStyle w:val="FunctionTok"/>
        </w:rPr>
        <w:t xml:space="preserve">sqrt</w:t>
      </w:r>
      <w:r>
        <w:rPr>
          <w:rStyle w:val="NormalTok"/>
        </w:rPr>
        <w:t xml:space="preserve">(region_vcov[</w:t>
      </w:r>
      <w:r>
        <w:rPr>
          <w:rStyle w:val="StringTok"/>
        </w:rPr>
        <w:t xml:space="preserve">"Norte"</w:t>
      </w:r>
      <w:r>
        <w:rPr>
          <w:rStyle w:val="NormalTok"/>
        </w:rPr>
        <w:t xml:space="preserve">, </w:t>
      </w:r>
      <w:r>
        <w:rPr>
          <w:rStyle w:val="StringTok"/>
        </w:rPr>
        <w:t xml:space="preserve">"Norte"</w:t>
      </w:r>
      <w:r>
        <w:rPr>
          <w:rStyle w:val="NormalTok"/>
        </w:rPr>
        <w:t xml:space="preserve">] </w:t>
      </w:r>
      <w:r>
        <w:rPr>
          <w:rStyle w:val="SpecialCharTok"/>
        </w:rPr>
        <w:t xml:space="preserve">+</w:t>
      </w:r>
      <w:r>
        <w:br/>
      </w:r>
      <w:r>
        <w:rPr>
          <w:rStyle w:val="NormalTok"/>
        </w:rPr>
        <w:t xml:space="preserve">       region_vcov[</w:t>
      </w:r>
      <w:r>
        <w:rPr>
          <w:rStyle w:val="StringTok"/>
        </w:rPr>
        <w:t xml:space="preserve">"Sur"</w:t>
      </w:r>
      <w:r>
        <w:rPr>
          <w:rStyle w:val="NormalTok"/>
        </w:rPr>
        <w:t xml:space="preserve">, </w:t>
      </w:r>
      <w:r>
        <w:rPr>
          <w:rStyle w:val="StringTok"/>
        </w:rPr>
        <w:t xml:space="preserve">"Sur"</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region_vcov[</w:t>
      </w:r>
      <w:r>
        <w:rPr>
          <w:rStyle w:val="StringTok"/>
        </w:rPr>
        <w:t xml:space="preserve">"Norte"</w:t>
      </w:r>
      <w:r>
        <w:rPr>
          <w:rStyle w:val="NormalTok"/>
        </w:rPr>
        <w:t xml:space="preserve">, </w:t>
      </w:r>
      <w:r>
        <w:rPr>
          <w:rStyle w:val="StringTok"/>
        </w:rPr>
        <w:t xml:space="preserve">"Sur"</w:t>
      </w:r>
      <w:r>
        <w:rPr>
          <w:rStyle w:val="NormalTok"/>
        </w:rPr>
        <w:t xml:space="preserve">])</w:t>
      </w:r>
    </w:p>
    <w:p>
      <w:pPr>
        <w:pStyle w:val="SourceCode"/>
      </w:pPr>
      <w:r>
        <w:rPr>
          <w:rStyle w:val="VerbatimChar"/>
        </w:rPr>
        <w:t xml:space="preserve">[1] 83.4</w:t>
      </w:r>
    </w:p>
    <w:p>
      <w:pPr>
        <w:pStyle w:val="FirstParagraph"/>
      </w:pPr>
      <w:r>
        <w:t xml:space="preserve">Este resultado corresponde al mismo obtenido anteriormente con la función</w:t>
      </w:r>
      <w:r>
        <w:t xml:space="preserve"> </w:t>
      </w:r>
      <w:r>
        <w:rPr>
          <w:rStyle w:val="VerbatimChar"/>
        </w:rPr>
        <w:t xml:space="preserve">svycontrast()</w:t>
      </w:r>
      <w:r>
        <w:t xml:space="preserve">. Además de comparar únicamente dos poblaciones, los contrastes permiten evaluar simultáneamente varias comparaciones de interés entre diferentes grupos.</w:t>
      </w:r>
    </w:p>
    <w:p>
      <w:pPr>
        <w:pStyle w:val="BodyText"/>
      </w:pPr>
      <w:r>
        <w:t xml:space="preserve">Por otro lado, supóngase que se desea comparar los ingresos medios entre distintas regiones geográficas. En particular, podrían considerarse contrastes como</w:t>
      </w:r>
      <w:r>
        <w:t xml:space="preserve"> </w:t>
      </w:r>
      <m:oMath>
        <m:sSub>
          <m:e>
            <m:acc>
              <m:accPr>
                <m:chr m:val="‾"/>
              </m:accPr>
              <m:e>
                <m:r>
                  <m:t>y</m:t>
                </m:r>
              </m:e>
            </m:acc>
          </m:e>
          <m:sub>
            <m:r>
              <m:t>N</m:t>
            </m:r>
            <m:r>
              <m:t>o</m:t>
            </m:r>
            <m:r>
              <m:t>r</m:t>
            </m:r>
            <m:r>
              <m:t>t</m:t>
            </m:r>
            <m:r>
              <m:t>e</m:t>
            </m:r>
          </m:sub>
        </m:sSub>
        <m:r>
          <m:rPr>
            <m:sty m:val="p"/>
          </m:rPr>
          <m:t>−</m:t>
        </m:r>
        <m:sSub>
          <m:e>
            <m:acc>
              <m:accPr>
                <m:chr m:val="‾"/>
              </m:accPr>
              <m:e>
                <m:r>
                  <m:t>y</m:t>
                </m:r>
              </m:e>
            </m:acc>
          </m:e>
          <m:sub>
            <m:r>
              <m:t>C</m:t>
            </m:r>
            <m:r>
              <m:t>e</m:t>
            </m:r>
            <m:r>
              <m:t>n</m:t>
            </m:r>
            <m:r>
              <m:t>t</m:t>
            </m:r>
            <m:r>
              <m:t>r</m:t>
            </m:r>
            <m:r>
              <m:t>o</m:t>
            </m:r>
          </m:sub>
        </m:sSub>
      </m:oMath>
      <w:r>
        <w:t xml:space="preserve">,</w:t>
      </w:r>
      <w:r>
        <w:t xml:space="preserve"> </w:t>
      </w:r>
      <m:oMath>
        <m:sSub>
          <m:e>
            <m:acc>
              <m:accPr>
                <m:chr m:val="‾"/>
              </m:accPr>
              <m:e>
                <m:r>
                  <m:t>y</m:t>
                </m:r>
              </m:e>
            </m:acc>
          </m:e>
          <m:sub>
            <m:r>
              <m:t>S</m:t>
            </m:r>
            <m:r>
              <m:t>u</m:t>
            </m:r>
            <m:r>
              <m:t>r</m:t>
            </m:r>
          </m:sub>
        </m:sSub>
        <m:r>
          <m:rPr>
            <m:sty m:val="p"/>
          </m:rPr>
          <m:t>−</m:t>
        </m:r>
        <m:sSub>
          <m:e>
            <m:acc>
              <m:accPr>
                <m:chr m:val="‾"/>
              </m:accPr>
              <m:e>
                <m:r>
                  <m:t>y</m:t>
                </m:r>
              </m:e>
            </m:acc>
          </m:e>
          <m:sub>
            <m:r>
              <m:t>C</m:t>
            </m:r>
            <m:r>
              <m:t>e</m:t>
            </m:r>
            <m:r>
              <m:t>n</m:t>
            </m:r>
            <m:r>
              <m:t>t</m:t>
            </m:r>
            <m:r>
              <m:t>r</m:t>
            </m:r>
            <m:r>
              <m:t>o</m:t>
            </m:r>
          </m:sub>
        </m:sSub>
      </m:oMath>
      <w:r>
        <w:t xml:space="preserve"> </w:t>
      </w:r>
      <w:r>
        <w:t xml:space="preserve">y</w:t>
      </w:r>
      <w:r>
        <w:t xml:space="preserve"> </w:t>
      </w:r>
      <m:oMath>
        <m:sSub>
          <m:e>
            <m:acc>
              <m:accPr>
                <m:chr m:val="‾"/>
              </m:accPr>
              <m:e>
                <m:r>
                  <m:t>y</m:t>
                </m:r>
              </m:e>
            </m:acc>
          </m:e>
          <m:sub>
            <m:r>
              <m:t>O</m:t>
            </m:r>
            <m:r>
              <m:t>c</m:t>
            </m:r>
            <m:r>
              <m:t>c</m:t>
            </m:r>
            <m:r>
              <m:t>i</m:t>
            </m:r>
            <m:r>
              <m:t>d</m:t>
            </m:r>
            <m:r>
              <m:t>e</m:t>
            </m:r>
            <m:r>
              <m:t>n</m:t>
            </m:r>
            <m:r>
              <m:t>t</m:t>
            </m:r>
            <m:r>
              <m:t>e</m:t>
            </m:r>
          </m:sub>
        </m:sSub>
        <m:r>
          <m:rPr>
            <m:sty m:val="p"/>
          </m:rPr>
          <m:t>−</m:t>
        </m:r>
        <m:sSub>
          <m:e>
            <m:acc>
              <m:accPr>
                <m:chr m:val="‾"/>
              </m:accPr>
              <m:e>
                <m:r>
                  <m:t>y</m:t>
                </m:r>
              </m:e>
            </m:acc>
          </m:e>
          <m:sub>
            <m:r>
              <m:t>O</m:t>
            </m:r>
            <m:r>
              <m:t>r</m:t>
            </m:r>
            <m:r>
              <m:t>i</m:t>
            </m:r>
            <m:r>
              <m:t>e</m:t>
            </m:r>
            <m:r>
              <m:t>n</m:t>
            </m:r>
            <m:r>
              <m:t>t</m:t>
            </m:r>
            <m:r>
              <m:t>e</m:t>
            </m:r>
          </m:sub>
        </m:sSub>
      </m:oMath>
      <w:r>
        <w:t xml:space="preserve">. Cada una de estas expresiones representa un contraste lineal específico entre medias regionales. De manera conjunta, dichos contrastes pueden organizarse mediante la siguiente matriz de contrastes: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1</m:t>
                    </m:r>
                  </m:e>
                  <m:e>
                    <m:r>
                      <m:t>0</m:t>
                    </m:r>
                  </m:e>
                  <m:e>
                    <m:r>
                      <m:t>0</m:t>
                    </m:r>
                  </m:e>
                </m:mr>
                <m:mr>
                  <m:e>
                    <m:r>
                      <m:t>0</m:t>
                    </m:r>
                  </m:e>
                  <m:e>
                    <m:r>
                      <m:t>1</m:t>
                    </m:r>
                  </m:e>
                  <m:e>
                    <m:r>
                      <m:rPr>
                        <m:sty m:val="p"/>
                      </m:rPr>
                      <m:t>−</m:t>
                    </m:r>
                    <m:r>
                      <m:t>1</m:t>
                    </m:r>
                  </m:e>
                  <m:e>
                    <m:r>
                      <m:t>0</m:t>
                    </m:r>
                  </m:e>
                  <m:e>
                    <m:r>
                      <m:t>0</m:t>
                    </m:r>
                  </m:e>
                </m:mr>
                <m:mr>
                  <m:e>
                    <m:r>
                      <m:t>0</m:t>
                    </m:r>
                  </m:e>
                  <m:e>
                    <m:r>
                      <m:t>0</m:t>
                    </m:r>
                  </m:e>
                  <m:e>
                    <m:r>
                      <m:t>0</m:t>
                    </m:r>
                  </m:e>
                  <m:e>
                    <m:r>
                      <m:t>1</m:t>
                    </m:r>
                  </m:e>
                  <m:e>
                    <m:r>
                      <m:rPr>
                        <m:sty m:val="p"/>
                      </m:rPr>
                      <m:t>−</m:t>
                    </m:r>
                    <m:r>
                      <m:t>1</m:t>
                    </m:r>
                  </m:e>
                </m:mr>
              </m:m>
            </m:e>
          </m:d>
        </m:oMath>
      </m:oMathPara>
    </w:p>
    <w:p>
      <w:pPr>
        <w:pStyle w:val="FirstParagraph"/>
      </w:pPr>
      <w:r>
        <w:t xml:space="preserve">En esta matriz, cada fila define un contraste distinto y cada columna corresponde a una de las regiones consideradas en el análisis. Los coeficientes positivos y negativos indican las medias que participan en cada comparación, mientras que los ceros representan las regiones que no intervienen en el contraste correspondiente. A continuación, se muestra la implementación de los contrastes en</w:t>
      </w:r>
      <w:r>
        <w:t xml:space="preserve"> </w:t>
      </w:r>
      <w:r>
        <w:rPr>
          <w:rStyle w:val="VerbatimChar"/>
        </w:rPr>
        <w:t xml:space="preserve">R</w:t>
      </w:r>
      <w:r>
        <w:t xml:space="preserve">, cuyos resultados se presentan en la</w:t>
      </w:r>
      <w:r>
        <w:t xml:space="preserve"> </w:t>
      </w:r>
      <w:hyperlink w:anchor="tbl-contraste-regiones">
        <w:r>
          <w:rPr>
            <w:rStyle w:val="Hyperlink"/>
          </w:rPr>
          <w:t xml:space="preserve">tabla 3.27</w:t>
        </w:r>
      </w:hyperlink>
      <w:r>
        <w:t xml:space="preserve">. A partir de estos resultados, puede concluirse que las regiones Sur y Centro presentan los ingresos medios de los hogares más similares, dado que la diferencia estimada entre ambas regiones es la menor entre los contrastes evaluados.</w:t>
      </w:r>
    </w:p>
    <w:p>
      <w:pPr>
        <w:pStyle w:val="SourceCode"/>
      </w:pPr>
      <w:r>
        <w:rPr>
          <w:rStyle w:val="NormalTok"/>
        </w:rPr>
        <w:t xml:space="preserve">contrast_regions </w:t>
      </w:r>
      <w:r>
        <w:rPr>
          <w:rStyle w:val="OtherTok"/>
        </w:rPr>
        <w:t xml:space="preserve">&lt;-</w:t>
      </w:r>
      <w:r>
        <w:rPr>
          <w:rStyle w:val="NormalTok"/>
        </w:rPr>
        <w:t xml:space="preserve"> </w:t>
      </w:r>
      <w:r>
        <w:rPr>
          <w:rStyle w:val="FunctionTok"/>
        </w:rPr>
        <w:t xml:space="preserve">svycontrast</w:t>
      </w:r>
      <w:r>
        <w:rPr>
          <w:rStyle w:val="NormalTok"/>
        </w:rPr>
        <w:t xml:space="preserve">(</w:t>
      </w:r>
      <w:r>
        <w:br/>
      </w:r>
      <w:r>
        <w:rPr>
          <w:rStyle w:val="NormalTok"/>
        </w:rPr>
        <w:t xml:space="preserve">  </w:t>
      </w:r>
      <w:r>
        <w:rPr>
          <w:rStyle w:val="AttributeTok"/>
        </w:rPr>
        <w:t xml:space="preserve">stat =</w:t>
      </w:r>
      <w:r>
        <w:rPr>
          <w:rStyle w:val="NormalTok"/>
        </w:rPr>
        <w:t xml:space="preserve"> region_mean_contrast,</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north_south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south_center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west_east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8" w:name="tbl-contraste-regiones"/>
          <w:p>
            <w:pPr>
              <w:jc w:val="center"/>
            </w:pPr>
            <w:pPr>
              <w:jc w:val="left"/>
              <w:spacing w:before="200"/>
              <w:pStyle w:val="ImageCaption"/>
            </w:pPr>
            <w:r>
              <w:t xml:space="preserve">Tabla 3.27: Contrastes de ingresos medios entre regiones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right"/>
                    <w:jc w:val="center"/>
                  </w:pPr>
                  <w:r>
                    <w:t xml:space="preserve">estimate</w:t>
                  </w:r>
                </w:p>
              </w:tc>
              <w:tc>
                <w:tcPr/>
                <w:p>
                  <w:pPr>
                    <w:pStyle w:val="Compact"/>
                    <w:jc w:val="right"/>
                    <w:jc w:val="center"/>
                  </w:pPr>
                  <w:r>
                    <w:t xml:space="preserve">variance</w:t>
                  </w:r>
                </w:p>
              </w:tc>
              <w:tc>
                <w:tcPr/>
                <w:p>
                  <w:pPr>
                    <w:pStyle w:val="Compact"/>
                    <w:jc w:val="right"/>
                    <w:jc w:val="center"/>
                  </w:pPr>
                  <w:r>
                    <w:t xml:space="preserve">standard_error</w:t>
                  </w:r>
                </w:p>
              </w:tc>
            </w:tr>
            <w:tr>
              <w:tc>
                <w:tcPr/>
                <w:p>
                  <w:pPr>
                    <w:pStyle w:val="Compact"/>
                    <w:jc w:val="left"/>
                    <w:jc w:val="center"/>
                  </w:pPr>
                  <w:r>
                    <w:t xml:space="preserve">north_south</w:t>
                  </w:r>
                </w:p>
              </w:tc>
              <w:tc>
                <w:tcPr/>
                <w:p>
                  <w:pPr>
                    <w:pStyle w:val="Compact"/>
                    <w:jc w:val="right"/>
                    <w:jc w:val="center"/>
                  </w:pPr>
                  <w:r>
                    <w:t xml:space="preserve">-98.4</w:t>
                  </w:r>
                </w:p>
              </w:tc>
              <w:tc>
                <w:tcPr/>
                <w:p>
                  <w:pPr>
                    <w:pStyle w:val="Compact"/>
                    <w:jc w:val="right"/>
                    <w:jc w:val="center"/>
                  </w:pPr>
                  <w:r>
                    <w:t xml:space="preserve">6843</w:t>
                  </w:r>
                </w:p>
              </w:tc>
              <w:tc>
                <w:tcPr/>
                <w:p>
                  <w:pPr>
                    <w:pStyle w:val="Compact"/>
                    <w:jc w:val="right"/>
                    <w:jc w:val="center"/>
                  </w:pPr>
                  <w:r>
                    <w:t xml:space="preserve">82.7</w:t>
                  </w:r>
                </w:p>
              </w:tc>
            </w:tr>
            <w:tr>
              <w:tc>
                <w:tcPr/>
                <w:p>
                  <w:pPr>
                    <w:pStyle w:val="Compact"/>
                    <w:jc w:val="left"/>
                    <w:jc w:val="center"/>
                  </w:pPr>
                  <w:r>
                    <w:t xml:space="preserve">south_center</w:t>
                  </w:r>
                </w:p>
              </w:tc>
              <w:tc>
                <w:tcPr/>
                <w:p>
                  <w:pPr>
                    <w:pStyle w:val="Compact"/>
                    <w:jc w:val="right"/>
                    <w:jc w:val="center"/>
                  </w:pPr>
                  <w:r>
                    <w:t xml:space="preserve">-25.0</w:t>
                  </w:r>
                </w:p>
              </w:tc>
              <w:tc>
                <w:tcPr/>
                <w:p>
                  <w:pPr>
                    <w:pStyle w:val="Compact"/>
                    <w:jc w:val="right"/>
                    <w:jc w:val="center"/>
                  </w:pPr>
                  <w:r>
                    <w:t xml:space="preserve">7673</w:t>
                  </w:r>
                </w:p>
              </w:tc>
              <w:tc>
                <w:tcPr/>
                <w:p>
                  <w:pPr>
                    <w:pStyle w:val="Compact"/>
                    <w:jc w:val="right"/>
                    <w:jc w:val="center"/>
                  </w:pPr>
                  <w:r>
                    <w:t xml:space="preserve">87.6</w:t>
                  </w:r>
                </w:p>
              </w:tc>
            </w:tr>
            <w:tr>
              <w:tc>
                <w:tcPr/>
                <w:p>
                  <w:pPr>
                    <w:pStyle w:val="Compact"/>
                    <w:jc w:val="left"/>
                    <w:jc w:val="center"/>
                  </w:pPr>
                  <w:r>
                    <w:t xml:space="preserve">west_east</w:t>
                  </w:r>
                </w:p>
              </w:tc>
              <w:tc>
                <w:tcPr/>
                <w:p>
                  <w:pPr>
                    <w:pStyle w:val="Compact"/>
                    <w:jc w:val="right"/>
                    <w:jc w:val="center"/>
                  </w:pPr>
                  <w:r>
                    <w:t xml:space="preserve">-24.7</w:t>
                  </w:r>
                </w:p>
              </w:tc>
              <w:tc>
                <w:tcPr/>
                <w:p>
                  <w:pPr>
                    <w:pStyle w:val="Compact"/>
                    <w:jc w:val="right"/>
                    <w:jc w:val="center"/>
                  </w:pPr>
                  <w:r>
                    <w:t xml:space="preserve">7272</w:t>
                  </w:r>
                </w:p>
              </w:tc>
              <w:tc>
                <w:tcPr/>
                <w:p>
                  <w:pPr>
                    <w:pStyle w:val="Compact"/>
                    <w:jc w:val="right"/>
                    <w:jc w:val="center"/>
                  </w:pPr>
                  <w:r>
                    <w:t xml:space="preserve">85.3</w:t>
                  </w:r>
                </w:p>
              </w:tc>
            </w:tr>
          </w:tbl>
          <w:bookmarkEnd w:id="68"/>
          <w:p/>
        </w:tc>
      </w:tr>
    </w:tbl>
    <w:p>
      <w:pPr>
        <w:pStyle w:val="BodyText"/>
      </w:pPr>
      <w:r>
        <w:t xml:space="preserve">También es posible construir contrastes entre variables asociadas a diferentes grupos poblacionales, como ocurre al comparar el ingreso medio según el sexo. Siguiendo el mismo procedimiento del ejemplo anterior, el primer paso consiste en estimar el ingreso medio para cada grupo, en este caso hombres y mujeres, como se presenta en la</w:t>
      </w:r>
      <w:r>
        <w:t xml:space="preserve"> </w:t>
      </w:r>
      <w:hyperlink w:anchor="tbl-prom-sexo">
        <w:r>
          <w:rPr>
            <w:rStyle w:val="Hyperlink"/>
          </w:rPr>
          <w:t xml:space="preserve">tabla 3.28</w:t>
        </w:r>
      </w:hyperlink>
      <w:r>
        <w:t xml:space="preserve">.</w:t>
      </w:r>
    </w:p>
    <w:p>
      <w:pPr>
        <w:pStyle w:val="SourceCode"/>
      </w:pPr>
      <w:r>
        <w:rPr>
          <w:rStyle w:val="NormalTok"/>
        </w:rPr>
        <w:t xml:space="preserve">sex_mean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(Income,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sex_mean_contrast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Sex,</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prom-sexo"/>
          <w:p>
            <w:pPr>
              <w:jc w:val="center"/>
            </w:pPr>
            <w:pPr>
              <w:jc w:val="left"/>
              <w:spacing w:before="200"/>
              <w:pStyle w:val="ImageCaption"/>
            </w:pPr>
            <w:r>
              <w:t xml:space="preserve">Tabla 3.28: Ingreso medio estimado por sexo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Sex</w:t>
                  </w:r>
                </w:p>
              </w:tc>
              <w:tc>
                <w:tcPr/>
                <w:p>
                  <w:pPr>
                    <w:pStyle w:val="Compact"/>
                    <w:jc w:val="right"/>
                    <w:jc w:val="center"/>
                  </w:pPr>
                  <w:r>
                    <w:t xml:space="preserve">mean</w:t>
                  </w:r>
                </w:p>
              </w:tc>
              <w:tc>
                <w:tcPr/>
                <w:p>
                  <w:pPr>
                    <w:pStyle w:val="Compact"/>
                    <w:jc w:val="right"/>
                    <w:jc w:val="center"/>
                  </w:pPr>
                  <w:r>
                    <w:t xml:space="preserve">mean_se</w:t>
                  </w:r>
                </w:p>
              </w:tc>
              <w:tc>
                <w:tcPr/>
                <w:p>
                  <w:pPr>
                    <w:pStyle w:val="Compact"/>
                    <w:jc w:val="right"/>
                    <w:jc w:val="center"/>
                  </w:pPr>
                  <w:r>
                    <w:t xml:space="preserve">mean_low</w:t>
                  </w:r>
                </w:p>
              </w:tc>
              <w:tc>
                <w:tcPr/>
                <w:p>
                  <w:pPr>
                    <w:pStyle w:val="Compact"/>
                    <w:jc w:val="right"/>
                    <w:jc w:val="center"/>
                  </w:pPr>
                  <w:r>
                    <w:t xml:space="preserve">mean_upp</w:t>
                  </w:r>
                </w:p>
              </w:tc>
            </w:tr>
            <w:tr>
              <w:tc>
                <w:tcPr/>
                <w:p>
                  <w:pPr>
                    <w:pStyle w:val="Compact"/>
                    <w:jc w:val="left"/>
                    <w:jc w:val="center"/>
                  </w:pPr>
                  <w:r>
                    <w:t xml:space="preserve">Female</w:t>
                  </w:r>
                </w:p>
              </w:tc>
              <w:tc>
                <w:tcPr/>
                <w:p>
                  <w:pPr>
                    <w:pStyle w:val="Compact"/>
                    <w:jc w:val="right"/>
                    <w:jc w:val="center"/>
                  </w:pPr>
                  <w:r>
                    <w:t xml:space="preserve">558</w:t>
                  </w:r>
                </w:p>
              </w:tc>
              <w:tc>
                <w:tcPr/>
                <w:p>
                  <w:pPr>
                    <w:pStyle w:val="Compact"/>
                    <w:jc w:val="right"/>
                    <w:jc w:val="center"/>
                  </w:pPr>
                  <w:r>
                    <w:t xml:space="preserve">25.8</w:t>
                  </w:r>
                </w:p>
              </w:tc>
              <w:tc>
                <w:tcPr/>
                <w:p>
                  <w:pPr>
                    <w:pStyle w:val="Compact"/>
                    <w:jc w:val="right"/>
                    <w:jc w:val="center"/>
                  </w:pPr>
                  <w:r>
                    <w:t xml:space="preserve">506</w:t>
                  </w:r>
                </w:p>
              </w:tc>
              <w:tc>
                <w:tcPr/>
                <w:p>
                  <w:pPr>
                    <w:pStyle w:val="Compact"/>
                    <w:jc w:val="right"/>
                    <w:jc w:val="center"/>
                  </w:pPr>
                  <w:r>
                    <w:t xml:space="preserve">609</w:t>
                  </w:r>
                </w:p>
              </w:tc>
            </w:tr>
            <w:tr>
              <w:tc>
                <w:tcPr/>
                <w:p>
                  <w:pPr>
                    <w:pStyle w:val="Compact"/>
                    <w:jc w:val="left"/>
                    <w:jc w:val="center"/>
                  </w:pPr>
                  <w:r>
                    <w:t xml:space="preserve">Male</w:t>
                  </w:r>
                </w:p>
              </w:tc>
              <w:tc>
                <w:tcPr/>
                <w:p>
                  <w:pPr>
                    <w:pStyle w:val="Compact"/>
                    <w:jc w:val="right"/>
                    <w:jc w:val="center"/>
                  </w:pPr>
                  <w:r>
                    <w:t xml:space="preserve">586</w:t>
                  </w:r>
                </w:p>
              </w:tc>
              <w:tc>
                <w:tcPr/>
                <w:p>
                  <w:pPr>
                    <w:pStyle w:val="Compact"/>
                    <w:jc w:val="right"/>
                    <w:jc w:val="center"/>
                  </w:pPr>
                  <w:r>
                    <w:t xml:space="preserve">34.6</w:t>
                  </w:r>
                </w:p>
              </w:tc>
              <w:tc>
                <w:tcPr/>
                <w:p>
                  <w:pPr>
                    <w:pStyle w:val="Compact"/>
                    <w:jc w:val="right"/>
                    <w:jc w:val="center"/>
                  </w:pPr>
                  <w:r>
                    <w:t xml:space="preserve">517</w:t>
                  </w:r>
                </w:p>
              </w:tc>
              <w:tc>
                <w:tcPr/>
                <w:p>
                  <w:pPr>
                    <w:pStyle w:val="Compact"/>
                    <w:jc w:val="right"/>
                    <w:jc w:val="center"/>
                  </w:pPr>
                  <w:r>
                    <w:t xml:space="preserve">654</w:t>
                  </w:r>
                </w:p>
              </w:tc>
            </w:tr>
          </w:tbl>
          <w:bookmarkEnd w:id="69"/>
          <w:p/>
        </w:tc>
      </w:tr>
    </w:tbl>
    <w:p>
      <w:pPr>
        <w:pStyle w:val="BodyText"/>
      </w:pPr>
      <w:r>
        <w:t xml:space="preserve">En este caso, el contraste de interés está dado por</w:t>
      </w:r>
      <w:r>
        <w:t xml:space="preserve"> </w:t>
      </w:r>
      <m:oMath>
        <m:sSub>
          <m:e>
            <m:acc>
              <m:accPr>
                <m:chr m:val="‾"/>
              </m:accPr>
              <m:e>
                <m:r>
                  <m:t>y</m:t>
                </m:r>
              </m:e>
            </m:acc>
          </m:e>
          <m:sub>
            <m:r>
              <m:t>F</m:t>
            </m:r>
          </m:sub>
        </m:sSub>
        <m:r>
          <m:rPr>
            <m:sty m:val="p"/>
          </m:rPr>
          <m:t>−</m:t>
        </m:r>
        <m:sSub>
          <m:e>
            <m:acc>
              <m:accPr>
                <m:chr m:val="‾"/>
              </m:accPr>
              <m:e>
                <m:r>
                  <m:t>y</m:t>
                </m:r>
              </m:e>
            </m:acc>
          </m:e>
          <m:sub>
            <m:r>
              <m:t>M</m:t>
            </m:r>
          </m:sub>
        </m:sSub>
      </m:oMath>
      <w:r>
        <w:t xml:space="preserve">, el cual permite cuantificar la diferencia entre el ingreso medio de las mujeres y el correspondiente a los hombres. A continuación, utilizando la función</w:t>
      </w:r>
      <w:r>
        <w:t xml:space="preserve"> </w:t>
      </w:r>
      <w:r>
        <w:rPr>
          <w:rStyle w:val="VerbatimChar"/>
        </w:rPr>
        <w:t xml:space="preserve">svycontrast()</w:t>
      </w:r>
      <w:r>
        <w:t xml:space="preserve"> </w:t>
      </w:r>
      <w:r>
        <w:t xml:space="preserve">del paquete</w:t>
      </w:r>
      <w:r>
        <w:t xml:space="preserve"> </w:t>
      </w:r>
      <w:r>
        <w:rPr>
          <w:rStyle w:val="VerbatimChar"/>
        </w:rPr>
        <w:t xml:space="preserve">survey</w:t>
      </w:r>
      <w:r>
        <w:t xml:space="preserve">, se obtiene la estimación del contraste, cuyos resultados se presentan en la</w:t>
      </w:r>
      <w:r>
        <w:t xml:space="preserve"> </w:t>
      </w:r>
      <w:hyperlink w:anchor="tbl-contraste-sexo">
        <w:r>
          <w:rPr>
            <w:rStyle w:val="Hyperlink"/>
          </w:rPr>
          <w:t xml:space="preserve">tabla 3.29</w:t>
        </w:r>
      </w:hyperlink>
      <w:r>
        <w:t xml:space="preserve">. A partir de estos resultados, se concluye que, en promedio, los hombres perciben 28.3 unidades monetarias más que las mujeres, con un error estándar estimado de 20.8 unidades monetarias.</w:t>
      </w:r>
    </w:p>
    <w:p>
      <w:pPr>
        <w:pStyle w:val="SourceCode"/>
      </w:pPr>
      <w:r>
        <w:rPr>
          <w:rStyle w:val="NormalTok"/>
        </w:rPr>
        <w:t xml:space="preserve">contrast_sex </w:t>
      </w:r>
      <w:r>
        <w:rPr>
          <w:rStyle w:val="OtherTok"/>
        </w:rPr>
        <w:t xml:space="preserve">&lt;-</w:t>
      </w:r>
      <w:r>
        <w:rPr>
          <w:rStyle w:val="NormalTok"/>
        </w:rPr>
        <w:t xml:space="preserve"> </w:t>
      </w:r>
      <w:r>
        <w:rPr>
          <w:rStyle w:val="FunctionTok"/>
        </w:rPr>
        <w:t xml:space="preserve">svycontrast</w:t>
      </w:r>
      <w:r>
        <w:rPr>
          <w:rStyle w:val="NormalTok"/>
        </w:rPr>
        <w:t xml:space="preserve">(</w:t>
      </w:r>
      <w:r>
        <w:br/>
      </w:r>
      <w:r>
        <w:rPr>
          <w:rStyle w:val="NormalTok"/>
        </w:rPr>
        <w:t xml:space="preserve">  </w:t>
      </w:r>
      <w:r>
        <w:rPr>
          <w:rStyle w:val="AttributeTok"/>
        </w:rPr>
        <w:t xml:space="preserve">stat =</w:t>
      </w:r>
      <w:r>
        <w:rPr>
          <w:rStyle w:val="NormalTok"/>
        </w:rPr>
        <w:t xml:space="preserve"> sex_mean_contrast,</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rPr>
          <w:rStyle w:val="AttributeTok"/>
        </w:rPr>
        <w:t xml:space="preserve">sex_difference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0" w:name="tbl-contraste-sexo"/>
          <w:p>
            <w:pPr>
              <w:jc w:val="center"/>
            </w:pPr>
            <w:pPr>
              <w:jc w:val="left"/>
              <w:spacing w:before="200"/>
              <w:pStyle w:val="ImageCaption"/>
            </w:pPr>
            <w:r>
              <w:t xml:space="preserve">Tabla 3.29: Contraste de ingresos medios entre mujeres y hombres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right"/>
                    <w:jc w:val="center"/>
                  </w:pPr>
                  <w:r>
                    <w:t xml:space="preserve">estimate</w:t>
                  </w:r>
                </w:p>
              </w:tc>
              <w:tc>
                <w:tcPr/>
                <w:p>
                  <w:pPr>
                    <w:pStyle w:val="Compact"/>
                    <w:jc w:val="right"/>
                    <w:jc w:val="center"/>
                  </w:pPr>
                  <w:r>
                    <w:t xml:space="preserve">variance</w:t>
                  </w:r>
                </w:p>
              </w:tc>
              <w:tc>
                <w:tcPr/>
                <w:p>
                  <w:pPr>
                    <w:pStyle w:val="Compact"/>
                    <w:jc w:val="right"/>
                    <w:jc w:val="center"/>
                  </w:pPr>
                  <w:r>
                    <w:t xml:space="preserve">standard_error</w:t>
                  </w:r>
                </w:p>
              </w:tc>
            </w:tr>
            <w:tr>
              <w:tc>
                <w:tcPr/>
                <w:p>
                  <w:pPr>
                    <w:pStyle w:val="Compact"/>
                    <w:jc w:val="left"/>
                    <w:jc w:val="center"/>
                  </w:pPr>
                  <w:r>
                    <w:t xml:space="preserve">sex_difference</w:t>
                  </w:r>
                </w:p>
              </w:tc>
              <w:tc>
                <w:tcPr/>
                <w:p>
                  <w:pPr>
                    <w:pStyle w:val="Compact"/>
                    <w:jc w:val="right"/>
                    <w:jc w:val="center"/>
                  </w:pPr>
                  <w:r>
                    <w:t xml:space="preserve">-28.3</w:t>
                  </w:r>
                </w:p>
              </w:tc>
              <w:tc>
                <w:tcPr/>
                <w:p>
                  <w:pPr>
                    <w:pStyle w:val="Compact"/>
                    <w:jc w:val="right"/>
                    <w:jc w:val="center"/>
                  </w:pPr>
                  <w:r>
                    <w:t xml:space="preserve">431</w:t>
                  </w:r>
                </w:p>
              </w:tc>
              <w:tc>
                <w:tcPr/>
                <w:p>
                  <w:pPr>
                    <w:pStyle w:val="Compact"/>
                    <w:jc w:val="right"/>
                    <w:jc w:val="center"/>
                  </w:pPr>
                  <w:r>
                    <w:t xml:space="preserve">20.8</w:t>
                  </w:r>
                </w:p>
              </w:tc>
            </w:tr>
          </w:tbl>
          <w:bookmarkEnd w:id="70"/>
          <w:p/>
        </w:tc>
      </w:tr>
    </w:tbl>
    <w:p>
      <w:pPr>
        <w:pStyle w:val="BodyText"/>
      </w:pPr>
      <w:r>
        <w:t xml:space="preserve">Dado que los contrastes corresponden a funciones lineales de parámetros, también es posible aplicarlos a estimadores de razón. Un ejemplo de ello consiste en comparar la relación entre ingresos y gastos según el sexo. En este caso, primero se estima la razón ingreso-gasto para cada grupo y posteriormente se construye el contraste entre dichas razones. A continuación, se presentan los códigos computacionales utilizados para realizar este análisis, cuyos resultados se muestran en la</w:t>
      </w:r>
      <w:r>
        <w:t xml:space="preserve"> </w:t>
      </w:r>
      <w:hyperlink w:anchor="tbl-razon-ingreso-gasto-sexo">
        <w:r>
          <w:rPr>
            <w:rStyle w:val="Hyperlink"/>
          </w:rPr>
          <w:t xml:space="preserve">tabla 3.30</w:t>
        </w:r>
      </w:hyperlink>
      <w:r>
        <w:t xml:space="preserve">:</w:t>
      </w:r>
    </w:p>
    <w:p>
      <w:pPr>
        <w:pStyle w:val="SourceCode"/>
      </w:pPr>
      <w:r>
        <w:rPr>
          <w:rStyle w:val="NormalTok"/>
        </w:rPr>
        <w:t xml:space="preserve">sex_ratio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ratio =</w:t>
      </w:r>
      <w:r>
        <w:rPr>
          <w:rStyle w:val="NormalTok"/>
        </w:rPr>
        <w:t xml:space="preserve"> </w:t>
      </w:r>
      <w:r>
        <w:rPr>
          <w:rStyle w:val="FunctionTok"/>
        </w:rPr>
        <w:t xml:space="preserve">survey_ratio</w:t>
      </w:r>
      <w:r>
        <w:rPr>
          <w:rStyle w:val="NormalTok"/>
        </w:rPr>
        <w:t xml:space="preserve">(Income,</w:t>
      </w:r>
      <w:r>
        <w:br/>
      </w:r>
      <w:r>
        <w:rPr>
          <w:rStyle w:val="NormalTok"/>
        </w:rPr>
        <w:t xml:space="preserve">                                 Expenditure,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sex_ratio_contrast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Sex,</w:t>
      </w:r>
      <w:r>
        <w:br/>
      </w:r>
      <w:r>
        <w:rPr>
          <w:rStyle w:val="NormalTok"/>
        </w:rPr>
        <w:t xml:space="preserve">                            </w:t>
      </w:r>
      <w:r>
        <w:rPr>
          <w:rStyle w:val="AttributeTok"/>
        </w:rPr>
        <w:t xml:space="preserve">denominator =</w:t>
      </w:r>
      <w:r>
        <w:rPr>
          <w:rStyle w:val="NormalTok"/>
        </w:rPr>
        <w:t xml:space="preserve"> </w:t>
      </w:r>
      <w:r>
        <w:rPr>
          <w:rStyle w:val="SpecialCharTok"/>
        </w:rPr>
        <w:t xml:space="preserve">~</w:t>
      </w:r>
      <w:r>
        <w:rPr>
          <w:rStyle w:val="NormalTok"/>
        </w:rPr>
        <w:t xml:space="preserve">Expenditure,</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                            </w:t>
      </w:r>
      <w:r>
        <w:rPr>
          <w:rStyle w:val="AttributeTok"/>
        </w:rPr>
        <w:t xml:space="preserve">FUN =</w:t>
      </w:r>
      <w:r>
        <w:rPr>
          <w:rStyle w:val="NormalTok"/>
        </w:rPr>
        <w:t xml:space="preserve"> svyratio,</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1" w:name="tbl-razon-ingreso-gasto-sexo"/>
          <w:p>
            <w:pPr>
              <w:jc w:val="center"/>
            </w:pPr>
            <w:pPr>
              <w:jc w:val="left"/>
              <w:spacing w:before="200"/>
              <w:pStyle w:val="ImageCaption"/>
            </w:pPr>
            <w:r>
              <w:t xml:space="preserve">Tabla 3.30: Razón ingreso/gasto desagregada por sexo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Sex</w:t>
                  </w:r>
                </w:p>
              </w:tc>
              <w:tc>
                <w:tcPr/>
                <w:p>
                  <w:pPr>
                    <w:pStyle w:val="Compact"/>
                    <w:jc w:val="right"/>
                    <w:jc w:val="center"/>
                  </w:pPr>
                  <w:r>
                    <w:t xml:space="preserve">ratio</w:t>
                  </w:r>
                </w:p>
              </w:tc>
              <w:tc>
                <w:tcPr/>
                <w:p>
                  <w:pPr>
                    <w:pStyle w:val="Compact"/>
                    <w:jc w:val="right"/>
                    <w:jc w:val="center"/>
                  </w:pPr>
                  <w:r>
                    <w:t xml:space="preserve">ratio_se</w:t>
                  </w:r>
                </w:p>
              </w:tc>
              <w:tc>
                <w:tcPr/>
                <w:p>
                  <w:pPr>
                    <w:pStyle w:val="Compact"/>
                    <w:jc w:val="right"/>
                    <w:jc w:val="center"/>
                  </w:pPr>
                  <w:r>
                    <w:t xml:space="preserve">ratio_low</w:t>
                  </w:r>
                </w:p>
              </w:tc>
              <w:tc>
                <w:tcPr/>
                <w:p>
                  <w:pPr>
                    <w:pStyle w:val="Compact"/>
                    <w:jc w:val="right"/>
                    <w:jc w:val="center"/>
                  </w:pPr>
                  <w:r>
                    <w:t xml:space="preserve">ratio_upp</w:t>
                  </w:r>
                </w:p>
              </w:tc>
            </w:tr>
            <w:tr>
              <w:tc>
                <w:tcPr/>
                <w:p>
                  <w:pPr>
                    <w:pStyle w:val="Compact"/>
                    <w:jc w:val="left"/>
                    <w:jc w:val="center"/>
                  </w:pPr>
                  <w:r>
                    <w:t xml:space="preserve">Female</w:t>
                  </w:r>
                </w:p>
              </w:tc>
              <w:tc>
                <w:tcPr/>
                <w:p>
                  <w:pPr>
                    <w:pStyle w:val="Compact"/>
                    <w:jc w:val="right"/>
                    <w:jc w:val="center"/>
                  </w:pPr>
                  <w:r>
                    <w:t xml:space="preserve">1.52</w:t>
                  </w:r>
                </w:p>
              </w:tc>
              <w:tc>
                <w:tcPr/>
                <w:p>
                  <w:pPr>
                    <w:pStyle w:val="Compact"/>
                    <w:jc w:val="right"/>
                    <w:jc w:val="center"/>
                  </w:pPr>
                  <w:r>
                    <w:t xml:space="preserve">0.046</w:t>
                  </w:r>
                </w:p>
              </w:tc>
              <w:tc>
                <w:tcPr/>
                <w:p>
                  <w:pPr>
                    <w:pStyle w:val="Compact"/>
                    <w:jc w:val="right"/>
                    <w:jc w:val="center"/>
                  </w:pPr>
                  <w:r>
                    <w:t xml:space="preserve">1.43</w:t>
                  </w:r>
                </w:p>
              </w:tc>
              <w:tc>
                <w:tcPr/>
                <w:p>
                  <w:pPr>
                    <w:pStyle w:val="Compact"/>
                    <w:jc w:val="right"/>
                    <w:jc w:val="center"/>
                  </w:pPr>
                  <w:r>
                    <w:t xml:space="preserve">1.61</w:t>
                  </w:r>
                </w:p>
              </w:tc>
            </w:tr>
            <w:tr>
              <w:tc>
                <w:tcPr/>
                <w:p>
                  <w:pPr>
                    <w:pStyle w:val="Compact"/>
                    <w:jc w:val="left"/>
                    <w:jc w:val="center"/>
                  </w:pPr>
                  <w:r>
                    <w:t xml:space="preserve">Male</w:t>
                  </w:r>
                </w:p>
              </w:tc>
              <w:tc>
                <w:tcPr/>
                <w:p>
                  <w:pPr>
                    <w:pStyle w:val="Compact"/>
                    <w:jc w:val="right"/>
                    <w:jc w:val="center"/>
                  </w:pPr>
                  <w:r>
                    <w:t xml:space="preserve">1.56</w:t>
                  </w:r>
                </w:p>
              </w:tc>
              <w:tc>
                <w:tcPr/>
                <w:p>
                  <w:pPr>
                    <w:pStyle w:val="Compact"/>
                    <w:jc w:val="right"/>
                    <w:jc w:val="center"/>
                  </w:pPr>
                  <w:r>
                    <w:t xml:space="preserve">0.070</w:t>
                  </w:r>
                </w:p>
              </w:tc>
              <w:tc>
                <w:tcPr/>
                <w:p>
                  <w:pPr>
                    <w:pStyle w:val="Compact"/>
                    <w:jc w:val="right"/>
                    <w:jc w:val="center"/>
                  </w:pPr>
                  <w:r>
                    <w:t xml:space="preserve">1.42</w:t>
                  </w:r>
                </w:p>
              </w:tc>
              <w:tc>
                <w:tcPr/>
                <w:p>
                  <w:pPr>
                    <w:pStyle w:val="Compact"/>
                    <w:jc w:val="right"/>
                    <w:jc w:val="center"/>
                  </w:pPr>
                  <w:r>
                    <w:t xml:space="preserve">1.70</w:t>
                  </w:r>
                </w:p>
              </w:tc>
            </w:tr>
          </w:tbl>
          <w:bookmarkEnd w:id="71"/>
          <w:p/>
        </w:tc>
      </w:tr>
    </w:tbl>
    <w:p>
      <w:pPr>
        <w:pStyle w:val="BodyText"/>
      </w:pPr>
      <w:r>
        <w:t xml:space="preserve">La función</w:t>
      </w:r>
      <w:r>
        <w:t xml:space="preserve"> </w:t>
      </w:r>
      <w:r>
        <w:rPr>
          <w:rStyle w:val="VerbatimChar"/>
        </w:rPr>
        <w:t xml:space="preserve">svycontrast()</w:t>
      </w:r>
      <w:r>
        <w:t xml:space="preserve"> </w:t>
      </w:r>
      <w:r>
        <w:t xml:space="preserve">no se limita únicamente a la comparación de medias o totales, sino que también permite construir contrastes entre otros parámetros de interés, como razones y proporciones estimadas a partir de diseños de muestreo complejos. A continuación, se presentan los códigos computacionales utilizados para realizar este análisis, cuyos resultados se muestran en la</w:t>
      </w:r>
      <w:r>
        <w:t xml:space="preserve"> </w:t>
      </w:r>
      <w:hyperlink w:anchor="tbl-contraste-razon-sexo">
        <w:r>
          <w:rPr>
            <w:rStyle w:val="Hyperlink"/>
          </w:rPr>
          <w:t xml:space="preserve">tabla 3.31</w:t>
        </w:r>
      </w:hyperlink>
      <w:r>
        <w:t xml:space="preserve">. A partir de dichos resultados, puede concluirse que la diferencia entre las razones estimadas es de 0.046 a favor de los hombres.</w:t>
      </w:r>
    </w:p>
    <w:p>
      <w:pPr>
        <w:pStyle w:val="SourceCode"/>
      </w:pPr>
      <w:r>
        <w:rPr>
          <w:rStyle w:val="NormalTok"/>
        </w:rPr>
        <w:t xml:space="preserve">contrast_sex_ratio </w:t>
      </w:r>
      <w:r>
        <w:rPr>
          <w:rStyle w:val="OtherTok"/>
        </w:rPr>
        <w:t xml:space="preserve">&lt;-</w:t>
      </w:r>
      <w:r>
        <w:rPr>
          <w:rStyle w:val="NormalTok"/>
        </w:rPr>
        <w:t xml:space="preserve"> </w:t>
      </w:r>
      <w:r>
        <w:rPr>
          <w:rStyle w:val="FunctionTok"/>
        </w:rPr>
        <w:t xml:space="preserve">svycontrast</w:t>
      </w:r>
      <w:r>
        <w:rPr>
          <w:rStyle w:val="NormalTok"/>
        </w:rPr>
        <w:t xml:space="preserve">(</w:t>
      </w:r>
      <w:r>
        <w:br/>
      </w:r>
      <w:r>
        <w:rPr>
          <w:rStyle w:val="NormalTok"/>
        </w:rPr>
        <w:t xml:space="preserve">  </w:t>
      </w:r>
      <w:r>
        <w:rPr>
          <w:rStyle w:val="AttributeTok"/>
        </w:rPr>
        <w:t xml:space="preserve">stat =</w:t>
      </w:r>
      <w:r>
        <w:rPr>
          <w:rStyle w:val="NormalTok"/>
        </w:rPr>
        <w:t xml:space="preserve"> sex_ratio_contrast,</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rPr>
          <w:rStyle w:val="AttributeTok"/>
        </w:rPr>
        <w:t xml:space="preserve">sex_difference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2" w:name="tbl-contraste-razon-sexo"/>
          <w:p>
            <w:pPr>
              <w:jc w:val="center"/>
            </w:pPr>
            <w:pPr>
              <w:jc w:val="left"/>
              <w:spacing w:before="200"/>
              <w:pStyle w:val="ImageCaption"/>
            </w:pPr>
            <w:r>
              <w:t xml:space="preserve">Tabla 3.31: Contraste de la razón ingreso/gasto entre sexos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right"/>
                    <w:jc w:val="center"/>
                  </w:pPr>
                  <w:r>
                    <w:t xml:space="preserve">estimate</w:t>
                  </w:r>
                </w:p>
              </w:tc>
              <w:tc>
                <w:tcPr/>
                <w:p>
                  <w:pPr>
                    <w:pStyle w:val="Compact"/>
                    <w:jc w:val="right"/>
                    <w:jc w:val="center"/>
                  </w:pPr>
                  <w:r>
                    <w:t xml:space="preserve">standard_error</w:t>
                  </w:r>
                </w:p>
              </w:tc>
              <w:tc>
                <w:tcPr/>
                <w:p>
                  <w:pPr>
                    <w:pStyle w:val="Compact"/>
                    <w:jc w:val="right"/>
                    <w:jc w:val="center"/>
                  </w:pPr>
                  <w:r>
                    <w:t xml:space="preserve">variance</w:t>
                  </w:r>
                </w:p>
              </w:tc>
            </w:tr>
            <w:tr>
              <w:tc>
                <w:tcPr/>
                <w:p>
                  <w:pPr>
                    <w:pStyle w:val="Compact"/>
                    <w:jc w:val="left"/>
                    <w:jc w:val="center"/>
                  </w:pPr>
                  <w:r>
                    <w:t xml:space="preserve">sex_difference</w:t>
                  </w:r>
                </w:p>
              </w:tc>
              <w:tc>
                <w:tcPr/>
                <w:p>
                  <w:pPr>
                    <w:pStyle w:val="Compact"/>
                    <w:jc w:val="right"/>
                    <w:jc w:val="center"/>
                  </w:pPr>
                  <w:r>
                    <w:t xml:space="preserve">-0.046</w:t>
                  </w:r>
                </w:p>
              </w:tc>
              <w:tc>
                <w:tcPr/>
                <w:p>
                  <w:pPr>
                    <w:pStyle w:val="Compact"/>
                    <w:jc w:val="right"/>
                    <w:jc w:val="center"/>
                  </w:pPr>
                  <w:r>
                    <w:t xml:space="preserve">0.0416</w:t>
                  </w:r>
                </w:p>
              </w:tc>
              <w:tc>
                <w:tcPr/>
                <w:p>
                  <w:pPr>
                    <w:pStyle w:val="Compact"/>
                    <w:jc w:val="right"/>
                    <w:jc w:val="center"/>
                  </w:pPr>
                  <w:r>
                    <w:t xml:space="preserve">0.00173</w:t>
                  </w:r>
                </w:p>
              </w:tc>
            </w:tr>
          </w:tbl>
          <w:bookmarkEnd w:id="72"/>
          <w:p/>
        </w:tc>
      </w:tr>
    </w:tbl>
    <w:bookmarkEnd w:id="73"/>
    <w:bookmarkStart w:id="105" w:name="viz-continuas"/>
    <w:p>
      <w:pPr>
        <w:pStyle w:val="Heading2"/>
      </w:pPr>
      <w:r>
        <w:t xml:space="preserve">3.5 Visualización de variables continuas</w:t>
      </w:r>
    </w:p>
    <w:p>
      <w:pPr>
        <w:pStyle w:val="FirstParagraph"/>
      </w:pPr>
      <w:r>
        <w:t xml:space="preserve">Según</w:t>
      </w:r>
      <w:r>
        <w:t xml:space="preserve"> </w:t>
      </w:r>
      <w:r>
        <w:t xml:space="preserve">Wilkinson (2005)</w:t>
      </w:r>
      <w:r>
        <w:t xml:space="preserve">, la representación gráfica de variables continuas es un componente esencial en el análisis de encuestas de hogares. Los gráficos bien diseñados permiten identificar distribuciones, tendencias y relaciones entre variables, facilitando la interpretación de los hallazgos y su comunicación a distintos públicos. Un aspecto fundamental en este contexto es que los gráficos deben incorporar los pesos muestrales para reflejar la distribución de la población de interés.</w:t>
      </w:r>
    </w:p>
    <w:p>
      <w:pPr>
        <w:pStyle w:val="BodyText"/>
      </w:pPr>
      <w:r>
        <w:t xml:space="preserve">De acuerdo con</w:t>
      </w:r>
      <w:r>
        <w:t xml:space="preserve"> </w:t>
      </w:r>
      <w:r>
        <w:t xml:space="preserve">Pedersen (2025)</w:t>
      </w:r>
      <w:r>
        <w:t xml:space="preserve"> </w:t>
      </w:r>
      <w:r>
        <w:t xml:space="preserve">y</w:t>
      </w:r>
      <w:r>
        <w:t xml:space="preserve"> </w:t>
      </w:r>
      <w:r>
        <w:t xml:space="preserve">Wickham, Chang, et al. (2026)</w:t>
      </w:r>
      <w:r>
        <w:t xml:space="preserve">, en esta sección se utilizan los paquetes</w:t>
      </w:r>
      <w:r>
        <w:t xml:space="preserve"> </w:t>
      </w:r>
      <w:r>
        <w:rPr>
          <w:rStyle w:val="VerbatimChar"/>
        </w:rPr>
        <w:t xml:space="preserve">patchwork</w:t>
      </w:r>
      <w:r>
        <w:t xml:space="preserve"> </w:t>
      </w:r>
      <w:r>
        <w:t xml:space="preserve">y</w:t>
      </w:r>
      <w:r>
        <w:t xml:space="preserve"> </w:t>
      </w:r>
      <w:r>
        <w:rPr>
          <w:rStyle w:val="VerbatimChar"/>
        </w:rPr>
        <w:t xml:space="preserve">ggplot2</w:t>
      </w:r>
      <w:r>
        <w:t xml:space="preserve"> </w:t>
      </w:r>
      <w:r>
        <w:t xml:space="preserve">para la composición y construcción de gráficos. Estas herramientas se combinan con</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respectivamente.</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r>
        <w:br/>
      </w:r>
      <w:r>
        <w:rPr>
          <w:rStyle w:val="FunctionTok"/>
        </w:rPr>
        <w:t xml:space="preserve">data</w:t>
      </w:r>
      <w:r>
        <w:rPr>
          <w:rStyle w:val="NormalTok"/>
        </w:rPr>
        <w:t xml:space="preserve">(BigCity, </w:t>
      </w:r>
      <w:r>
        <w:rPr>
          <w:rStyle w:val="AttributeTok"/>
        </w:rPr>
        <w:t xml:space="preserve">package =</w:t>
      </w:r>
      <w:r>
        <w:rPr>
          <w:rStyle w:val="NormalTok"/>
        </w:rPr>
        <w:t xml:space="preserve"> </w:t>
      </w:r>
      <w:r>
        <w:rPr>
          <w:rStyle w:val="StringTok"/>
        </w:rPr>
        <w:t xml:space="preserve">"TeachingSampling"</w:t>
      </w:r>
      <w:r>
        <w:rPr>
          <w:rStyle w:val="NormalTok"/>
        </w:rPr>
        <w:t xml:space="preserve">)</w:t>
      </w:r>
    </w:p>
    <w:bookmarkStart w:id="86" w:name="histogramas"/>
    <w:p>
      <w:pPr>
        <w:pStyle w:val="Heading3"/>
      </w:pPr>
      <w:r>
        <w:t xml:space="preserve">3.5.1 Histogramas</w:t>
      </w:r>
    </w:p>
    <w:p>
      <w:pPr>
        <w:pStyle w:val="FirstParagraph"/>
      </w:pPr>
      <w:r>
        <w:t xml:space="preserve">Un histograma es una representación gráfica de la distribución de una variable numérica continua, construida a partir de rectángulos cuya altura es proporcional a la frecuencia de observaciones dentro de determinados intervalos de clase. En el contexto de encuestas de hogares, los histogramas ponderados permiten aproximar la distribución de la variable en la población, incorporando los factores de expansión asociados al diseño muestral.</w:t>
      </w:r>
    </w:p>
    <w:p>
      <w:pPr>
        <w:pStyle w:val="BodyText"/>
      </w:pPr>
      <w:r>
        <w:t xml:space="preserve">A continuación, se presenta el histograma ponderado de la variable</w:t>
      </w:r>
      <w:r>
        <w:t xml:space="preserve"> </w:t>
      </w:r>
      <w:r>
        <w:rPr>
          <w:rStyle w:val="VerbatimChar"/>
        </w:rPr>
        <w:t xml:space="preserve">Income</w:t>
      </w:r>
      <w:r>
        <w:t xml:space="preserve">, construido incorporando los pesos muestrales (</w:t>
      </w:r>
      <w:r>
        <w:rPr>
          <w:rStyle w:val="VerbatimChar"/>
        </w:rPr>
        <w:t xml:space="preserve">wk</w:t>
      </w:r>
      <w:r>
        <w:t xml:space="preserve">) con el fin de representar la distribución estimada del ingreso en la población. Los resultados obtenidos se muestran en la</w:t>
      </w:r>
      <w:r>
        <w:t xml:space="preserve"> </w:t>
      </w:r>
      <w:hyperlink w:anchor="fig-hist-ingreso-ponde">
        <w:r>
          <w:rPr>
            <w:rStyle w:val="Hyperlink"/>
          </w:rPr>
          <w:t xml:space="preserve">figura 3.2</w:t>
        </w:r>
      </w:hyperlink>
      <w:r>
        <w:t xml:space="preserve">:</w:t>
      </w:r>
    </w:p>
    <w:p>
      <w:pPr>
        <w:pStyle w:val="SourceCode"/>
      </w:pPr>
      <w:r>
        <w:rPr>
          <w:rStyle w:val="NormalTok"/>
        </w:rPr>
        <w:t xml:space="preserve">weighted_income_hist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..density..))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"Histograma ponderado"</w:t>
      </w:r>
      <w:r>
        <w:rPr>
          <w:rStyle w:val="NormalTok"/>
        </w:rPr>
        <w:t xml:space="preserve">)</w:t>
      </w:r>
      <w:r>
        <w:br/>
      </w:r>
      <w:r>
        <w:rPr>
          <w:rStyle w:val="NormalTok"/>
        </w:rPr>
        <w:t xml:space="preserve">weighted_income_hist</w:t>
      </w:r>
    </w:p>
    <w:tbl>
      <w:tblPr>
        <w:tblStyle w:val="Table"/>
        <w:tblW w:type="pct" w:w="5000"/>
        <w:tblLayout w:type="fixed"/>
        <w:tblLook w:firstRow="0" w:lastRow="0" w:firstColumn="0" w:lastColumn="0" w:noHBand="0" w:noVBand="0" w:val="0000"/>
      </w:tblPr>
      <w:tblGrid>
        <w:gridCol w:w="7920"/>
      </w:tblGrid>
      <w:tr>
        <w:tc>
          <w:tcPr/>
          <w:bookmarkStart w:id="77" w:name="fig-hist-ingreso-ponde"/>
          <w:p>
            <w:pPr>
              <w:pStyle w:val="Compact"/>
              <w:jc w:val="center"/>
            </w:pPr>
            <w:r>
              <w:drawing>
                <wp:inline>
                  <wp:extent cx="3467100" cy="2311400"/>
                  <wp:effectExtent b="0" l="0" r="0" t="0"/>
                  <wp:docPr descr="" title="" id="75" name="Picture"/>
                  <a:graphic>
                    <a:graphicData uri="http://schemas.openxmlformats.org/drawingml/2006/picture">
                      <pic:pic>
                        <pic:nvPicPr>
                          <pic:cNvPr descr="chapters/../figures/fig-hist-ingreso-ponde-1.png" id="76" name="Picture"/>
                          <pic:cNvPicPr>
                            <a:picLocks noChangeArrowheads="1" noChangeAspect="1"/>
                          </pic:cNvPicPr>
                        </pic:nvPicPr>
                        <pic:blipFill>
                          <a:blip r:embed="rId74"/>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3.2: Histograma ponderado del ingreso de los hogares</w:t>
            </w:r>
          </w:p>
          <w:bookmarkEnd w:id="77"/>
        </w:tc>
      </w:tr>
    </w:tbl>
    <w:p>
      <w:pPr>
        <w:pStyle w:val="BodyText"/>
      </w:pPr>
      <w:r>
        <w:t xml:space="preserve">En este código, se inicia la construcción del gráfico utilizando la base de datos</w:t>
      </w:r>
      <w:r>
        <w:t xml:space="preserve"> </w:t>
      </w:r>
      <w:r>
        <w:rPr>
          <w:rStyle w:val="VerbatimChar"/>
        </w:rPr>
        <w:t xml:space="preserve">survey_data</w:t>
      </w:r>
      <w:r>
        <w:t xml:space="preserve">. Dentro de</w:t>
      </w:r>
      <w:r>
        <w:t xml:space="preserve"> </w:t>
      </w:r>
      <w:r>
        <w:rPr>
          <w:rStyle w:val="VerbatimChar"/>
        </w:rPr>
        <w:t xml:space="preserve">aes()</w:t>
      </w:r>
      <w:r>
        <w:t xml:space="preserve">, el argumento</w:t>
      </w:r>
      <w:r>
        <w:t xml:space="preserve"> </w:t>
      </w:r>
      <w:r>
        <w:rPr>
          <w:rStyle w:val="VerbatimChar"/>
        </w:rPr>
        <w:t xml:space="preserve">x = Income</w:t>
      </w:r>
      <w:r>
        <w:t xml:space="preserve"> </w:t>
      </w:r>
      <w:r>
        <w:t xml:space="preserve">indica que la variable representada en el eje horizontal corresponde al ingreso, mientras que</w:t>
      </w:r>
      <w:r>
        <w:t xml:space="preserve"> </w:t>
      </w:r>
      <w:r>
        <w:rPr>
          <w:rStyle w:val="VerbatimChar"/>
        </w:rPr>
        <w:t xml:space="preserve">weight = wk</w:t>
      </w:r>
      <w:r>
        <w:t xml:space="preserve"> </w:t>
      </w:r>
      <w:r>
        <w:t xml:space="preserve">incorpora los pesos muestrales para construir un histograma ponderado que refleje la distribución estimada en la población. La función</w:t>
      </w:r>
      <w:r>
        <w:t xml:space="preserve"> </w:t>
      </w:r>
      <w:r>
        <w:rPr>
          <w:rStyle w:val="VerbatimChar"/>
        </w:rPr>
        <w:t xml:space="preserve">geom_histogram()</w:t>
      </w:r>
      <w:r>
        <w:t xml:space="preserve"> </w:t>
      </w:r>
      <w:r>
        <w:t xml:space="preserve">genera el histograma y, mediante</w:t>
      </w:r>
      <w:r>
        <w:t xml:space="preserve"> </w:t>
      </w:r>
      <w:r>
        <w:rPr>
          <w:rStyle w:val="VerbatimChar"/>
        </w:rPr>
        <w:t xml:space="preserve">aes(y = ..density..)</w:t>
      </w:r>
      <w:r>
        <w:t xml:space="preserve">, la altura de las barras se expresa en términos de densidad en lugar de frecuencias absolutas. Posteriormente,</w:t>
      </w:r>
      <w:r>
        <w:t xml:space="preserve"> </w:t>
      </w:r>
      <w:r>
        <w:rPr>
          <w:rStyle w:val="VerbatimChar"/>
        </w:rPr>
        <w:t xml:space="preserve">ylab("")</w:t>
      </w:r>
      <w:r>
        <w:t xml:space="preserve"> </w:t>
      </w:r>
      <w:r>
        <w:t xml:space="preserve">elimina la etiqueta del eje vertical, y</w:t>
      </w:r>
      <w:r>
        <w:t xml:space="preserve"> </w:t>
      </w:r>
      <w:r>
        <w:rPr>
          <w:rStyle w:val="VerbatimChar"/>
        </w:rPr>
        <w:t xml:space="preserve">ggtitle("Histograma ponderado")</w:t>
      </w:r>
      <w:r>
        <w:t xml:space="preserve"> </w:t>
      </w:r>
      <w:r>
        <w:t xml:space="preserve">agrega un título descriptivo al gráfico.</w:t>
      </w:r>
    </w:p>
    <w:p>
      <w:pPr>
        <w:pStyle w:val="BodyText"/>
      </w:pPr>
      <w:r>
        <w:t xml:space="preserve">Los histogramas también permiten comparar visualmente la distribución de una variable entre distintos subgrupos de la población mediante el argumento</w:t>
      </w:r>
      <w:r>
        <w:t xml:space="preserve"> </w:t>
      </w:r>
      <w:r>
        <w:rPr>
          <w:rStyle w:val="VerbatimChar"/>
        </w:rPr>
        <w:t xml:space="preserve">fill</w:t>
      </w:r>
      <w:r>
        <w:t xml:space="preserve">, el cual asigna un color diferente a cada categoría. Por ejemplo, es posible comparar la distribución del ingreso entre zonas urbanas y rurales, como se muestra en la</w:t>
      </w:r>
      <w:r>
        <w:t xml:space="preserve"> </w:t>
      </w:r>
      <w:hyperlink w:anchor="fig-hist-zona">
        <w:r>
          <w:rPr>
            <w:rStyle w:val="Hyperlink"/>
          </w:rPr>
          <w:t xml:space="preserve">figura 3.3</w:t>
        </w:r>
      </w:hyperlink>
      <w:r>
        <w:t xml:space="preserve">:</w:t>
      </w:r>
    </w:p>
    <w:p>
      <w:pPr>
        <w:pStyle w:val="SourceCode"/>
      </w:pPr>
      <w:r>
        <w:rPr>
          <w:rStyle w:val="NormalTok"/>
        </w:rPr>
        <w:t xml:space="preserve">zone_colors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Urban =</w:t>
      </w:r>
      <w:r>
        <w:rPr>
          <w:rStyle w:val="NormalTok"/>
        </w:rPr>
        <w:t xml:space="preserve"> </w:t>
      </w:r>
      <w:r>
        <w:rPr>
          <w:rStyle w:val="StringTok"/>
        </w:rPr>
        <w:t xml:space="preserve">"#48C9B0"</w:t>
      </w:r>
      <w:r>
        <w:rPr>
          <w:rStyle w:val="NormalTok"/>
        </w:rPr>
        <w:t xml:space="preserve">, </w:t>
      </w:r>
      <w:r>
        <w:rPr>
          <w:rStyle w:val="AttributeTok"/>
        </w:rPr>
        <w:t xml:space="preserve">Rural =</w:t>
      </w:r>
      <w:r>
        <w:rPr>
          <w:rStyle w:val="NormalTok"/>
        </w:rPr>
        <w:t xml:space="preserve"> </w:t>
      </w:r>
      <w:r>
        <w:rPr>
          <w:rStyle w:val="StringTok"/>
        </w:rPr>
        <w:t xml:space="preserve">"#117864"</w:t>
      </w:r>
      <w:r>
        <w:rPr>
          <w:rStyle w:val="NormalTok"/>
        </w:rPr>
        <w:t xml:space="preserve">)</w:t>
      </w:r>
      <w:r>
        <w:br/>
      </w:r>
      <w:r>
        <w:br/>
      </w:r>
      <w:r>
        <w:rPr>
          <w:rStyle w:val="NormalTok"/>
        </w:rPr>
        <w:t xml:space="preserve">weighted_zone_hist </w:t>
      </w:r>
      <w:r>
        <w:rPr>
          <w:rStyle w:val="OtherTok"/>
        </w:rPr>
        <w:t xml:space="preserve">&lt;-</w:t>
      </w:r>
      <w:r>
        <w:rPr>
          <w:rStyle w:val="NormalTok"/>
        </w:rPr>
        <w:t xml:space="preserve"> </w:t>
      </w:r>
      <w:r>
        <w:rPr>
          <w:rStyle w:val="FunctionTok"/>
        </w:rPr>
        <w:t xml:space="preserve">ggplot</w:t>
      </w:r>
      <w:r>
        <w:rPr>
          <w:rStyle w:val="NormalTok"/>
        </w:rPr>
        <w:t xml:space="preserve">(survey_data,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..density.., </w:t>
      </w:r>
      <w:r>
        <w:rPr>
          <w:rStyle w:val="AttributeTok"/>
        </w:rPr>
        <w:t xml:space="preserve">fill =</w:t>
      </w:r>
      <w:r>
        <w:rPr>
          <w:rStyle w:val="NormalTok"/>
        </w:rPr>
        <w:t xml:space="preserve"> Zone),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position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zone_colors)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"Weighted"</w:t>
      </w:r>
      <w:r>
        <w:rPr>
          <w:rStyle w:val="NormalTok"/>
        </w:rPr>
        <w:t xml:space="preserve">)</w:t>
      </w:r>
      <w:r>
        <w:br/>
      </w:r>
      <w:r>
        <w:br/>
      </w:r>
      <w:r>
        <w:rPr>
          <w:rStyle w:val="NormalTok"/>
        </w:rPr>
        <w:t xml:space="preserve">weighted_zone_hist</w:t>
      </w:r>
    </w:p>
    <w:tbl>
      <w:tblPr>
        <w:tblStyle w:val="Table"/>
        <w:tblW w:type="pct" w:w="5000"/>
        <w:tblLayout w:type="fixed"/>
        <w:tblLook w:firstRow="0" w:lastRow="0" w:firstColumn="0" w:lastColumn="0" w:noHBand="0" w:noVBand="0" w:val="0000"/>
      </w:tblPr>
      <w:tblGrid>
        <w:gridCol w:w="7920"/>
      </w:tblGrid>
      <w:tr>
        <w:tc>
          <w:tcPr/>
          <w:bookmarkStart w:id="81" w:name="fig-hist-zona"/>
          <w:p>
            <w:pPr>
              <w:pStyle w:val="Compact"/>
              <w:jc w:val="center"/>
            </w:pPr>
            <w:r>
              <w:drawing>
                <wp:inline>
                  <wp:extent cx="3467100" cy="2311400"/>
                  <wp:effectExtent b="0" l="0" r="0" t="0"/>
                  <wp:docPr descr="" title="" id="79" name="Picture"/>
                  <a:graphic>
                    <a:graphicData uri="http://schemas.openxmlformats.org/drawingml/2006/picture">
                      <pic:pic>
                        <pic:nvPicPr>
                          <pic:cNvPr descr="chapters/../figures/fig-hist-zona-1.png" id="80" name="Picture"/>
                          <pic:cNvPicPr>
                            <a:picLocks noChangeArrowheads="1" noChangeAspect="1"/>
                          </pic:cNvPicPr>
                        </pic:nvPicPr>
                        <pic:blipFill>
                          <a:blip r:embed="rId78"/>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3.3: Histograma ponderado del ingreso por zona geográfica</w:t>
            </w:r>
          </w:p>
          <w:bookmarkEnd w:id="81"/>
        </w:tc>
      </w:tr>
    </w:tbl>
    <w:p>
      <w:pPr>
        <w:pStyle w:val="BodyText"/>
      </w:pPr>
      <w:r>
        <w:t xml:space="preserve">En este código, se construye un histograma ponderado utilizando la base de datos</w:t>
      </w:r>
      <w:r>
        <w:t xml:space="preserve"> </w:t>
      </w:r>
      <w:r>
        <w:rPr>
          <w:rStyle w:val="VerbatimChar"/>
        </w:rPr>
        <w:t xml:space="preserve">survey_data</w:t>
      </w:r>
      <w:r>
        <w:t xml:space="preserve">, donde</w:t>
      </w:r>
      <w:r>
        <w:t xml:space="preserve"> </w:t>
      </w:r>
      <w:r>
        <w:rPr>
          <w:rStyle w:val="VerbatimChar"/>
        </w:rPr>
        <w:t xml:space="preserve">x = Income</w:t>
      </w:r>
      <w:r>
        <w:t xml:space="preserve"> </w:t>
      </w:r>
      <w:r>
        <w:t xml:space="preserve">define la variable representada en el eje horizontal y</w:t>
      </w:r>
      <w:r>
        <w:t xml:space="preserve"> </w:t>
      </w:r>
      <w:r>
        <w:rPr>
          <w:rStyle w:val="VerbatimChar"/>
        </w:rPr>
        <w:t xml:space="preserve">weight = wk</w:t>
      </w:r>
      <w:r>
        <w:t xml:space="preserve"> </w:t>
      </w:r>
      <w:r>
        <w:t xml:space="preserve">incorpora los pesos muestrales para reflejar la distribución poblacional del ingreso. La función</w:t>
      </w:r>
      <w:r>
        <w:t xml:space="preserve"> </w:t>
      </w:r>
      <w:r>
        <w:rPr>
          <w:rStyle w:val="VerbatimChar"/>
        </w:rPr>
        <w:t xml:space="preserve">geom_histogram()</w:t>
      </w:r>
      <w:r>
        <w:t xml:space="preserve"> </w:t>
      </w:r>
      <w:r>
        <w:t xml:space="preserve">genera el histograma y, mediante</w:t>
      </w:r>
      <w:r>
        <w:t xml:space="preserve"> </w:t>
      </w:r>
      <w:r>
        <w:rPr>
          <w:rStyle w:val="VerbatimChar"/>
        </w:rPr>
        <w:t xml:space="preserve">aes(y = ..density.., fill = Zone)</w:t>
      </w:r>
      <w:r>
        <w:t xml:space="preserve">, representa las barras en términos de densidad y asigna colores diferentes según la variable</w:t>
      </w:r>
      <w:r>
        <w:t xml:space="preserve"> </w:t>
      </w:r>
      <w:r>
        <w:rPr>
          <w:rStyle w:val="VerbatimChar"/>
        </w:rPr>
        <w:t xml:space="preserve">Zone</w:t>
      </w:r>
      <w:r>
        <w:t xml:space="preserve">, permitiendo comparar visualmente la distribución del ingreso entre zonas. El argumento</w:t>
      </w:r>
      <w:r>
        <w:t xml:space="preserve"> </w:t>
      </w:r>
      <w:r>
        <w:rPr>
          <w:rStyle w:val="VerbatimChar"/>
        </w:rPr>
        <w:t xml:space="preserve">alpha = 0.5</w:t>
      </w:r>
      <w:r>
        <w:t xml:space="preserve"> </w:t>
      </w:r>
      <w:r>
        <w:t xml:space="preserve">agrega transparencia a las barras para facilitar la superposición de los histogramas, mientras que</w:t>
      </w:r>
      <w:r>
        <w:t xml:space="preserve"> </w:t>
      </w:r>
      <w:r>
        <w:rPr>
          <w:rStyle w:val="VerbatimChar"/>
        </w:rPr>
        <w:t xml:space="preserve">position = "identity"</w:t>
      </w:r>
      <w:r>
        <w:t xml:space="preserve"> </w:t>
      </w:r>
      <w:r>
        <w:t xml:space="preserve">permite que las distribuciones se dibujen una encima de otra en lugar de apilarse. Posteriormente,</w:t>
      </w:r>
      <w:r>
        <w:t xml:space="preserve"> </w:t>
      </w:r>
      <w:r>
        <w:rPr>
          <w:rStyle w:val="VerbatimChar"/>
        </w:rPr>
        <w:t xml:space="preserve">scale_fill_manual(values = zone_colors)</w:t>
      </w:r>
      <w:r>
        <w:t xml:space="preserve"> </w:t>
      </w:r>
      <w:r>
        <w:t xml:space="preserve">define manualmente los colores asociados a cada zona. Finalmente,</w:t>
      </w:r>
      <w:r>
        <w:t xml:space="preserve"> </w:t>
      </w:r>
      <w:r>
        <w:rPr>
          <w:rStyle w:val="VerbatimChar"/>
        </w:rPr>
        <w:t xml:space="preserve">ylab("")</w:t>
      </w:r>
      <w:r>
        <w:t xml:space="preserve"> </w:t>
      </w:r>
      <w:r>
        <w:t xml:space="preserve">elimina la etiqueta del eje vertical,</w:t>
      </w:r>
      <w:r>
        <w:t xml:space="preserve"> </w:t>
      </w:r>
      <w:r>
        <w:rPr>
          <w:rStyle w:val="VerbatimChar"/>
        </w:rPr>
        <w:t xml:space="preserve">ggtitle("Weighted")</w:t>
      </w:r>
      <w:r>
        <w:t xml:space="preserve"> </w:t>
      </w:r>
      <w:r>
        <w:t xml:space="preserve">agrega un título al gráfico.</w:t>
      </w:r>
    </w:p>
    <w:p>
      <w:pPr>
        <w:pStyle w:val="BodyText"/>
      </w:pPr>
      <w:r>
        <w:t xml:space="preserve">Adicionalmente, es posible superponer curvas de densidad suavizadas mediante la función</w:t>
      </w:r>
      <w:r>
        <w:t xml:space="preserve"> </w:t>
      </w:r>
      <w:r>
        <w:rPr>
          <w:rStyle w:val="VerbatimChar"/>
        </w:rPr>
        <w:t xml:space="preserve">geom_density()</w:t>
      </w:r>
      <w:r>
        <w:t xml:space="preserve">, lo que permite visualizar de manera continua la forma de la distribución de la variable analizada. Este tipo de representación facilita la identificación de patrones como asimetrías, concentración de observaciones o la presencia de múltiples modas. Un ejemplo de este tipo de gráfico se presenta en la</w:t>
      </w:r>
      <w:r>
        <w:t xml:space="preserve"> </w:t>
      </w:r>
      <w:hyperlink w:anchor="fig-densidades">
        <w:r>
          <w:rPr>
            <w:rStyle w:val="Hyperlink"/>
          </w:rPr>
          <w:t xml:space="preserve">figura 3.4</w:t>
        </w:r>
      </w:hyperlink>
      <w:r>
        <w:t xml:space="preserve">:</w:t>
      </w:r>
    </w:p>
    <w:p>
      <w:pPr>
        <w:pStyle w:val="SourceCode"/>
      </w:pPr>
      <w:r>
        <w:rPr>
          <w:rStyle w:val="NormalTok"/>
        </w:rPr>
        <w:t xml:space="preserve">weighted_income_hist </w:t>
      </w:r>
      <w:r>
        <w:rPr>
          <w:rStyle w:val="SpecialCharTok"/>
        </w:rPr>
        <w:t xml:space="preserve">+</w:t>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weighted_zone_hist </w:t>
      </w:r>
      <w:r>
        <w:rPr>
          <w:rStyle w:val="SpecialCharTok"/>
        </w:rPr>
        <w:t xml:space="preserve">+</w:t>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Zone),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densidades"/>
          <w:p>
            <w:pPr>
              <w:pStyle w:val="Compact"/>
              <w:jc w:val="center"/>
            </w:pPr>
            <w:r>
              <w:drawing>
                <wp:inline>
                  <wp:extent cx="4800600" cy="3200400"/>
                  <wp:effectExtent b="0" l="0" r="0" t="0"/>
                  <wp:docPr descr="" title="" id="83" name="Picture"/>
                  <a:graphic>
                    <a:graphicData uri="http://schemas.openxmlformats.org/drawingml/2006/picture">
                      <pic:pic>
                        <pic:nvPicPr>
                          <pic:cNvPr descr="chapters/../figures/fig-densidades-1.png" id="84" name="Picture"/>
                          <pic:cNvPicPr>
                            <a:picLocks noChangeArrowheads="1" noChangeAspect="1"/>
                          </pic:cNvPicPr>
                        </pic:nvPicPr>
                        <pic:blipFill>
                          <a:blip r:embed="rId82"/>
                          <a:stretch>
                            <a:fillRect/>
                          </a:stretch>
                        </pic:blipFill>
                        <pic:spPr bwMode="auto">
                          <a:xfrm>
                            <a:off x="0" y="0"/>
                            <a:ext cx="48006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3.4: Histogramas con curvas de densidad superpuestas para ingreso y gasto</w:t>
            </w:r>
          </w:p>
          <w:bookmarkEnd w:id="85"/>
        </w:tc>
      </w:tr>
    </w:tbl>
    <w:bookmarkEnd w:id="86"/>
    <w:bookmarkStart w:id="95" w:name="diagramas-de-caja-boxplots"/>
    <w:p>
      <w:pPr>
        <w:pStyle w:val="Heading3"/>
      </w:pPr>
      <w:r>
        <w:t xml:space="preserve">3.5.2 Diagramas de caja (</w:t>
      </w:r>
      <w:r>
        <w:rPr>
          <w:i/>
          <w:iCs/>
        </w:rPr>
        <w:t xml:space="preserve">boxplots</w:t>
      </w:r>
      <w:r>
        <w:t xml:space="preserve">)</w:t>
      </w:r>
    </w:p>
    <w:p>
      <w:pPr>
        <w:pStyle w:val="FirstParagraph"/>
      </w:pPr>
      <w:r>
        <w:t xml:space="preserve">Introducidos por</w:t>
      </w:r>
      <w:r>
        <w:t xml:space="preserve"> </w:t>
      </w:r>
      <w:r>
        <w:t xml:space="preserve">Tukey (1977)</w:t>
      </w:r>
      <w:r>
        <w:t xml:space="preserve">, los diagramas de caja (</w:t>
      </w:r>
      <w:r>
        <w:rPr>
          <w:i/>
          <w:iCs/>
        </w:rPr>
        <w:t xml:space="preserve">boxplots</w:t>
      </w:r>
      <w:r>
        <w:t xml:space="preserve">) permiten identificar valores atípicos y evaluar la dispersión de la distribución. Son una representación gráfica que resume una variable mediante estadísticas basadas en cuartiles, permitiendo identificar la mediana, la dispersión de los datos y la presencia de valores atípicos. En el contexto de encuestas de hogares, este tipo de gráfico resulta útil para comparar distribuciones entre distintos grupos poblacionales de manera compacta y visualmente intuitiva.</w:t>
      </w:r>
    </w:p>
    <w:p>
      <w:pPr>
        <w:pStyle w:val="BodyText"/>
      </w:pPr>
      <w:r>
        <w:t xml:space="preserve">Para construir</w:t>
      </w:r>
      <w:r>
        <w:t xml:space="preserve"> </w:t>
      </w:r>
      <w:r>
        <w:rPr>
          <w:i/>
          <w:iCs/>
        </w:rPr>
        <w:t xml:space="preserve">boxplots</w:t>
      </w:r>
      <w:r>
        <w:t xml:space="preserve"> </w:t>
      </w:r>
      <w:r>
        <w:t xml:space="preserve">ponderados en</w:t>
      </w:r>
      <w:r>
        <w:t xml:space="preserve"> </w:t>
      </w:r>
      <w:r>
        <w:rPr>
          <w:rStyle w:val="VerbatimChar"/>
        </w:rPr>
        <w:t xml:space="preserve">ggplot2</w:t>
      </w:r>
      <w:r>
        <w:t xml:space="preserve"> </w:t>
      </w:r>
      <w:r>
        <w:t xml:space="preserve">se utiliza la función</w:t>
      </w:r>
      <w:r>
        <w:t xml:space="preserve"> </w:t>
      </w:r>
      <w:r>
        <w:rPr>
          <w:rStyle w:val="VerbatimChar"/>
        </w:rPr>
        <w:t xml:space="preserve">geom_boxplot()</w:t>
      </w:r>
      <w:r>
        <w:t xml:space="preserve">, como se muestra en la</w:t>
      </w:r>
      <w:r>
        <w:t xml:space="preserve"> </w:t>
      </w:r>
      <w:hyperlink w:anchor="fig-boxplot-zona-sexo">
        <w:r>
          <w:rPr>
            <w:rStyle w:val="Hyperlink"/>
          </w:rPr>
          <w:t xml:space="preserve">figura 3.5</w:t>
        </w:r>
      </w:hyperlink>
      <w:r>
        <w:t xml:space="preserve">. En este caso, la función</w:t>
      </w:r>
      <w:r>
        <w:t xml:space="preserve"> </w:t>
      </w:r>
      <w:r>
        <w:rPr>
          <w:rStyle w:val="VerbatimChar"/>
        </w:rPr>
        <w:t xml:space="preserve">ggplot()</w:t>
      </w:r>
      <w:r>
        <w:t xml:space="preserve"> </w:t>
      </w:r>
      <w:r>
        <w:t xml:space="preserve">inicia la construcción del gráfico utilizando la base de datos</w:t>
      </w:r>
      <w:r>
        <w:t xml:space="preserve"> </w:t>
      </w:r>
      <w:r>
        <w:rPr>
          <w:rStyle w:val="VerbatimChar"/>
        </w:rPr>
        <w:t xml:space="preserve">survey_data</w:t>
      </w:r>
      <w:r>
        <w:t xml:space="preserve">, donde</w:t>
      </w:r>
      <w:r>
        <w:t xml:space="preserve"> </w:t>
      </w:r>
      <w:r>
        <w:rPr>
          <w:rStyle w:val="VerbatimChar"/>
        </w:rPr>
        <w:t xml:space="preserve">x = Income</w:t>
      </w:r>
      <w:r>
        <w:t xml:space="preserve"> </w:t>
      </w:r>
      <w:r>
        <w:t xml:space="preserve">define la variable numérica analizada y</w:t>
      </w:r>
      <w:r>
        <w:t xml:space="preserve"> </w:t>
      </w:r>
      <w:r>
        <w:rPr>
          <w:rStyle w:val="VerbatimChar"/>
        </w:rPr>
        <w:t xml:space="preserve">weight = wk</w:t>
      </w:r>
      <w:r>
        <w:t xml:space="preserve"> </w:t>
      </w:r>
      <w:r>
        <w:t xml:space="preserve">incorpora los pesos muestrales para representar la distribución estimada en la población. Posteriormente,</w:t>
      </w:r>
      <w:r>
        <w:t xml:space="preserve"> </w:t>
      </w:r>
      <w:r>
        <w:rPr>
          <w:rStyle w:val="VerbatimChar"/>
        </w:rPr>
        <w:t xml:space="preserve">geom_boxplot()</w:t>
      </w:r>
      <w:r>
        <w:t xml:space="preserve"> </w:t>
      </w:r>
      <w:r>
        <w:t xml:space="preserve">genera los diagramas de caja y, mediante</w:t>
      </w:r>
      <w:r>
        <w:t xml:space="preserve"> </w:t>
      </w:r>
      <w:r>
        <w:rPr>
          <w:rStyle w:val="VerbatimChar"/>
        </w:rPr>
        <w:t xml:space="preserve">aes(fill = Zone)</w:t>
      </w:r>
      <w:r>
        <w:t xml:space="preserve"> </w:t>
      </w:r>
      <w:r>
        <w:t xml:space="preserve">o</w:t>
      </w:r>
      <w:r>
        <w:t xml:space="preserve"> </w:t>
      </w:r>
      <w:r>
        <w:rPr>
          <w:rStyle w:val="VerbatimChar"/>
        </w:rPr>
        <w:t xml:space="preserve">aes(fill = Sex)</w:t>
      </w:r>
      <w:r>
        <w:t xml:space="preserve">, asigna colores diferentes a cada categoría de las variables</w:t>
      </w:r>
      <w:r>
        <w:t xml:space="preserve"> </w:t>
      </w:r>
      <w:r>
        <w:rPr>
          <w:rStyle w:val="VerbatimChar"/>
        </w:rPr>
        <w:t xml:space="preserve">Zone</w:t>
      </w:r>
      <w:r>
        <w:t xml:space="preserve"> </w:t>
      </w:r>
      <w:r>
        <w:t xml:space="preserve">y</w:t>
      </w:r>
      <w:r>
        <w:t xml:space="preserve"> </w:t>
      </w:r>
      <w:r>
        <w:rPr>
          <w:rStyle w:val="VerbatimChar"/>
        </w:rPr>
        <w:t xml:space="preserve">Sex</w:t>
      </w:r>
      <w:r>
        <w:t xml:space="preserve">, respectivamente, facilitando la comparación visual entre grupos. La función</w:t>
      </w:r>
      <w:r>
        <w:t xml:space="preserve"> </w:t>
      </w:r>
      <w:r>
        <w:rPr>
          <w:rStyle w:val="VerbatimChar"/>
        </w:rPr>
        <w:t xml:space="preserve">coord_flip()</w:t>
      </w:r>
      <w:r>
        <w:t xml:space="preserve"> </w:t>
      </w:r>
      <w:r>
        <w:t xml:space="preserve">invierte los ejes para presentar los</w:t>
      </w:r>
      <w:r>
        <w:t xml:space="preserve"> </w:t>
      </w:r>
      <w:r>
        <w:rPr>
          <w:i/>
          <w:iCs/>
        </w:rPr>
        <w:t xml:space="preserve">boxplots</w:t>
      </w:r>
      <w:r>
        <w:t xml:space="preserve"> </w:t>
      </w:r>
      <w:r>
        <w:t xml:space="preserve">de forma horizontal, mejorando así su legibilidad. Por su parte,</w:t>
      </w:r>
      <w:r>
        <w:t xml:space="preserve"> </w:t>
      </w:r>
      <w:r>
        <w:rPr>
          <w:rStyle w:val="VerbatimChar"/>
        </w:rPr>
        <w:t xml:space="preserve">scale_fill_manual()</w:t>
      </w:r>
      <w:r>
        <w:t xml:space="preserve"> </w:t>
      </w:r>
      <w:r>
        <w:t xml:space="preserve">permite definir manualmente los colores asociados a cada categoría mediante los vectores</w:t>
      </w:r>
      <w:r>
        <w:t xml:space="preserve"> </w:t>
      </w:r>
      <w:r>
        <w:rPr>
          <w:rStyle w:val="VerbatimChar"/>
        </w:rPr>
        <w:t xml:space="preserve">zone_colors</w:t>
      </w:r>
      <w:r>
        <w:t xml:space="preserve"> </w:t>
      </w:r>
      <w:r>
        <w:t xml:space="preserve">y</w:t>
      </w:r>
      <w:r>
        <w:t xml:space="preserve"> </w:t>
      </w:r>
      <w:r>
        <w:rPr>
          <w:rStyle w:val="VerbatimChar"/>
        </w:rPr>
        <w:t xml:space="preserve">sex_colors</w:t>
      </w:r>
      <w:r>
        <w:t xml:space="preserve">.</w:t>
      </w:r>
    </w:p>
    <w:p>
      <w:pPr>
        <w:pStyle w:val="SourceCode"/>
      </w:pPr>
      <w:r>
        <w:rPr>
          <w:rStyle w:val="NormalTok"/>
        </w:rPr>
        <w:t xml:space="preserve">weighted_zone_boxplot </w:t>
      </w:r>
      <w:r>
        <w:rPr>
          <w:rStyle w:val="OtherTok"/>
        </w:rPr>
        <w:t xml:space="preserve">&lt;-</w:t>
      </w:r>
      <w:r>
        <w:rPr>
          <w:rStyle w:val="NormalTok"/>
        </w:rPr>
        <w:t xml:space="preserve"> </w:t>
      </w:r>
      <w:r>
        <w:rPr>
          <w:rStyle w:val="FunctionTok"/>
        </w:rPr>
        <w:t xml:space="preserve">ggplot</w:t>
      </w:r>
      <w:r>
        <w:rPr>
          <w:rStyle w:val="NormalTok"/>
        </w:rPr>
        <w:t xml:space="preserve">(survey_data,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Zone))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"Weighted"</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zone_colors)</w:t>
      </w:r>
      <w:r>
        <w:br/>
      </w:r>
      <w:r>
        <w:br/>
      </w:r>
      <w:r>
        <w:rPr>
          <w:rStyle w:val="NormalTok"/>
        </w:rPr>
        <w:t xml:space="preserve">sex_colors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Male =</w:t>
      </w:r>
      <w:r>
        <w:rPr>
          <w:rStyle w:val="NormalTok"/>
        </w:rPr>
        <w:t xml:space="preserve"> </w:t>
      </w:r>
      <w:r>
        <w:rPr>
          <w:rStyle w:val="StringTok"/>
        </w:rPr>
        <w:t xml:space="preserve">"#5DADE2"</w:t>
      </w:r>
      <w:r>
        <w:rPr>
          <w:rStyle w:val="NormalTok"/>
        </w:rPr>
        <w:t xml:space="preserve">, </w:t>
      </w:r>
      <w:r>
        <w:rPr>
          <w:rStyle w:val="AttributeTok"/>
        </w:rPr>
        <w:t xml:space="preserve">Female =</w:t>
      </w:r>
      <w:r>
        <w:rPr>
          <w:rStyle w:val="NormalTok"/>
        </w:rPr>
        <w:t xml:space="preserve"> </w:t>
      </w:r>
      <w:r>
        <w:rPr>
          <w:rStyle w:val="StringTok"/>
        </w:rPr>
        <w:t xml:space="preserve">"#2874A6"</w:t>
      </w:r>
      <w:r>
        <w:rPr>
          <w:rStyle w:val="NormalTok"/>
        </w:rPr>
        <w:t xml:space="preserve">)</w:t>
      </w:r>
      <w:r>
        <w:br/>
      </w:r>
      <w:r>
        <w:br/>
      </w:r>
      <w:r>
        <w:rPr>
          <w:rStyle w:val="NormalTok"/>
        </w:rPr>
        <w:t xml:space="preserve">weighted_sex_boxplot </w:t>
      </w:r>
      <w:r>
        <w:rPr>
          <w:rStyle w:val="OtherTok"/>
        </w:rPr>
        <w:t xml:space="preserve">&lt;-</w:t>
      </w:r>
      <w:r>
        <w:rPr>
          <w:rStyle w:val="NormalTok"/>
        </w:rPr>
        <w:t xml:space="preserve"> </w:t>
      </w:r>
      <w:r>
        <w:rPr>
          <w:rStyle w:val="FunctionTok"/>
        </w:rPr>
        <w:t xml:space="preserve">ggplot</w:t>
      </w:r>
      <w:r>
        <w:rPr>
          <w:rStyle w:val="NormalTok"/>
        </w:rPr>
        <w:t xml:space="preserve">(survey_data,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"Weighted"</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sex_colors)</w:t>
      </w:r>
      <w:r>
        <w:br/>
      </w:r>
      <w:r>
        <w:br/>
      </w:r>
      <w:r>
        <w:rPr>
          <w:rStyle w:val="NormalTok"/>
        </w:rPr>
        <w:t xml:space="preserve">weighted_zone_boxplot </w:t>
      </w:r>
      <w:r>
        <w:rPr>
          <w:rStyle w:val="SpecialCharTok"/>
        </w:rPr>
        <w:t xml:space="preserve">|</w:t>
      </w:r>
      <w:r>
        <w:rPr>
          <w:rStyle w:val="NormalTok"/>
        </w:rPr>
        <w:t xml:space="preserve"> weighted_sex_boxplot</w:t>
      </w:r>
    </w:p>
    <w:tbl>
      <w:tblPr>
        <w:tblStyle w:val="Table"/>
        <w:tblW w:type="pct" w:w="5000"/>
        <w:tblLayout w:type="fixed"/>
        <w:tblLook w:firstRow="0" w:lastRow="0" w:firstColumn="0" w:lastColumn="0" w:noHBand="0" w:noVBand="0" w:val="0000"/>
      </w:tblPr>
      <w:tblGrid>
        <w:gridCol w:w="7920"/>
      </w:tblGrid>
      <w:tr>
        <w:tc>
          <w:tcPr/>
          <w:bookmarkStart w:id="90" w:name="fig-boxplot-zona-sexo"/>
          <w:p>
            <w:pPr>
              <w:pStyle w:val="Compact"/>
              <w:jc w:val="center"/>
            </w:pPr>
            <w:r>
              <w:drawing>
                <wp:inline>
                  <wp:extent cx="4800600" cy="3200400"/>
                  <wp:effectExtent b="0" l="0" r="0" t="0"/>
                  <wp:docPr descr="" title="" id="88" name="Picture"/>
                  <a:graphic>
                    <a:graphicData uri="http://schemas.openxmlformats.org/drawingml/2006/picture">
                      <pic:pic>
                        <pic:nvPicPr>
                          <pic:cNvPr descr="chapters/../figures/fig-boxplot-zona-sexo-1.png" id="89" name="Picture"/>
                          <pic:cNvPicPr>
                            <a:picLocks noChangeArrowheads="1" noChangeAspect="1"/>
                          </pic:cNvPicPr>
                        </pic:nvPicPr>
                        <pic:blipFill>
                          <a:blip r:embed="rId87"/>
                          <a:stretch>
                            <a:fillRect/>
                          </a:stretch>
                        </pic:blipFill>
                        <pic:spPr bwMode="auto">
                          <a:xfrm>
                            <a:off x="0" y="0"/>
                            <a:ext cx="48006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3.5: Boxplots ponderados del ingreso por zona y sexo</w:t>
            </w:r>
          </w:p>
          <w:bookmarkEnd w:id="90"/>
        </w:tc>
      </w:tr>
    </w:tbl>
    <w:p>
      <w:pPr>
        <w:pStyle w:val="BodyText"/>
      </w:pPr>
      <w:r>
        <w:t xml:space="preserve">Además de las herramientas disponibles en</w:t>
      </w:r>
      <w:r>
        <w:t xml:space="preserve"> </w:t>
      </w:r>
      <w:r>
        <w:rPr>
          <w:rStyle w:val="VerbatimChar"/>
        </w:rPr>
        <w:t xml:space="preserve">ggplot2</w:t>
      </w:r>
      <w:r>
        <w:t xml:space="preserve">, las funciones especializadas</w:t>
      </w:r>
      <w:r>
        <w:t xml:space="preserve"> </w:t>
      </w:r>
      <w:r>
        <w:rPr>
          <w:rStyle w:val="VerbatimChar"/>
        </w:rPr>
        <w:t xml:space="preserve">svyhist()</w:t>
      </w:r>
      <w:r>
        <w:t xml:space="preserve"> </w:t>
      </w:r>
      <w:r>
        <w:t xml:space="preserve">y</w:t>
      </w:r>
      <w:r>
        <w:t xml:space="preserve"> </w:t>
      </w:r>
      <w:r>
        <w:rPr>
          <w:rStyle w:val="VerbatimChar"/>
        </w:rPr>
        <w:t xml:space="preserve">svyboxplot()</w:t>
      </w:r>
      <w:r>
        <w:t xml:space="preserve"> </w:t>
      </w:r>
      <w:r>
        <w:t xml:space="preserve">del paquete</w:t>
      </w:r>
      <w:r>
        <w:t xml:space="preserve"> </w:t>
      </w:r>
      <w:r>
        <w:rPr>
          <w:rStyle w:val="VerbatimChar"/>
        </w:rPr>
        <w:t xml:space="preserve">survey</w:t>
      </w:r>
      <w:r>
        <w:t xml:space="preserve"> </w:t>
      </w:r>
      <w:r>
        <w:t xml:space="preserve">incorporan directamente las características del diseño muestral complejo en la construcción de los gráficos. Estas funciones permiten obtener representaciones gráficas coherentes con el diseño de la encuesta, facilitando el análisis exploratorio de las variables numéricas. Un ejemplo de su aplicación se presenta en la</w:t>
      </w:r>
      <w:r>
        <w:t xml:space="preserve"> </w:t>
      </w:r>
      <w:hyperlink w:anchor="fig-svyhist-svybox">
        <w:r>
          <w:rPr>
            <w:rStyle w:val="Hyperlink"/>
          </w:rPr>
          <w:t xml:space="preserve">figura 3.6</w:t>
        </w:r>
      </w:hyperlink>
      <w:r>
        <w:t xml:space="preserve">.</w:t>
      </w:r>
    </w:p>
    <w:p>
      <w:pPr>
        <w:pStyle w:val="SourceCode"/>
      </w:pPr>
      <w:r>
        <w:rPr>
          <w:rStyle w:val="NormalTok"/>
        </w:rPr>
        <w:t xml:space="preserve">old_par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no.readonly =</w:t>
      </w:r>
      <w:r>
        <w:rPr>
          <w:rStyle w:val="NormalTok"/>
        </w:rPr>
        <w:t xml:space="preserve"> </w:t>
      </w:r>
      <w:r>
        <w:rPr>
          <w:rStyle w:val="ConstantTok"/>
        </w:rPr>
        <w:t xml:space="preserve">TRUE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svyhist</w:t>
      </w:r>
      <w:r>
        <w:rPr>
          <w:rStyle w:val="NormalTok"/>
        </w:rPr>
        <w:t xml:space="preserve">(</w:t>
      </w:r>
      <w:r>
        <w:rPr>
          <w:rStyle w:val="SpecialCharTok"/>
        </w:rPr>
        <w:t xml:space="preserve">~</w:t>
      </w:r>
      <w:r>
        <w:rPr>
          <w:rStyle w:val="NormalTok"/>
        </w:rPr>
        <w:t xml:space="preserve">Income, survey_design,</w:t>
      </w:r>
      <w:r>
        <w:br/>
      </w:r>
      <w:r>
        <w:rPr>
          <w:rStyle w:val="NormalTok"/>
        </w:rPr>
        <w:t xml:space="preserve">  </w:t>
      </w:r>
      <w:r>
        <w:rPr>
          <w:rStyle w:val="AttributeTok"/>
        </w:rPr>
        <w:t xml:space="preserve">main =</w:t>
      </w:r>
      <w:r>
        <w:rPr>
          <w:rStyle w:val="NormalTok"/>
        </w:rPr>
        <w:t xml:space="preserve"> </w:t>
      </w:r>
      <w:r>
        <w:rPr>
          <w:rStyle w:val="StringTok"/>
        </w:rPr>
        <w:t xml:space="preserve">"Household income"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xlab =</w:t>
      </w:r>
      <w:r>
        <w:rPr>
          <w:rStyle w:val="NormalTok"/>
        </w:rPr>
        <w:t xml:space="preserve"> </w:t>
      </w:r>
      <w:r>
        <w:rPr>
          <w:rStyle w:val="StringTok"/>
        </w:rPr>
        <w:t xml:space="preserve">"Income"</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FALSE</w:t>
      </w:r>
      <w:r>
        <w:rPr>
          <w:rStyle w:val="NormalTok"/>
        </w:rPr>
        <w:t xml:space="preserve">)</w:t>
      </w:r>
      <w:r>
        <w:br/>
      </w:r>
      <w:r>
        <w:br/>
      </w:r>
      <w:r>
        <w:rPr>
          <w:rStyle w:val="FunctionTok"/>
        </w:rPr>
        <w:t xml:space="preserve">svyboxplot</w:t>
      </w:r>
      <w:r>
        <w:rPr>
          <w:rStyle w:val="NormalTok"/>
        </w:rPr>
        <w:t xml:space="preserve">(Income </w:t>
      </w:r>
      <w:r>
        <w:rPr>
          <w:rStyle w:val="SpecialCharTok"/>
        </w:rPr>
        <w:t xml:space="preserve">~</w:t>
      </w:r>
      <w:r>
        <w:rPr>
          <w:rStyle w:val="NormalTok"/>
        </w:rPr>
        <w:t xml:space="preserve"> Zone, survey_design,</w:t>
      </w:r>
      <w:r>
        <w:br/>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"Income"</w:t>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w:t>
      </w:r>
      <w:r>
        <w:br/>
      </w:r>
      <w:r>
        <w:rPr>
          <w:rStyle w:val="FunctionTok"/>
        </w:rPr>
        <w:t xml:space="preserve">par</w:t>
      </w:r>
      <w:r>
        <w:rPr>
          <w:rStyle w:val="NormalTok"/>
        </w:rPr>
        <w:t xml:space="preserve">(old_par)</w:t>
      </w:r>
    </w:p>
    <w:tbl>
      <w:tblPr>
        <w:tblStyle w:val="Table"/>
        <w:tblW w:type="pct" w:w="5000"/>
        <w:tblLayout w:type="fixed"/>
        <w:tblLook w:firstRow="0" w:lastRow="0" w:firstColumn="0" w:lastColumn="0" w:noHBand="0" w:noVBand="0" w:val="0000"/>
      </w:tblPr>
      <w:tblGrid>
        <w:gridCol w:w="7920"/>
      </w:tblGrid>
      <w:tr>
        <w:tc>
          <w:tcPr/>
          <w:bookmarkStart w:id="94" w:name="fig-svyhist-svybox"/>
          <w:p>
            <w:pPr>
              <w:pStyle w:val="Compact"/>
              <w:jc w:val="center"/>
            </w:pPr>
            <w:r>
              <w:drawing>
                <wp:inline>
                  <wp:extent cx="4267200" cy="2844800"/>
                  <wp:effectExtent b="0" l="0" r="0" t="0"/>
                  <wp:docPr descr="" title="" id="92" name="Picture"/>
                  <a:graphic>
                    <a:graphicData uri="http://schemas.openxmlformats.org/drawingml/2006/picture">
                      <pic:pic>
                        <pic:nvPicPr>
                          <pic:cNvPr descr="chapters/../figures/fig-svyhist-svybox-1.png" id="93" name="Picture"/>
                          <pic:cNvPicPr>
                            <a:picLocks noChangeArrowheads="1" noChangeAspect="1"/>
                          </pic:cNvPicPr>
                        </pic:nvPicPr>
                        <pic:blipFill>
                          <a:blip r:embed="rId91"/>
                          <a:stretch>
                            <a:fillRect/>
                          </a:stretch>
                        </pic:blipFill>
                        <pic:spPr bwMode="auto">
                          <a:xfrm>
                            <a:off x="0" y="0"/>
                            <a:ext cx="4267200" cy="28448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3.6: Histograma y boxplot del ingreso ajustados al diseño muestral complejo</w:t>
            </w:r>
          </w:p>
          <w:bookmarkEnd w:id="94"/>
        </w:tc>
      </w:tr>
    </w:tbl>
    <w:bookmarkEnd w:id="95"/>
    <w:bookmarkStart w:id="104" w:name="diagramas-de-dispersion"/>
    <w:p>
      <w:pPr>
        <w:pStyle w:val="Heading3"/>
      </w:pPr>
      <w:r>
        <w:t xml:space="preserve">3.5.3 Diagramas de dispersión</w:t>
      </w:r>
    </w:p>
    <w:p>
      <w:pPr>
        <w:pStyle w:val="FirstParagraph"/>
      </w:pPr>
      <w:r>
        <w:t xml:space="preserve">Los diagramas de dispersión permiten explorar visualmente la relación entre dos variables continuas, facilitando la identificación de patrones de asociación, tendencias y posibles valores atípicos. En el contexto de encuestas con diseños muestrales complejos, resulta importante incorporar la información de los pesos de muestreo para que la representación gráfica refleje adecuadamente la contribución relativa de cada observación en la población.</w:t>
      </w:r>
    </w:p>
    <w:p>
      <w:pPr>
        <w:pStyle w:val="BodyText"/>
      </w:pPr>
      <w:r>
        <w:t xml:space="preserve">Cuando se trabaja con conjuntos de datos de gran tamaño, representar todos los puntos simultáneamente puede generar gráficos difíciles de interpretar debido a la sobreposición de observaciones. Sin embargo, en muestras de tamaño moderado, una estrategia sencilla y efectiva consiste en representar los pesos mediante el tamaño de los símbolos en el gráfico de dispersión. De esta manera, las observaciones con mayor peso poblacional aparecen resaltadas visualmente. Un ejemplo de este tipo de representación se presenta en la</w:t>
      </w:r>
      <w:r>
        <w:t xml:space="preserve"> </w:t>
      </w:r>
      <w:hyperlink w:anchor="fig-scatter-basico">
        <w:r>
          <w:rPr>
            <w:rStyle w:val="Hyperlink"/>
          </w:rPr>
          <w:t xml:space="preserve">figura 3.7</w:t>
        </w:r>
      </w:hyperlink>
      <w:r>
        <w:t xml:space="preserve">:</w:t>
      </w:r>
    </w:p>
    <w:p>
      <w:pPr>
        <w:pStyle w:val="SourceCode"/>
      </w:pPr>
      <w:r>
        <w:rPr>
          <w:rStyle w:val="NormalTok"/>
        </w:rPr>
        <w:t xml:space="preserve">weighted_basic_scatter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wk), </w:t>
      </w:r>
      <w:r>
        <w:rPr>
          <w:rStyle w:val="AttributeTok"/>
        </w:rPr>
        <w:t xml:space="preserve">alpha =</w:t>
      </w:r>
      <w:r>
        <w:rPr>
          <w:rStyle w:val="NormalTok"/>
        </w:rPr>
        <w:t xml:space="preserve"> </w:t>
      </w:r>
      <w:r>
        <w:rPr>
          <w:rStyle w:val="FloatTok"/>
        </w:rPr>
        <w:t xml:space="preserve">0.3</w:t>
      </w:r>
      <w:r>
        <w:rPr>
          <w:rStyle w:val="NormalTok"/>
        </w:rPr>
        <w:t xml:space="preserve">)</w:t>
      </w:r>
      <w:r>
        <w:br/>
      </w:r>
      <w:r>
        <w:br/>
      </w:r>
      <w:r>
        <w:rPr>
          <w:rStyle w:val="NormalTok"/>
        </w:rPr>
        <w:t xml:space="preserve">weighted_basic_scatter</w:t>
      </w:r>
    </w:p>
    <w:tbl>
      <w:tblPr>
        <w:tblStyle w:val="Table"/>
        <w:tblW w:type="pct" w:w="5000"/>
        <w:tblLayout w:type="fixed"/>
        <w:tblLook w:firstRow="0" w:lastRow="0" w:firstColumn="0" w:lastColumn="0" w:noHBand="0" w:noVBand="0" w:val="0000"/>
      </w:tblPr>
      <w:tblGrid>
        <w:gridCol w:w="7920"/>
      </w:tblGrid>
      <w:tr>
        <w:tc>
          <w:tcPr/>
          <w:bookmarkStart w:id="99" w:name="fig-scatter-basico"/>
          <w:p>
            <w:pPr>
              <w:pStyle w:val="Compact"/>
              <w:jc w:val="center"/>
            </w:pPr>
            <w:r>
              <w:drawing>
                <wp:inline>
                  <wp:extent cx="3467100" cy="2311400"/>
                  <wp:effectExtent b="0" l="0" r="0" t="0"/>
                  <wp:docPr descr="" title="" id="97" name="Picture"/>
                  <a:graphic>
                    <a:graphicData uri="http://schemas.openxmlformats.org/drawingml/2006/picture">
                      <pic:pic>
                        <pic:nvPicPr>
                          <pic:cNvPr descr="chapters/../figures/fig-scatter-basico-1.png" id="98" name="Picture"/>
                          <pic:cNvPicPr>
                            <a:picLocks noChangeArrowheads="1" noChangeAspect="1"/>
                          </pic:cNvPicPr>
                        </pic:nvPicPr>
                        <pic:blipFill>
                          <a:blip r:embed="rId96"/>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3.7: Diagrama de dispersión entre ingreso y gasto de los hogares</w:t>
            </w:r>
          </w:p>
          <w:bookmarkEnd w:id="99"/>
        </w:tc>
      </w:tr>
    </w:tbl>
    <w:p>
      <w:pPr>
        <w:pStyle w:val="BodyText"/>
      </w:pPr>
      <w:r>
        <w:t xml:space="preserve">En este código, se construye un diagrama de dispersión entre las variables</w:t>
      </w:r>
      <w:r>
        <w:t xml:space="preserve"> </w:t>
      </w:r>
      <w:r>
        <w:rPr>
          <w:rStyle w:val="VerbatimChar"/>
        </w:rPr>
        <w:t xml:space="preserve">x = Expenditure</w:t>
      </w:r>
      <w:r>
        <w:t xml:space="preserve"> </w:t>
      </w:r>
      <w:r>
        <w:t xml:space="preserve">y</w:t>
      </w:r>
      <w:r>
        <w:t xml:space="preserve"> </w:t>
      </w:r>
      <w:r>
        <w:rPr>
          <w:rStyle w:val="VerbatimChar"/>
        </w:rPr>
        <w:t xml:space="preserve">y = Income</w:t>
      </w:r>
      <w:r>
        <w:t xml:space="preserve">. La función</w:t>
      </w:r>
      <w:r>
        <w:t xml:space="preserve"> </w:t>
      </w:r>
      <w:r>
        <w:rPr>
          <w:rStyle w:val="VerbatimChar"/>
        </w:rPr>
        <w:t xml:space="preserve">geom_point()</w:t>
      </w:r>
      <w:r>
        <w:t xml:space="preserve"> </w:t>
      </w:r>
      <w:r>
        <w:t xml:space="preserve">agrega los puntos del gráfico y, mediante</w:t>
      </w:r>
      <w:r>
        <w:t xml:space="preserve"> </w:t>
      </w:r>
      <w:r>
        <w:rPr>
          <w:rStyle w:val="VerbatimChar"/>
        </w:rPr>
        <w:t xml:space="preserve">aes(size = wk)</w:t>
      </w:r>
      <w:r>
        <w:t xml:space="preserve">, utiliza los pesos muestrales (</w:t>
      </w:r>
      <w:r>
        <w:rPr>
          <w:rStyle w:val="VerbatimChar"/>
        </w:rPr>
        <w:t xml:space="preserve">wk</w:t>
      </w:r>
      <w:r>
        <w:t xml:space="preserve">) para controlar el tamaño de cada punto, de modo que las observaciones con mayor representación poblacional aparezcan visualmente más destacadas. El argumento</w:t>
      </w:r>
      <w:r>
        <w:t xml:space="preserve"> </w:t>
      </w:r>
      <w:r>
        <w:rPr>
          <w:rStyle w:val="VerbatimChar"/>
        </w:rPr>
        <w:t xml:space="preserve">alpha = 0.3</w:t>
      </w:r>
      <w:r>
        <w:t xml:space="preserve"> </w:t>
      </w:r>
      <w:r>
        <w:t xml:space="preserve">incorpora transparencia a los puntos, reduciendo el problema de sobreposición y facilitando la visualización de áreas con alta concentración de observaciones.</w:t>
      </w:r>
    </w:p>
    <w:p>
      <w:pPr>
        <w:pStyle w:val="BodyText"/>
      </w:pPr>
      <w:r>
        <w:t xml:space="preserve">Adicionalmente, es posible incorporar variables de agrupamiento en los diagramas de dispersión mediante los argumentos</w:t>
      </w:r>
      <w:r>
        <w:t xml:space="preserve"> </w:t>
      </w:r>
      <w:r>
        <w:rPr>
          <w:rStyle w:val="VerbatimChar"/>
        </w:rPr>
        <w:t xml:space="preserve">shape</w:t>
      </w:r>
      <w:r>
        <w:t xml:space="preserve"> </w:t>
      </w:r>
      <w:r>
        <w:t xml:space="preserve">y</w:t>
      </w:r>
      <w:r>
        <w:t xml:space="preserve"> </w:t>
      </w:r>
      <w:r>
        <w:rPr>
          <w:rStyle w:val="VerbatimChar"/>
        </w:rPr>
        <w:t xml:space="preserve">color</w:t>
      </w:r>
      <w:r>
        <w:t xml:space="preserve">, los cuales permiten diferenciar visualmente las observaciones según categorías específicas de la población. Esto facilita la identificación de patrones diferenciados entre grupos y mejora la interpretación de la relación entre las variables analizadas. Un ejemplo de este tipo de representación se presenta en la</w:t>
      </w:r>
      <w:r>
        <w:t xml:space="preserve"> </w:t>
      </w:r>
      <w:hyperlink w:anchor="fig-scatter-zona">
        <w:r>
          <w:rPr>
            <w:rStyle w:val="Hyperlink"/>
          </w:rPr>
          <w:t xml:space="preserve">figura 3.8</w:t>
        </w:r>
      </w:hyperlink>
      <w:r>
        <w:t xml:space="preserve">.</w:t>
      </w:r>
    </w:p>
    <w:p>
      <w:pPr>
        <w:pStyle w:val="SourceCode"/>
      </w:pPr>
      <w:r>
        <w:rPr>
          <w:rStyle w:val="NormalTok"/>
        </w:rPr>
        <w:t xml:space="preserve">weighted_zone_scatter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AttributeTok"/>
        </w:rPr>
        <w:t xml:space="preserve">shape =</w:t>
      </w:r>
      <w:r>
        <w:rPr>
          <w:rStyle w:val="NormalTok"/>
        </w:rPr>
        <w:t xml:space="preserve"> Zone))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wk, </w:t>
      </w:r>
      <w:r>
        <w:rPr>
          <w:rStyle w:val="AttributeTok"/>
        </w:rPr>
        <w:t xml:space="preserve">color =</w:t>
      </w:r>
      <w:r>
        <w:rPr>
          <w:rStyle w:val="NormalTok"/>
        </w:rPr>
        <w:t xml:space="preserve"> Zone),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size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zone_colors)</w:t>
      </w:r>
      <w:r>
        <w:br/>
      </w:r>
      <w:r>
        <w:br/>
      </w:r>
      <w:r>
        <w:rPr>
          <w:rStyle w:val="NormalTok"/>
        </w:rPr>
        <w:t xml:space="preserve">weighted_zone_scatter</w:t>
      </w:r>
    </w:p>
    <w:tbl>
      <w:tblPr>
        <w:tblStyle w:val="Table"/>
        <w:tblW w:type="pct" w:w="5000"/>
        <w:tblLayout w:type="fixed"/>
        <w:tblLook w:firstRow="0" w:lastRow="0" w:firstColumn="0" w:lastColumn="0" w:noHBand="0" w:noVBand="0" w:val="0000"/>
      </w:tblPr>
      <w:tblGrid>
        <w:gridCol w:w="7920"/>
      </w:tblGrid>
      <w:tr>
        <w:tc>
          <w:tcPr/>
          <w:bookmarkStart w:id="103" w:name="fig-scatter-zona"/>
          <w:p>
            <w:pPr>
              <w:pStyle w:val="Compact"/>
              <w:jc w:val="center"/>
            </w:pPr>
            <w:r>
              <w:drawing>
                <wp:inline>
                  <wp:extent cx="3467100" cy="2311400"/>
                  <wp:effectExtent b="0" l="0" r="0" t="0"/>
                  <wp:docPr descr="" title="" id="101" name="Picture"/>
                  <a:graphic>
                    <a:graphicData uri="http://schemas.openxmlformats.org/drawingml/2006/picture">
                      <pic:pic>
                        <pic:nvPicPr>
                          <pic:cNvPr descr="chapters/../figures/fig-scatter-zona-1.png" id="102" name="Picture"/>
                          <pic:cNvPicPr>
                            <a:picLocks noChangeArrowheads="1" noChangeAspect="1"/>
                          </pic:cNvPicPr>
                        </pic:nvPicPr>
                        <pic:blipFill>
                          <a:blip r:embed="rId100"/>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3.8: Diagrama de dispersión entre ingreso y gasto por zona geográfica</w:t>
            </w:r>
          </w:p>
          <w:bookmarkEnd w:id="103"/>
        </w:tc>
      </w:tr>
    </w:tbl>
    <w:bookmarkEnd w:id="104"/>
    <w:bookmarkEnd w:id="105"/>
    <w:bookmarkEnd w:id="106"/>
    <w:bookmarkStart w:id="175" w:name="cap4"/>
    <w:p>
      <w:pPr>
        <w:pStyle w:val="Heading1"/>
      </w:pPr>
      <w:r>
        <w:t xml:space="preserve">4. Análisis de variables categóricas</w:t>
      </w:r>
    </w:p>
    <w:p>
      <w:pPr>
        <w:pStyle w:val="FirstParagraph"/>
      </w:pPr>
      <w:r>
        <w:t xml:space="preserve">De acuerdo con</w:t>
      </w:r>
      <w:r>
        <w:t xml:space="preserve"> </w:t>
      </w:r>
      <w:r>
        <w:t xml:space="preserve">Heeringa et al. (2017)</w:t>
      </w:r>
      <w:r>
        <w:t xml:space="preserve"> </w:t>
      </w:r>
      <w:r>
        <w:t xml:space="preserve">y</w:t>
      </w:r>
      <w:r>
        <w:t xml:space="preserve"> </w:t>
      </w:r>
      <w:r>
        <w:t xml:space="preserve">CEPAL (2023)</w:t>
      </w:r>
      <w:r>
        <w:t xml:space="preserve">, en el análisis de encuestas de hogares, uno de los productos más habituales es la estimación de parámetros descriptivos asociados a variables categóricas, los cuales permiten sintetizar las principales características de la población. Estas medidas facilitan una representación clara y comprensible de fenómenos sociales a partir de información recolectada mediante muestras probabilísticas.</w:t>
      </w:r>
    </w:p>
    <w:p>
      <w:pPr>
        <w:pStyle w:val="BodyText"/>
      </w:pPr>
      <w:r>
        <w:t xml:space="preserve">Como explica</w:t>
      </w:r>
      <w:r>
        <w:t xml:space="preserve"> </w:t>
      </w:r>
      <w:r>
        <w:t xml:space="preserve">Agresti (2019)</w:t>
      </w:r>
      <w:r>
        <w:t xml:space="preserve">, entre los indicadores descriptivos más utilizados para analizar variables categóricas se encuentran las frecuencias y las proporciones. Las frecuencias indican cuántas personas u hogares pertenecen a cada categoría, por ejemplo, el número de personas en condición de pobreza, mientras que las proporciones expresan el peso relativo de cada categoría dentro del conjunto poblacional.</w:t>
      </w:r>
    </w:p>
    <w:p>
      <w:pPr>
        <w:pStyle w:val="BodyText"/>
      </w:pPr>
      <w:r>
        <w:t xml:space="preserve">Aunque el análisis descriptivo de variables categóricas suele apoyarse en estos parámetros básicos, también es posible combinarlas con medidas derivadas de variables numéricas, como cuantiles o indicadores de desigualdad, las cuales se abordaron en el capítulo anterior. No obstante, en este capítulo nos concentraremos exclusivamente en la descripción y estimación de parámetros asociados a variables categóricas, empleando diseños muestrales complejos.</w:t>
      </w:r>
    </w:p>
    <w:p>
      <w:pPr>
        <w:pStyle w:val="BodyText"/>
      </w:pPr>
      <w:r>
        <w:t xml:space="preserve">El análisis comienza con la definición del diseño de muestreo, siguiendo los lineamientos explicados en capítulos anteriores y utilizando la misma base de datos. Este paso es fundamental porque permite incorporar adecuadamente las características del diseño complejo de la encuesta, tales como los factores de expansión, las unidades primarias de muestreo y los estratos de selección. La correcta especificación de estos elementos garantiza que las estimaciones obtenidas sean representativas de la población objetivo y que las medidas de precisión reflejen apropiadamente la variabilidad introducida por el esquema de muestreo.</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br/>
      </w:r>
      <w:r>
        <w:rPr>
          <w:rStyle w:val="NormalTok"/>
        </w:rPr>
        <w:t xml:space="preserve">survey_data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r>
        <w:br/>
      </w:r>
      <w:r>
        <w:rPr>
          <w:rStyle w:val="FunctionTok"/>
        </w:rPr>
        <w:t xml:space="preserve">options</w:t>
      </w:r>
      <w:r>
        <w:rPr>
          <w:rStyle w:val="NormalTok"/>
        </w:rPr>
        <w:t xml:space="preserve">(</w:t>
      </w:r>
      <w:r>
        <w:rPr>
          <w:rStyle w:val="AttributeTok"/>
        </w:rPr>
        <w:t xml:space="preserve">survey.lonely.psu =</w:t>
      </w:r>
      <w:r>
        <w:rPr>
          <w:rStyle w:val="NormalTok"/>
        </w:rPr>
        <w:t xml:space="preserve"> </w:t>
      </w:r>
      <w:r>
        <w:rPr>
          <w:rStyle w:val="StringTok"/>
        </w:rPr>
        <w:t xml:space="preserve">"adjust"</w:t>
      </w:r>
      <w:r>
        <w:rPr>
          <w:rStyle w:val="NormalTok"/>
        </w:rPr>
        <w:t xml:space="preserve">)</w:t>
      </w:r>
      <w:r>
        <w:br/>
      </w:r>
      <w:r>
        <w:br/>
      </w:r>
      <w:r>
        <w:rPr>
          <w:rStyle w:val="NormalTok"/>
        </w:rPr>
        <w:t xml:space="preserve">survey_design </w:t>
      </w:r>
      <w:r>
        <w:rPr>
          <w:rStyle w:val="OtherTok"/>
        </w:rPr>
        <w:t xml:space="preserve">&lt;-</w:t>
      </w:r>
      <w:r>
        <w:rPr>
          <w:rStyle w:val="NormalTok"/>
        </w:rPr>
        <w:t xml:space="preserve"> survey_data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  )</w:t>
      </w:r>
    </w:p>
    <w:p>
      <w:pPr>
        <w:pStyle w:val="FirstParagraph"/>
      </w:pPr>
      <w:r>
        <w:t xml:space="preserve">Luego, se generan algunas variables categóricas derivadas de la información original de la encuesta, las cuales serán utilizadas en los ejercicios desarrollados a lo largo de este capítulo. Entre ellas, se construye una variable que identifica si la persona se encuentra o no en condición de pobreza. De manera complementaria, también se crean otras variables categóricas de interés analítico que permitirán realizar desagregaciones y comparaciones entre distintos grupos de la población:</w:t>
      </w:r>
    </w:p>
    <w:p>
      <w:pPr>
        <w:pStyle w:val="SourceCode"/>
      </w:pPr>
      <w:r>
        <w:rPr>
          <w:rStyle w:val="NormalTok"/>
        </w:rPr>
        <w:t xml:space="preserve">survey_design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poor =</w:t>
      </w:r>
      <w:r>
        <w:rPr>
          <w:rStyle w:val="NormalTok"/>
        </w:rPr>
        <w:t xml:space="preserve"> </w:t>
      </w:r>
      <w:r>
        <w:rPr>
          <w:rStyle w:val="FunctionTok"/>
        </w:rPr>
        <w:t xml:space="preserve">ifelse</w:t>
      </w:r>
      <w:r>
        <w:rPr>
          <w:rStyle w:val="NormalTok"/>
        </w:rPr>
        <w:t xml:space="preserve">(Poverty </w:t>
      </w:r>
      <w:r>
        <w:rPr>
          <w:rStyle w:val="SpecialCharTok"/>
        </w:rPr>
        <w:t xml:space="preserve">!=</w:t>
      </w:r>
      <w:r>
        <w:rPr>
          <w:rStyle w:val="NormalTok"/>
        </w:rPr>
        <w:t xml:space="preserve"> </w:t>
      </w:r>
      <w:r>
        <w:rPr>
          <w:rStyle w:val="StringTok"/>
        </w:rPr>
        <w:t xml:space="preserve">"NotPoor"</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unemployed =</w:t>
      </w:r>
      <w:r>
        <w:rPr>
          <w:rStyle w:val="NormalTok"/>
        </w:rPr>
        <w:t xml:space="preserve"> </w:t>
      </w:r>
      <w:r>
        <w:rPr>
          <w:rStyle w:val="FunctionTok"/>
        </w:rPr>
        <w:t xml:space="preserve">ifelse</w:t>
      </w:r>
      <w:r>
        <w:rPr>
          <w:rStyle w:val="NormalTok"/>
        </w:rPr>
        <w:t xml:space="preserve">(Employment </w:t>
      </w:r>
      <w:r>
        <w:rPr>
          <w:rStyle w:val="SpecialCharTok"/>
        </w:rPr>
        <w:t xml:space="preserve">==</w:t>
      </w:r>
      <w:r>
        <w:rPr>
          <w:rStyle w:val="NormalTok"/>
        </w:rPr>
        <w:t xml:space="preserve"> </w:t>
      </w:r>
      <w:r>
        <w:rPr>
          <w:rStyle w:val="StringTok"/>
        </w:rPr>
        <w:t xml:space="preserve">"Unemployed"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age_18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"&lt; 18 years"</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"&gt;= 18 years"</w:t>
      </w:r>
      <w:r>
        <w:br/>
      </w:r>
      <w:r>
        <w:rPr>
          <w:rStyle w:val="NormalTok"/>
        </w:rPr>
        <w:t xml:space="preserve">    )</w:t>
      </w:r>
      <w:r>
        <w:br/>
      </w:r>
      <w:r>
        <w:rPr>
          <w:rStyle w:val="NormalTok"/>
        </w:rPr>
        <w:t xml:space="preserve">  )</w:t>
      </w:r>
    </w:p>
    <w:p>
      <w:pPr>
        <w:pStyle w:val="FirstParagraph"/>
      </w:pPr>
      <w:r>
        <w:t xml:space="preserve">En el código anterior se crean nuevas variables derivadas utilizando la función</w:t>
      </w:r>
      <w:r>
        <w:t xml:space="preserve"> </w:t>
      </w:r>
      <w:r>
        <w:rPr>
          <w:rStyle w:val="VerbatimChar"/>
        </w:rPr>
        <w:t xml:space="preserve">mutate()</w:t>
      </w:r>
      <w:r>
        <w:t xml:space="preserve"> </w:t>
      </w:r>
      <w:r>
        <w:t xml:space="preserve">del paquete</w:t>
      </w:r>
      <w:r>
        <w:t xml:space="preserve"> </w:t>
      </w:r>
      <w:r>
        <w:rPr>
          <w:rStyle w:val="VerbatimChar"/>
        </w:rPr>
        <w:t xml:space="preserve">dplyr</w:t>
      </w:r>
      <w:r>
        <w:t xml:space="preserve">. Las variables</w:t>
      </w:r>
      <w:r>
        <w:t xml:space="preserve"> </w:t>
      </w:r>
      <w:r>
        <w:rPr>
          <w:rStyle w:val="VerbatimChar"/>
        </w:rPr>
        <w:t xml:space="preserve">poor</w:t>
      </w:r>
      <w:r>
        <w:t xml:space="preserve"> </w:t>
      </w:r>
      <w:r>
        <w:t xml:space="preserve">y</w:t>
      </w:r>
      <w:r>
        <w:t xml:space="preserve"> </w:t>
      </w:r>
      <w:r>
        <w:rPr>
          <w:rStyle w:val="VerbatimChar"/>
        </w:rPr>
        <w:t xml:space="preserve">unemployed</w:t>
      </w:r>
      <w:r>
        <w:t xml:space="preserve"> </w:t>
      </w:r>
      <w:r>
        <w:t xml:space="preserve">se construyen mediante la función</w:t>
      </w:r>
      <w:r>
        <w:t xml:space="preserve"> </w:t>
      </w:r>
      <w:r>
        <w:rPr>
          <w:rStyle w:val="VerbatimChar"/>
        </w:rPr>
        <w:t xml:space="preserve">ifelse()</w:t>
      </w:r>
      <w:r>
        <w:t xml:space="preserve">, que evalúa una condición lógica y asigna un valor dependiendo de si esta se cumple o no. En este caso, las variables toman el valor</w:t>
      </w:r>
      <w:r>
        <w:t xml:space="preserve"> </w:t>
      </w:r>
      <w:r>
        <w:rPr>
          <w:rStyle w:val="VerbatimChar"/>
        </w:rPr>
        <w:t xml:space="preserve">1</w:t>
      </w:r>
      <w:r>
        <w:t xml:space="preserve"> </w:t>
      </w:r>
      <w:r>
        <w:t xml:space="preserve">cuando la persona se encuentra en condición de pobreza o desempleo, respectivamente, y</w:t>
      </w:r>
      <w:r>
        <w:t xml:space="preserve"> </w:t>
      </w:r>
      <w:r>
        <w:rPr>
          <w:rStyle w:val="VerbatimChar"/>
        </w:rPr>
        <w:t xml:space="preserve">0</w:t>
      </w:r>
      <w:r>
        <w:t xml:space="preserve"> </w:t>
      </w:r>
      <w:r>
        <w:t xml:space="preserve">en caso contrario. Por su parte, la variable</w:t>
      </w:r>
      <w:r>
        <w:t xml:space="preserve"> </w:t>
      </w:r>
      <w:r>
        <w:rPr>
          <w:rStyle w:val="VerbatimChar"/>
        </w:rPr>
        <w:t xml:space="preserve">age_18</w:t>
      </w:r>
      <w:r>
        <w:t xml:space="preserve"> </w:t>
      </w:r>
      <w:r>
        <w:t xml:space="preserve">se genera mediante la función</w:t>
      </w:r>
      <w:r>
        <w:t xml:space="preserve"> </w:t>
      </w:r>
      <w:r>
        <w:rPr>
          <w:rStyle w:val="VerbatimChar"/>
        </w:rPr>
        <w:t xml:space="preserve">case_when()</w:t>
      </w:r>
      <w:r>
        <w:t xml:space="preserve">, la cual permite definir categorías a partir de una o varias condiciones de forma más clara y flexible que</w:t>
      </w:r>
      <w:r>
        <w:t xml:space="preserve"> </w:t>
      </w:r>
      <w:r>
        <w:rPr>
          <w:rStyle w:val="VerbatimChar"/>
        </w:rPr>
        <w:t xml:space="preserve">ifelse()</w:t>
      </w:r>
      <w:r>
        <w:t xml:space="preserve">. Esta función resulta especialmente útil cuando se requiere construir variables categóricas con múltiples niveles. En el ejemplo, las personas menores de 18 años se clasifican en la categoría</w:t>
      </w:r>
      <w:r>
        <w:t xml:space="preserve"> </w:t>
      </w:r>
      <w:r>
        <w:rPr>
          <w:rStyle w:val="VerbatimChar"/>
        </w:rPr>
        <w:t xml:space="preserve">"&lt; 18 years"</w:t>
      </w:r>
      <w:r>
        <w:t xml:space="preserve">, mientras que el resto se agrupa en la categoría</w:t>
      </w:r>
      <w:r>
        <w:t xml:space="preserve"> </w:t>
      </w:r>
      <w:r>
        <w:rPr>
          <w:rStyle w:val="VerbatimChar"/>
        </w:rPr>
        <w:t xml:space="preserve">"&gt;= 18 years"</w:t>
      </w:r>
      <w:r>
        <w:t xml:space="preserve">.</w:t>
      </w:r>
    </w:p>
    <w:p>
      <w:pPr>
        <w:pStyle w:val="BodyText"/>
      </w:pPr>
      <w:r>
        <w:t xml:space="preserve">Además de lo anterior, se hace necesario generar subgrupos de la población para realizar estimaciones desagregadas. En este capítulo se emplean cuatro subpoblaciones de ejemplo:</w:t>
      </w:r>
    </w:p>
    <w:p>
      <w:pPr>
        <w:pStyle w:val="SourceCode"/>
      </w:pPr>
      <w:r>
        <w:rPr>
          <w:rStyle w:val="NormalTok"/>
        </w:rPr>
        <w:t xml:space="preserve">urban_subset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"Urban"</w:t>
      </w:r>
      <w:r>
        <w:rPr>
          <w:rStyle w:val="NormalTok"/>
        </w:rPr>
        <w:t xml:space="preserve">)</w:t>
      </w:r>
      <w:r>
        <w:br/>
      </w:r>
      <w:r>
        <w:br/>
      </w:r>
      <w:r>
        <w:rPr>
          <w:rStyle w:val="NormalTok"/>
        </w:rPr>
        <w:t xml:space="preserve">rural_subset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"Rural"</w:t>
      </w:r>
      <w:r>
        <w:rPr>
          <w:rStyle w:val="NormalTok"/>
        </w:rPr>
        <w:t xml:space="preserve">)</w:t>
      </w:r>
      <w:r>
        <w:br/>
      </w:r>
      <w:r>
        <w:br/>
      </w:r>
      <w:r>
        <w:rPr>
          <w:rStyle w:val="NormalTok"/>
        </w:rPr>
        <w:t xml:space="preserve">female_subset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w:t>
      </w:r>
      <w:r>
        <w:br/>
      </w:r>
      <w:r>
        <w:br/>
      </w:r>
      <w:r>
        <w:rPr>
          <w:rStyle w:val="NormalTok"/>
        </w:rPr>
        <w:t xml:space="preserve">male_subset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w:t>
      </w:r>
    </w:p>
    <w:bookmarkStart w:id="111" w:name="estimacion-del-tamano-poblacional"/>
    <w:p>
      <w:pPr>
        <w:pStyle w:val="Heading2"/>
      </w:pPr>
      <w:r>
        <w:t xml:space="preserve">4.1 Estimación del tamaño poblacional</w:t>
      </w:r>
    </w:p>
    <w:p>
      <w:pPr>
        <w:pStyle w:val="FirstParagraph"/>
      </w:pPr>
      <w:r>
        <w:t xml:space="preserve">Según</w:t>
      </w:r>
      <w:r>
        <w:t xml:space="preserve"> </w:t>
      </w:r>
      <w:r>
        <w:t xml:space="preserve">CEPAL (2023)</w:t>
      </w:r>
      <w:r>
        <w:t xml:space="preserve">, en el análisis de encuestas de hogares, es fundamental estimar el tamaño de las subpoblaciones, entendido como el número de personas u hogares que pertenecen a categorías específicas y la proporción que representan dentro de la población. Estas estimaciones, basadas en variables categóricas, permiten caracterizar el perfil demográfico y socioeconómico de la población, información clave para orientar la asignación de recursos, diseñar políticas públicas y formular programas sociales. Por ejemplo, estimar cuántas personas se encuentran por debajo de la línea de pobreza, cuántas están desempleadas o cuántas alcanzaron determinado nivel educativo es esencial para identificar brechas y evaluar condiciones de bienestar.</w:t>
      </w:r>
    </w:p>
    <w:p>
      <w:pPr>
        <w:pStyle w:val="BodyText"/>
      </w:pPr>
      <w:r>
        <w:t xml:space="preserve">Como explica</w:t>
      </w:r>
      <w:r>
        <w:t xml:space="preserve"> </w:t>
      </w:r>
      <w:r>
        <w:t xml:space="preserve">Gutiérrez (2016)</w:t>
      </w:r>
      <w:r>
        <w:t xml:space="preserve">, la estimación del tamaño de una población o subpoblación se realiza a partir de variables categóricas, que segmentan a la población en grupos mutuamente excluyentes (particiones). El tamaño poblacional hace referencia al número total de individuos u hogares que, en la base de datos de la encuesta, pertenecen a una categoría determinada. Estas categorías pueden corresponder, por ejemplo, a estados de ocupación o niveles educativos alcanzados. Para obtener estas estimaciones, se combinan las respuestas de los encuestados con los pesos muestrales, que indican cuántas personas u hogares representa cada unidad de la muestra dentro de la población total.</w:t>
      </w:r>
    </w:p>
    <w:p>
      <w:pPr>
        <w:pStyle w:val="BodyText"/>
      </w:pPr>
      <w:r>
        <w:t xml:space="preserve">De acuerdo con</w:t>
      </w:r>
      <w:r>
        <w:t xml:space="preserve"> </w:t>
      </w:r>
      <w:r>
        <w:t xml:space="preserve">Särndal et al. (2003)</w:t>
      </w:r>
      <w:r>
        <w:t xml:space="preserve">, el estimador del tamaño de la población, se define como:</w:t>
      </w:r>
    </w:p>
    <w:p>
      <w:pPr>
        <w:pStyle w:val="BodyText"/>
      </w:pPr>
      <m:oMathPara>
        <m:oMathParaPr>
          <m:jc m:val="center"/>
        </m:oMathParaPr>
        <m:oMath>
          <m:acc>
            <m:accPr>
              <m:chr m:val="̂"/>
            </m:accPr>
            <m:e>
              <m:r>
                <m:t>N</m:t>
              </m:r>
            </m:e>
          </m:acc>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oMath>
      </m:oMathPara>
    </w:p>
    <w:p>
      <w:pPr>
        <w:pStyle w:val="FirstParagraph"/>
      </w:pPr>
      <w:r>
        <w:t xml:space="preserve">En donde,</w:t>
      </w:r>
      <w:r>
        <w:t xml:space="preserve"> </w:t>
      </w:r>
      <m:oMath>
        <m:sSub>
          <m:e>
            <m:r>
              <m:t>w</m:t>
            </m:r>
          </m:e>
          <m:sub>
            <m:r>
              <m:t>h</m:t>
            </m:r>
            <m:r>
              <m:t>i</m:t>
            </m:r>
            <m:r>
              <m:t>k</m:t>
            </m:r>
          </m:sub>
        </m:sSub>
      </m:oMath>
      <w:r>
        <w:t xml:space="preserve"> </w:t>
      </w:r>
      <w:r>
        <w:t xml:space="preserve">es el peso o factor de expansión de la unidad</w:t>
      </w:r>
      <w:r>
        <w:t xml:space="preserve"> </w:t>
      </w:r>
      <m:oMath>
        <m:r>
          <m:t>k</m:t>
        </m:r>
      </m:oMath>
      <w:r>
        <w:t xml:space="preserve"> </w:t>
      </w:r>
      <w:r>
        <w:t xml:space="preserve">en la UPM</w:t>
      </w:r>
      <w:r>
        <w:t xml:space="preserve"> </w:t>
      </w:r>
      <m:oMath>
        <m:r>
          <m:t>i</m:t>
        </m:r>
      </m:oMath>
      <w:r>
        <w:t xml:space="preserve"> </w:t>
      </w:r>
      <w:r>
        <w:t xml:space="preserve">del estrato</w:t>
      </w:r>
      <w:r>
        <w:t xml:space="preserve"> </w:t>
      </w:r>
      <m:oMath>
        <m:r>
          <m:t>h</m:t>
        </m:r>
      </m:oMath>
      <w:r>
        <w:t xml:space="preserve">. Asimismo, la estimación del tamaño de una subpoblación sigue el mismo principio, pero se enmarca en un subconjunto definido por una característica específica. Para determinar cuántas personas pertenecen a una categoría particular, se identifica dicho grupo en la base de datos y se suman sus pesos muestrales. Esto permite cuantificar grupos de interés específicos y conocer su tamaño dentro de la población:</w:t>
      </w:r>
    </w:p>
    <w:p>
      <w:pPr>
        <w:pStyle w:val="BodyText"/>
      </w:pPr>
      <m:oMathPara>
        <m:oMathParaPr>
          <m:jc m:val="center"/>
        </m:oMathParaPr>
        <m:oMath>
          <m:sSub>
            <m:e>
              <m:acc>
                <m:accPr>
                  <m:chr m:val="̂"/>
                </m:accPr>
                <m:e>
                  <m:r>
                    <m:t>N</m:t>
                  </m:r>
                </m:e>
              </m:acc>
            </m:e>
            <m:sub>
              <m:r>
                <m:t>d</m:t>
              </m:r>
            </m:sub>
          </m:sSub>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t>I</m:t>
          </m:r>
          <m:r>
            <m:rPr>
              <m:sty m:val="p"/>
            </m:rPr>
            <m:t>(</m:t>
          </m:r>
          <m:sSub>
            <m:e>
              <m:r>
                <m:t>y</m:t>
              </m:r>
            </m:e>
            <m:sub>
              <m:r>
                <m:t>h</m:t>
              </m:r>
              <m:r>
                <m:t>i</m:t>
              </m:r>
              <m:r>
                <m:t>k</m:t>
              </m:r>
            </m:sub>
          </m:sSub>
          <m:r>
            <m:rPr>
              <m:sty m:val="p"/>
            </m:rPr>
            <m:t>=</m:t>
          </m:r>
          <m:r>
            <m:t>d</m:t>
          </m:r>
          <m:r>
            <m:rPr>
              <m:sty m:val="p"/>
            </m:rPr>
            <m:t>)</m:t>
          </m:r>
        </m:oMath>
      </m:oMathPara>
    </w:p>
    <w:p>
      <w:pPr>
        <w:pStyle w:val="FirstParagraph"/>
      </w:pPr>
      <w:r>
        <w:t xml:space="preserve">Como señalan</w:t>
      </w:r>
      <w:r>
        <w:t xml:space="preserve"> </w:t>
      </w:r>
      <w:r>
        <w:t xml:space="preserve">Deville y Särndal (1992)</w:t>
      </w:r>
      <w:r>
        <w:t xml:space="preserve">, en donde</w:t>
      </w:r>
      <w:r>
        <w:t xml:space="preserve"> </w:t>
      </w:r>
      <m:oMath>
        <m:r>
          <m:t>I</m:t>
        </m:r>
        <m:r>
          <m:rPr>
            <m:sty m:val="p"/>
          </m:rPr>
          <m:t>(</m:t>
        </m:r>
        <m:sSub>
          <m:e>
            <m:r>
              <m:t>y</m:t>
            </m:r>
          </m:e>
          <m:sub>
            <m:r>
              <m:t>h</m:t>
            </m:r>
            <m:r>
              <m:t>i</m:t>
            </m:r>
            <m:r>
              <m:t>k</m:t>
            </m:r>
          </m:sub>
        </m:sSub>
        <m:r>
          <m:rPr>
            <m:sty m:val="p"/>
          </m:rPr>
          <m:t>=</m:t>
        </m:r>
        <m:r>
          <m:t>d</m:t>
        </m:r>
        <m:r>
          <m:rPr>
            <m:sty m:val="p"/>
          </m:rPr>
          <m:t>)</m:t>
        </m:r>
      </m:oMath>
      <w:r>
        <w:t xml:space="preserve"> </w:t>
      </w:r>
      <w:r>
        <w:t xml:space="preserve">es una variable binaria que toma el valor de 1 si la unidad</w:t>
      </w:r>
      <w:r>
        <w:t xml:space="preserve"> </w:t>
      </w:r>
      <m:oMath>
        <m:r>
          <m:t>k</m:t>
        </m:r>
      </m:oMath>
      <w:r>
        <w:t xml:space="preserve"> </w:t>
      </w:r>
      <w:r>
        <w:t xml:space="preserve">de la UPM</w:t>
      </w:r>
      <w:r>
        <w:t xml:space="preserve"> </w:t>
      </w:r>
      <m:oMath>
        <m:r>
          <m:t>i</m:t>
        </m:r>
      </m:oMath>
      <w:r>
        <w:t xml:space="preserve"> </w:t>
      </w:r>
      <w:r>
        <w:t xml:space="preserve">en el estrato</w:t>
      </w:r>
      <w:r>
        <w:t xml:space="preserve"> </w:t>
      </w:r>
      <m:oMath>
        <m:r>
          <m:t>h</m:t>
        </m:r>
      </m:oMath>
      <w:r>
        <w:t xml:space="preserve"> </w:t>
      </w:r>
      <w:r>
        <w:t xml:space="preserve">pertenece a la categoría</w:t>
      </w:r>
      <w:r>
        <w:t xml:space="preserve"> </w:t>
      </w:r>
      <m:oMath>
        <m:r>
          <m:t>d</m:t>
        </m:r>
      </m:oMath>
      <w:r>
        <w:t xml:space="preserve"> </w:t>
      </w:r>
      <w:r>
        <w:t xml:space="preserve">de la variable de interés</w:t>
      </w:r>
      <w:r>
        <w:t xml:space="preserve"> </w:t>
      </w:r>
      <m:oMath>
        <m:r>
          <m:t>y</m:t>
        </m:r>
      </m:oMath>
      <w:r>
        <w:t xml:space="preserve">, y 0 en caso contrario. Nótese además que, si</w:t>
      </w:r>
      <w:r>
        <w:t xml:space="preserve"> </w:t>
      </w:r>
      <m:oMath>
        <m:r>
          <m:t>d</m:t>
        </m:r>
      </m:oMath>
      <w:r>
        <w:t xml:space="preserve"> </w:t>
      </w:r>
      <w:r>
        <w:t xml:space="preserve">fue utilizada en la calibración de los pesos, el valor de</w:t>
      </w:r>
      <w:r>
        <w:t xml:space="preserve"> </w:t>
      </w:r>
      <m:oMath>
        <m:sSub>
          <m:e>
            <m:acc>
              <m:accPr>
                <m:chr m:val="̂"/>
              </m:accPr>
              <m:e>
                <m:r>
                  <m:t>N</m:t>
                </m:r>
              </m:e>
            </m:acc>
          </m:e>
          <m:sub>
            <m:r>
              <m:t>d</m:t>
            </m:r>
          </m:sub>
        </m:sSub>
      </m:oMath>
      <w:r>
        <w:t xml:space="preserve"> </w:t>
      </w:r>
      <w:r>
        <w:t xml:space="preserve">coincidirá con el control externo aplicado.</w:t>
      </w:r>
    </w:p>
    <w:p>
      <w:pPr>
        <w:pStyle w:val="BodyText"/>
      </w:pPr>
      <w:r>
        <w:t xml:space="preserve">En</w:t>
      </w:r>
      <w:r>
        <w:t xml:space="preserve"> </w:t>
      </w:r>
      <w:r>
        <w:rPr>
          <w:rStyle w:val="VerbatimChar"/>
        </w:rPr>
        <w:t xml:space="preserve">R</w:t>
      </w:r>
      <w:r>
        <w:t xml:space="preserve">, y utilizando el diseño muestral definido previamente, es posible, generar resúmenes de la información de la encuesta para cada categoría de la variable</w:t>
      </w:r>
      <w:r>
        <w:t xml:space="preserve"> </w:t>
      </w:r>
      <w:r>
        <w:rPr>
          <w:rStyle w:val="VerbatimChar"/>
        </w:rPr>
        <w:t xml:space="preserve">Zone</w:t>
      </w:r>
      <w:r>
        <w:t xml:space="preserve">. Para ello, los datos se agrupan según la zona geográfica, lo que permite obtener resultados independientes para cada uno de estos dominios de estudio. A partir de este procedimiento se producen dos tipos principales de resultados. En primer lugar, se calcula el número de observaciones efectivamente recolectadas en la muestra, sin considerar los factores de expansión, lo que corresponde al tamaño muestral disponible en cada zona. En segundo lugar, se estima el tamaño poblacional asociado a cada dominio incorporando la información del diseño de muestreo.</w:t>
      </w:r>
    </w:p>
    <w:p>
      <w:pPr>
        <w:pStyle w:val="BodyText"/>
      </w:pPr>
      <w:r>
        <w:t xml:space="preserve">Junto con las estimaciones poblacionales también se obtienen medidas de precisión, como el error estándar y el intervalo de confianza, las cuales permiten evaluar el nivel de incertidumbre asociado a los resultados producidos a partir de la muestra. Los resultados se presentan en la</w:t>
      </w:r>
      <w:r>
        <w:t xml:space="preserve"> </w:t>
      </w:r>
      <w:hyperlink w:anchor="tbl-tamano-zona">
        <w:r>
          <w:rPr>
            <w:rStyle w:val="Hyperlink"/>
          </w:rPr>
          <w:t xml:space="preserve">tabla 4.1</w:t>
        </w:r>
      </w:hyperlink>
      <w:r>
        <w:t xml:space="preserve">. En dicha tabla,</w:t>
      </w:r>
      <w:r>
        <w:t xml:space="preserve"> </w:t>
      </w:r>
      <w:r>
        <w:rPr>
          <w:rStyle w:val="VerbatimChar"/>
        </w:rPr>
        <w:t xml:space="preserve">n</w:t>
      </w:r>
      <w:r>
        <w:t xml:space="preserve"> </w:t>
      </w:r>
      <w:r>
        <w:t xml:space="preserve">representa el número de observaciones de la muestra en cada zona, mientras que</w:t>
      </w:r>
      <w:r>
        <w:t xml:space="preserve"> </w:t>
      </w:r>
      <w:r>
        <w:rPr>
          <w:rStyle w:val="VerbatimChar"/>
        </w:rPr>
        <w:t xml:space="preserve">size</w:t>
      </w:r>
      <w:r>
        <w:t xml:space="preserve"> </w:t>
      </w:r>
      <w:r>
        <w:t xml:space="preserve">corresponde a la estimación del total poblacional de la subpoblación. Por su parte, la función</w:t>
      </w:r>
      <w:r>
        <w:t xml:space="preserve"> </w:t>
      </w:r>
      <w:r>
        <w:rPr>
          <w:rStyle w:val="VerbatimChar"/>
        </w:rPr>
        <w:t xml:space="preserve">unweighted()</w:t>
      </w:r>
      <w:r>
        <w:t xml:space="preserve"> </w:t>
      </w:r>
      <w:r>
        <w:t xml:space="preserve">se utiliza para calcular resúmenes no ponderados directamente a partir de los datos observados en la muestra.</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unweighted</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07" w:name="tbl-tamano-zona"/>
          <w:p>
            <w:pPr>
              <w:jc w:val="center"/>
            </w:pPr>
            <w:pPr>
              <w:jc w:val="left"/>
              <w:spacing w:before="200"/>
              <w:pStyle w:val="ImageCaption"/>
            </w:pPr>
            <w:r>
              <w:t xml:space="preserve">Tabla 4.1: Tamaño poblacional estimado por zona geográfica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Zone</w:t>
                  </w:r>
                </w:p>
              </w:tc>
              <w:tc>
                <w:tcPr/>
                <w:p>
                  <w:pPr>
                    <w:pStyle w:val="Compact"/>
                    <w:jc w:val="right"/>
                    <w:jc w:val="center"/>
                  </w:pPr>
                  <w:r>
                    <w:t xml:space="preserve">n</w:t>
                  </w:r>
                </w:p>
              </w:tc>
              <w:tc>
                <w:tcPr/>
                <w:p>
                  <w:pPr>
                    <w:pStyle w:val="Compact"/>
                    <w:jc w:val="right"/>
                    <w:jc w:val="center"/>
                  </w:pPr>
                  <w:r>
                    <w:t xml:space="preserve">size</w:t>
                  </w:r>
                </w:p>
              </w:tc>
              <w:tc>
                <w:tcPr/>
                <w:p>
                  <w:pPr>
                    <w:pStyle w:val="Compact"/>
                    <w:jc w:val="right"/>
                    <w:jc w:val="center"/>
                  </w:pPr>
                  <w:r>
                    <w:t xml:space="preserve">size_se</w:t>
                  </w:r>
                </w:p>
              </w:tc>
              <w:tc>
                <w:tcPr/>
                <w:p>
                  <w:pPr>
                    <w:pStyle w:val="Compact"/>
                    <w:jc w:val="right"/>
                    <w:jc w:val="center"/>
                  </w:pPr>
                  <w:r>
                    <w:t xml:space="preserve">size_low</w:t>
                  </w:r>
                </w:p>
              </w:tc>
              <w:tc>
                <w:tcPr/>
                <w:p>
                  <w:pPr>
                    <w:pStyle w:val="Compact"/>
                    <w:jc w:val="right"/>
                    <w:jc w:val="center"/>
                  </w:pPr>
                  <w:r>
                    <w:t xml:space="preserve">size_upp</w:t>
                  </w:r>
                </w:p>
              </w:tc>
            </w:tr>
            <w:tr>
              <w:tc>
                <w:tcPr/>
                <w:p>
                  <w:pPr>
                    <w:pStyle w:val="Compact"/>
                    <w:jc w:val="left"/>
                    <w:jc w:val="center"/>
                  </w:pPr>
                  <w:r>
                    <w:t xml:space="preserve">Rural</w:t>
                  </w:r>
                </w:p>
              </w:tc>
              <w:tc>
                <w:tcPr/>
                <w:p>
                  <w:pPr>
                    <w:pStyle w:val="Compact"/>
                    <w:jc w:val="right"/>
                    <w:jc w:val="center"/>
                  </w:pPr>
                  <w:r>
                    <w:t xml:space="preserve">1297</w:t>
                  </w:r>
                </w:p>
              </w:tc>
              <w:tc>
                <w:tcPr/>
                <w:p>
                  <w:pPr>
                    <w:pStyle w:val="Compact"/>
                    <w:jc w:val="right"/>
                    <w:jc w:val="center"/>
                  </w:pPr>
                  <w:r>
                    <w:t xml:space="preserve">72102</w:t>
                  </w:r>
                </w:p>
              </w:tc>
              <w:tc>
                <w:tcPr/>
                <w:p>
                  <w:pPr>
                    <w:pStyle w:val="Compact"/>
                    <w:jc w:val="right"/>
                    <w:jc w:val="center"/>
                  </w:pPr>
                  <w:r>
                    <w:t xml:space="preserve">3062</w:t>
                  </w:r>
                </w:p>
              </w:tc>
              <w:tc>
                <w:tcPr/>
                <w:p>
                  <w:pPr>
                    <w:pStyle w:val="Compact"/>
                    <w:jc w:val="right"/>
                    <w:jc w:val="center"/>
                  </w:pPr>
                  <w:r>
                    <w:t xml:space="preserve">66039</w:t>
                  </w:r>
                </w:p>
              </w:tc>
              <w:tc>
                <w:tcPr/>
                <w:p>
                  <w:pPr>
                    <w:pStyle w:val="Compact"/>
                    <w:jc w:val="right"/>
                    <w:jc w:val="center"/>
                  </w:pPr>
                  <w:r>
                    <w:t xml:space="preserve">78165</w:t>
                  </w:r>
                </w:p>
              </w:tc>
            </w:tr>
            <w:tr>
              <w:tc>
                <w:tcPr/>
                <w:p>
                  <w:pPr>
                    <w:pStyle w:val="Compact"/>
                    <w:jc w:val="left"/>
                    <w:jc w:val="center"/>
                  </w:pPr>
                  <w:r>
                    <w:t xml:space="preserve">Urban</w:t>
                  </w:r>
                </w:p>
              </w:tc>
              <w:tc>
                <w:tcPr/>
                <w:p>
                  <w:pPr>
                    <w:pStyle w:val="Compact"/>
                    <w:jc w:val="right"/>
                    <w:jc w:val="center"/>
                  </w:pPr>
                  <w:r>
                    <w:t xml:space="preserve">1308</w:t>
                  </w:r>
                </w:p>
              </w:tc>
              <w:tc>
                <w:tcPr/>
                <w:p>
                  <w:pPr>
                    <w:pStyle w:val="Compact"/>
                    <w:jc w:val="right"/>
                    <w:jc w:val="center"/>
                  </w:pPr>
                  <w:r>
                    <w:t xml:space="preserve">78164</w:t>
                  </w:r>
                </w:p>
              </w:tc>
              <w:tc>
                <w:tcPr/>
                <w:p>
                  <w:pPr>
                    <w:pStyle w:val="Compact"/>
                    <w:jc w:val="right"/>
                    <w:jc w:val="center"/>
                  </w:pPr>
                  <w:r>
                    <w:t xml:space="preserve">2847</w:t>
                  </w:r>
                </w:p>
              </w:tc>
              <w:tc>
                <w:tcPr/>
                <w:p>
                  <w:pPr>
                    <w:pStyle w:val="Compact"/>
                    <w:jc w:val="right"/>
                    <w:jc w:val="center"/>
                  </w:pPr>
                  <w:r>
                    <w:t xml:space="preserve">72526</w:t>
                  </w:r>
                </w:p>
              </w:tc>
              <w:tc>
                <w:tcPr/>
                <w:p>
                  <w:pPr>
                    <w:pStyle w:val="Compact"/>
                    <w:jc w:val="right"/>
                    <w:jc w:val="center"/>
                  </w:pPr>
                  <w:r>
                    <w:t xml:space="preserve">83802</w:t>
                  </w:r>
                </w:p>
              </w:tc>
            </w:tr>
          </w:tbl>
          <w:bookmarkEnd w:id="107"/>
          <w:p/>
        </w:tc>
      </w:tr>
    </w:tbl>
    <w:p>
      <w:pPr>
        <w:pStyle w:val="BodyText"/>
      </w:pPr>
      <w:r>
        <w:t xml:space="preserve">En efecto, el tamaño de muestra fue de 1297 personas en la zona rural y de 1308 en la zona urbana. A partir de estas muestras se estimó una población de 72,102 personas para la zona rural, con un error estándar de 3,062, y de 78,164 personas para la zona urbana, con un error estándar de 2,847. Estos resultados reflejan no solo el tamaño estimado de la población en cada dominio, sino también el nivel de precisión asociado a las estimaciones obtenidas a partir del diseño muestral.</w:t>
      </w:r>
    </w:p>
    <w:p>
      <w:pPr>
        <w:pStyle w:val="BodyText"/>
      </w:pPr>
      <w:r>
        <w:t xml:space="preserve">Considerando un nivel de confianza del 95%, los intervalos de confianza para las estimaciones poblacionales fueron de 66,038.5 a 78,165.4 personas en la zona rural y de 72,526.2 a 83,801.7 personas en la zona urbana. De manera análoga, también es posible estimar el número de personas según los distintos niveles de pobreza, cuyos resultados se presentan en la</w:t>
      </w:r>
      <w:r>
        <w:t xml:space="preserve"> </w:t>
      </w:r>
      <w:hyperlink w:anchor="tbl-tamano-pobreza">
        <w:r>
          <w:rPr>
            <w:rStyle w:val="Hyperlink"/>
          </w:rPr>
          <w:t xml:space="preserve">tabla 4.2</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size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8" w:name="tbl-tamano-pobreza"/>
          <w:p>
            <w:pPr>
              <w:jc w:val="center"/>
            </w:pPr>
            <w:pPr>
              <w:jc w:val="left"/>
              <w:spacing w:before="200"/>
              <w:pStyle w:val="ImageCaption"/>
            </w:pPr>
            <w:r>
              <w:t xml:space="preserve">Tabla 4.2: Tamaño poblacional estimado por condición de pobreza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Poverty</w:t>
                  </w:r>
                </w:p>
              </w:tc>
              <w:tc>
                <w:tcPr/>
                <w:p>
                  <w:pPr>
                    <w:pStyle w:val="Compact"/>
                    <w:jc w:val="right"/>
                    <w:jc w:val="center"/>
                  </w:pPr>
                  <w:r>
                    <w:t xml:space="preserve">size</w:t>
                  </w:r>
                </w:p>
              </w:tc>
              <w:tc>
                <w:tcPr/>
                <w:p>
                  <w:pPr>
                    <w:pStyle w:val="Compact"/>
                    <w:jc w:val="right"/>
                    <w:jc w:val="center"/>
                  </w:pPr>
                  <w:r>
                    <w:t xml:space="preserve">size_se</w:t>
                  </w:r>
                </w:p>
              </w:tc>
              <w:tc>
                <w:tcPr/>
                <w:p>
                  <w:pPr>
                    <w:pStyle w:val="Compact"/>
                    <w:jc w:val="right"/>
                    <w:jc w:val="center"/>
                  </w:pPr>
                  <w:r>
                    <w:t xml:space="preserve">size_low</w:t>
                  </w:r>
                </w:p>
              </w:tc>
              <w:tc>
                <w:tcPr/>
                <w:p>
                  <w:pPr>
                    <w:pStyle w:val="Compact"/>
                    <w:jc w:val="right"/>
                    <w:jc w:val="center"/>
                  </w:pPr>
                  <w:r>
                    <w:t xml:space="preserve">size_upp</w:t>
                  </w:r>
                </w:p>
              </w:tc>
            </w:tr>
            <w:tr>
              <w:tc>
                <w:tcPr/>
                <w:p>
                  <w:pPr>
                    <w:pStyle w:val="Compact"/>
                    <w:jc w:val="left"/>
                    <w:jc w:val="center"/>
                  </w:pPr>
                  <w:r>
                    <w:t xml:space="preserve">NotPoor</w:t>
                  </w:r>
                </w:p>
              </w:tc>
              <w:tc>
                <w:tcPr/>
                <w:p>
                  <w:pPr>
                    <w:pStyle w:val="Compact"/>
                    <w:jc w:val="right"/>
                    <w:jc w:val="center"/>
                  </w:pPr>
                  <w:r>
                    <w:t xml:space="preserve">91398</w:t>
                  </w:r>
                </w:p>
              </w:tc>
              <w:tc>
                <w:tcPr/>
                <w:p>
                  <w:pPr>
                    <w:pStyle w:val="Compact"/>
                    <w:jc w:val="right"/>
                    <w:jc w:val="center"/>
                  </w:pPr>
                  <w:r>
                    <w:t xml:space="preserve">4395</w:t>
                  </w:r>
                </w:p>
              </w:tc>
              <w:tc>
                <w:tcPr/>
                <w:p>
                  <w:pPr>
                    <w:pStyle w:val="Compact"/>
                    <w:jc w:val="right"/>
                    <w:jc w:val="center"/>
                  </w:pPr>
                  <w:r>
                    <w:t xml:space="preserve">82696</w:t>
                  </w:r>
                </w:p>
              </w:tc>
              <w:tc>
                <w:tcPr/>
                <w:p>
                  <w:pPr>
                    <w:pStyle w:val="Compact"/>
                    <w:jc w:val="right"/>
                    <w:jc w:val="center"/>
                  </w:pPr>
                  <w:r>
                    <w:t xml:space="preserve">100101</w:t>
                  </w:r>
                </w:p>
              </w:tc>
            </w:tr>
            <w:tr>
              <w:tc>
                <w:tcPr/>
                <w:p>
                  <w:pPr>
                    <w:pStyle w:val="Compact"/>
                    <w:jc w:val="left"/>
                    <w:jc w:val="center"/>
                  </w:pPr>
                  <w:r>
                    <w:t xml:space="preserve">Extreme</w:t>
                  </w:r>
                </w:p>
              </w:tc>
              <w:tc>
                <w:tcPr/>
                <w:p>
                  <w:pPr>
                    <w:pStyle w:val="Compact"/>
                    <w:jc w:val="right"/>
                    <w:jc w:val="center"/>
                  </w:pPr>
                  <w:r>
                    <w:t xml:space="preserve">21519</w:t>
                  </w:r>
                </w:p>
              </w:tc>
              <w:tc>
                <w:tcPr/>
                <w:p>
                  <w:pPr>
                    <w:pStyle w:val="Compact"/>
                    <w:jc w:val="right"/>
                    <w:jc w:val="center"/>
                  </w:pPr>
                  <w:r>
                    <w:t xml:space="preserve">4949</w:t>
                  </w:r>
                </w:p>
              </w:tc>
              <w:tc>
                <w:tcPr/>
                <w:p>
                  <w:pPr>
                    <w:pStyle w:val="Compact"/>
                    <w:jc w:val="right"/>
                    <w:jc w:val="center"/>
                  </w:pPr>
                  <w:r>
                    <w:t xml:space="preserve">11719</w:t>
                  </w:r>
                </w:p>
              </w:tc>
              <w:tc>
                <w:tcPr/>
                <w:p>
                  <w:pPr>
                    <w:pStyle w:val="Compact"/>
                    <w:jc w:val="right"/>
                    <w:jc w:val="center"/>
                  </w:pPr>
                  <w:r>
                    <w:t xml:space="preserve">31319</w:t>
                  </w:r>
                </w:p>
              </w:tc>
            </w:tr>
            <w:tr>
              <w:tc>
                <w:tcPr/>
                <w:p>
                  <w:pPr>
                    <w:pStyle w:val="Compact"/>
                    <w:jc w:val="left"/>
                    <w:jc w:val="center"/>
                  </w:pPr>
                  <w:r>
                    <w:t xml:space="preserve">Relative</w:t>
                  </w:r>
                </w:p>
              </w:tc>
              <w:tc>
                <w:tcPr/>
                <w:p>
                  <w:pPr>
                    <w:pStyle w:val="Compact"/>
                    <w:jc w:val="right"/>
                    <w:jc w:val="center"/>
                  </w:pPr>
                  <w:r>
                    <w:t xml:space="preserve">37349</w:t>
                  </w:r>
                </w:p>
              </w:tc>
              <w:tc>
                <w:tcPr/>
                <w:p>
                  <w:pPr>
                    <w:pStyle w:val="Compact"/>
                    <w:jc w:val="right"/>
                    <w:jc w:val="center"/>
                  </w:pPr>
                  <w:r>
                    <w:t xml:space="preserve">3695</w:t>
                  </w:r>
                </w:p>
              </w:tc>
              <w:tc>
                <w:tcPr/>
                <w:p>
                  <w:pPr>
                    <w:pStyle w:val="Compact"/>
                    <w:jc w:val="right"/>
                    <w:jc w:val="center"/>
                  </w:pPr>
                  <w:r>
                    <w:t xml:space="preserve">30032</w:t>
                  </w:r>
                </w:p>
              </w:tc>
              <w:tc>
                <w:tcPr/>
                <w:p>
                  <w:pPr>
                    <w:pStyle w:val="Compact"/>
                    <w:jc w:val="right"/>
                    <w:jc w:val="center"/>
                  </w:pPr>
                  <w:r>
                    <w:t xml:space="preserve">44666</w:t>
                  </w:r>
                </w:p>
              </w:tc>
            </w:tr>
          </w:tbl>
          <w:bookmarkEnd w:id="108"/>
          <w:p/>
        </w:tc>
      </w:tr>
    </w:tbl>
    <w:p>
      <w:pPr>
        <w:pStyle w:val="BodyText"/>
      </w:pPr>
      <w:r>
        <w:t xml:space="preserve">Otra variable categórica relevante en las encuestas de hogares es el estado de ocupación. A continuación se presenta el código correspondiente, cuyos resultados se muestran en la</w:t>
      </w:r>
      <w:r>
        <w:t xml:space="preserve"> </w:t>
      </w:r>
      <w:hyperlink w:anchor="tbl-tamano-empleo">
        <w:r>
          <w:rPr>
            <w:rStyle w:val="Hyperlink"/>
          </w:rPr>
          <w:t xml:space="preserve">tabla 4.3</w:t>
        </w:r>
      </w:hyperlink>
      <w:r>
        <w:t xml:space="preserve">. En este caso, la información se agrupa según las categorías de la variable</w:t>
      </w:r>
      <w:r>
        <w:t xml:space="preserve"> </w:t>
      </w:r>
      <w:r>
        <w:rPr>
          <w:rStyle w:val="VerbatimChar"/>
        </w:rPr>
        <w:t xml:space="preserve">Employment</w:t>
      </w:r>
      <w:r>
        <w:t xml:space="preserve">, lo que permite obtener estimaciones separadas para cada condición de actividad laboral de la población. Mediante el uso de la función</w:t>
      </w:r>
      <w:r>
        <w:t xml:space="preserve"> </w:t>
      </w:r>
      <w:r>
        <w:rPr>
          <w:rStyle w:val="VerbatimChar"/>
        </w:rPr>
        <w:t xml:space="preserve">group_by()</w:t>
      </w:r>
      <w:r>
        <w:t xml:space="preserve"> </w:t>
      </w:r>
      <w:r>
        <w:t xml:space="preserve">es posible desagregar las estimaciones en niveles más detallados, facilitando el análisis comparativo entre los distintos grupos ocupacionales.</w:t>
      </w:r>
    </w:p>
    <w:p>
      <w:pPr>
        <w:pStyle w:val="BodyText"/>
      </w:pPr>
      <w:r>
        <w:t xml:space="preserve">Antes de realizar las estimaciones, se excluyen los registros con valores faltantes en la variable de empleo, garantizando que los resultados se calculen únicamente con información válida. Posteriormente, para cada categoría de ocupación se estima el tamaño poblacional utilizando el diseño muestral definido previamente. Además de la estimación puntual, también se calculan medidas de precisión, específicamente el error estándar y los intervalos de confianza, lo que permite evaluar el grado de incertidumbre asociado a cada estimación.</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size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9" w:name="tbl-tamano-empleo"/>
          <w:p>
            <w:pPr>
              <w:jc w:val="center"/>
            </w:pPr>
            <w:pPr>
              <w:jc w:val="left"/>
              <w:spacing w:before="200"/>
              <w:pStyle w:val="ImageCaption"/>
            </w:pPr>
            <w:r>
              <w:t xml:space="preserve">Tabla 4.3: Tamaño poblacional estimado por estado de ocupación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Employment</w:t>
                  </w:r>
                </w:p>
              </w:tc>
              <w:tc>
                <w:tcPr/>
                <w:p>
                  <w:pPr>
                    <w:pStyle w:val="Compact"/>
                    <w:jc w:val="right"/>
                    <w:jc w:val="center"/>
                  </w:pPr>
                  <w:r>
                    <w:t xml:space="preserve">size</w:t>
                  </w:r>
                </w:p>
              </w:tc>
              <w:tc>
                <w:tcPr/>
                <w:p>
                  <w:pPr>
                    <w:pStyle w:val="Compact"/>
                    <w:jc w:val="right"/>
                    <w:jc w:val="center"/>
                  </w:pPr>
                  <w:r>
                    <w:t xml:space="preserve">size_se</w:t>
                  </w:r>
                </w:p>
              </w:tc>
              <w:tc>
                <w:tcPr/>
                <w:p>
                  <w:pPr>
                    <w:pStyle w:val="Compact"/>
                    <w:jc w:val="right"/>
                    <w:jc w:val="center"/>
                  </w:pPr>
                  <w:r>
                    <w:t xml:space="preserve">size_low</w:t>
                  </w:r>
                </w:p>
              </w:tc>
              <w:tc>
                <w:tcPr/>
                <w:p>
                  <w:pPr>
                    <w:pStyle w:val="Compact"/>
                    <w:jc w:val="right"/>
                    <w:jc w:val="center"/>
                  </w:pPr>
                  <w:r>
                    <w:t xml:space="preserve">size_upp</w:t>
                  </w:r>
                </w:p>
              </w:tc>
            </w:tr>
            <w:tr>
              <w:tc>
                <w:tcPr/>
                <w:p>
                  <w:pPr>
                    <w:pStyle w:val="Compact"/>
                    <w:jc w:val="left"/>
                    <w:jc w:val="center"/>
                  </w:pPr>
                  <w:r>
                    <w:t xml:space="preserve">Unemployed</w:t>
                  </w:r>
                </w:p>
              </w:tc>
              <w:tc>
                <w:tcPr/>
                <w:p>
                  <w:pPr>
                    <w:pStyle w:val="Compact"/>
                    <w:jc w:val="right"/>
                    <w:jc w:val="center"/>
                  </w:pPr>
                  <w:r>
                    <w:t xml:space="preserve">4635</w:t>
                  </w:r>
                </w:p>
              </w:tc>
              <w:tc>
                <w:tcPr/>
                <w:p>
                  <w:pPr>
                    <w:pStyle w:val="Compact"/>
                    <w:jc w:val="right"/>
                    <w:jc w:val="center"/>
                  </w:pPr>
                  <w:r>
                    <w:t xml:space="preserve">761</w:t>
                  </w:r>
                </w:p>
              </w:tc>
              <w:tc>
                <w:tcPr/>
                <w:p>
                  <w:pPr>
                    <w:pStyle w:val="Compact"/>
                    <w:jc w:val="right"/>
                    <w:jc w:val="center"/>
                  </w:pPr>
                  <w:r>
                    <w:t xml:space="preserve">3129</w:t>
                  </w:r>
                </w:p>
              </w:tc>
              <w:tc>
                <w:tcPr/>
                <w:p>
                  <w:pPr>
                    <w:pStyle w:val="Compact"/>
                    <w:jc w:val="right"/>
                    <w:jc w:val="center"/>
                  </w:pPr>
                  <w:r>
                    <w:t xml:space="preserve">6141</w:t>
                  </w:r>
                </w:p>
              </w:tc>
            </w:tr>
            <w:tr>
              <w:tc>
                <w:tcPr/>
                <w:p>
                  <w:pPr>
                    <w:pStyle w:val="Compact"/>
                    <w:jc w:val="left"/>
                    <w:jc w:val="center"/>
                  </w:pPr>
                  <w:r>
                    <w:t xml:space="preserve">Inactive</w:t>
                  </w:r>
                </w:p>
              </w:tc>
              <w:tc>
                <w:tcPr/>
                <w:p>
                  <w:pPr>
                    <w:pStyle w:val="Compact"/>
                    <w:jc w:val="right"/>
                    <w:jc w:val="center"/>
                  </w:pPr>
                  <w:r>
                    <w:t xml:space="preserve">41465</w:t>
                  </w:r>
                </w:p>
              </w:tc>
              <w:tc>
                <w:tcPr/>
                <w:p>
                  <w:pPr>
                    <w:pStyle w:val="Compact"/>
                    <w:jc w:val="right"/>
                    <w:jc w:val="center"/>
                  </w:pPr>
                  <w:r>
                    <w:t xml:space="preserve">2163</w:t>
                  </w:r>
                </w:p>
              </w:tc>
              <w:tc>
                <w:tcPr/>
                <w:p>
                  <w:pPr>
                    <w:pStyle w:val="Compact"/>
                    <w:jc w:val="right"/>
                    <w:jc w:val="center"/>
                  </w:pPr>
                  <w:r>
                    <w:t xml:space="preserve">37183</w:t>
                  </w:r>
                </w:p>
              </w:tc>
              <w:tc>
                <w:tcPr/>
                <w:p>
                  <w:pPr>
                    <w:pStyle w:val="Compact"/>
                    <w:jc w:val="right"/>
                    <w:jc w:val="center"/>
                  </w:pPr>
                  <w:r>
                    <w:t xml:space="preserve">45748</w:t>
                  </w:r>
                </w:p>
              </w:tc>
            </w:tr>
            <w:tr>
              <w:tc>
                <w:tcPr/>
                <w:p>
                  <w:pPr>
                    <w:pStyle w:val="Compact"/>
                    <w:jc w:val="left"/>
                    <w:jc w:val="center"/>
                  </w:pPr>
                  <w:r>
                    <w:t xml:space="preserve">Employed</w:t>
                  </w:r>
                </w:p>
              </w:tc>
              <w:tc>
                <w:tcPr/>
                <w:p>
                  <w:pPr>
                    <w:pStyle w:val="Compact"/>
                    <w:jc w:val="right"/>
                    <w:jc w:val="center"/>
                  </w:pPr>
                  <w:r>
                    <w:t xml:space="preserve">61877</w:t>
                  </w:r>
                </w:p>
              </w:tc>
              <w:tc>
                <w:tcPr/>
                <w:p>
                  <w:pPr>
                    <w:pStyle w:val="Compact"/>
                    <w:jc w:val="right"/>
                    <w:jc w:val="center"/>
                  </w:pPr>
                  <w:r>
                    <w:t xml:space="preserve">2540</w:t>
                  </w:r>
                </w:p>
              </w:tc>
              <w:tc>
                <w:tcPr/>
                <w:p>
                  <w:pPr>
                    <w:pStyle w:val="Compact"/>
                    <w:jc w:val="right"/>
                    <w:jc w:val="center"/>
                  </w:pPr>
                  <w:r>
                    <w:t xml:space="preserve">56847</w:t>
                  </w:r>
                </w:p>
              </w:tc>
              <w:tc>
                <w:tcPr/>
                <w:p>
                  <w:pPr>
                    <w:pStyle w:val="Compact"/>
                    <w:jc w:val="right"/>
                    <w:jc w:val="center"/>
                  </w:pPr>
                  <w:r>
                    <w:t xml:space="preserve">66907</w:t>
                  </w:r>
                </w:p>
              </w:tc>
            </w:tr>
          </w:tbl>
          <w:bookmarkEnd w:id="109"/>
          <w:p/>
        </w:tc>
      </w:tr>
    </w:tbl>
    <w:p>
      <w:pPr>
        <w:pStyle w:val="BodyText"/>
      </w:pPr>
      <w:r>
        <w:t xml:space="preserve">A partir de los resultados obtenidos se estima que 4,634.8 personas se encuentran desempleadas, con un intervalo de confianza del 95% entre 3,128.6 y 6,140.9 personas. Asimismo, se estima que 41,465.2 personas pertenecen a la población inactiva, con un intervalo de confianza entre 37,182.6 y 45,747.8. Finalmente, la población ocupada se estimó en 61,877.0 personas, con un intervalo de confianza de 56,847.0 a 66,907.0 personas.</w:t>
      </w:r>
    </w:p>
    <w:p>
      <w:pPr>
        <w:pStyle w:val="BodyText"/>
      </w:pPr>
      <w:r>
        <w:t xml:space="preserve">Finalmente, las estimaciones también pueden desagregarse simultáneamente por más de una variable categórica. Por ejemplo, es posible analizar el estado ocupacional según el nivel de pobreza, cuyos resultados se presentan en la</w:t>
      </w:r>
      <w:r>
        <w:t xml:space="preserve"> </w:t>
      </w:r>
      <w:hyperlink w:anchor="tbl-tamano-empleo-pobreza">
        <w:r>
          <w:rPr>
            <w:rStyle w:val="Hyperlink"/>
          </w:rPr>
          <w:t xml:space="preserve">tabla 4.4</w:t>
        </w:r>
      </w:hyperlink>
      <w:r>
        <w:t xml:space="preserve">, de donde se puede concluir, entre otros aspectos, que aproximadamente 44,600.3 personas ocupadas no se encuentran en condición de pobreza, con un intervalo de confianza del 95% entre 39,459.6 y 49,741.0 personas. Asimismo, se estima que 6,421.8 personas inactivas se encuentran en situación de pobreza extrema, con un intervalo de confianza al 95% entre 3,806.6 y 9,037.0 personas.</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Poverty) </w:t>
      </w:r>
      <w:r>
        <w:rPr>
          <w:rStyle w:val="SpecialCharTok"/>
        </w:rPr>
        <w:t xml:space="preserve">%&gt;%</w:t>
      </w:r>
      <w:r>
        <w:br/>
      </w:r>
      <w:r>
        <w:rPr>
          <w:rStyle w:val="NormalTok"/>
        </w:rPr>
        <w:t xml:space="preserve">  </w:t>
      </w:r>
      <w:r>
        <w:rPr>
          <w:rStyle w:val="FunctionTok"/>
        </w:rPr>
        <w:t xml:space="preserve">cascade</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"Total"</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10" w:name="tbl-tamano-empleo-pobreza"/>
          <w:p>
            <w:pPr>
              <w:jc w:val="center"/>
            </w:pPr>
            <w:pPr>
              <w:jc w:val="left"/>
              <w:spacing w:before="200"/>
              <w:pStyle w:val="ImageCaption"/>
            </w:pPr>
            <w:r>
              <w:t xml:space="preserve">Tabla 4.4: Tamaño poblacional estimado por estado de ocupación y condición de pobreza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Employment</w:t>
                  </w:r>
                </w:p>
              </w:tc>
              <w:tc>
                <w:tcPr/>
                <w:p>
                  <w:pPr>
                    <w:pStyle w:val="Compact"/>
                    <w:jc w:val="left"/>
                    <w:jc w:val="center"/>
                  </w:pPr>
                  <w:r>
                    <w:t xml:space="preserve">Poverty</w:t>
                  </w:r>
                </w:p>
              </w:tc>
              <w:tc>
                <w:tcPr/>
                <w:p>
                  <w:pPr>
                    <w:pStyle w:val="Compact"/>
                    <w:jc w:val="right"/>
                    <w:jc w:val="center"/>
                  </w:pPr>
                  <w:r>
                    <w:t xml:space="preserve">size</w:t>
                  </w:r>
                </w:p>
              </w:tc>
              <w:tc>
                <w:tcPr/>
                <w:p>
                  <w:pPr>
                    <w:pStyle w:val="Compact"/>
                    <w:jc w:val="right"/>
                    <w:jc w:val="center"/>
                  </w:pPr>
                  <w:r>
                    <w:t xml:space="preserve">size_se</w:t>
                  </w:r>
                </w:p>
              </w:tc>
              <w:tc>
                <w:tcPr/>
                <w:p>
                  <w:pPr>
                    <w:pStyle w:val="Compact"/>
                    <w:jc w:val="right"/>
                    <w:jc w:val="center"/>
                  </w:pPr>
                  <w:r>
                    <w:t xml:space="preserve">size_low</w:t>
                  </w:r>
                </w:p>
              </w:tc>
              <w:tc>
                <w:tcPr/>
                <w:p>
                  <w:pPr>
                    <w:pStyle w:val="Compact"/>
                    <w:jc w:val="right"/>
                    <w:jc w:val="center"/>
                  </w:pPr>
                  <w:r>
                    <w:t xml:space="preserve">size_upp</w:t>
                  </w:r>
                </w:p>
              </w:tc>
            </w:tr>
            <w:tr>
              <w:tc>
                <w:tcPr/>
                <w:p>
                  <w:pPr>
                    <w:pStyle w:val="Compact"/>
                    <w:jc w:val="left"/>
                    <w:jc w:val="center"/>
                  </w:pPr>
                  <w:r>
                    <w:t xml:space="preserve">Unemployed</w:t>
                  </w:r>
                </w:p>
              </w:tc>
              <w:tc>
                <w:tcPr/>
                <w:p>
                  <w:pPr>
                    <w:pStyle w:val="Compact"/>
                    <w:jc w:val="left"/>
                    <w:jc w:val="center"/>
                  </w:pPr>
                  <w:r>
                    <w:t xml:space="preserve">NotPoor</w:t>
                  </w:r>
                </w:p>
              </w:tc>
              <w:tc>
                <w:tcPr/>
                <w:p>
                  <w:pPr>
                    <w:pStyle w:val="Compact"/>
                    <w:jc w:val="right"/>
                    <w:jc w:val="center"/>
                  </w:pPr>
                  <w:r>
                    <w:t xml:space="preserve">1768</w:t>
                  </w:r>
                </w:p>
              </w:tc>
              <w:tc>
                <w:tcPr/>
                <w:p>
                  <w:pPr>
                    <w:pStyle w:val="Compact"/>
                    <w:jc w:val="right"/>
                    <w:jc w:val="center"/>
                  </w:pPr>
                  <w:r>
                    <w:t xml:space="preserve">405</w:t>
                  </w:r>
                </w:p>
              </w:tc>
              <w:tc>
                <w:tcPr/>
                <w:p>
                  <w:pPr>
                    <w:pStyle w:val="Compact"/>
                    <w:jc w:val="right"/>
                    <w:jc w:val="center"/>
                  </w:pPr>
                  <w:r>
                    <w:t xml:space="preserve">966</w:t>
                  </w:r>
                </w:p>
              </w:tc>
              <w:tc>
                <w:tcPr/>
                <w:p>
                  <w:pPr>
                    <w:pStyle w:val="Compact"/>
                    <w:jc w:val="right"/>
                    <w:jc w:val="center"/>
                  </w:pPr>
                  <w:r>
                    <w:t xml:space="preserve">2571</w:t>
                  </w:r>
                </w:p>
              </w:tc>
            </w:tr>
            <w:tr>
              <w:tc>
                <w:tcPr/>
                <w:p>
                  <w:pPr>
                    <w:pStyle w:val="Compact"/>
                    <w:jc w:val="left"/>
                    <w:jc w:val="center"/>
                  </w:pPr>
                  <w:r>
                    <w:t xml:space="preserve">Unemployed</w:t>
                  </w:r>
                </w:p>
              </w:tc>
              <w:tc>
                <w:tcPr/>
                <w:p>
                  <w:pPr>
                    <w:pStyle w:val="Compact"/>
                    <w:jc w:val="left"/>
                    <w:jc w:val="center"/>
                  </w:pPr>
                  <w:r>
                    <w:t xml:space="preserve">Extreme</w:t>
                  </w:r>
                </w:p>
              </w:tc>
              <w:tc>
                <w:tcPr/>
                <w:p>
                  <w:pPr>
                    <w:pStyle w:val="Compact"/>
                    <w:jc w:val="right"/>
                    <w:jc w:val="center"/>
                  </w:pPr>
                  <w:r>
                    <w:t xml:space="preserve">1169</w:t>
                  </w:r>
                </w:p>
              </w:tc>
              <w:tc>
                <w:tcPr/>
                <w:p>
                  <w:pPr>
                    <w:pStyle w:val="Compact"/>
                    <w:jc w:val="right"/>
                    <w:jc w:val="center"/>
                  </w:pPr>
                  <w:r>
                    <w:t xml:space="preserve">348</w:t>
                  </w:r>
                </w:p>
              </w:tc>
              <w:tc>
                <w:tcPr/>
                <w:p>
                  <w:pPr>
                    <w:pStyle w:val="Compact"/>
                    <w:jc w:val="right"/>
                    <w:jc w:val="center"/>
                  </w:pPr>
                  <w:r>
                    <w:t xml:space="preserve">480</w:t>
                  </w:r>
                </w:p>
              </w:tc>
              <w:tc>
                <w:tcPr/>
                <w:p>
                  <w:pPr>
                    <w:pStyle w:val="Compact"/>
                    <w:jc w:val="right"/>
                    <w:jc w:val="center"/>
                  </w:pPr>
                  <w:r>
                    <w:t xml:space="preserve">1859</w:t>
                  </w:r>
                </w:p>
              </w:tc>
            </w:tr>
            <w:tr>
              <w:tc>
                <w:tcPr/>
                <w:p>
                  <w:pPr>
                    <w:pStyle w:val="Compact"/>
                    <w:jc w:val="left"/>
                    <w:jc w:val="center"/>
                  </w:pPr>
                  <w:r>
                    <w:t xml:space="preserve">Unemployed</w:t>
                  </w:r>
                </w:p>
              </w:tc>
              <w:tc>
                <w:tcPr/>
                <w:p>
                  <w:pPr>
                    <w:pStyle w:val="Compact"/>
                    <w:jc w:val="left"/>
                    <w:jc w:val="center"/>
                  </w:pPr>
                  <w:r>
                    <w:t xml:space="preserve">Relative</w:t>
                  </w:r>
                </w:p>
              </w:tc>
              <w:tc>
                <w:tcPr/>
                <w:p>
                  <w:pPr>
                    <w:pStyle w:val="Compact"/>
                    <w:jc w:val="right"/>
                    <w:jc w:val="center"/>
                  </w:pPr>
                  <w:r>
                    <w:t xml:space="preserve">1697</w:t>
                  </w:r>
                </w:p>
              </w:tc>
              <w:tc>
                <w:tcPr/>
                <w:p>
                  <w:pPr>
                    <w:pStyle w:val="Compact"/>
                    <w:jc w:val="right"/>
                    <w:jc w:val="center"/>
                  </w:pPr>
                  <w:r>
                    <w:t xml:space="preserve">458</w:t>
                  </w:r>
                </w:p>
              </w:tc>
              <w:tc>
                <w:tcPr/>
                <w:p>
                  <w:pPr>
                    <w:pStyle w:val="Compact"/>
                    <w:jc w:val="right"/>
                    <w:jc w:val="center"/>
                  </w:pPr>
                  <w:r>
                    <w:t xml:space="preserve">791</w:t>
                  </w:r>
                </w:p>
              </w:tc>
              <w:tc>
                <w:tcPr/>
                <w:p>
                  <w:pPr>
                    <w:pStyle w:val="Compact"/>
                    <w:jc w:val="right"/>
                    <w:jc w:val="center"/>
                  </w:pPr>
                  <w:r>
                    <w:t xml:space="preserve">2604</w:t>
                  </w:r>
                </w:p>
              </w:tc>
            </w:tr>
            <w:tr>
              <w:tc>
                <w:tcPr/>
                <w:p>
                  <w:pPr>
                    <w:pStyle w:val="Compact"/>
                    <w:jc w:val="left"/>
                    <w:jc w:val="center"/>
                  </w:pPr>
                  <w:r>
                    <w:t xml:space="preserve">Unemployed</w:t>
                  </w:r>
                </w:p>
              </w:tc>
              <w:tc>
                <w:tcPr/>
                <w:p>
                  <w:pPr>
                    <w:pStyle w:val="Compact"/>
                    <w:jc w:val="left"/>
                    <w:jc w:val="center"/>
                  </w:pPr>
                  <w:r>
                    <w:t xml:space="preserve">Total</w:t>
                  </w:r>
                </w:p>
              </w:tc>
              <w:tc>
                <w:tcPr/>
                <w:p>
                  <w:pPr>
                    <w:pStyle w:val="Compact"/>
                    <w:jc w:val="right"/>
                    <w:jc w:val="center"/>
                  </w:pPr>
                  <w:r>
                    <w:t xml:space="preserve">4635</w:t>
                  </w:r>
                </w:p>
              </w:tc>
              <w:tc>
                <w:tcPr/>
                <w:p>
                  <w:pPr>
                    <w:pStyle w:val="Compact"/>
                    <w:jc w:val="right"/>
                    <w:jc w:val="center"/>
                  </w:pPr>
                  <w:r>
                    <w:t xml:space="preserve">761</w:t>
                  </w:r>
                </w:p>
              </w:tc>
              <w:tc>
                <w:tcPr/>
                <w:p>
                  <w:pPr>
                    <w:pStyle w:val="Compact"/>
                    <w:jc w:val="right"/>
                    <w:jc w:val="center"/>
                  </w:pPr>
                  <w:r>
                    <w:t xml:space="preserve">3129</w:t>
                  </w:r>
                </w:p>
              </w:tc>
              <w:tc>
                <w:tcPr/>
                <w:p>
                  <w:pPr>
                    <w:pStyle w:val="Compact"/>
                    <w:jc w:val="right"/>
                    <w:jc w:val="center"/>
                  </w:pPr>
                  <w:r>
                    <w:t xml:space="preserve">6141</w:t>
                  </w:r>
                </w:p>
              </w:tc>
            </w:tr>
            <w:tr>
              <w:tc>
                <w:tcPr/>
                <w:p>
                  <w:pPr>
                    <w:pStyle w:val="Compact"/>
                    <w:jc w:val="left"/>
                    <w:jc w:val="center"/>
                  </w:pPr>
                  <w:r>
                    <w:t xml:space="preserve">Inactive</w:t>
                  </w:r>
                </w:p>
              </w:tc>
              <w:tc>
                <w:tcPr/>
                <w:p>
                  <w:pPr>
                    <w:pStyle w:val="Compact"/>
                    <w:jc w:val="left"/>
                    <w:jc w:val="center"/>
                  </w:pPr>
                  <w:r>
                    <w:t xml:space="preserve">NotPoor</w:t>
                  </w:r>
                </w:p>
              </w:tc>
              <w:tc>
                <w:tcPr/>
                <w:p>
                  <w:pPr>
                    <w:pStyle w:val="Compact"/>
                    <w:jc w:val="right"/>
                    <w:jc w:val="center"/>
                  </w:pPr>
                  <w:r>
                    <w:t xml:space="preserve">24346</w:t>
                  </w:r>
                </w:p>
              </w:tc>
              <w:tc>
                <w:tcPr/>
                <w:p>
                  <w:pPr>
                    <w:pStyle w:val="Compact"/>
                    <w:jc w:val="right"/>
                    <w:jc w:val="center"/>
                  </w:pPr>
                  <w:r>
                    <w:t xml:space="preserve">1736</w:t>
                  </w:r>
                </w:p>
              </w:tc>
              <w:tc>
                <w:tcPr/>
                <w:p>
                  <w:pPr>
                    <w:pStyle w:val="Compact"/>
                    <w:jc w:val="right"/>
                    <w:jc w:val="center"/>
                  </w:pPr>
                  <w:r>
                    <w:t xml:space="preserve">20908</w:t>
                  </w:r>
                </w:p>
              </w:tc>
              <w:tc>
                <w:tcPr/>
                <w:p>
                  <w:pPr>
                    <w:pStyle w:val="Compact"/>
                    <w:jc w:val="right"/>
                    <w:jc w:val="center"/>
                  </w:pPr>
                  <w:r>
                    <w:t xml:space="preserve">27784</w:t>
                  </w:r>
                </w:p>
              </w:tc>
            </w:tr>
            <w:tr>
              <w:tc>
                <w:tcPr/>
                <w:p>
                  <w:pPr>
                    <w:pStyle w:val="Compact"/>
                    <w:jc w:val="left"/>
                    <w:jc w:val="center"/>
                  </w:pPr>
                  <w:r>
                    <w:t xml:space="preserve">Inactive</w:t>
                  </w:r>
                </w:p>
              </w:tc>
              <w:tc>
                <w:tcPr/>
                <w:p>
                  <w:pPr>
                    <w:pStyle w:val="Compact"/>
                    <w:jc w:val="left"/>
                    <w:jc w:val="center"/>
                  </w:pPr>
                  <w:r>
                    <w:t xml:space="preserve">Extreme</w:t>
                  </w:r>
                </w:p>
              </w:tc>
              <w:tc>
                <w:tcPr/>
                <w:p>
                  <w:pPr>
                    <w:pStyle w:val="Compact"/>
                    <w:jc w:val="right"/>
                    <w:jc w:val="center"/>
                  </w:pPr>
                  <w:r>
                    <w:t xml:space="preserve">6422</w:t>
                  </w:r>
                </w:p>
              </w:tc>
              <w:tc>
                <w:tcPr/>
                <w:p>
                  <w:pPr>
                    <w:pStyle w:val="Compact"/>
                    <w:jc w:val="right"/>
                    <w:jc w:val="center"/>
                  </w:pPr>
                  <w:r>
                    <w:t xml:space="preserve">1321</w:t>
                  </w:r>
                </w:p>
              </w:tc>
              <w:tc>
                <w:tcPr/>
                <w:p>
                  <w:pPr>
                    <w:pStyle w:val="Compact"/>
                    <w:jc w:val="right"/>
                    <w:jc w:val="center"/>
                  </w:pPr>
                  <w:r>
                    <w:t xml:space="preserve">3807</w:t>
                  </w:r>
                </w:p>
              </w:tc>
              <w:tc>
                <w:tcPr/>
                <w:p>
                  <w:pPr>
                    <w:pStyle w:val="Compact"/>
                    <w:jc w:val="right"/>
                    <w:jc w:val="center"/>
                  </w:pPr>
                  <w:r>
                    <w:t xml:space="preserve">9037</w:t>
                  </w:r>
                </w:p>
              </w:tc>
            </w:tr>
            <w:tr>
              <w:tc>
                <w:tcPr/>
                <w:p>
                  <w:pPr>
                    <w:pStyle w:val="Compact"/>
                    <w:jc w:val="left"/>
                    <w:jc w:val="center"/>
                  </w:pPr>
                  <w:r>
                    <w:t xml:space="preserve">Inactive</w:t>
                  </w:r>
                </w:p>
              </w:tc>
              <w:tc>
                <w:tcPr/>
                <w:p>
                  <w:pPr>
                    <w:pStyle w:val="Compact"/>
                    <w:jc w:val="left"/>
                    <w:jc w:val="center"/>
                  </w:pPr>
                  <w:r>
                    <w:t xml:space="preserve">Relative</w:t>
                  </w:r>
                </w:p>
              </w:tc>
              <w:tc>
                <w:tcPr/>
                <w:p>
                  <w:pPr>
                    <w:pStyle w:val="Compact"/>
                    <w:jc w:val="right"/>
                    <w:jc w:val="center"/>
                  </w:pPr>
                  <w:r>
                    <w:t xml:space="preserve">10697</w:t>
                  </w:r>
                </w:p>
              </w:tc>
              <w:tc>
                <w:tcPr/>
                <w:p>
                  <w:pPr>
                    <w:pStyle w:val="Compact"/>
                    <w:jc w:val="right"/>
                    <w:jc w:val="center"/>
                  </w:pPr>
                  <w:r>
                    <w:t xml:space="preserve">1460</w:t>
                  </w:r>
                </w:p>
              </w:tc>
              <w:tc>
                <w:tcPr/>
                <w:p>
                  <w:pPr>
                    <w:pStyle w:val="Compact"/>
                    <w:jc w:val="right"/>
                    <w:jc w:val="center"/>
                  </w:pPr>
                  <w:r>
                    <w:t xml:space="preserve">7806</w:t>
                  </w:r>
                </w:p>
              </w:tc>
              <w:tc>
                <w:tcPr/>
                <w:p>
                  <w:pPr>
                    <w:pStyle w:val="Compact"/>
                    <w:jc w:val="right"/>
                    <w:jc w:val="center"/>
                  </w:pPr>
                  <w:r>
                    <w:t xml:space="preserve">13589</w:t>
                  </w:r>
                </w:p>
              </w:tc>
            </w:tr>
            <w:tr>
              <w:tc>
                <w:tcPr/>
                <w:p>
                  <w:pPr>
                    <w:pStyle w:val="Compact"/>
                    <w:jc w:val="left"/>
                    <w:jc w:val="center"/>
                  </w:pPr>
                  <w:r>
                    <w:t xml:space="preserve">Inactive</w:t>
                  </w:r>
                </w:p>
              </w:tc>
              <w:tc>
                <w:tcPr/>
                <w:p>
                  <w:pPr>
                    <w:pStyle w:val="Compact"/>
                    <w:jc w:val="left"/>
                    <w:jc w:val="center"/>
                  </w:pPr>
                  <w:r>
                    <w:t xml:space="preserve">Total</w:t>
                  </w:r>
                </w:p>
              </w:tc>
              <w:tc>
                <w:tcPr/>
                <w:p>
                  <w:pPr>
                    <w:pStyle w:val="Compact"/>
                    <w:jc w:val="right"/>
                    <w:jc w:val="center"/>
                  </w:pPr>
                  <w:r>
                    <w:t xml:space="preserve">41465</w:t>
                  </w:r>
                </w:p>
              </w:tc>
              <w:tc>
                <w:tcPr/>
                <w:p>
                  <w:pPr>
                    <w:pStyle w:val="Compact"/>
                    <w:jc w:val="right"/>
                    <w:jc w:val="center"/>
                  </w:pPr>
                  <w:r>
                    <w:t xml:space="preserve">2163</w:t>
                  </w:r>
                </w:p>
              </w:tc>
              <w:tc>
                <w:tcPr/>
                <w:p>
                  <w:pPr>
                    <w:pStyle w:val="Compact"/>
                    <w:jc w:val="right"/>
                    <w:jc w:val="center"/>
                  </w:pPr>
                  <w:r>
                    <w:t xml:space="preserve">37183</w:t>
                  </w:r>
                </w:p>
              </w:tc>
              <w:tc>
                <w:tcPr/>
                <w:p>
                  <w:pPr>
                    <w:pStyle w:val="Compact"/>
                    <w:jc w:val="right"/>
                    <w:jc w:val="center"/>
                  </w:pPr>
                  <w:r>
                    <w:t xml:space="preserve">45748</w:t>
                  </w:r>
                </w:p>
              </w:tc>
            </w:tr>
            <w:tr>
              <w:tc>
                <w:tcPr/>
                <w:p>
                  <w:pPr>
                    <w:pStyle w:val="Compact"/>
                    <w:jc w:val="left"/>
                    <w:jc w:val="center"/>
                  </w:pPr>
                  <w:r>
                    <w:t xml:space="preserve">Employed</w:t>
                  </w:r>
                </w:p>
              </w:tc>
              <w:tc>
                <w:tcPr/>
                <w:p>
                  <w:pPr>
                    <w:pStyle w:val="Compact"/>
                    <w:jc w:val="left"/>
                    <w:jc w:val="center"/>
                  </w:pPr>
                  <w:r>
                    <w:t xml:space="preserve">NotPoor</w:t>
                  </w:r>
                </w:p>
              </w:tc>
              <w:tc>
                <w:tcPr/>
                <w:p>
                  <w:pPr>
                    <w:pStyle w:val="Compact"/>
                    <w:jc w:val="right"/>
                    <w:jc w:val="center"/>
                  </w:pPr>
                  <w:r>
                    <w:t xml:space="preserve">44600</w:t>
                  </w:r>
                </w:p>
              </w:tc>
              <w:tc>
                <w:tcPr/>
                <w:p>
                  <w:pPr>
                    <w:pStyle w:val="Compact"/>
                    <w:jc w:val="right"/>
                    <w:jc w:val="center"/>
                  </w:pPr>
                  <w:r>
                    <w:t xml:space="preserve">2596</w:t>
                  </w:r>
                </w:p>
              </w:tc>
              <w:tc>
                <w:tcPr/>
                <w:p>
                  <w:pPr>
                    <w:pStyle w:val="Compact"/>
                    <w:jc w:val="right"/>
                    <w:jc w:val="center"/>
                  </w:pPr>
                  <w:r>
                    <w:t xml:space="preserve">39460</w:t>
                  </w:r>
                </w:p>
              </w:tc>
              <w:tc>
                <w:tcPr/>
                <w:p>
                  <w:pPr>
                    <w:pStyle w:val="Compact"/>
                    <w:jc w:val="right"/>
                    <w:jc w:val="center"/>
                  </w:pPr>
                  <w:r>
                    <w:t xml:space="preserve">49741</w:t>
                  </w:r>
                </w:p>
              </w:tc>
            </w:tr>
            <w:tr>
              <w:tc>
                <w:tcPr/>
                <w:p>
                  <w:pPr>
                    <w:pStyle w:val="Compact"/>
                    <w:jc w:val="left"/>
                    <w:jc w:val="center"/>
                  </w:pPr>
                  <w:r>
                    <w:t xml:space="preserve">Employed</w:t>
                  </w:r>
                </w:p>
              </w:tc>
              <w:tc>
                <w:tcPr/>
                <w:p>
                  <w:pPr>
                    <w:pStyle w:val="Compact"/>
                    <w:jc w:val="left"/>
                    <w:jc w:val="center"/>
                  </w:pPr>
                  <w:r>
                    <w:t xml:space="preserve">Extreme</w:t>
                  </w:r>
                </w:p>
              </w:tc>
              <w:tc>
                <w:tcPr/>
                <w:p>
                  <w:pPr>
                    <w:pStyle w:val="Compact"/>
                    <w:jc w:val="right"/>
                    <w:jc w:val="center"/>
                  </w:pPr>
                  <w:r>
                    <w:t xml:space="preserve">5128</w:t>
                  </w:r>
                </w:p>
              </w:tc>
              <w:tc>
                <w:tcPr/>
                <w:p>
                  <w:pPr>
                    <w:pStyle w:val="Compact"/>
                    <w:jc w:val="right"/>
                    <w:jc w:val="center"/>
                  </w:pPr>
                  <w:r>
                    <w:t xml:space="preserve">1122</w:t>
                  </w:r>
                </w:p>
              </w:tc>
              <w:tc>
                <w:tcPr/>
                <w:p>
                  <w:pPr>
                    <w:pStyle w:val="Compact"/>
                    <w:jc w:val="right"/>
                    <w:jc w:val="center"/>
                  </w:pPr>
                  <w:r>
                    <w:t xml:space="preserve">2907</w:t>
                  </w:r>
                </w:p>
              </w:tc>
              <w:tc>
                <w:tcPr/>
                <w:p>
                  <w:pPr>
                    <w:pStyle w:val="Compact"/>
                    <w:jc w:val="right"/>
                    <w:jc w:val="center"/>
                  </w:pPr>
                  <w:r>
                    <w:t xml:space="preserve">7349</w:t>
                  </w:r>
                </w:p>
              </w:tc>
            </w:tr>
            <w:tr>
              <w:tc>
                <w:tcPr/>
                <w:p>
                  <w:pPr>
                    <w:pStyle w:val="Compact"/>
                    <w:jc w:val="left"/>
                    <w:jc w:val="center"/>
                  </w:pPr>
                  <w:r>
                    <w:t xml:space="preserve">Employed</w:t>
                  </w:r>
                </w:p>
              </w:tc>
              <w:tc>
                <w:tcPr/>
                <w:p>
                  <w:pPr>
                    <w:pStyle w:val="Compact"/>
                    <w:jc w:val="left"/>
                    <w:jc w:val="center"/>
                  </w:pPr>
                  <w:r>
                    <w:t xml:space="preserve">Relative</w:t>
                  </w:r>
                </w:p>
              </w:tc>
              <w:tc>
                <w:tcPr/>
                <w:p>
                  <w:pPr>
                    <w:pStyle w:val="Compact"/>
                    <w:jc w:val="right"/>
                    <w:jc w:val="center"/>
                  </w:pPr>
                  <w:r>
                    <w:t xml:space="preserve">12149</w:t>
                  </w:r>
                </w:p>
              </w:tc>
              <w:tc>
                <w:tcPr/>
                <w:p>
                  <w:pPr>
                    <w:pStyle w:val="Compact"/>
                    <w:jc w:val="right"/>
                    <w:jc w:val="center"/>
                  </w:pPr>
                  <w:r>
                    <w:t xml:space="preserve">1347</w:t>
                  </w:r>
                </w:p>
              </w:tc>
              <w:tc>
                <w:tcPr/>
                <w:p>
                  <w:pPr>
                    <w:pStyle w:val="Compact"/>
                    <w:jc w:val="right"/>
                    <w:jc w:val="center"/>
                  </w:pPr>
                  <w:r>
                    <w:t xml:space="preserve">9483</w:t>
                  </w:r>
                </w:p>
              </w:tc>
              <w:tc>
                <w:tcPr/>
                <w:p>
                  <w:pPr>
                    <w:pStyle w:val="Compact"/>
                    <w:jc w:val="right"/>
                    <w:jc w:val="center"/>
                  </w:pPr>
                  <w:r>
                    <w:t xml:space="preserve">14816</w:t>
                  </w:r>
                </w:p>
              </w:tc>
            </w:tr>
            <w:tr>
              <w:tc>
                <w:tcPr/>
                <w:p>
                  <w:pPr>
                    <w:pStyle w:val="Compact"/>
                    <w:jc w:val="left"/>
                    <w:jc w:val="center"/>
                  </w:pPr>
                  <w:r>
                    <w:t xml:space="preserve">Employed</w:t>
                  </w:r>
                </w:p>
              </w:tc>
              <w:tc>
                <w:tcPr/>
                <w:p>
                  <w:pPr>
                    <w:pStyle w:val="Compact"/>
                    <w:jc w:val="left"/>
                    <w:jc w:val="center"/>
                  </w:pPr>
                  <w:r>
                    <w:t xml:space="preserve">Total</w:t>
                  </w:r>
                </w:p>
              </w:tc>
              <w:tc>
                <w:tcPr/>
                <w:p>
                  <w:pPr>
                    <w:pStyle w:val="Compact"/>
                    <w:jc w:val="right"/>
                    <w:jc w:val="center"/>
                  </w:pPr>
                  <w:r>
                    <w:t xml:space="preserve">61877</w:t>
                  </w:r>
                </w:p>
              </w:tc>
              <w:tc>
                <w:tcPr/>
                <w:p>
                  <w:pPr>
                    <w:pStyle w:val="Compact"/>
                    <w:jc w:val="right"/>
                    <w:jc w:val="center"/>
                  </w:pPr>
                  <w:r>
                    <w:t xml:space="preserve">2540</w:t>
                  </w:r>
                </w:p>
              </w:tc>
              <w:tc>
                <w:tcPr/>
                <w:p>
                  <w:pPr>
                    <w:pStyle w:val="Compact"/>
                    <w:jc w:val="right"/>
                    <w:jc w:val="center"/>
                  </w:pPr>
                  <w:r>
                    <w:t xml:space="preserve">56847</w:t>
                  </w:r>
                </w:p>
              </w:tc>
              <w:tc>
                <w:tcPr/>
                <w:p>
                  <w:pPr>
                    <w:pStyle w:val="Compact"/>
                    <w:jc w:val="right"/>
                    <w:jc w:val="center"/>
                  </w:pPr>
                  <w:r>
                    <w:t xml:space="preserve">66907</w:t>
                  </w:r>
                </w:p>
              </w:tc>
            </w:tr>
            <w:tr>
              <w:tc>
                <w:tcPr/>
                <w:p>
                  <w:pPr>
                    <w:pStyle w:val="Compact"/>
                    <w:jc w:val="left"/>
                    <w:jc w:val="center"/>
                  </w:pPr>
                  <w:r>
                    <w:t xml:space="preserve">Total</w:t>
                  </w:r>
                </w:p>
              </w:tc>
              <w:tc>
                <w:tcPr/>
                <w:p>
                  <w:pPr>
                    <w:pStyle w:val="Compact"/>
                    <w:jc w:val="left"/>
                    <w:jc w:val="center"/>
                  </w:pPr>
                  <w:r>
                    <w:t xml:space="preserve">Total</w:t>
                  </w:r>
                </w:p>
              </w:tc>
              <w:tc>
                <w:tcPr/>
                <w:p>
                  <w:pPr>
                    <w:pStyle w:val="Compact"/>
                    <w:jc w:val="right"/>
                    <w:jc w:val="center"/>
                  </w:pPr>
                  <w:r>
                    <w:t xml:space="preserve">107977</w:t>
                  </w:r>
                </w:p>
              </w:tc>
              <w:tc>
                <w:tcPr/>
                <w:p>
                  <w:pPr>
                    <w:pStyle w:val="Compact"/>
                    <w:jc w:val="right"/>
                    <w:jc w:val="center"/>
                  </w:pPr>
                  <w:r>
                    <w:t xml:space="preserve">3466</w:t>
                  </w:r>
                </w:p>
              </w:tc>
              <w:tc>
                <w:tcPr/>
                <w:p>
                  <w:pPr>
                    <w:pStyle w:val="Compact"/>
                    <w:jc w:val="right"/>
                    <w:jc w:val="center"/>
                  </w:pPr>
                  <w:r>
                    <w:t xml:space="preserve">101115</w:t>
                  </w:r>
                </w:p>
              </w:tc>
              <w:tc>
                <w:tcPr/>
                <w:p>
                  <w:pPr>
                    <w:pStyle w:val="Compact"/>
                    <w:jc w:val="right"/>
                    <w:jc w:val="center"/>
                  </w:pPr>
                  <w:r>
                    <w:t xml:space="preserve">114839</w:t>
                  </w:r>
                </w:p>
              </w:tc>
            </w:tr>
          </w:tbl>
          <w:bookmarkEnd w:id="110"/>
          <w:p/>
        </w:tc>
      </w:tr>
    </w:tbl>
    <w:bookmarkEnd w:id="111"/>
    <w:bookmarkStart w:id="119" w:name="estimacion-de-proporciones"/>
    <w:p>
      <w:pPr>
        <w:pStyle w:val="Heading2"/>
      </w:pPr>
      <w:r>
        <w:t xml:space="preserve">4.2 Estimación de proporciones</w:t>
      </w:r>
    </w:p>
    <w:p>
      <w:pPr>
        <w:pStyle w:val="FirstParagraph"/>
      </w:pPr>
      <w:r>
        <w:t xml:space="preserve">De acuerdo con</w:t>
      </w:r>
      <w:r>
        <w:t xml:space="preserve"> </w:t>
      </w:r>
      <w:r>
        <w:t xml:space="preserve">Korn y Graubard (1999)</w:t>
      </w:r>
      <w:r>
        <w:t xml:space="preserve"> </w:t>
      </w:r>
      <w:r>
        <w:t xml:space="preserve">y</w:t>
      </w:r>
      <w:r>
        <w:t xml:space="preserve"> </w:t>
      </w:r>
      <w:r>
        <w:t xml:space="preserve">Heeringa et al. (2017)</w:t>
      </w:r>
      <w:r>
        <w:t xml:space="preserve">, las proporciones permiten expresar el peso relativo que tienen determinados grupos dentro de la población. Por ejemplo, conocer el porcentaje de hogares que se encuentran por debajo de la línea de pobreza es esencial para evaluar desigualdades y caracterizar condiciones de bienestar. Para obtener este tipo de indicadores, se calcula el promedio ponderado de la variable dicotómica, lo que asegura que la estimación represente adecuadamente la distribución poblacional. Al convertir las categorías originales en variables indicadoras, la proporción estimada se calcula como:</w:t>
      </w:r>
    </w:p>
    <w:p>
      <w:pPr>
        <w:pStyle w:val="BodyText"/>
      </w:pPr>
      <m:oMathPara>
        <m:oMathParaPr>
          <m:jc m:val="center"/>
        </m:oMathParaPr>
        <m:oMath>
          <m:sSub>
            <m:e>
              <m:acc>
                <m:accPr>
                  <m:chr m:val="̂"/>
                </m:accPr>
                <m:e>
                  <m:r>
                    <m:t>p</m:t>
                  </m:r>
                </m:e>
              </m:acc>
            </m:e>
            <m:sub>
              <m:r>
                <m:t>d</m:t>
              </m:r>
            </m:sub>
          </m:sSub>
          <m:r>
            <m:rPr>
              <m:sty m:val="p"/>
            </m:rPr>
            <m:t>=</m:t>
          </m:r>
          <m:f>
            <m:fPr>
              <m:type m:val="bar"/>
            </m:fPr>
            <m:num>
              <m:sSub>
                <m:e>
                  <m:acc>
                    <m:accPr>
                      <m:chr m:val="̂"/>
                    </m:accPr>
                    <m:e>
                      <m:r>
                        <m:t>N</m:t>
                      </m:r>
                    </m:e>
                  </m:acc>
                </m:e>
                <m:sub>
                  <m:r>
                    <m:t>d</m:t>
                  </m:r>
                </m:sub>
              </m:sSub>
            </m:num>
            <m:den>
              <m:acc>
                <m:accPr>
                  <m:chr m:val="̂"/>
                </m:accPr>
                <m:e>
                  <m:r>
                    <m:t>N</m:t>
                  </m:r>
                </m:e>
              </m:acc>
            </m:den>
          </m:f>
          <m:r>
            <m:rPr>
              <m:sty m:val="p"/>
            </m:rPr>
            <m:t>=</m:t>
          </m:r>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t>I</m:t>
              </m:r>
              <m:r>
                <m:rPr>
                  <m:sty m:val="p"/>
                </m:rPr>
                <m:t>(</m:t>
              </m:r>
              <m:sSub>
                <m:e>
                  <m:r>
                    <m:t>y</m:t>
                  </m:r>
                </m:e>
                <m:sub>
                  <m:r>
                    <m:t>h</m:t>
                  </m:r>
                  <m:r>
                    <m:t>i</m:t>
                  </m:r>
                  <m:r>
                    <m:t>k</m:t>
                  </m:r>
                </m:sub>
              </m:sSub>
              <m:r>
                <m:rPr>
                  <m:sty m:val="p"/>
                </m:rPr>
                <m:t>=</m:t>
              </m:r>
              <m:r>
                <m:t>d</m:t>
              </m:r>
              <m:r>
                <m:rPr>
                  <m:sty m:val="p"/>
                </m:rPr>
                <m:t>)</m:t>
              </m:r>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den>
          </m:f>
        </m:oMath>
      </m:oMathPara>
    </w:p>
    <w:p>
      <w:pPr>
        <w:pStyle w:val="FirstParagraph"/>
      </w:pPr>
      <w:r>
        <w:t xml:space="preserve">Como explica</w:t>
      </w:r>
      <w:r>
        <w:t xml:space="preserve"> </w:t>
      </w:r>
      <w:r>
        <w:t xml:space="preserve">Gutiérrez (2016)</w:t>
      </w:r>
      <w:r>
        <w:t xml:space="preserve">, si bien este estimador es conceptualmente sencillo, corresponde a una función no lineal de los totales poblacionales. Por esta razón, para derivar sus propiedades estadísticas, particularmente su varianza y error estándar, es necesario recurrir a métodos de aproximación como la linealización de Taylor. En este contexto, se utiliza la función</w:t>
      </w:r>
      <w:r>
        <w:t xml:space="preserve"> </w:t>
      </w:r>
      <m:oMath>
        <m:sSub>
          <m:e>
            <m:r>
              <m:t>z</m:t>
            </m:r>
          </m:e>
          <m:sub>
            <m:r>
              <m:t>h</m:t>
            </m:r>
            <m:r>
              <m:t>i</m:t>
            </m:r>
            <m:r>
              <m:t>k</m:t>
            </m:r>
          </m:sub>
        </m:sSub>
        <m:r>
          <m:rPr>
            <m:sty m:val="p"/>
          </m:rPr>
          <m:t>=</m:t>
        </m:r>
        <m:r>
          <m:t>I</m:t>
        </m:r>
        <m:r>
          <m:rPr>
            <m:sty m:val="p"/>
          </m:rPr>
          <m:t>(</m:t>
        </m:r>
        <m:sSub>
          <m:e>
            <m:r>
              <m:t>y</m:t>
            </m:r>
          </m:e>
          <m:sub>
            <m:r>
              <m:t>h</m:t>
            </m:r>
            <m:r>
              <m:t>i</m:t>
            </m:r>
            <m:r>
              <m:t>k</m:t>
            </m:r>
          </m:sub>
        </m:sSub>
        <m:r>
          <m:rPr>
            <m:sty m:val="p"/>
          </m:rPr>
          <m:t>=</m:t>
        </m:r>
        <m:r>
          <m:t>d</m:t>
        </m:r>
        <m:r>
          <m:rPr>
            <m:sty m:val="p"/>
          </m:rPr>
          <m:t>)</m:t>
        </m:r>
        <m:r>
          <m:rPr>
            <m:sty m:val="p"/>
          </m:rPr>
          <m:t>−</m:t>
        </m:r>
        <m:sSub>
          <m:e>
            <m:acc>
              <m:accPr>
                <m:chr m:val="̂"/>
              </m:accPr>
              <m:e>
                <m:r>
                  <m:t>p</m:t>
                </m:r>
              </m:e>
            </m:acc>
          </m:e>
          <m:sub>
            <m:r>
              <m:t>d</m:t>
            </m:r>
          </m:sub>
        </m:sSub>
      </m:oMath>
      <w:r>
        <w:t xml:space="preserve">. En la práctica, los programas estadísticos implementan automáticamente estos procedimientos y generan las estimaciones de proporciones junto con sus respectivos errores estándar e intervalos de confianza.</w:t>
      </w:r>
    </w:p>
    <w:p>
      <w:pPr>
        <w:pStyle w:val="BodyText"/>
      </w:pPr>
      <w:r>
        <w:t xml:space="preserve">Cuando las proporciones toman valores muy cercanos a 0 o a 1, la precisión de las estimaciones puede verse afectada, por lo que en muchos casos es necesario contar con tamaños muestrales mayores para obtener resultados estables y confiables. Esta situación es especialmente relevante en el análisis de fenómenos poco frecuentes o altamente concentrados, donde pequeñas variaciones en la muestra pueden producir cambios importantes en las estimaciones.</w:t>
      </w:r>
    </w:p>
    <w:p>
      <w:pPr>
        <w:pStyle w:val="BodyText"/>
      </w:pPr>
      <w:r>
        <w:t xml:space="preserve">Adicionalmente, como explica</w:t>
      </w:r>
      <w:r>
        <w:t xml:space="preserve"> </w:t>
      </w:r>
      <w:r>
        <w:t xml:space="preserve">Agresti (2019)</w:t>
      </w:r>
      <w:r>
        <w:t xml:space="preserve">, los intervalos de confianza construidos mediante aproximaciones normales pueden presentar límites inferiores menores que 0 o superiores mayores que 1, lo que dificulta su interpretación al tratarse de proporciones. Para evitar este problema, una alternativa ampliamente utilizada consiste en aplicar la transformación logit antes de construir los intervalos de confianza. Este procedimiento garantiza que, al regresar a la escala original, los límites obtenidos permanezcan dentro del rango válido de las proporciones.</w:t>
      </w:r>
    </w:p>
    <w:p>
      <w:pPr>
        <w:pStyle w:val="BodyText"/>
      </w:pPr>
      <m:oMathPara>
        <m:oMathParaPr>
          <m:jc m:val="center"/>
        </m:oMathParaPr>
        <m:oMath>
          <m:r>
            <m:t>C</m:t>
          </m:r>
          <m:r>
            <m:t>I</m:t>
          </m:r>
          <m:r>
            <m:rPr>
              <m:sty m:val="p"/>
            </m:rPr>
            <m:t>(</m:t>
          </m:r>
          <m:sSub>
            <m:e>
              <m:acc>
                <m:accPr>
                  <m:chr m:val="̂"/>
                </m:accPr>
                <m:e>
                  <m:r>
                    <m:t>p</m:t>
                  </m:r>
                </m:e>
              </m:acc>
            </m:e>
            <m:sub>
              <m:r>
                <m:t>d</m:t>
              </m:r>
            </m:sub>
          </m:sSub>
          <m:r>
            <m:rPr>
              <m:sty m:val="p"/>
            </m:rPr>
            <m:t>;</m:t>
          </m:r>
          <m:r>
            <m:t>1</m:t>
          </m:r>
          <m:r>
            <m:rPr>
              <m:sty m:val="p"/>
            </m:rPr>
            <m:t>−</m:t>
          </m:r>
          <m:r>
            <m:t>α</m:t>
          </m:r>
          <m:r>
            <m:rPr>
              <m:sty m:val="p"/>
            </m:rPr>
            <m:t>)</m:t>
          </m:r>
          <m:r>
            <m:rPr>
              <m:sty m:val="p"/>
            </m:rPr>
            <m:t>=</m:t>
          </m:r>
          <m:f>
            <m:fPr>
              <m:type m:val="bar"/>
            </m:fPr>
            <m:num>
              <m:r>
                <m:t>e</m:t>
              </m:r>
              <m:r>
                <m:t>x</m:t>
              </m:r>
              <m:r>
                <m:t>p</m:t>
              </m:r>
              <m:d>
                <m:dPr>
                  <m:begChr m:val="["/>
                  <m:sepChr m:val=""/>
                  <m:endChr m:val="]"/>
                  <m:grow/>
                </m:dPr>
                <m:e>
                  <m:r>
                    <m:t>l</m:t>
                  </m:r>
                  <m:r>
                    <m:t>n</m:t>
                  </m:r>
                  <m:d>
                    <m:dPr>
                      <m:begChr m:val="("/>
                      <m:sepChr m:val=""/>
                      <m:endChr m:val=")"/>
                      <m:grow/>
                    </m:dPr>
                    <m:e>
                      <m:f>
                        <m:fPr>
                          <m:type m:val="bar"/>
                        </m:fPr>
                        <m:num>
                          <m:sSub>
                            <m:e>
                              <m:acc>
                                <m:accPr>
                                  <m:chr m:val="̂"/>
                                </m:accPr>
                                <m:e>
                                  <m:r>
                                    <m:t>p</m:t>
                                  </m:r>
                                </m:e>
                              </m:acc>
                            </m:e>
                            <m:sub>
                              <m:r>
                                <m:t>d</m:t>
                              </m:r>
                            </m:sub>
                          </m:sSub>
                        </m:num>
                        <m:den>
                          <m:r>
                            <m:t>1</m:t>
                          </m:r>
                          <m:r>
                            <m:rPr>
                              <m:sty m:val="p"/>
                            </m:rPr>
                            <m:t>−</m:t>
                          </m:r>
                          <m:sSub>
                            <m:e>
                              <m:acc>
                                <m:accPr>
                                  <m:chr m:val="̂"/>
                                </m:accPr>
                                <m:e>
                                  <m:r>
                                    <m:t>p</m:t>
                                  </m:r>
                                </m:e>
                              </m:acc>
                            </m:e>
                            <m:sub>
                              <m:r>
                                <m:t>d</m:t>
                              </m:r>
                            </m:sub>
                          </m:sSub>
                        </m:den>
                      </m:f>
                    </m:e>
                  </m:d>
                  <m:r>
                    <m:rPr>
                      <m:sty m:val="p"/>
                    </m:rPr>
                    <m:t>±</m:t>
                  </m:r>
                  <m:f>
                    <m:fPr>
                      <m:type m:val="bar"/>
                    </m:fPr>
                    <m:num>
                      <m:acc>
                        <m:accPr>
                          <m:chr m:val="̂"/>
                        </m:accPr>
                        <m:e>
                          <m:r>
                            <m:t>m</m:t>
                          </m:r>
                          <m:r>
                            <m:t>e</m:t>
                          </m:r>
                        </m:e>
                      </m:acc>
                    </m:num>
                    <m:den>
                      <m:sSub>
                        <m:e>
                          <m:acc>
                            <m:accPr>
                              <m:chr m:val="̂"/>
                            </m:accPr>
                            <m:e>
                              <m:r>
                                <m:t>p</m:t>
                              </m:r>
                            </m:e>
                          </m:acc>
                        </m:e>
                        <m:sub>
                          <m:r>
                            <m:t>d</m:t>
                          </m:r>
                        </m:sub>
                      </m:sSub>
                      <m:r>
                        <m:rPr>
                          <m:sty m:val="p"/>
                        </m:rPr>
                        <m:t>(</m:t>
                      </m:r>
                      <m:r>
                        <m:t>1</m:t>
                      </m:r>
                      <m:r>
                        <m:rPr>
                          <m:sty m:val="p"/>
                        </m:rPr>
                        <m:t>−</m:t>
                      </m:r>
                      <m:sSub>
                        <m:e>
                          <m:acc>
                            <m:accPr>
                              <m:chr m:val="̂"/>
                            </m:accPr>
                            <m:e>
                              <m:r>
                                <m:t>p</m:t>
                              </m:r>
                            </m:e>
                          </m:acc>
                        </m:e>
                        <m:sub>
                          <m:r>
                            <m:t>d</m:t>
                          </m:r>
                        </m:sub>
                      </m:sSub>
                      <m:r>
                        <m:rPr>
                          <m:sty m:val="p"/>
                        </m:rPr>
                        <m:t>)</m:t>
                      </m:r>
                    </m:den>
                  </m:f>
                </m:e>
              </m:d>
            </m:num>
            <m:den>
              <m:r>
                <m:t>1</m:t>
              </m:r>
              <m:r>
                <m:rPr>
                  <m:sty m:val="p"/>
                </m:rPr>
                <m:t>+</m:t>
              </m:r>
              <m:r>
                <m:t>e</m:t>
              </m:r>
              <m:r>
                <m:t>x</m:t>
              </m:r>
              <m:r>
                <m:t>p</m:t>
              </m:r>
              <m:d>
                <m:dPr>
                  <m:begChr m:val="["/>
                  <m:sepChr m:val=""/>
                  <m:endChr m:val="]"/>
                  <m:grow/>
                </m:dPr>
                <m:e>
                  <m:r>
                    <m:t>l</m:t>
                  </m:r>
                  <m:r>
                    <m:t>n</m:t>
                  </m:r>
                  <m:d>
                    <m:dPr>
                      <m:begChr m:val="("/>
                      <m:sepChr m:val=""/>
                      <m:endChr m:val=")"/>
                      <m:grow/>
                    </m:dPr>
                    <m:e>
                      <m:f>
                        <m:fPr>
                          <m:type m:val="bar"/>
                        </m:fPr>
                        <m:num>
                          <m:sSub>
                            <m:e>
                              <m:acc>
                                <m:accPr>
                                  <m:chr m:val="̂"/>
                                </m:accPr>
                                <m:e>
                                  <m:r>
                                    <m:t>p</m:t>
                                  </m:r>
                                </m:e>
                              </m:acc>
                            </m:e>
                            <m:sub>
                              <m:r>
                                <m:t>d</m:t>
                              </m:r>
                            </m:sub>
                          </m:sSub>
                        </m:num>
                        <m:den>
                          <m:r>
                            <m:t>1</m:t>
                          </m:r>
                          <m:r>
                            <m:rPr>
                              <m:sty m:val="p"/>
                            </m:rPr>
                            <m:t>−</m:t>
                          </m:r>
                          <m:sSub>
                            <m:e>
                              <m:acc>
                                <m:accPr>
                                  <m:chr m:val="̂"/>
                                </m:accPr>
                                <m:e>
                                  <m:r>
                                    <m:t>p</m:t>
                                  </m:r>
                                </m:e>
                              </m:acc>
                            </m:e>
                            <m:sub>
                              <m:r>
                                <m:t>d</m:t>
                              </m:r>
                            </m:sub>
                          </m:sSub>
                        </m:den>
                      </m:f>
                    </m:e>
                  </m:d>
                  <m:r>
                    <m:rPr>
                      <m:sty m:val="p"/>
                    </m:rPr>
                    <m:t>±</m:t>
                  </m:r>
                  <m:f>
                    <m:fPr>
                      <m:type m:val="bar"/>
                    </m:fPr>
                    <m:num>
                      <m:acc>
                        <m:accPr>
                          <m:chr m:val="̂"/>
                        </m:accPr>
                        <m:e>
                          <m:r>
                            <m:t>m</m:t>
                          </m:r>
                          <m:r>
                            <m:t>e</m:t>
                          </m:r>
                        </m:e>
                      </m:acc>
                    </m:num>
                    <m:den>
                      <m:sSub>
                        <m:e>
                          <m:acc>
                            <m:accPr>
                              <m:chr m:val="̂"/>
                            </m:accPr>
                            <m:e>
                              <m:r>
                                <m:t>p</m:t>
                              </m:r>
                            </m:e>
                          </m:acc>
                        </m:e>
                        <m:sub>
                          <m:r>
                            <m:t>d</m:t>
                          </m:r>
                        </m:sub>
                      </m:sSub>
                      <m:r>
                        <m:rPr>
                          <m:sty m:val="p"/>
                        </m:rPr>
                        <m:t>(</m:t>
                      </m:r>
                      <m:r>
                        <m:t>1</m:t>
                      </m:r>
                      <m:r>
                        <m:rPr>
                          <m:sty m:val="p"/>
                        </m:rPr>
                        <m:t>−</m:t>
                      </m:r>
                      <m:sSub>
                        <m:e>
                          <m:acc>
                            <m:accPr>
                              <m:chr m:val="̂"/>
                            </m:accPr>
                            <m:e>
                              <m:r>
                                <m:t>p</m:t>
                              </m:r>
                            </m:e>
                          </m:acc>
                        </m:e>
                        <m:sub>
                          <m:r>
                            <m:t>d</m:t>
                          </m:r>
                        </m:sub>
                      </m:sSub>
                      <m:r>
                        <m:rPr>
                          <m:sty m:val="p"/>
                        </m:rPr>
                        <m:t>)</m:t>
                      </m:r>
                    </m:den>
                  </m:f>
                </m:e>
              </m:d>
            </m:den>
          </m:f>
        </m:oMath>
      </m:oMathPara>
    </w:p>
    <w:p>
      <w:pPr>
        <w:pStyle w:val="FirstParagraph"/>
      </w:pPr>
      <w:r>
        <w:t xml:space="preserve">En donde</w:t>
      </w:r>
      <w:r>
        <w:t xml:space="preserve"> </w:t>
      </w:r>
      <m:oMath>
        <m:acc>
          <m:accPr>
            <m:chr m:val="̂"/>
          </m:accPr>
          <m:e>
            <m:r>
              <m:t>m</m:t>
            </m:r>
            <m:r>
              <m:t>e</m:t>
            </m:r>
          </m:e>
        </m:acc>
      </m:oMath>
      <w:r>
        <w:t xml:space="preserve"> </w:t>
      </w:r>
      <w:r>
        <w:t xml:space="preserve">corresponde al margen de error estimado y se obtiene a partir del producto entre el valor crítico de la distribución</w:t>
      </w:r>
      <w:r>
        <w:t xml:space="preserve"> </w:t>
      </w:r>
      <m:oMath>
        <m:r>
          <m:t>t</m:t>
        </m:r>
      </m:oMath>
      <w:r>
        <w:t xml:space="preserve"> </w:t>
      </w:r>
      <w:r>
        <w:t xml:space="preserve">de Student y el error estándar estimado de la proporción</w:t>
      </w:r>
      <w:r>
        <w:t xml:space="preserve"> </w:t>
      </w:r>
      <m:oMath>
        <m:sSub>
          <m:e>
            <m:acc>
              <m:accPr>
                <m:chr m:val="̂"/>
              </m:accPr>
              <m:e>
                <m:r>
                  <m:t>p</m:t>
                </m:r>
              </m:e>
            </m:acc>
          </m:e>
          <m:sub>
            <m:r>
              <m:t>d</m:t>
            </m:r>
          </m:sub>
        </m:sSub>
      </m:oMath>
      <w:r>
        <w:t xml:space="preserve">. El término</w:t>
      </w:r>
      <w:r>
        <w:t xml:space="preserve"> </w:t>
      </w:r>
      <m:oMath>
        <m:sSub>
          <m:e>
            <m:r>
              <m:t>t</m:t>
            </m:r>
          </m:e>
          <m:sub>
            <m:r>
              <m:t>1</m:t>
            </m:r>
            <m:r>
              <m:rPr>
                <m:sty m:val="p"/>
              </m:rPr>
              <m:t>−</m:t>
            </m:r>
            <m:r>
              <m:t>α</m:t>
            </m:r>
            <m:r>
              <m:rPr>
                <m:sty m:val="p"/>
              </m:rPr>
              <m:t>/</m:t>
            </m:r>
            <m:r>
              <m:t>2</m:t>
            </m:r>
            <m:r>
              <m:rPr>
                <m:sty m:val="p"/>
              </m:rPr>
              <m:t>,</m:t>
            </m:r>
            <m:r>
              <m:t>d</m:t>
            </m:r>
            <m:r>
              <m:t>f</m:t>
            </m:r>
          </m:sub>
        </m:sSub>
      </m:oMath>
      <w:r>
        <w:t xml:space="preserve"> </w:t>
      </w:r>
      <w:r>
        <w:t xml:space="preserve">representa el percentil asociado al nivel de confianza seleccionado, considerando</w:t>
      </w:r>
      <w:r>
        <w:t xml:space="preserve"> </w:t>
      </w:r>
      <m:oMath>
        <m:r>
          <m:t>d</m:t>
        </m:r>
        <m:r>
          <m:t>f</m:t>
        </m:r>
      </m:oMath>
      <w:r>
        <w:t xml:space="preserve"> </w:t>
      </w:r>
      <w:r>
        <w:t xml:space="preserve">grados de libertad. En el contexto de encuestas complejas, estos grados de libertad suelen definirse como la diferencia entre el número de unidades primarias de muestreo (UPM) y el número de estratos presentes en el subgrupo o dominio de análisis.</w:t>
      </w:r>
    </w:p>
    <w:p>
      <w:pPr>
        <w:pStyle w:val="BodyText"/>
      </w:pPr>
      <w:r>
        <w:t xml:space="preserve">A diferencia de otros programas estadísticos que presentan los resultados en porcentaje,</w:t>
      </w:r>
      <w:r>
        <w:t xml:space="preserve"> </w:t>
      </w:r>
      <w:r>
        <w:rPr>
          <w:rStyle w:val="VerbatimChar"/>
        </w:rPr>
        <w:t xml:space="preserve">R</w:t>
      </w:r>
      <w:r>
        <w:t xml:space="preserve"> </w:t>
      </w:r>
      <w:r>
        <w:t xml:space="preserve">reporta las proporciones en la escala [0,1]. Las funciones utilizadas permiten calcular directamente las estimaciones, sus errores estándar e intervalos de confianza, lo que facilita el análisis de variables categóricas en encuestas de hogares. A continuación se ilustra cómo obtener la proporción de personas por zona usando el diseño muestral previamente definido, presentada en la</w:t>
      </w:r>
      <w:r>
        <w:t xml:space="preserve"> </w:t>
      </w:r>
      <w:hyperlink w:anchor="tbl-prop-zona">
        <w:r>
          <w:rPr>
            <w:rStyle w:val="Hyperlink"/>
          </w:rPr>
          <w:t xml:space="preserve">tabla 4.5</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survey_mean</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ConstantTok"/>
        </w:rPr>
        <w:t xml:space="preserve">TRUE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12" w:name="tbl-prop-zona"/>
          <w:p>
            <w:pPr>
              <w:jc w:val="center"/>
            </w:pPr>
            <w:pPr>
              <w:jc w:val="left"/>
              <w:spacing w:before="200"/>
              <w:pStyle w:val="ImageCaption"/>
            </w:pPr>
            <w:r>
              <w:t xml:space="preserve">Tabla 4.5: Proporción de personas por zona geográfica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Zone</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Rural</w:t>
                  </w:r>
                </w:p>
              </w:tc>
              <w:tc>
                <w:tcPr/>
                <w:p>
                  <w:pPr>
                    <w:pStyle w:val="Compact"/>
                    <w:jc w:val="right"/>
                    <w:jc w:val="center"/>
                  </w:pPr>
                  <w:r>
                    <w:t xml:space="preserve">0.48</w:t>
                  </w:r>
                </w:p>
              </w:tc>
              <w:tc>
                <w:tcPr/>
                <w:p>
                  <w:pPr>
                    <w:pStyle w:val="Compact"/>
                    <w:jc w:val="right"/>
                    <w:jc w:val="center"/>
                  </w:pPr>
                  <w:r>
                    <w:t xml:space="preserve">0.014</w:t>
                  </w:r>
                </w:p>
              </w:tc>
              <w:tc>
                <w:tcPr/>
                <w:p>
                  <w:pPr>
                    <w:pStyle w:val="Compact"/>
                    <w:jc w:val="right"/>
                    <w:jc w:val="center"/>
                  </w:pPr>
                  <w:r>
                    <w:t xml:space="preserve">0.452</w:t>
                  </w:r>
                </w:p>
              </w:tc>
              <w:tc>
                <w:tcPr/>
                <w:p>
                  <w:pPr>
                    <w:pStyle w:val="Compact"/>
                    <w:jc w:val="right"/>
                    <w:jc w:val="center"/>
                  </w:pPr>
                  <w:r>
                    <w:t xml:space="preserve">0.508</w:t>
                  </w:r>
                </w:p>
              </w:tc>
            </w:tr>
            <w:tr>
              <w:tc>
                <w:tcPr/>
                <w:p>
                  <w:pPr>
                    <w:pStyle w:val="Compact"/>
                    <w:jc w:val="left"/>
                    <w:jc w:val="center"/>
                  </w:pPr>
                  <w:r>
                    <w:t xml:space="preserve">Urban</w:t>
                  </w:r>
                </w:p>
              </w:tc>
              <w:tc>
                <w:tcPr/>
                <w:p>
                  <w:pPr>
                    <w:pStyle w:val="Compact"/>
                    <w:jc w:val="right"/>
                    <w:jc w:val="center"/>
                  </w:pPr>
                  <w:r>
                    <w:t xml:space="preserve">0.52</w:t>
                  </w:r>
                </w:p>
              </w:tc>
              <w:tc>
                <w:tcPr/>
                <w:p>
                  <w:pPr>
                    <w:pStyle w:val="Compact"/>
                    <w:jc w:val="right"/>
                    <w:jc w:val="center"/>
                  </w:pPr>
                  <w:r>
                    <w:t xml:space="preserve">0.014</w:t>
                  </w:r>
                </w:p>
              </w:tc>
              <w:tc>
                <w:tcPr/>
                <w:p>
                  <w:pPr>
                    <w:pStyle w:val="Compact"/>
                    <w:jc w:val="right"/>
                    <w:jc w:val="center"/>
                  </w:pPr>
                  <w:r>
                    <w:t xml:space="preserve">0.492</w:t>
                  </w:r>
                </w:p>
              </w:tc>
              <w:tc>
                <w:tcPr/>
                <w:p>
                  <w:pPr>
                    <w:pStyle w:val="Compact"/>
                    <w:jc w:val="right"/>
                    <w:jc w:val="center"/>
                  </w:pPr>
                  <w:r>
                    <w:t xml:space="preserve">0.548</w:t>
                  </w:r>
                </w:p>
              </w:tc>
            </w:tr>
          </w:tbl>
          <w:bookmarkEnd w:id="112"/>
          <w:p/>
        </w:tc>
      </w:tr>
    </w:tbl>
    <w:p>
      <w:pPr>
        <w:pStyle w:val="BodyText"/>
      </w:pPr>
      <w:r>
        <w:t xml:space="preserve">De acuerdo con</w:t>
      </w:r>
      <w:r>
        <w:t xml:space="preserve"> </w:t>
      </w:r>
      <w:r>
        <w:t xml:space="preserve">Freedman Ellis y Schneider (2026)</w:t>
      </w:r>
      <w:r>
        <w:t xml:space="preserve">, en este ejemplo, la función</w:t>
      </w:r>
      <w:r>
        <w:t xml:space="preserve"> </w:t>
      </w:r>
      <w:r>
        <w:rPr>
          <w:rStyle w:val="VerbatimChar"/>
        </w:rPr>
        <w:t xml:space="preserve">survey_mean()</w:t>
      </w:r>
      <w:r>
        <w:t xml:space="preserve"> </w:t>
      </w:r>
      <w:r>
        <w:t xml:space="preserve">se utiliza para calcular la estimación de proporciones poblacionales y, mediante el argumento</w:t>
      </w:r>
      <w:r>
        <w:t xml:space="preserve"> </w:t>
      </w:r>
      <w:r>
        <w:rPr>
          <w:rStyle w:val="VerbatimChar"/>
        </w:rPr>
        <w:t xml:space="preserve">proportion = TRUE</w:t>
      </w:r>
      <w:r>
        <w:t xml:space="preserve">, se especifica que el interés se centra en estimar la distribución relativa de la población entre las distintas categorías de la variable analizada. Los resultados indican que aproximadamente el 47.9% de las personas reside en la zona rural, con un intervalo de confianza del 95% entre 45.2% y 50.7%, mientras que el 52.0% corresponde a población residente en la zona urbana, con un intervalo de confianza entre 49.2% y 54.7%.</w:t>
      </w:r>
    </w:p>
    <w:p>
      <w:pPr>
        <w:pStyle w:val="BodyText"/>
      </w:pPr>
      <w:r>
        <w:t xml:space="preserve">La librería</w:t>
      </w:r>
      <w:r>
        <w:t xml:space="preserve"> </w:t>
      </w:r>
      <w:r>
        <w:rPr>
          <w:rStyle w:val="VerbatimChar"/>
        </w:rPr>
        <w:t xml:space="preserve">srvyr</w:t>
      </w:r>
      <w:r>
        <w:t xml:space="preserve"> </w:t>
      </w:r>
      <w:r>
        <w:t xml:space="preserve">también dispone de la función</w:t>
      </w:r>
      <w:r>
        <w:t xml:space="preserve"> </w:t>
      </w:r>
      <w:r>
        <w:rPr>
          <w:rStyle w:val="VerbatimChar"/>
        </w:rPr>
        <w:t xml:space="preserve">survey_prop()</w:t>
      </w:r>
      <w:r>
        <w:t xml:space="preserve">, diseñada específicamente para la estimación de proporciones en encuestas complejas. Esta función produce resultados equivalentes a los obtenidos con</w:t>
      </w:r>
      <w:r>
        <w:t xml:space="preserve"> </w:t>
      </w:r>
      <w:r>
        <w:rPr>
          <w:rStyle w:val="VerbatimChar"/>
        </w:rPr>
        <w:t xml:space="preserve">survey_mean()</w:t>
      </w:r>
      <w:r>
        <w:t xml:space="preserve">, facilitando además una sintaxis más directa e intuitiva cuando el objetivo del análisis es exclusivamente el cálculo de proporciones. Los resultados obtenidos mediante esta alternativa se presentan en la</w:t>
      </w:r>
      <w:r>
        <w:t xml:space="preserve"> </w:t>
      </w:r>
      <w:hyperlink w:anchor="tbl-prop-zona2">
        <w:r>
          <w:rPr>
            <w:rStyle w:val="Hyperlink"/>
          </w:rPr>
          <w:t xml:space="preserve">tabla 4.6</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3" w:name="tbl-prop-zona2"/>
          <w:p>
            <w:pPr>
              <w:jc w:val="center"/>
            </w:pPr>
            <w:pPr>
              <w:jc w:val="left"/>
              <w:spacing w:before="200"/>
              <w:pStyle w:val="ImageCaption"/>
            </w:pPr>
            <w:r>
              <w:t xml:space="preserve">Tabla 4.6: Proporción de personas por zona geográfica (función survey_prop)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Zone</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Rural</w:t>
                  </w:r>
                </w:p>
              </w:tc>
              <w:tc>
                <w:tcPr/>
                <w:p>
                  <w:pPr>
                    <w:pStyle w:val="Compact"/>
                    <w:jc w:val="right"/>
                    <w:jc w:val="center"/>
                  </w:pPr>
                  <w:r>
                    <w:t xml:space="preserve">0.48</w:t>
                  </w:r>
                </w:p>
              </w:tc>
              <w:tc>
                <w:tcPr/>
                <w:p>
                  <w:pPr>
                    <w:pStyle w:val="Compact"/>
                    <w:jc w:val="right"/>
                    <w:jc w:val="center"/>
                  </w:pPr>
                  <w:r>
                    <w:t xml:space="preserve">0.014</w:t>
                  </w:r>
                </w:p>
              </w:tc>
              <w:tc>
                <w:tcPr/>
                <w:p>
                  <w:pPr>
                    <w:pStyle w:val="Compact"/>
                    <w:jc w:val="right"/>
                    <w:jc w:val="center"/>
                  </w:pPr>
                  <w:r>
                    <w:t xml:space="preserve">0.452</w:t>
                  </w:r>
                </w:p>
              </w:tc>
              <w:tc>
                <w:tcPr/>
                <w:p>
                  <w:pPr>
                    <w:pStyle w:val="Compact"/>
                    <w:jc w:val="right"/>
                    <w:jc w:val="center"/>
                  </w:pPr>
                  <w:r>
                    <w:t xml:space="preserve">0.508</w:t>
                  </w:r>
                </w:p>
              </w:tc>
            </w:tr>
            <w:tr>
              <w:tc>
                <w:tcPr/>
                <w:p>
                  <w:pPr>
                    <w:pStyle w:val="Compact"/>
                    <w:jc w:val="left"/>
                    <w:jc w:val="center"/>
                  </w:pPr>
                  <w:r>
                    <w:t xml:space="preserve">Urban</w:t>
                  </w:r>
                </w:p>
              </w:tc>
              <w:tc>
                <w:tcPr/>
                <w:p>
                  <w:pPr>
                    <w:pStyle w:val="Compact"/>
                    <w:jc w:val="right"/>
                    <w:jc w:val="center"/>
                  </w:pPr>
                  <w:r>
                    <w:t xml:space="preserve">0.52</w:t>
                  </w:r>
                </w:p>
              </w:tc>
              <w:tc>
                <w:tcPr/>
                <w:p>
                  <w:pPr>
                    <w:pStyle w:val="Compact"/>
                    <w:jc w:val="right"/>
                    <w:jc w:val="center"/>
                  </w:pPr>
                  <w:r>
                    <w:t xml:space="preserve">0.014</w:t>
                  </w:r>
                </w:p>
              </w:tc>
              <w:tc>
                <w:tcPr/>
                <w:p>
                  <w:pPr>
                    <w:pStyle w:val="Compact"/>
                    <w:jc w:val="right"/>
                    <w:jc w:val="center"/>
                  </w:pPr>
                  <w:r>
                    <w:t xml:space="preserve">0.492</w:t>
                  </w:r>
                </w:p>
              </w:tc>
              <w:tc>
                <w:tcPr/>
                <w:p>
                  <w:pPr>
                    <w:pStyle w:val="Compact"/>
                    <w:jc w:val="right"/>
                    <w:jc w:val="center"/>
                  </w:pPr>
                  <w:r>
                    <w:t xml:space="preserve">0.548</w:t>
                  </w:r>
                </w:p>
              </w:tc>
            </w:tr>
          </w:tbl>
          <w:bookmarkEnd w:id="113"/>
          <w:p/>
        </w:tc>
      </w:tr>
    </w:tbl>
    <w:p>
      <w:pPr>
        <w:pStyle w:val="BodyText"/>
      </w:pPr>
      <w:r>
        <w:t xml:space="preserve">Si el interés se centra ahora en estimar proporciones para subpoblaciones específicas, por ejemplo, la proporción de hombres y mujeres que residen en la zona urbana, es necesario restringir el análisis a dicho dominio de estudio y posteriormente calcular las estimaciones correspondientes para cada categoría de sexo. El código computacional correspondiente se presenta en la</w:t>
      </w:r>
      <w:r>
        <w:t xml:space="preserve"> </w:t>
      </w:r>
      <w:hyperlink w:anchor="tbl-prop-sexo-urbano">
        <w:r>
          <w:rPr>
            <w:rStyle w:val="Hyperlink"/>
          </w:rPr>
          <w:t xml:space="preserve">tabla 4.7</w:t>
        </w:r>
      </w:hyperlink>
      <w:r>
        <w:t xml:space="preserve">.</w:t>
      </w:r>
    </w:p>
    <w:p>
      <w:pPr>
        <w:pStyle w:val="SourceCode"/>
      </w:pPr>
      <w:r>
        <w:rPr>
          <w:rStyle w:val="NormalTok"/>
        </w:rPr>
        <w:t xml:space="preserve">urban_subset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4" w:name="tbl-prop-sexo-urbano"/>
          <w:p>
            <w:pPr>
              <w:jc w:val="center"/>
            </w:pPr>
            <w:pPr>
              <w:jc w:val="left"/>
              <w:spacing w:before="200"/>
              <w:pStyle w:val="ImageCaption"/>
            </w:pPr>
            <w:r>
              <w:t xml:space="preserve">Tabla 4.7: Proporción de hombres y mujeres en zona urbana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Sex</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Female</w:t>
                  </w:r>
                </w:p>
              </w:tc>
              <w:tc>
                <w:tcPr/>
                <w:p>
                  <w:pPr>
                    <w:pStyle w:val="Compact"/>
                    <w:jc w:val="right"/>
                    <w:jc w:val="center"/>
                  </w:pPr>
                  <w:r>
                    <w:t xml:space="preserve">0.537</w:t>
                  </w:r>
                </w:p>
              </w:tc>
              <w:tc>
                <w:tcPr/>
                <w:p>
                  <w:pPr>
                    <w:pStyle w:val="Compact"/>
                    <w:jc w:val="right"/>
                    <w:jc w:val="center"/>
                  </w:pPr>
                  <w:r>
                    <w:t xml:space="preserve">0.013</w:t>
                  </w:r>
                </w:p>
              </w:tc>
              <w:tc>
                <w:tcPr/>
                <w:p>
                  <w:pPr>
                    <w:pStyle w:val="Compact"/>
                    <w:jc w:val="right"/>
                    <w:jc w:val="center"/>
                  </w:pPr>
                  <w:r>
                    <w:t xml:space="preserve">0.511</w:t>
                  </w:r>
                </w:p>
              </w:tc>
              <w:tc>
                <w:tcPr/>
                <w:p>
                  <w:pPr>
                    <w:pStyle w:val="Compact"/>
                    <w:jc w:val="right"/>
                    <w:jc w:val="center"/>
                  </w:pPr>
                  <w:r>
                    <w:t xml:space="preserve">0.563</w:t>
                  </w:r>
                </w:p>
              </w:tc>
            </w:tr>
            <w:tr>
              <w:tc>
                <w:tcPr/>
                <w:p>
                  <w:pPr>
                    <w:pStyle w:val="Compact"/>
                    <w:jc w:val="left"/>
                    <w:jc w:val="center"/>
                  </w:pPr>
                  <w:r>
                    <w:t xml:space="preserve">Male</w:t>
                  </w:r>
                </w:p>
              </w:tc>
              <w:tc>
                <w:tcPr/>
                <w:p>
                  <w:pPr>
                    <w:pStyle w:val="Compact"/>
                    <w:jc w:val="right"/>
                    <w:jc w:val="center"/>
                  </w:pPr>
                  <w:r>
                    <w:t xml:space="preserve">0.463</w:t>
                  </w:r>
                </w:p>
              </w:tc>
              <w:tc>
                <w:tcPr/>
                <w:p>
                  <w:pPr>
                    <w:pStyle w:val="Compact"/>
                    <w:jc w:val="right"/>
                    <w:jc w:val="center"/>
                  </w:pPr>
                  <w:r>
                    <w:t xml:space="preserve">0.013</w:t>
                  </w:r>
                </w:p>
              </w:tc>
              <w:tc>
                <w:tcPr/>
                <w:p>
                  <w:pPr>
                    <w:pStyle w:val="Compact"/>
                    <w:jc w:val="right"/>
                    <w:jc w:val="center"/>
                  </w:pPr>
                  <w:r>
                    <w:t xml:space="preserve">0.437</w:t>
                  </w:r>
                </w:p>
              </w:tc>
              <w:tc>
                <w:tcPr/>
                <w:p>
                  <w:pPr>
                    <w:pStyle w:val="Compact"/>
                    <w:jc w:val="right"/>
                    <w:jc w:val="center"/>
                  </w:pPr>
                  <w:r>
                    <w:t xml:space="preserve">0.489</w:t>
                  </w:r>
                </w:p>
              </w:tc>
            </w:tr>
          </w:tbl>
          <w:bookmarkEnd w:id="114"/>
          <w:p/>
        </w:tc>
      </w:tr>
    </w:tbl>
    <w:p>
      <w:pPr>
        <w:pStyle w:val="BodyText"/>
      </w:pPr>
      <w:r>
        <w:t xml:space="preserve">A partir de estas estimaciones se observa que, en la zona urbana, el 53.6% de la población corresponde a mujeres, con un intervalo de confianza del 95% entre 51.0% y 56.2%, mientras que el 46.4% corresponde a hombres, con un intervalo de confianza entre 43.7% y 48.9%. Estos resultados permiten apreciar no solo la distribución porcentual de la población según sexo, sino también el nivel de precisión asociado a las estimaciones.</w:t>
      </w:r>
    </w:p>
    <w:p>
      <w:pPr>
        <w:pStyle w:val="BodyText"/>
      </w:pPr>
      <w:r>
        <w:t xml:space="preserve">De manera análoga, es posible realizar el mismo ejercicio para la población residente en la zona rural, estimando la proporción de hombres y mujeres. Este tipo de desagregación permite comparar la composición poblacional según sexo entre las áreas urbana y rural, proporcionando una visión más detallada de las características demográficas de la población encuestada. Los resultados correspondientes se presentan en la</w:t>
      </w:r>
      <w:r>
        <w:t xml:space="preserve"> </w:t>
      </w:r>
      <w:hyperlink w:anchor="tbl-prop-sexo-rural">
        <w:r>
          <w:rPr>
            <w:rStyle w:val="Hyperlink"/>
          </w:rPr>
          <w:t xml:space="preserve">tabla 4.8</w:t>
        </w:r>
      </w:hyperlink>
      <w:r>
        <w:t xml:space="preserve">.</w:t>
      </w:r>
    </w:p>
    <w:p>
      <w:pPr>
        <w:pStyle w:val="SourceCode"/>
      </w:pPr>
      <w:r>
        <w:rPr>
          <w:rStyle w:val="NormalTok"/>
        </w:rPr>
        <w:t xml:space="preserve">rural_subset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unweighted</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15" w:name="tbl-prop-sexo-rural"/>
          <w:p>
            <w:pPr>
              <w:jc w:val="center"/>
            </w:pPr>
            <w:pPr>
              <w:jc w:val="left"/>
              <w:spacing w:before="200"/>
              <w:pStyle w:val="ImageCaption"/>
            </w:pPr>
            <w:r>
              <w:t xml:space="preserve">Tabla 4.8: Proporción de hombres y mujeres en zona rural</w:t>
            </w:r>
          </w:p>
          <w:tbl>
            <w:tblPr>
              <w:tblStyle w:val="Table"/>
              <w:tblW w:type="pct" w:w="5000"/>
              <w:tblLayout w:type="fixed"/>
              <w:tblLook w:firstRow="1" w:lastRow="0" w:firstColumn="0" w:lastColumn="0" w:noHBand="0" w:noVBand="0" w:val="0020"/>
            </w:tblPr>
            <w:tblGrid>
              <w:gridCol w:w="840"/>
              <w:gridCol w:w="480"/>
              <w:gridCol w:w="1320"/>
              <w:gridCol w:w="1680"/>
              <w:gridCol w:w="1800"/>
              <w:gridCol w:w="1800"/>
            </w:tblGrid>
            <w:tr>
              <w:trPr>
                <w:tblHeader w:val="on"/>
              </w:trPr>
              <w:tc>
                <w:tcPr/>
                <w:p>
                  <w:pPr>
                    <w:pStyle w:val="Compact"/>
                    <w:jc w:val="left"/>
                    <w:jc w:val="center"/>
                  </w:pPr>
                  <w:r>
                    <w:t xml:space="preserve">Sex</w:t>
                  </w:r>
                </w:p>
              </w:tc>
              <w:tc>
                <w:tcPr/>
                <w:p>
                  <w:pPr>
                    <w:pStyle w:val="Compact"/>
                    <w:jc w:val="right"/>
                    <w:jc w:val="center"/>
                  </w:pPr>
                  <w:r>
                    <w:t xml:space="preserve">n</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Female</w:t>
                  </w:r>
                </w:p>
              </w:tc>
              <w:tc>
                <w:tcPr/>
                <w:p>
                  <w:pPr>
                    <w:pStyle w:val="Compact"/>
                    <w:jc w:val="right"/>
                    <w:jc w:val="center"/>
                  </w:pPr>
                  <w:r>
                    <w:t xml:space="preserve">679</w:t>
                  </w:r>
                </w:p>
              </w:tc>
              <w:tc>
                <w:tcPr/>
                <w:p>
                  <w:pPr>
                    <w:pStyle w:val="Compact"/>
                    <w:jc w:val="right"/>
                    <w:jc w:val="center"/>
                  </w:pPr>
                  <w:r>
                    <w:t xml:space="preserve">0.516</w:t>
                  </w:r>
                </w:p>
              </w:tc>
              <w:tc>
                <w:tcPr/>
                <w:p>
                  <w:pPr>
                    <w:pStyle w:val="Compact"/>
                    <w:jc w:val="right"/>
                    <w:jc w:val="center"/>
                  </w:pPr>
                  <w:r>
                    <w:t xml:space="preserve">0.008</w:t>
                  </w:r>
                </w:p>
              </w:tc>
              <w:tc>
                <w:tcPr/>
                <w:p>
                  <w:pPr>
                    <w:pStyle w:val="Compact"/>
                    <w:jc w:val="right"/>
                    <w:jc w:val="center"/>
                  </w:pPr>
                  <w:r>
                    <w:t xml:space="preserve">0.500</w:t>
                  </w:r>
                </w:p>
              </w:tc>
              <w:tc>
                <w:tcPr/>
                <w:p>
                  <w:pPr>
                    <w:pStyle w:val="Compact"/>
                    <w:jc w:val="right"/>
                    <w:jc w:val="center"/>
                  </w:pPr>
                  <w:r>
                    <w:t xml:space="preserve">0.533</w:t>
                  </w:r>
                </w:p>
              </w:tc>
            </w:tr>
            <w:tr>
              <w:tc>
                <w:tcPr/>
                <w:p>
                  <w:pPr>
                    <w:pStyle w:val="Compact"/>
                    <w:jc w:val="left"/>
                    <w:jc w:val="center"/>
                  </w:pPr>
                  <w:r>
                    <w:t xml:space="preserve">Male</w:t>
                  </w:r>
                </w:p>
              </w:tc>
              <w:tc>
                <w:tcPr/>
                <w:p>
                  <w:pPr>
                    <w:pStyle w:val="Compact"/>
                    <w:jc w:val="right"/>
                    <w:jc w:val="center"/>
                  </w:pPr>
                  <w:r>
                    <w:t xml:space="preserve">618</w:t>
                  </w:r>
                </w:p>
              </w:tc>
              <w:tc>
                <w:tcPr/>
                <w:p>
                  <w:pPr>
                    <w:pStyle w:val="Compact"/>
                    <w:jc w:val="right"/>
                    <w:jc w:val="center"/>
                  </w:pPr>
                  <w:r>
                    <w:t xml:space="preserve">0.484</w:t>
                  </w:r>
                </w:p>
              </w:tc>
              <w:tc>
                <w:tcPr/>
                <w:p>
                  <w:pPr>
                    <w:pStyle w:val="Compact"/>
                    <w:jc w:val="right"/>
                    <w:jc w:val="center"/>
                  </w:pPr>
                  <w:r>
                    <w:t xml:space="preserve">0.008</w:t>
                  </w:r>
                </w:p>
              </w:tc>
              <w:tc>
                <w:tcPr/>
                <w:p>
                  <w:pPr>
                    <w:pStyle w:val="Compact"/>
                    <w:jc w:val="right"/>
                    <w:jc w:val="center"/>
                  </w:pPr>
                  <w:r>
                    <w:t xml:space="preserve">0.467</w:t>
                  </w:r>
                </w:p>
              </w:tc>
              <w:tc>
                <w:tcPr/>
                <w:p>
                  <w:pPr>
                    <w:pStyle w:val="Compact"/>
                    <w:jc w:val="right"/>
                    <w:jc w:val="center"/>
                  </w:pPr>
                  <w:r>
                    <w:t xml:space="preserve">0.500</w:t>
                  </w:r>
                </w:p>
              </w:tc>
            </w:tr>
          </w:tbl>
          <w:bookmarkEnd w:id="115"/>
          <w:p/>
        </w:tc>
      </w:tr>
    </w:tbl>
    <w:p>
      <w:pPr>
        <w:pStyle w:val="BodyText"/>
      </w:pPr>
      <w:r>
        <w:t xml:space="preserve">Ahora bien, si el análisis se restringe únicamente a la población masculina incluida en la base de datos y el interés consiste en estimar la distribución porcentual de los hombres según la zona de residencia, es posible calcular la proporción de hombres que viven en áreas urbanas y rurales utilizando el diseño muestral previamente definido. El código computacional correspondiente se presenta en la</w:t>
      </w:r>
      <w:r>
        <w:t xml:space="preserve"> </w:t>
      </w:r>
      <w:hyperlink w:anchor="tbl-prop-zona-hombre">
        <w:r>
          <w:rPr>
            <w:rStyle w:val="Hyperlink"/>
          </w:rPr>
          <w:t xml:space="preserve">tabla 4.9</w:t>
        </w:r>
      </w:hyperlink>
      <w:r>
        <w:t xml:space="preserve">.</w:t>
      </w:r>
    </w:p>
    <w:p>
      <w:pPr>
        <w:pStyle w:val="SourceCode"/>
      </w:pPr>
      <w:r>
        <w:rPr>
          <w:rStyle w:val="NormalTok"/>
        </w:rPr>
        <w:t xml:space="preserve">male_subset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6" w:name="tbl-prop-zona-hombre"/>
          <w:p>
            <w:pPr>
              <w:jc w:val="center"/>
            </w:pPr>
            <w:pPr>
              <w:jc w:val="left"/>
              <w:spacing w:before="200"/>
              <w:pStyle w:val="ImageCaption"/>
            </w:pPr>
            <w:r>
              <w:t xml:space="preserve">Tabla 4.9: Distribución por zona en la subpoblación masculina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Zone</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Rural</w:t>
                  </w:r>
                </w:p>
              </w:tc>
              <w:tc>
                <w:tcPr/>
                <w:p>
                  <w:pPr>
                    <w:pStyle w:val="Compact"/>
                    <w:jc w:val="right"/>
                    <w:jc w:val="center"/>
                  </w:pPr>
                  <w:r>
                    <w:t xml:space="preserve">0.491</w:t>
                  </w:r>
                </w:p>
              </w:tc>
              <w:tc>
                <w:tcPr/>
                <w:p>
                  <w:pPr>
                    <w:pStyle w:val="Compact"/>
                    <w:jc w:val="right"/>
                    <w:jc w:val="center"/>
                  </w:pPr>
                  <w:r>
                    <w:t xml:space="preserve">0.018</w:t>
                  </w:r>
                </w:p>
              </w:tc>
              <w:tc>
                <w:tcPr/>
                <w:p>
                  <w:pPr>
                    <w:pStyle w:val="Compact"/>
                    <w:jc w:val="right"/>
                    <w:jc w:val="center"/>
                  </w:pPr>
                  <w:r>
                    <w:t xml:space="preserve">0.455</w:t>
                  </w:r>
                </w:p>
              </w:tc>
              <w:tc>
                <w:tcPr/>
                <w:p>
                  <w:pPr>
                    <w:pStyle w:val="Compact"/>
                    <w:jc w:val="right"/>
                    <w:jc w:val="center"/>
                  </w:pPr>
                  <w:r>
                    <w:t xml:space="preserve">0.526</w:t>
                  </w:r>
                </w:p>
              </w:tc>
            </w:tr>
            <w:tr>
              <w:tc>
                <w:tcPr/>
                <w:p>
                  <w:pPr>
                    <w:pStyle w:val="Compact"/>
                    <w:jc w:val="left"/>
                    <w:jc w:val="center"/>
                  </w:pPr>
                  <w:r>
                    <w:t xml:space="preserve">Urban</w:t>
                  </w:r>
                </w:p>
              </w:tc>
              <w:tc>
                <w:tcPr/>
                <w:p>
                  <w:pPr>
                    <w:pStyle w:val="Compact"/>
                    <w:jc w:val="right"/>
                    <w:jc w:val="center"/>
                  </w:pPr>
                  <w:r>
                    <w:t xml:space="preserve">0.509</w:t>
                  </w:r>
                </w:p>
              </w:tc>
              <w:tc>
                <w:tcPr/>
                <w:p>
                  <w:pPr>
                    <w:pStyle w:val="Compact"/>
                    <w:jc w:val="right"/>
                    <w:jc w:val="center"/>
                  </w:pPr>
                  <w:r>
                    <w:t xml:space="preserve">0.018</w:t>
                  </w:r>
                </w:p>
              </w:tc>
              <w:tc>
                <w:tcPr/>
                <w:p>
                  <w:pPr>
                    <w:pStyle w:val="Compact"/>
                    <w:jc w:val="right"/>
                    <w:jc w:val="center"/>
                  </w:pPr>
                  <w:r>
                    <w:t xml:space="preserve">0.474</w:t>
                  </w:r>
                </w:p>
              </w:tc>
              <w:tc>
                <w:tcPr/>
                <w:p>
                  <w:pPr>
                    <w:pStyle w:val="Compact"/>
                    <w:jc w:val="right"/>
                    <w:jc w:val="center"/>
                  </w:pPr>
                  <w:r>
                    <w:t xml:space="preserve">0.545</w:t>
                  </w:r>
                </w:p>
              </w:tc>
            </w:tr>
          </w:tbl>
          <w:bookmarkEnd w:id="116"/>
          <w:p/>
        </w:tc>
      </w:tr>
    </w:tbl>
    <w:p>
      <w:pPr>
        <w:pStyle w:val="BodyText"/>
      </w:pPr>
      <w:r>
        <w:t xml:space="preserve">Si se desea estimar resultados con varios niveles de desagregación, al igual que en los capítulos anteriores, el uso de la función</w:t>
      </w:r>
      <w:r>
        <w:t xml:space="preserve"> </w:t>
      </w:r>
      <w:r>
        <w:rPr>
          <w:rStyle w:val="VerbatimChar"/>
        </w:rPr>
        <w:t xml:space="preserve">group_by()</w:t>
      </w:r>
      <w:r>
        <w:t xml:space="preserve"> </w:t>
      </w:r>
      <w:r>
        <w:t xml:space="preserve">permite generar distintos niveles de agregación mediante la combinación de dos o más variables categóricas. Por ejemplo, es posible estimar la proporción de hombres según zona de residencia y condición de pobreza de manera simultánea. Este tipo de análisis permite caracterizar con mayor detalle las condiciones socioeconómicas de subpoblaciones específicas. El procedimiento correspondiente se presenta en la</w:t>
      </w:r>
      <w:r>
        <w:t xml:space="preserve"> </w:t>
      </w:r>
      <w:hyperlink w:anchor="tbl-prop-zona-pobreza-hombre">
        <w:r>
          <w:rPr>
            <w:rStyle w:val="Hyperlink"/>
          </w:rPr>
          <w:t xml:space="preserve">tabla 4.10</w:t>
        </w:r>
      </w:hyperlink>
      <w:r>
        <w:t xml:space="preserve">.</w:t>
      </w:r>
    </w:p>
    <w:p>
      <w:pPr>
        <w:pStyle w:val="SourceCode"/>
      </w:pPr>
      <w:r>
        <w:rPr>
          <w:rStyle w:val="NormalTok"/>
        </w:rPr>
        <w:t xml:space="preserve">male_subset </w:t>
      </w:r>
      <w:r>
        <w:rPr>
          <w:rStyle w:val="SpecialCharTok"/>
        </w:rPr>
        <w:t xml:space="preserve">%&gt;%</w:t>
      </w:r>
      <w:r>
        <w:br/>
      </w:r>
      <w:r>
        <w:rPr>
          <w:rStyle w:val="NormalTok"/>
        </w:rPr>
        <w:t xml:space="preserve">  </w:t>
      </w:r>
      <w:r>
        <w:rPr>
          <w:rStyle w:val="FunctionTok"/>
        </w:rPr>
        <w:t xml:space="preserve">group_by</w:t>
      </w:r>
      <w:r>
        <w:rPr>
          <w:rStyle w:val="NormalTok"/>
        </w:rPr>
        <w:t xml:space="preserve">(Zone, 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7" w:name="tbl-prop-zona-pobreza-hombre"/>
          <w:p>
            <w:pPr>
              <w:jc w:val="center"/>
            </w:pPr>
            <w:pPr>
              <w:jc w:val="left"/>
              <w:spacing w:before="200"/>
              <w:pStyle w:val="ImageCaption"/>
            </w:pPr>
            <w:r>
              <w:t xml:space="preserve">Tabla 4.10: Proporción de hombres por zona y condición de pobreza</w:t>
            </w:r>
          </w:p>
          <w:tbl>
            <w:tblPr>
              <w:tblStyle w:val="Table"/>
              <w:tblW w:type="pct" w:w="5000"/>
              <w:tblLayout w:type="fixed"/>
              <w:tblLook w:firstRow="1" w:lastRow="0" w:firstColumn="0" w:lastColumn="0" w:noHBand="0" w:noVBand="0" w:val="0020"/>
            </w:tblPr>
            <w:tblGrid>
              <w:gridCol w:w="678"/>
              <w:gridCol w:w="1018"/>
              <w:gridCol w:w="1244"/>
              <w:gridCol w:w="1584"/>
              <w:gridCol w:w="1697"/>
              <w:gridCol w:w="1697"/>
            </w:tblGrid>
            <w:tr>
              <w:trPr>
                <w:tblHeader w:val="on"/>
              </w:trPr>
              <w:tc>
                <w:tcPr/>
                <w:p>
                  <w:pPr>
                    <w:pStyle w:val="Compact"/>
                    <w:jc w:val="left"/>
                    <w:jc w:val="center"/>
                  </w:pPr>
                  <w:r>
                    <w:t xml:space="preserve">Zone</w:t>
                  </w:r>
                </w:p>
              </w:tc>
              <w:tc>
                <w:tcPr/>
                <w:p>
                  <w:pPr>
                    <w:pStyle w:val="Compact"/>
                    <w:jc w:val="left"/>
                    <w:jc w:val="center"/>
                  </w:pPr>
                  <w:r>
                    <w:t xml:space="preserve">Poverty</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Rural</w:t>
                  </w:r>
                </w:p>
              </w:tc>
              <w:tc>
                <w:tcPr/>
                <w:p>
                  <w:pPr>
                    <w:pStyle w:val="Compact"/>
                    <w:jc w:val="left"/>
                    <w:jc w:val="center"/>
                  </w:pPr>
                  <w:r>
                    <w:t xml:space="preserve">NotPoor</w:t>
                  </w:r>
                </w:p>
              </w:tc>
              <w:tc>
                <w:tcPr/>
                <w:p>
                  <w:pPr>
                    <w:pStyle w:val="Compact"/>
                    <w:jc w:val="right"/>
                    <w:jc w:val="center"/>
                  </w:pPr>
                  <w:r>
                    <w:t xml:space="preserve">0.549</w:t>
                  </w:r>
                </w:p>
              </w:tc>
              <w:tc>
                <w:tcPr/>
                <w:p>
                  <w:pPr>
                    <w:pStyle w:val="Compact"/>
                    <w:jc w:val="right"/>
                    <w:jc w:val="center"/>
                  </w:pPr>
                  <w:r>
                    <w:t xml:space="preserve">0.063</w:t>
                  </w:r>
                </w:p>
              </w:tc>
              <w:tc>
                <w:tcPr/>
                <w:p>
                  <w:pPr>
                    <w:pStyle w:val="Compact"/>
                    <w:jc w:val="right"/>
                    <w:jc w:val="center"/>
                  </w:pPr>
                  <w:r>
                    <w:t xml:space="preserve">0.424</w:t>
                  </w:r>
                </w:p>
              </w:tc>
              <w:tc>
                <w:tcPr/>
                <w:p>
                  <w:pPr>
                    <w:pStyle w:val="Compact"/>
                    <w:jc w:val="right"/>
                    <w:jc w:val="center"/>
                  </w:pPr>
                  <w:r>
                    <w:t xml:space="preserve">0.668</w:t>
                  </w:r>
                </w:p>
              </w:tc>
            </w:tr>
            <w:tr>
              <w:tc>
                <w:tcPr/>
                <w:p>
                  <w:pPr>
                    <w:pStyle w:val="Compact"/>
                    <w:jc w:val="left"/>
                    <w:jc w:val="center"/>
                  </w:pPr>
                  <w:r>
                    <w:t xml:space="preserve">Rural</w:t>
                  </w:r>
                </w:p>
              </w:tc>
              <w:tc>
                <w:tcPr/>
                <w:p>
                  <w:pPr>
                    <w:pStyle w:val="Compact"/>
                    <w:jc w:val="left"/>
                    <w:jc w:val="center"/>
                  </w:pPr>
                  <w:r>
                    <w:t xml:space="preserve">Extreme</w:t>
                  </w:r>
                </w:p>
              </w:tc>
              <w:tc>
                <w:tcPr/>
                <w:p>
                  <w:pPr>
                    <w:pStyle w:val="Compact"/>
                    <w:jc w:val="right"/>
                    <w:jc w:val="center"/>
                  </w:pPr>
                  <w:r>
                    <w:t xml:space="preserve">0.198</w:t>
                  </w:r>
                </w:p>
              </w:tc>
              <w:tc>
                <w:tcPr/>
                <w:p>
                  <w:pPr>
                    <w:pStyle w:val="Compact"/>
                    <w:jc w:val="right"/>
                    <w:jc w:val="center"/>
                  </w:pPr>
                  <w:r>
                    <w:t xml:space="preserve">0.067</w:t>
                  </w:r>
                </w:p>
              </w:tc>
              <w:tc>
                <w:tcPr/>
                <w:p>
                  <w:pPr>
                    <w:pStyle w:val="Compact"/>
                    <w:jc w:val="right"/>
                    <w:jc w:val="center"/>
                  </w:pPr>
                  <w:r>
                    <w:t xml:space="preserve">0.096</w:t>
                  </w:r>
                </w:p>
              </w:tc>
              <w:tc>
                <w:tcPr/>
                <w:p>
                  <w:pPr>
                    <w:pStyle w:val="Compact"/>
                    <w:jc w:val="right"/>
                    <w:jc w:val="center"/>
                  </w:pPr>
                  <w:r>
                    <w:t xml:space="preserve">0.364</w:t>
                  </w:r>
                </w:p>
              </w:tc>
            </w:tr>
            <w:tr>
              <w:tc>
                <w:tcPr/>
                <w:p>
                  <w:pPr>
                    <w:pStyle w:val="Compact"/>
                    <w:jc w:val="left"/>
                    <w:jc w:val="center"/>
                  </w:pPr>
                  <w:r>
                    <w:t xml:space="preserve">Rural</w:t>
                  </w:r>
                </w:p>
              </w:tc>
              <w:tc>
                <w:tcPr/>
                <w:p>
                  <w:pPr>
                    <w:pStyle w:val="Compact"/>
                    <w:jc w:val="left"/>
                    <w:jc w:val="center"/>
                  </w:pPr>
                  <w:r>
                    <w:t xml:space="preserve">Relative</w:t>
                  </w:r>
                </w:p>
              </w:tc>
              <w:tc>
                <w:tcPr/>
                <w:p>
                  <w:pPr>
                    <w:pStyle w:val="Compact"/>
                    <w:jc w:val="right"/>
                    <w:jc w:val="center"/>
                  </w:pPr>
                  <w:r>
                    <w:t xml:space="preserve">0.254</w:t>
                  </w:r>
                </w:p>
              </w:tc>
              <w:tc>
                <w:tcPr/>
                <w:p>
                  <w:pPr>
                    <w:pStyle w:val="Compact"/>
                    <w:jc w:val="right"/>
                    <w:jc w:val="center"/>
                  </w:pPr>
                  <w:r>
                    <w:t xml:space="preserve">0.037</w:t>
                  </w:r>
                </w:p>
              </w:tc>
              <w:tc>
                <w:tcPr/>
                <w:p>
                  <w:pPr>
                    <w:pStyle w:val="Compact"/>
                    <w:jc w:val="right"/>
                    <w:jc w:val="center"/>
                  </w:pPr>
                  <w:r>
                    <w:t xml:space="preserve">0.187</w:t>
                  </w:r>
                </w:p>
              </w:tc>
              <w:tc>
                <w:tcPr/>
                <w:p>
                  <w:pPr>
                    <w:pStyle w:val="Compact"/>
                    <w:jc w:val="right"/>
                    <w:jc w:val="center"/>
                  </w:pPr>
                  <w:r>
                    <w:t xml:space="preserve">0.334</w:t>
                  </w:r>
                </w:p>
              </w:tc>
            </w:tr>
            <w:tr>
              <w:tc>
                <w:tcPr/>
                <w:p>
                  <w:pPr>
                    <w:pStyle w:val="Compact"/>
                    <w:jc w:val="left"/>
                    <w:jc w:val="center"/>
                  </w:pPr>
                  <w:r>
                    <w:t xml:space="preserve">Urban</w:t>
                  </w:r>
                </w:p>
              </w:tc>
              <w:tc>
                <w:tcPr/>
                <w:p>
                  <w:pPr>
                    <w:pStyle w:val="Compact"/>
                    <w:jc w:val="left"/>
                    <w:jc w:val="center"/>
                  </w:pPr>
                  <w:r>
                    <w:t xml:space="preserve">NotPoor</w:t>
                  </w:r>
                </w:p>
              </w:tc>
              <w:tc>
                <w:tcPr/>
                <w:p>
                  <w:pPr>
                    <w:pStyle w:val="Compact"/>
                    <w:jc w:val="right"/>
                    <w:jc w:val="center"/>
                  </w:pPr>
                  <w:r>
                    <w:t xml:space="preserve">0.660</w:t>
                  </w:r>
                </w:p>
              </w:tc>
              <w:tc>
                <w:tcPr/>
                <w:p>
                  <w:pPr>
                    <w:pStyle w:val="Compact"/>
                    <w:jc w:val="right"/>
                    <w:jc w:val="center"/>
                  </w:pPr>
                  <w:r>
                    <w:t xml:space="preserve">0.037</w:t>
                  </w:r>
                </w:p>
              </w:tc>
              <w:tc>
                <w:tcPr/>
                <w:p>
                  <w:pPr>
                    <w:pStyle w:val="Compact"/>
                    <w:jc w:val="right"/>
                    <w:jc w:val="center"/>
                  </w:pPr>
                  <w:r>
                    <w:t xml:space="preserve">0.584</w:t>
                  </w:r>
                </w:p>
              </w:tc>
              <w:tc>
                <w:tcPr/>
                <w:p>
                  <w:pPr>
                    <w:pStyle w:val="Compact"/>
                    <w:jc w:val="right"/>
                    <w:jc w:val="center"/>
                  </w:pPr>
                  <w:r>
                    <w:t xml:space="preserve">0.728</w:t>
                  </w:r>
                </w:p>
              </w:tc>
            </w:tr>
            <w:tr>
              <w:tc>
                <w:tcPr/>
                <w:p>
                  <w:pPr>
                    <w:pStyle w:val="Compact"/>
                    <w:jc w:val="left"/>
                    <w:jc w:val="center"/>
                  </w:pPr>
                  <w:r>
                    <w:t xml:space="preserve">Urban</w:t>
                  </w:r>
                </w:p>
              </w:tc>
              <w:tc>
                <w:tcPr/>
                <w:p>
                  <w:pPr>
                    <w:pStyle w:val="Compact"/>
                    <w:jc w:val="left"/>
                    <w:jc w:val="center"/>
                  </w:pPr>
                  <w:r>
                    <w:t xml:space="preserve">Extreme</w:t>
                  </w:r>
                </w:p>
              </w:tc>
              <w:tc>
                <w:tcPr/>
                <w:p>
                  <w:pPr>
                    <w:pStyle w:val="Compact"/>
                    <w:jc w:val="right"/>
                    <w:jc w:val="center"/>
                  </w:pPr>
                  <w:r>
                    <w:t xml:space="preserve">0.113</w:t>
                  </w:r>
                </w:p>
              </w:tc>
              <w:tc>
                <w:tcPr/>
                <w:p>
                  <w:pPr>
                    <w:pStyle w:val="Compact"/>
                    <w:jc w:val="right"/>
                    <w:jc w:val="center"/>
                  </w:pPr>
                  <w:r>
                    <w:t xml:space="preserve">0.025</w:t>
                  </w:r>
                </w:p>
              </w:tc>
              <w:tc>
                <w:tcPr/>
                <w:p>
                  <w:pPr>
                    <w:pStyle w:val="Compact"/>
                    <w:jc w:val="right"/>
                    <w:jc w:val="center"/>
                  </w:pPr>
                  <w:r>
                    <w:t xml:space="preserve">0.073</w:t>
                  </w:r>
                </w:p>
              </w:tc>
              <w:tc>
                <w:tcPr/>
                <w:p>
                  <w:pPr>
                    <w:pStyle w:val="Compact"/>
                    <w:jc w:val="right"/>
                    <w:jc w:val="center"/>
                  </w:pPr>
                  <w:r>
                    <w:t xml:space="preserve">0.171</w:t>
                  </w:r>
                </w:p>
              </w:tc>
            </w:tr>
            <w:tr>
              <w:tc>
                <w:tcPr/>
                <w:p>
                  <w:pPr>
                    <w:pStyle w:val="Compact"/>
                    <w:jc w:val="left"/>
                    <w:jc w:val="center"/>
                  </w:pPr>
                  <w:r>
                    <w:t xml:space="preserve">Urban</w:t>
                  </w:r>
                </w:p>
              </w:tc>
              <w:tc>
                <w:tcPr/>
                <w:p>
                  <w:pPr>
                    <w:pStyle w:val="Compact"/>
                    <w:jc w:val="left"/>
                    <w:jc w:val="center"/>
                  </w:pPr>
                  <w:r>
                    <w:t xml:space="preserve">Relative</w:t>
                  </w:r>
                </w:p>
              </w:tc>
              <w:tc>
                <w:tcPr/>
                <w:p>
                  <w:pPr>
                    <w:pStyle w:val="Compact"/>
                    <w:jc w:val="right"/>
                    <w:jc w:val="center"/>
                  </w:pPr>
                  <w:r>
                    <w:t xml:space="preserve">0.227</w:t>
                  </w:r>
                </w:p>
              </w:tc>
              <w:tc>
                <w:tcPr/>
                <w:p>
                  <w:pPr>
                    <w:pStyle w:val="Compact"/>
                    <w:jc w:val="right"/>
                    <w:jc w:val="center"/>
                  </w:pPr>
                  <w:r>
                    <w:t xml:space="preserve">0.026</w:t>
                  </w:r>
                </w:p>
              </w:tc>
              <w:tc>
                <w:tcPr/>
                <w:p>
                  <w:pPr>
                    <w:pStyle w:val="Compact"/>
                    <w:jc w:val="right"/>
                    <w:jc w:val="center"/>
                  </w:pPr>
                  <w:r>
                    <w:t xml:space="preserve">0.180</w:t>
                  </w:r>
                </w:p>
              </w:tc>
              <w:tc>
                <w:tcPr/>
                <w:p>
                  <w:pPr>
                    <w:pStyle w:val="Compact"/>
                    <w:jc w:val="right"/>
                    <w:jc w:val="center"/>
                  </w:pPr>
                  <w:r>
                    <w:t xml:space="preserve">0.283</w:t>
                  </w:r>
                </w:p>
              </w:tc>
            </w:tr>
          </w:tbl>
          <w:bookmarkEnd w:id="117"/>
          <w:p/>
        </w:tc>
      </w:tr>
    </w:tbl>
    <w:p>
      <w:pPr>
        <w:pStyle w:val="BodyText"/>
      </w:pPr>
      <w:r>
        <w:t xml:space="preserve">A partir de los resultados obtenidos se observa que, en la zona rural, el 19.7% de los hombres se encuentra en situación de pobreza extrema, mientras que en la zona urbana esta proporción corresponde al 11.3%. Aunque las estimaciones puntuales sugieren una mayor incidencia de pobreza extrema en la ruralidad, la superposición de los intervalos de confianza individuales no constituye por sí sola una prueba formal de igualdad; la significación de la diferencia debe evaluarse mediante un contraste que incorpore su error estándar.</w:t>
      </w:r>
    </w:p>
    <w:p>
      <w:pPr>
        <w:pStyle w:val="BodyText"/>
      </w:pPr>
      <w:r>
        <w:t xml:space="preserve">También es posible categorizar variables cuantitativas para facilitar su análisis conjunto con otras variables categóricas. Por ejemplo, la edad puede agruparse en rangos etarios específicos y posteriormente cruzarse con variables relacionadas con la situación en el empleo. Este tipo de procedimiento resulta útil para identificar diferencias en la participación laboral entre distintos grupos de edad.</w:t>
      </w:r>
    </w:p>
    <w:p>
      <w:pPr>
        <w:pStyle w:val="BodyText"/>
      </w:pPr>
      <w:r>
        <w:t xml:space="preserve">A continuación, la variable edad se clasifica en dos categorías para la población femenina: mujeres entre 18 y 35 años, y mujeres pertenecientes a otros rangos de edad. Posteriormente, estas categorías se analizan en conjunto con la variable de empleabilidad, permitiendo estimar la distribución de la condición laboral según grupo etario. Los resultados correspondientes se presentan en la</w:t>
      </w:r>
      <w:r>
        <w:t xml:space="preserve"> </w:t>
      </w:r>
      <w:hyperlink w:anchor="tbl-prop-edad-rango-empleo-mujer">
        <w:r>
          <w:rPr>
            <w:rStyle w:val="Hyperlink"/>
          </w:rPr>
          <w:t xml:space="preserve">tabla 4.11</w:t>
        </w:r>
      </w:hyperlink>
      <w:r>
        <w:t xml:space="preserve">.</w:t>
      </w:r>
    </w:p>
    <w:p>
      <w:pPr>
        <w:pStyle w:val="SourceCode"/>
      </w:pPr>
      <w:r>
        <w:rPr>
          <w:rStyle w:val="NormalTok"/>
        </w:rPr>
        <w:t xml:space="preserve">female_subset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age_range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StringTok"/>
        </w:rPr>
        <w:t xml:space="preserve">"18 - 35"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(age_range, Employment)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8" w:name="tbl-prop-edad-rango-empleo-mujer"/>
          <w:p>
            <w:pPr>
              <w:jc w:val="center"/>
            </w:pPr>
            <w:pPr>
              <w:jc w:val="left"/>
              <w:spacing w:before="200"/>
              <w:pStyle w:val="ImageCaption"/>
            </w:pPr>
            <w:r>
              <w:t xml:space="preserve">Tabla 4.11: Proporción de mujeres por rango de edad y estado de ocupación</w:t>
            </w:r>
          </w:p>
          <w:tbl>
            <w:tblPr>
              <w:tblStyle w:val="Table"/>
              <w:tblW w:type="pct" w:w="5000"/>
              <w:tblLayout w:type="fixed"/>
              <w:tblLook w:firstRow="1" w:lastRow="0" w:firstColumn="0" w:lastColumn="0" w:noHBand="0" w:noVBand="0" w:val="0020"/>
            </w:tblPr>
            <w:tblGrid>
              <w:gridCol w:w="1042"/>
              <w:gridCol w:w="1146"/>
              <w:gridCol w:w="1146"/>
              <w:gridCol w:w="1458"/>
              <w:gridCol w:w="1563"/>
              <w:gridCol w:w="1563"/>
            </w:tblGrid>
            <w:tr>
              <w:trPr>
                <w:tblHeader w:val="on"/>
              </w:trPr>
              <w:tc>
                <w:tcPr/>
                <w:p>
                  <w:pPr>
                    <w:pStyle w:val="Compact"/>
                    <w:jc w:val="left"/>
                    <w:jc w:val="center"/>
                  </w:pPr>
                  <w:r>
                    <w:t xml:space="preserve">age_range</w:t>
                  </w:r>
                </w:p>
              </w:tc>
              <w:tc>
                <w:tcPr/>
                <w:p>
                  <w:pPr>
                    <w:pStyle w:val="Compact"/>
                    <w:jc w:val="left"/>
                    <w:jc w:val="center"/>
                  </w:pPr>
                  <w:r>
                    <w:t xml:space="preserve">Employment</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18 - 35</w:t>
                  </w:r>
                </w:p>
              </w:tc>
              <w:tc>
                <w:tcPr/>
                <w:p>
                  <w:pPr>
                    <w:pStyle w:val="Compact"/>
                    <w:jc w:val="left"/>
                    <w:jc w:val="center"/>
                  </w:pPr>
                  <w:r>
                    <w:t xml:space="preserve">Unemployed</w:t>
                  </w:r>
                </w:p>
              </w:tc>
              <w:tc>
                <w:tcPr/>
                <w:p>
                  <w:pPr>
                    <w:pStyle w:val="Compact"/>
                    <w:jc w:val="right"/>
                    <w:jc w:val="center"/>
                  </w:pPr>
                  <w:r>
                    <w:t xml:space="preserve">0.029</w:t>
                  </w:r>
                </w:p>
              </w:tc>
              <w:tc>
                <w:tcPr/>
                <w:p>
                  <w:pPr>
                    <w:pStyle w:val="Compact"/>
                    <w:jc w:val="right"/>
                    <w:jc w:val="center"/>
                  </w:pPr>
                  <w:r>
                    <w:t xml:space="preserve">0.009</w:t>
                  </w:r>
                </w:p>
              </w:tc>
              <w:tc>
                <w:tcPr/>
                <w:p>
                  <w:pPr>
                    <w:pStyle w:val="Compact"/>
                    <w:jc w:val="right"/>
                    <w:jc w:val="center"/>
                  </w:pPr>
                  <w:r>
                    <w:t xml:space="preserve">0.015</w:t>
                  </w:r>
                </w:p>
              </w:tc>
              <w:tc>
                <w:tcPr/>
                <w:p>
                  <w:pPr>
                    <w:pStyle w:val="Compact"/>
                    <w:jc w:val="right"/>
                    <w:jc w:val="center"/>
                  </w:pPr>
                  <w:r>
                    <w:t xml:space="preserve">0.054</w:t>
                  </w:r>
                </w:p>
              </w:tc>
            </w:tr>
            <w:tr>
              <w:tc>
                <w:tcPr/>
                <w:p>
                  <w:pPr>
                    <w:pStyle w:val="Compact"/>
                    <w:jc w:val="left"/>
                    <w:jc w:val="center"/>
                  </w:pPr>
                  <w:r>
                    <w:t xml:space="preserve">18 - 35</w:t>
                  </w:r>
                </w:p>
              </w:tc>
              <w:tc>
                <w:tcPr/>
                <w:p>
                  <w:pPr>
                    <w:pStyle w:val="Compact"/>
                    <w:jc w:val="left"/>
                    <w:jc w:val="center"/>
                  </w:pPr>
                  <w:r>
                    <w:t xml:space="preserve">Inactive</w:t>
                  </w:r>
                </w:p>
              </w:tc>
              <w:tc>
                <w:tcPr/>
                <w:p>
                  <w:pPr>
                    <w:pStyle w:val="Compact"/>
                    <w:jc w:val="right"/>
                    <w:jc w:val="center"/>
                  </w:pPr>
                  <w:r>
                    <w:t xml:space="preserve">0.517</w:t>
                  </w:r>
                </w:p>
              </w:tc>
              <w:tc>
                <w:tcPr/>
                <w:p>
                  <w:pPr>
                    <w:pStyle w:val="Compact"/>
                    <w:jc w:val="right"/>
                    <w:jc w:val="center"/>
                  </w:pPr>
                  <w:r>
                    <w:t xml:space="preserve">0.038</w:t>
                  </w:r>
                </w:p>
              </w:tc>
              <w:tc>
                <w:tcPr/>
                <w:p>
                  <w:pPr>
                    <w:pStyle w:val="Compact"/>
                    <w:jc w:val="right"/>
                    <w:jc w:val="center"/>
                  </w:pPr>
                  <w:r>
                    <w:t xml:space="preserve">0.442</w:t>
                  </w:r>
                </w:p>
              </w:tc>
              <w:tc>
                <w:tcPr/>
                <w:p>
                  <w:pPr>
                    <w:pStyle w:val="Compact"/>
                    <w:jc w:val="right"/>
                    <w:jc w:val="center"/>
                  </w:pPr>
                  <w:r>
                    <w:t xml:space="preserve">0.591</w:t>
                  </w:r>
                </w:p>
              </w:tc>
            </w:tr>
            <w:tr>
              <w:tc>
                <w:tcPr/>
                <w:p>
                  <w:pPr>
                    <w:pStyle w:val="Compact"/>
                    <w:jc w:val="left"/>
                    <w:jc w:val="center"/>
                  </w:pPr>
                  <w:r>
                    <w:t xml:space="preserve">18 - 35</w:t>
                  </w:r>
                </w:p>
              </w:tc>
              <w:tc>
                <w:tcPr/>
                <w:p>
                  <w:pPr>
                    <w:pStyle w:val="Compact"/>
                    <w:jc w:val="left"/>
                    <w:jc w:val="center"/>
                  </w:pPr>
                  <w:r>
                    <w:t xml:space="preserve">Employed</w:t>
                  </w:r>
                </w:p>
              </w:tc>
              <w:tc>
                <w:tcPr/>
                <w:p>
                  <w:pPr>
                    <w:pStyle w:val="Compact"/>
                    <w:jc w:val="right"/>
                    <w:jc w:val="center"/>
                  </w:pPr>
                  <w:r>
                    <w:t xml:space="preserve">0.455</w:t>
                  </w:r>
                </w:p>
              </w:tc>
              <w:tc>
                <w:tcPr/>
                <w:p>
                  <w:pPr>
                    <w:pStyle w:val="Compact"/>
                    <w:jc w:val="right"/>
                    <w:jc w:val="center"/>
                  </w:pPr>
                  <w:r>
                    <w:t xml:space="preserve">0.036</w:t>
                  </w:r>
                </w:p>
              </w:tc>
              <w:tc>
                <w:tcPr/>
                <w:p>
                  <w:pPr>
                    <w:pStyle w:val="Compact"/>
                    <w:jc w:val="right"/>
                    <w:jc w:val="center"/>
                  </w:pPr>
                  <w:r>
                    <w:t xml:space="preserve">0.385</w:t>
                  </w:r>
                </w:p>
              </w:tc>
              <w:tc>
                <w:tcPr/>
                <w:p>
                  <w:pPr>
                    <w:pStyle w:val="Compact"/>
                    <w:jc w:val="right"/>
                    <w:jc w:val="center"/>
                  </w:pPr>
                  <w:r>
                    <w:t xml:space="preserve">0.526</w:t>
                  </w:r>
                </w:p>
              </w:tc>
            </w:tr>
            <w:tr>
              <w:tc>
                <w:tcPr/>
                <w:p>
                  <w:pPr>
                    <w:pStyle w:val="Compact"/>
                    <w:jc w:val="left"/>
                    <w:jc w:val="center"/>
                  </w:pPr>
                  <w:r>
                    <w:t xml:space="preserve">Other</w:t>
                  </w:r>
                </w:p>
              </w:tc>
              <w:tc>
                <w:tcPr/>
                <w:p>
                  <w:pPr>
                    <w:pStyle w:val="Compact"/>
                    <w:jc w:val="left"/>
                    <w:jc w:val="center"/>
                  </w:pPr>
                  <w:r>
                    <w:t xml:space="preserve">Unemployed</w:t>
                  </w:r>
                </w:p>
              </w:tc>
              <w:tc>
                <w:tcPr/>
                <w:p>
                  <w:pPr>
                    <w:pStyle w:val="Compact"/>
                    <w:jc w:val="right"/>
                    <w:jc w:val="center"/>
                  </w:pPr>
                  <w:r>
                    <w:t xml:space="preserve">0.016</w:t>
                  </w:r>
                </w:p>
              </w:tc>
              <w:tc>
                <w:tcPr/>
                <w:p>
                  <w:pPr>
                    <w:pStyle w:val="Compact"/>
                    <w:jc w:val="right"/>
                    <w:jc w:val="center"/>
                  </w:pPr>
                  <w:r>
                    <w:t xml:space="preserve">0.007</w:t>
                  </w:r>
                </w:p>
              </w:tc>
              <w:tc>
                <w:tcPr/>
                <w:p>
                  <w:pPr>
                    <w:pStyle w:val="Compact"/>
                    <w:jc w:val="right"/>
                    <w:jc w:val="center"/>
                  </w:pPr>
                  <w:r>
                    <w:t xml:space="preserve">0.007</w:t>
                  </w:r>
                </w:p>
              </w:tc>
              <w:tc>
                <w:tcPr/>
                <w:p>
                  <w:pPr>
                    <w:pStyle w:val="Compact"/>
                    <w:jc w:val="right"/>
                    <w:jc w:val="center"/>
                  </w:pPr>
                  <w:r>
                    <w:t xml:space="preserve">0.036</w:t>
                  </w:r>
                </w:p>
              </w:tc>
            </w:tr>
            <w:tr>
              <w:tc>
                <w:tcPr/>
                <w:p>
                  <w:pPr>
                    <w:pStyle w:val="Compact"/>
                    <w:jc w:val="left"/>
                    <w:jc w:val="center"/>
                  </w:pPr>
                  <w:r>
                    <w:t xml:space="preserve">Other</w:t>
                  </w:r>
                </w:p>
              </w:tc>
              <w:tc>
                <w:tcPr/>
                <w:p>
                  <w:pPr>
                    <w:pStyle w:val="Compact"/>
                    <w:jc w:val="left"/>
                    <w:jc w:val="center"/>
                  </w:pPr>
                  <w:r>
                    <w:t xml:space="preserve">Inactive</w:t>
                  </w:r>
                </w:p>
              </w:tc>
              <w:tc>
                <w:tcPr/>
                <w:p>
                  <w:pPr>
                    <w:pStyle w:val="Compact"/>
                    <w:jc w:val="right"/>
                    <w:jc w:val="center"/>
                  </w:pPr>
                  <w:r>
                    <w:t xml:space="preserve">0.571</w:t>
                  </w:r>
                </w:p>
              </w:tc>
              <w:tc>
                <w:tcPr/>
                <w:p>
                  <w:pPr>
                    <w:pStyle w:val="Compact"/>
                    <w:jc w:val="right"/>
                    <w:jc w:val="center"/>
                  </w:pPr>
                  <w:r>
                    <w:t xml:space="preserve">0.030</w:t>
                  </w:r>
                </w:p>
              </w:tc>
              <w:tc>
                <w:tcPr/>
                <w:p>
                  <w:pPr>
                    <w:pStyle w:val="Compact"/>
                    <w:jc w:val="right"/>
                    <w:jc w:val="center"/>
                  </w:pPr>
                  <w:r>
                    <w:t xml:space="preserve">0.511</w:t>
                  </w:r>
                </w:p>
              </w:tc>
              <w:tc>
                <w:tcPr/>
                <w:p>
                  <w:pPr>
                    <w:pStyle w:val="Compact"/>
                    <w:jc w:val="right"/>
                    <w:jc w:val="center"/>
                  </w:pPr>
                  <w:r>
                    <w:t xml:space="preserve">0.629</w:t>
                  </w:r>
                </w:p>
              </w:tc>
            </w:tr>
            <w:tr>
              <w:tc>
                <w:tcPr/>
                <w:p>
                  <w:pPr>
                    <w:pStyle w:val="Compact"/>
                    <w:jc w:val="left"/>
                    <w:jc w:val="center"/>
                  </w:pPr>
                  <w:r>
                    <w:t xml:space="preserve">Other</w:t>
                  </w:r>
                </w:p>
              </w:tc>
              <w:tc>
                <w:tcPr/>
                <w:p>
                  <w:pPr>
                    <w:pStyle w:val="Compact"/>
                    <w:jc w:val="left"/>
                    <w:jc w:val="center"/>
                  </w:pPr>
                  <w:r>
                    <w:t xml:space="preserve">Employed</w:t>
                  </w:r>
                </w:p>
              </w:tc>
              <w:tc>
                <w:tcPr/>
                <w:p>
                  <w:pPr>
                    <w:pStyle w:val="Compact"/>
                    <w:jc w:val="right"/>
                    <w:jc w:val="center"/>
                  </w:pPr>
                  <w:r>
                    <w:t xml:space="preserve">0.413</w:t>
                  </w:r>
                </w:p>
              </w:tc>
              <w:tc>
                <w:tcPr/>
                <w:p>
                  <w:pPr>
                    <w:pStyle w:val="Compact"/>
                    <w:jc w:val="right"/>
                    <w:jc w:val="center"/>
                  </w:pPr>
                  <w:r>
                    <w:t xml:space="preserve">0.029</w:t>
                  </w:r>
                </w:p>
              </w:tc>
              <w:tc>
                <w:tcPr/>
                <w:p>
                  <w:pPr>
                    <w:pStyle w:val="Compact"/>
                    <w:jc w:val="right"/>
                    <w:jc w:val="center"/>
                  </w:pPr>
                  <w:r>
                    <w:t xml:space="preserve">0.356</w:t>
                  </w:r>
                </w:p>
              </w:tc>
              <w:tc>
                <w:tcPr/>
                <w:p>
                  <w:pPr>
                    <w:pStyle w:val="Compact"/>
                    <w:jc w:val="right"/>
                    <w:jc w:val="center"/>
                  </w:pPr>
                  <w:r>
                    <w:t xml:space="preserve">0.472</w:t>
                  </w:r>
                </w:p>
              </w:tc>
            </w:tr>
          </w:tbl>
          <w:bookmarkEnd w:id="118"/>
          <w:p/>
        </w:tc>
      </w:tr>
    </w:tbl>
    <w:bookmarkEnd w:id="119"/>
    <w:bookmarkStart w:id="124" w:name="contrastes-y-diferencias-de-proporciones"/>
    <w:p>
      <w:pPr>
        <w:pStyle w:val="Heading2"/>
      </w:pPr>
      <w:r>
        <w:t xml:space="preserve">4.3 Contrastes y diferencias de proporciones</w:t>
      </w:r>
    </w:p>
    <w:p>
      <w:pPr>
        <w:pStyle w:val="FirstParagraph"/>
      </w:pPr>
      <w:r>
        <w:t xml:space="preserve">De acuerdo con</w:t>
      </w:r>
      <w:r>
        <w:t xml:space="preserve"> </w:t>
      </w:r>
      <w:r>
        <w:t xml:space="preserve">Korn y Graubard (1999)</w:t>
      </w:r>
      <w:r>
        <w:t xml:space="preserve"> </w:t>
      </w:r>
      <w:r>
        <w:t xml:space="preserve">y</w:t>
      </w:r>
      <w:r>
        <w:t xml:space="preserve"> </w:t>
      </w:r>
      <w:r>
        <w:t xml:space="preserve">Heeringa et al. (2017)</w:t>
      </w:r>
      <w:r>
        <w:t xml:space="preserve">, las proporciones obtenidas en las filas de una tabla de doble entrada pueden interpretarse como estimaciones para distintas subpoblaciones, definidas a partir de los niveles de una variable categórica. En este contexto, no solo resulta relevante estimar las proporciones asociadas a cada grupo, sino también evaluar las diferencias existentes entre ellas mediante contrastes lineales.</w:t>
      </w:r>
    </w:p>
    <w:p>
      <w:pPr>
        <w:pStyle w:val="BodyText"/>
      </w:pPr>
      <w:r>
        <w:t xml:space="preserve">Por ejemplo, suponga que el interés está en comparar la proporción de mujeres en condición de pobreza con la proporción de hombres en esta misma situación. Formalmente, este contraste puede expresarse como</w:t>
      </w:r>
      <w:r>
        <w:t xml:space="preserve"> </w:t>
      </w:r>
      <m:oMath>
        <m:sSub>
          <m:e>
            <m:acc>
              <m:accPr>
                <m:chr m:val="̂"/>
              </m:accPr>
              <m:e>
                <m:r>
                  <m:t>p</m:t>
                </m:r>
              </m:e>
            </m:acc>
          </m:e>
          <m:sub>
            <m:r>
              <m:t>F</m:t>
            </m:r>
          </m:sub>
        </m:sSub>
        <m:r>
          <m:rPr>
            <m:sty m:val="p"/>
          </m:rPr>
          <m:t>−</m:t>
        </m:r>
        <m:sSub>
          <m:e>
            <m:acc>
              <m:accPr>
                <m:chr m:val="̂"/>
              </m:accPr>
              <m:e>
                <m:r>
                  <m:t>p</m:t>
                </m:r>
              </m:e>
            </m:acc>
          </m:e>
          <m:sub>
            <m:r>
              <m:t>M</m:t>
            </m:r>
          </m:sub>
        </m:sSub>
      </m:oMath>
      <w:r>
        <w:t xml:space="preserve">, donde</w:t>
      </w:r>
      <w:r>
        <w:t xml:space="preserve"> </w:t>
      </w:r>
      <m:oMath>
        <m:sSub>
          <m:e>
            <m:acc>
              <m:accPr>
                <m:chr m:val="̂"/>
              </m:accPr>
              <m:e>
                <m:r>
                  <m:t>p</m:t>
                </m:r>
              </m:e>
            </m:acc>
          </m:e>
          <m:sub>
            <m:r>
              <m:t>F</m:t>
            </m:r>
          </m:sub>
        </m:sSub>
      </m:oMath>
      <w:r>
        <w:t xml:space="preserve"> </w:t>
      </w:r>
      <w:r>
        <w:t xml:space="preserve">representa la proporción estimada de mujeres en pobreza y</w:t>
      </w:r>
      <w:r>
        <w:t xml:space="preserve"> </w:t>
      </w:r>
      <m:oMath>
        <m:sSub>
          <m:e>
            <m:acc>
              <m:accPr>
                <m:chr m:val="̂"/>
              </m:accPr>
              <m:e>
                <m:r>
                  <m:t>p</m:t>
                </m:r>
              </m:e>
            </m:acc>
          </m:e>
          <m:sub>
            <m:r>
              <m:t>M</m:t>
            </m:r>
          </m:sub>
        </m:sSub>
      </m:oMath>
      <w:r>
        <w:t xml:space="preserve"> </w:t>
      </w:r>
      <w:r>
        <w:t xml:space="preserve">la proporción estimada de hombres en dicha condición. Para construir este contraste, primero se estiman las proporciones de hombres y mujeres en estado de pobreza utilizando el mismo procedimiento descrito en capítulos anteriores. Los resultados correspondientes se presentan en la</w:t>
      </w:r>
      <w:r>
        <w:t xml:space="preserve"> </w:t>
      </w:r>
      <w:hyperlink w:anchor="tbl-svyby-pobreza-sexo2">
        <w:r>
          <w:rPr>
            <w:rStyle w:val="Hyperlink"/>
          </w:rPr>
          <w:t xml:space="preserve">tabla 4.12</w:t>
        </w:r>
      </w:hyperlink>
      <w:r>
        <w:t xml:space="preserve">:</w:t>
      </w:r>
    </w:p>
    <w:p>
      <w:pPr>
        <w:pStyle w:val="SourceCode"/>
      </w:pPr>
      <w:r>
        <w:rPr>
          <w:rStyle w:val="NormalTok"/>
        </w:rPr>
        <w:t xml:space="preserve">sex_poverty_proportion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survey_mean</w:t>
      </w:r>
      <w:r>
        <w:rPr>
          <w:rStyle w:val="NormalTok"/>
        </w:rPr>
        <w:t xml:space="preserve">(poor,</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sex_poverty_contrast </w:t>
      </w:r>
      <w:r>
        <w:rPr>
          <w:rStyle w:val="OtherTok"/>
        </w:rPr>
        <w:t xml:space="preserve">&lt;-</w:t>
      </w:r>
      <w:r>
        <w:rPr>
          <w:rStyle w:val="NormalTok"/>
        </w:rPr>
        <w:t xml:space="preserve"> </w:t>
      </w:r>
      <w:r>
        <w:rPr>
          <w:rStyle w:val="FunctionTok"/>
        </w:rPr>
        <w:t xml:space="preserve">svyby</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SpecialCharTok"/>
        </w:rPr>
        <w:t xml:space="preserve">~</w:t>
      </w:r>
      <w:r>
        <w:rPr>
          <w:rStyle w:val="NormalTok"/>
        </w:rPr>
        <w:t xml:space="preserve">poor,</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Sex,</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0" w:name="tbl-svyby-pobreza-sexo2"/>
          <w:p>
            <w:pPr>
              <w:jc w:val="center"/>
            </w:pPr>
            <w:pPr>
              <w:jc w:val="left"/>
              <w:spacing w:before="200"/>
              <w:pStyle w:val="ImageCaption"/>
            </w:pPr>
            <w:r>
              <w:t xml:space="preserve">Tabla 4.12: Proporción en condición de pobreza por sexo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Sex</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Female</w:t>
                  </w:r>
                </w:p>
              </w:tc>
              <w:tc>
                <w:tcPr/>
                <w:p>
                  <w:pPr>
                    <w:pStyle w:val="Compact"/>
                    <w:jc w:val="right"/>
                    <w:jc w:val="center"/>
                  </w:pPr>
                  <w:r>
                    <w:t xml:space="preserve">0.389</w:t>
                  </w:r>
                </w:p>
              </w:tc>
              <w:tc>
                <w:tcPr/>
                <w:p>
                  <w:pPr>
                    <w:pStyle w:val="Compact"/>
                    <w:jc w:val="right"/>
                    <w:jc w:val="center"/>
                  </w:pPr>
                  <w:r>
                    <w:t xml:space="preserve">0.032</w:t>
                  </w:r>
                </w:p>
              </w:tc>
              <w:tc>
                <w:tcPr/>
                <w:p>
                  <w:pPr>
                    <w:pStyle w:val="Compact"/>
                    <w:jc w:val="right"/>
                    <w:jc w:val="center"/>
                  </w:pPr>
                  <w:r>
                    <w:t xml:space="preserve">0.327</w:t>
                  </w:r>
                </w:p>
              </w:tc>
              <w:tc>
                <w:tcPr/>
                <w:p>
                  <w:pPr>
                    <w:pStyle w:val="Compact"/>
                    <w:jc w:val="right"/>
                    <w:jc w:val="center"/>
                  </w:pPr>
                  <w:r>
                    <w:t xml:space="preserve">0.452</w:t>
                  </w:r>
                </w:p>
              </w:tc>
            </w:tr>
            <w:tr>
              <w:tc>
                <w:tcPr/>
                <w:p>
                  <w:pPr>
                    <w:pStyle w:val="Compact"/>
                    <w:jc w:val="left"/>
                    <w:jc w:val="center"/>
                  </w:pPr>
                  <w:r>
                    <w:t xml:space="preserve">Male</w:t>
                  </w:r>
                </w:p>
              </w:tc>
              <w:tc>
                <w:tcPr/>
                <w:p>
                  <w:pPr>
                    <w:pStyle w:val="Compact"/>
                    <w:jc w:val="right"/>
                    <w:jc w:val="center"/>
                  </w:pPr>
                  <w:r>
                    <w:t xml:space="preserve">0.395</w:t>
                  </w:r>
                </w:p>
              </w:tc>
              <w:tc>
                <w:tcPr/>
                <w:p>
                  <w:pPr>
                    <w:pStyle w:val="Compact"/>
                    <w:jc w:val="right"/>
                    <w:jc w:val="center"/>
                  </w:pPr>
                  <w:r>
                    <w:t xml:space="preserve">0.037</w:t>
                  </w:r>
                </w:p>
              </w:tc>
              <w:tc>
                <w:tcPr/>
                <w:p>
                  <w:pPr>
                    <w:pStyle w:val="Compact"/>
                    <w:jc w:val="right"/>
                    <w:jc w:val="center"/>
                  </w:pPr>
                  <w:r>
                    <w:t xml:space="preserve">0.322</w:t>
                  </w:r>
                </w:p>
              </w:tc>
              <w:tc>
                <w:tcPr/>
                <w:p>
                  <w:pPr>
                    <w:pStyle w:val="Compact"/>
                    <w:jc w:val="right"/>
                    <w:jc w:val="center"/>
                  </w:pPr>
                  <w:r>
                    <w:t xml:space="preserve">0.467</w:t>
                  </w:r>
                </w:p>
              </w:tc>
            </w:tr>
          </w:tbl>
          <w:bookmarkEnd w:id="120"/>
          <w:p/>
        </w:tc>
      </w:tr>
    </w:tbl>
    <w:p>
      <w:pPr>
        <w:pStyle w:val="BodyText"/>
      </w:pPr>
      <w:r>
        <w:t xml:space="preserve">Una vez estimadas las proporciones de hombres y mujeres en condición de pobreza, es posible calcular la diferencia entre ambas proporciones junto con su correspondiente error estándar. En este caso, la diferencia estimada se obtiene restando la proporción de hombres en pobreza a la proporción de mujeres en esta misma condición:</w:t>
      </w:r>
    </w:p>
    <w:p>
      <w:pPr>
        <w:pStyle w:val="SourceCode"/>
      </w:pPr>
      <w:r>
        <w:rPr>
          <w:rStyle w:val="NormalTok"/>
        </w:rPr>
        <w:t xml:space="preserve">sex_poverty_estimate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as.numeric</w:t>
      </w:r>
      <w:r>
        <w:rPr>
          <w:rStyle w:val="NormalTok"/>
        </w:rPr>
        <w:t xml:space="preserve">(sex_poverty_contrast[[</w:t>
      </w:r>
      <w:r>
        <w:rPr>
          <w:rStyle w:val="StringTok"/>
        </w:rPr>
        <w:t xml:space="preserve">"poor"</w:t>
      </w:r>
      <w:r>
        <w:rPr>
          <w:rStyle w:val="NormalTok"/>
        </w:rPr>
        <w:t xml:space="preserve">]]),</w:t>
      </w:r>
      <w:r>
        <w:br/>
      </w:r>
      <w:r>
        <w:rPr>
          <w:rStyle w:val="NormalTok"/>
        </w:rPr>
        <w:t xml:space="preserve">  sex_poverty_contrast[[</w:t>
      </w:r>
      <w:r>
        <w:rPr>
          <w:rStyle w:val="StringTok"/>
        </w:rPr>
        <w:t xml:space="preserve">"Sex"</w:t>
      </w:r>
      <w:r>
        <w:rPr>
          <w:rStyle w:val="NormalTok"/>
        </w:rPr>
        <w:t xml:space="preserve">]]</w:t>
      </w:r>
      <w:r>
        <w:br/>
      </w:r>
      <w:r>
        <w:rPr>
          <w:rStyle w:val="NormalTok"/>
        </w:rPr>
        <w:t xml:space="preserve">)</w:t>
      </w:r>
      <w:r>
        <w:br/>
      </w:r>
      <w:r>
        <w:br/>
      </w:r>
      <w:r>
        <w:rPr>
          <w:rStyle w:val="NormalTok"/>
        </w:rPr>
        <w:t xml:space="preserve">sex_poverty_estimate[</w:t>
      </w:r>
      <w:r>
        <w:rPr>
          <w:rStyle w:val="StringTok"/>
        </w:rPr>
        <w:t xml:space="preserve">"Female"</w:t>
      </w:r>
      <w:r>
        <w:rPr>
          <w:rStyle w:val="NormalTok"/>
        </w:rPr>
        <w:t xml:space="preserve">] </w:t>
      </w:r>
      <w:r>
        <w:rPr>
          <w:rStyle w:val="SpecialCharTok"/>
        </w:rPr>
        <w:t xml:space="preserve">-</w:t>
      </w:r>
      <w:r>
        <w:rPr>
          <w:rStyle w:val="NormalTok"/>
        </w:rPr>
        <w:t xml:space="preserve"> sex_poverty_estimate[</w:t>
      </w:r>
      <w:r>
        <w:rPr>
          <w:rStyle w:val="StringTok"/>
        </w:rPr>
        <w:t xml:space="preserve">"Male"</w:t>
      </w:r>
      <w:r>
        <w:rPr>
          <w:rStyle w:val="NormalTok"/>
        </w:rPr>
        <w:t xml:space="preserve">]</w:t>
      </w:r>
    </w:p>
    <w:p>
      <w:pPr>
        <w:pStyle w:val="SourceCode"/>
      </w:pPr>
      <w:r>
        <w:rPr>
          <w:rStyle w:val="VerbatimChar"/>
        </w:rPr>
        <w:t xml:space="preserve">  Female </w:t>
      </w:r>
      <w:r>
        <w:br/>
      </w:r>
      <w:r>
        <w:rPr>
          <w:rStyle w:val="VerbatimChar"/>
        </w:rPr>
        <w:t xml:space="preserve">-0.00532 </w:t>
      </w:r>
    </w:p>
    <w:p>
      <w:pPr>
        <w:pStyle w:val="FirstParagraph"/>
      </w:pPr>
      <w:r>
        <w:t xml:space="preserve">Para calcular correctamente la variabilidad asociada a esta diferencia, no basta con considerar únicamente las varianzas de cada estimación por separado. También es necesario incorporar la covarianza entre ambas proporciones, dado que las estimaciones provienen de una misma muestra y, por tanto, no son independientes. La matriz de varianzas y covarianzas puede obtenerse mediante la función</w:t>
      </w:r>
      <w:r>
        <w:t xml:space="preserve"> </w:t>
      </w:r>
      <w:r>
        <w:rPr>
          <w:rStyle w:val="VerbatimChar"/>
        </w:rPr>
        <w:t xml:space="preserve">vcov</w:t>
      </w:r>
      <w:r>
        <w:t xml:space="preserve">, cuyos resultados se presentan en la</w:t>
      </w:r>
      <w:r>
        <w:t xml:space="preserve"> </w:t>
      </w:r>
      <w:hyperlink w:anchor="tbl-vcov-sex-pobreza">
        <w:r>
          <w:rPr>
            <w:rStyle w:val="Hyperlink"/>
          </w:rPr>
          <w:t xml:space="preserve">tabla 4.13</w:t>
        </w:r>
      </w:hyperlink>
      <w:r>
        <w:t xml:space="preserve">:</w:t>
      </w:r>
    </w:p>
    <w:p>
      <w:pPr>
        <w:pStyle w:val="SourceCode"/>
      </w:pPr>
      <w:r>
        <w:rPr>
          <w:rStyle w:val="NormalTok"/>
        </w:rPr>
        <w:t xml:space="preserve">sex_poverty_vcov </w:t>
      </w:r>
      <w:r>
        <w:rPr>
          <w:rStyle w:val="OtherTok"/>
        </w:rPr>
        <w:t xml:space="preserve">&lt;-</w:t>
      </w:r>
      <w:r>
        <w:rPr>
          <w:rStyle w:val="NormalTok"/>
        </w:rPr>
        <w:t xml:space="preserve"> </w:t>
      </w:r>
      <w:r>
        <w:rPr>
          <w:rStyle w:val="FunctionTok"/>
        </w:rPr>
        <w:t xml:space="preserve">vcov</w:t>
      </w:r>
      <w:r>
        <w:rPr>
          <w:rStyle w:val="NormalTok"/>
        </w:rPr>
        <w:t xml:space="preserve">(sex_poverty_contrast)</w:t>
      </w:r>
      <w:r>
        <w:br/>
      </w:r>
      <w:r>
        <w:br/>
      </w:r>
      <w:r>
        <w:rPr>
          <w:rStyle w:val="NormalTok"/>
        </w:rPr>
        <w:t xml:space="preserve">sex_poverty_vcov </w:t>
      </w:r>
      <w:r>
        <w:rPr>
          <w:rStyle w:val="SpecialCharTok"/>
        </w:rPr>
        <w:t xml:space="preserve">%&gt;%</w:t>
      </w:r>
      <w:r>
        <w:br/>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Female     Male</w:t>
      </w:r>
      <w:r>
        <w:br/>
      </w:r>
      <w:r>
        <w:rPr>
          <w:rStyle w:val="VerbatimChar"/>
        </w:rPr>
        <w:t xml:space="preserve">Female 0.000998 0.000918</w:t>
      </w:r>
      <w:r>
        <w:br/>
      </w:r>
      <w:r>
        <w:rPr>
          <w:rStyle w:val="VerbatimChar"/>
        </w:rPr>
        <w:t xml:space="preserve">Male   0.000918 0.001342</w:t>
      </w:r>
    </w:p>
    <w:tbl>
      <w:tblPr>
        <w:tblStyle w:val="Table"/>
        <w:tblW w:type="pct" w:w="5000"/>
        <w:tblLayout w:type="fixed"/>
        <w:tblLook w:firstRow="0" w:lastRow="0" w:firstColumn="0" w:lastColumn="0" w:noHBand="0" w:noVBand="0" w:val="0000"/>
      </w:tblPr>
      <w:tblGrid>
        <w:gridCol w:w="7920"/>
      </w:tblGrid>
      <w:tr>
        <w:tc>
          <w:tcPr/>
          <w:bookmarkStart w:id="121" w:name="tbl-vcov-sex-pobreza"/>
          <w:p>
            <w:pPr>
              <w:jc w:val="center"/>
            </w:pPr>
            <w:pPr>
              <w:jc w:val="left"/>
              <w:spacing w:before="200"/>
              <w:pStyle w:val="ImageCaption"/>
            </w:pPr>
            <w:r>
              <w:t xml:space="preserve">Tabla 4.13: Matriz de varianzas y covarianzas de la proporción de pobreza por sexo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Female</w:t>
                  </w:r>
                </w:p>
              </w:tc>
              <w:tc>
                <w:tcPr/>
                <w:p>
                  <w:pPr>
                    <w:pStyle w:val="Compact"/>
                    <w:jc w:val="right"/>
                    <w:jc w:val="center"/>
                  </w:pPr>
                  <w:r>
                    <w:t xml:space="preserve">Male</w:t>
                  </w:r>
                </w:p>
              </w:tc>
            </w:tr>
            <w:tr>
              <w:tc>
                <w:tcPr/>
                <w:p>
                  <w:pPr>
                    <w:pStyle w:val="Compact"/>
                    <w:jc w:val="left"/>
                    <w:jc w:val="center"/>
                  </w:pPr>
                  <w:r>
                    <w:t xml:space="preserve">Female</w:t>
                  </w:r>
                </w:p>
              </w:tc>
              <w:tc>
                <w:tcPr/>
                <w:p>
                  <w:pPr>
                    <w:pStyle w:val="Compact"/>
                    <w:jc w:val="right"/>
                    <w:jc w:val="center"/>
                  </w:pPr>
                  <w:r>
                    <w:t xml:space="preserve">0.000998</w:t>
                  </w:r>
                </w:p>
              </w:tc>
              <w:tc>
                <w:tcPr/>
                <w:p>
                  <w:pPr>
                    <w:pStyle w:val="Compact"/>
                    <w:jc w:val="right"/>
                    <w:jc w:val="center"/>
                  </w:pPr>
                  <w:r>
                    <w:t xml:space="preserve">0.000918</w:t>
                  </w:r>
                </w:p>
              </w:tc>
            </w:tr>
            <w:tr>
              <w:tc>
                <w:tcPr/>
                <w:p>
                  <w:pPr>
                    <w:pStyle w:val="Compact"/>
                    <w:jc w:val="left"/>
                    <w:jc w:val="center"/>
                  </w:pPr>
                  <w:r>
                    <w:t xml:space="preserve">Male</w:t>
                  </w:r>
                </w:p>
              </w:tc>
              <w:tc>
                <w:tcPr/>
                <w:p>
                  <w:pPr>
                    <w:pStyle w:val="Compact"/>
                    <w:jc w:val="right"/>
                    <w:jc w:val="center"/>
                  </w:pPr>
                  <w:r>
                    <w:t xml:space="preserve">0.000918</w:t>
                  </w:r>
                </w:p>
              </w:tc>
              <w:tc>
                <w:tcPr/>
                <w:p>
                  <w:pPr>
                    <w:pStyle w:val="Compact"/>
                    <w:jc w:val="right"/>
                    <w:jc w:val="center"/>
                  </w:pPr>
                  <w:r>
                    <w:t xml:space="preserve">0.001342</w:t>
                  </w:r>
                </w:p>
              </w:tc>
            </w:tr>
          </w:tbl>
          <w:bookmarkEnd w:id="121"/>
          <w:p/>
        </w:tc>
      </w:tr>
    </w:tbl>
    <w:p>
      <w:pPr>
        <w:pStyle w:val="BodyText"/>
      </w:pPr>
      <w:r>
        <w:t xml:space="preserve">A partir de esta matriz, el error estándar de la diferencia de proporciones se estima, utilizando la expresión general para la varianza de una diferencia entre estimadores, la cual corresponde a la suma de las varianzas de cada estimación menos dos veces la covarianza entre ellas. Para evitar inconsistencias derivadas del redondeo de los valores presentados en la</w:t>
      </w:r>
      <w:r>
        <w:t xml:space="preserve"> </w:t>
      </w:r>
      <w:hyperlink w:anchor="tbl-vcov-sex-pobreza">
        <w:r>
          <w:rPr>
            <w:rStyle w:val="Hyperlink"/>
          </w:rPr>
          <w:t xml:space="preserve">tabla 4.13</w:t>
        </w:r>
      </w:hyperlink>
      <w:r>
        <w:t xml:space="preserve">, la verificación se realiza directamente con las entradas de la matriz estimada:</w:t>
      </w:r>
    </w:p>
    <w:p>
      <w:pPr>
        <w:pStyle w:val="SourceCode"/>
      </w:pPr>
      <w:r>
        <w:rPr>
          <w:rStyle w:val="FunctionTok"/>
        </w:rPr>
        <w:t xml:space="preserve">sqrt</w:t>
      </w:r>
      <w:r>
        <w:rPr>
          <w:rStyle w:val="NormalTok"/>
        </w:rPr>
        <w:t xml:space="preserve">(</w:t>
      </w:r>
      <w:r>
        <w:br/>
      </w:r>
      <w:r>
        <w:rPr>
          <w:rStyle w:val="NormalTok"/>
        </w:rPr>
        <w:t xml:space="preserve">  sex_poverty_vcov[</w:t>
      </w:r>
      <w:r>
        <w:rPr>
          <w:rStyle w:val="StringTok"/>
        </w:rPr>
        <w:t xml:space="preserve">"Female"</w:t>
      </w:r>
      <w:r>
        <w:rPr>
          <w:rStyle w:val="NormalTok"/>
        </w:rPr>
        <w:t xml:space="preserve">, </w:t>
      </w:r>
      <w:r>
        <w:rPr>
          <w:rStyle w:val="StringTok"/>
        </w:rPr>
        <w:t xml:space="preserve">"Female"</w:t>
      </w:r>
      <w:r>
        <w:rPr>
          <w:rStyle w:val="NormalTok"/>
        </w:rPr>
        <w:t xml:space="preserve">] </w:t>
      </w:r>
      <w:r>
        <w:rPr>
          <w:rStyle w:val="SpecialCharTok"/>
        </w:rPr>
        <w:t xml:space="preserve">+</w:t>
      </w:r>
      <w:r>
        <w:br/>
      </w:r>
      <w:r>
        <w:rPr>
          <w:rStyle w:val="NormalTok"/>
        </w:rPr>
        <w:t xml:space="preserve">    sex_poverty_vcov[</w:t>
      </w:r>
      <w:r>
        <w:rPr>
          <w:rStyle w:val="StringTok"/>
        </w:rPr>
        <w:t xml:space="preserve">"Male"</w:t>
      </w:r>
      <w:r>
        <w:rPr>
          <w:rStyle w:val="NormalTok"/>
        </w:rPr>
        <w:t xml:space="preserve">, </w:t>
      </w:r>
      <w:r>
        <w:rPr>
          <w:rStyle w:val="StringTok"/>
        </w:rPr>
        <w:t xml:space="preserve">"Male"</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sex_poverty_vcov[</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w:t>
      </w:r>
    </w:p>
    <w:p>
      <w:pPr>
        <w:pStyle w:val="SourceCode"/>
      </w:pPr>
      <w:r>
        <w:rPr>
          <w:rStyle w:val="VerbatimChar"/>
        </w:rPr>
        <w:t xml:space="preserve">[1] 0.0224</w:t>
      </w:r>
    </w:p>
    <w:p>
      <w:pPr>
        <w:pStyle w:val="FirstParagraph"/>
      </w:pPr>
      <w:r>
        <w:t xml:space="preserve">No obstante, el paquete</w:t>
      </w:r>
      <w:r>
        <w:t xml:space="preserve"> </w:t>
      </w:r>
      <w:r>
        <w:rPr>
          <w:rStyle w:val="VerbatimChar"/>
        </w:rPr>
        <w:t xml:space="preserve">survey</w:t>
      </w:r>
      <w:r>
        <w:t xml:space="preserve"> </w:t>
      </w:r>
      <w:r>
        <w:t xml:space="preserve">permite realizar este procedimiento de forma directa mediante la función</w:t>
      </w:r>
      <w:r>
        <w:t xml:space="preserve"> </w:t>
      </w:r>
      <w:r>
        <w:rPr>
          <w:rStyle w:val="VerbatimChar"/>
        </w:rPr>
        <w:t xml:space="preserve">svycontrast</w:t>
      </w:r>
      <w:r>
        <w:t xml:space="preserve">, la cual calcula tanto el contraste lineal como su error estándar asociado. Para obtener la diferencia entre las proporciones de mujeres y hombres en condición de pobreza, se utiliza el siguiente código:</w:t>
      </w:r>
    </w:p>
    <w:p>
      <w:pPr>
        <w:pStyle w:val="SourceCode"/>
      </w:pPr>
      <w:r>
        <w:rPr>
          <w:rStyle w:val="FunctionTok"/>
        </w:rPr>
        <w:t xml:space="preserve">svycontrast</w:t>
      </w:r>
      <w:r>
        <w:rPr>
          <w:rStyle w:val="NormalTok"/>
        </w:rPr>
        <w:t xml:space="preserve">(</w:t>
      </w:r>
      <w:r>
        <w:br/>
      </w:r>
      <w:r>
        <w:rPr>
          <w:rStyle w:val="NormalTok"/>
        </w:rPr>
        <w:t xml:space="preserve">  </w:t>
      </w:r>
      <w:r>
        <w:rPr>
          <w:rStyle w:val="AttributeTok"/>
        </w:rPr>
        <w:t xml:space="preserve">stat =</w:t>
      </w:r>
      <w:r>
        <w:rPr>
          <w:rStyle w:val="NormalTok"/>
        </w:rPr>
        <w:t xml:space="preserve"> sex_poverty_contrast,</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rPr>
          <w:rStyle w:val="AttributeTok"/>
        </w:rPr>
        <w:t xml:space="preserve">sex_difference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contrast sex_difference</w:t>
      </w:r>
      <w:r>
        <w:br/>
      </w:r>
      <w:r>
        <w:rPr>
          <w:rStyle w:val="VerbatimChar"/>
        </w:rPr>
        <w:t xml:space="preserve">sex_difference -0.00532         0.0224</w:t>
      </w:r>
    </w:p>
    <w:p>
      <w:pPr>
        <w:pStyle w:val="FirstParagraph"/>
      </w:pPr>
      <w:r>
        <w:t xml:space="preserve">De lo que se concluye que la diferencia estimada entre las proporciones de mujeres y hombres en estado de pobreza es -0.005 (-0.5%), con un error estándar de 0.022. Dada la magnitud del error estándar respecto de la diferencia, la estimación es compatible con una diferencia nula y no debe interpretarse por sí sola como evidencia de una menor proporción de pobreza entre las mujeres.</w:t>
      </w:r>
    </w:p>
    <w:p>
      <w:pPr>
        <w:pStyle w:val="BodyText"/>
      </w:pPr>
      <w:r>
        <w:t xml:space="preserve">Otro ejercicio que puede desarrollarse a partir de una encuesta de hogares consiste en estimar la proporción de personas desempleadas según la región de residencia. Para ello, se estiman las proporciones de desempleo para cada una de las regiones consideradas en el análisis. Los resultados obtenidos se presentan en la</w:t>
      </w:r>
      <w:r>
        <w:t xml:space="preserve"> </w:t>
      </w:r>
      <w:hyperlink w:anchor="tbl-svyby-desempleo-region">
        <w:r>
          <w:rPr>
            <w:rStyle w:val="Hyperlink"/>
          </w:rPr>
          <w:t xml:space="preserve">tabla 4.14</w:t>
        </w:r>
      </w:hyperlink>
      <w:r>
        <w:t xml:space="preserve">:</w:t>
      </w:r>
    </w:p>
    <w:p>
      <w:pPr>
        <w:pStyle w:val="SourceCode"/>
      </w:pPr>
      <w:r>
        <w:rPr>
          <w:rStyle w:val="NormalTok"/>
        </w:rPr>
        <w:t xml:space="preserve">region_unemployment_proportion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(unemployed)) </w:t>
      </w:r>
      <w:r>
        <w:rPr>
          <w:rStyle w:val="SpecialCharTok"/>
        </w:rPr>
        <w:t xml:space="preserve">%&gt;%</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survey_mean</w:t>
      </w:r>
      <w:r>
        <w:rPr>
          <w:rStyle w:val="NormalTok"/>
        </w:rPr>
        <w:t xml:space="preserve">(unemployed,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region_unemployment_contrast </w:t>
      </w:r>
      <w:r>
        <w:rPr>
          <w:rStyle w:val="OtherTok"/>
        </w:rPr>
        <w:t xml:space="preserve">&lt;-</w:t>
      </w:r>
      <w:r>
        <w:rPr>
          <w:rStyle w:val="NormalTok"/>
        </w:rPr>
        <w:t xml:space="preserve"> </w:t>
      </w:r>
      <w:r>
        <w:rPr>
          <w:rStyle w:val="FunctionTok"/>
        </w:rPr>
        <w:t xml:space="preserve">svyby</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SpecialCharTok"/>
        </w:rPr>
        <w:t xml:space="preserve">~</w:t>
      </w:r>
      <w:r>
        <w:rPr>
          <w:rStyle w:val="NormalTok"/>
        </w:rPr>
        <w:t xml:space="preserve">unemployed,</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Region,</w:t>
      </w:r>
      <w:r>
        <w:br/>
      </w:r>
      <w:r>
        <w:rPr>
          <w:rStyle w:val="NormalTok"/>
        </w:rPr>
        <w:t xml:space="preserve">  </w:t>
      </w:r>
      <w:r>
        <w:rPr>
          <w:rStyle w:val="AttributeTok"/>
        </w:rPr>
        <w:t xml:space="preserve">design =</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(unemployed)),</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2" w:name="tbl-svyby-desempleo-region"/>
          <w:p>
            <w:pPr>
              <w:jc w:val="center"/>
            </w:pPr>
            <w:pPr>
              <w:jc w:val="left"/>
              <w:spacing w:before="200"/>
              <w:pStyle w:val="ImageCaption"/>
            </w:pPr>
            <w:r>
              <w:t xml:space="preserve">Tabla 4.14: Proporción en condición de desempleo por región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Norte</w:t>
                  </w:r>
                </w:p>
              </w:tc>
              <w:tc>
                <w:tcPr/>
                <w:p>
                  <w:pPr>
                    <w:pStyle w:val="Compact"/>
                    <w:jc w:val="right"/>
                    <w:jc w:val="center"/>
                  </w:pPr>
                  <w:r>
                    <w:t xml:space="preserve">0.049</w:t>
                  </w:r>
                </w:p>
              </w:tc>
              <w:tc>
                <w:tcPr/>
                <w:p>
                  <w:pPr>
                    <w:pStyle w:val="Compact"/>
                    <w:jc w:val="right"/>
                    <w:jc w:val="center"/>
                  </w:pPr>
                  <w:r>
                    <w:t xml:space="preserve">0.020</w:t>
                  </w:r>
                </w:p>
              </w:tc>
              <w:tc>
                <w:tcPr/>
                <w:p>
                  <w:pPr>
                    <w:pStyle w:val="Compact"/>
                    <w:jc w:val="right"/>
                    <w:jc w:val="center"/>
                  </w:pPr>
                  <w:r>
                    <w:t xml:space="preserve">0.009</w:t>
                  </w:r>
                </w:p>
              </w:tc>
              <w:tc>
                <w:tcPr/>
                <w:p>
                  <w:pPr>
                    <w:pStyle w:val="Compact"/>
                    <w:jc w:val="right"/>
                    <w:jc w:val="center"/>
                  </w:pPr>
                  <w:r>
                    <w:t xml:space="preserve">0.088</w:t>
                  </w:r>
                </w:p>
              </w:tc>
            </w:tr>
            <w:tr>
              <w:tc>
                <w:tcPr/>
                <w:p>
                  <w:pPr>
                    <w:pStyle w:val="Compact"/>
                    <w:jc w:val="left"/>
                    <w:jc w:val="center"/>
                  </w:pPr>
                  <w:r>
                    <w:t xml:space="preserve">Sur</w:t>
                  </w:r>
                </w:p>
              </w:tc>
              <w:tc>
                <w:tcPr/>
                <w:p>
                  <w:pPr>
                    <w:pStyle w:val="Compact"/>
                    <w:jc w:val="right"/>
                    <w:jc w:val="center"/>
                  </w:pPr>
                  <w:r>
                    <w:t xml:space="preserve">0.066</w:t>
                  </w:r>
                </w:p>
              </w:tc>
              <w:tc>
                <w:tcPr/>
                <w:p>
                  <w:pPr>
                    <w:pStyle w:val="Compact"/>
                    <w:jc w:val="right"/>
                    <w:jc w:val="center"/>
                  </w:pPr>
                  <w:r>
                    <w:t xml:space="preserve">0.024</w:t>
                  </w:r>
                </w:p>
              </w:tc>
              <w:tc>
                <w:tcPr/>
                <w:p>
                  <w:pPr>
                    <w:pStyle w:val="Compact"/>
                    <w:jc w:val="right"/>
                    <w:jc w:val="center"/>
                  </w:pPr>
                  <w:r>
                    <w:t xml:space="preserve">0.019</w:t>
                  </w:r>
                </w:p>
              </w:tc>
              <w:tc>
                <w:tcPr/>
                <w:p>
                  <w:pPr>
                    <w:pStyle w:val="Compact"/>
                    <w:jc w:val="right"/>
                    <w:jc w:val="center"/>
                  </w:pPr>
                  <w:r>
                    <w:t xml:space="preserve">0.113</w:t>
                  </w:r>
                </w:p>
              </w:tc>
            </w:tr>
            <w:tr>
              <w:tc>
                <w:tcPr/>
                <w:p>
                  <w:pPr>
                    <w:pStyle w:val="Compact"/>
                    <w:jc w:val="left"/>
                    <w:jc w:val="center"/>
                  </w:pPr>
                  <w:r>
                    <w:t xml:space="preserve">Centro</w:t>
                  </w:r>
                </w:p>
              </w:tc>
              <w:tc>
                <w:tcPr/>
                <w:p>
                  <w:pPr>
                    <w:pStyle w:val="Compact"/>
                    <w:jc w:val="right"/>
                    <w:jc w:val="center"/>
                  </w:pPr>
                  <w:r>
                    <w:t xml:space="preserve">0.039</w:t>
                  </w:r>
                </w:p>
              </w:tc>
              <w:tc>
                <w:tcPr/>
                <w:p>
                  <w:pPr>
                    <w:pStyle w:val="Compact"/>
                    <w:jc w:val="right"/>
                    <w:jc w:val="center"/>
                  </w:pPr>
                  <w:r>
                    <w:t xml:space="preserve">0.012</w:t>
                  </w:r>
                </w:p>
              </w:tc>
              <w:tc>
                <w:tcPr/>
                <w:p>
                  <w:pPr>
                    <w:pStyle w:val="Compact"/>
                    <w:jc w:val="right"/>
                    <w:jc w:val="center"/>
                  </w:pPr>
                  <w:r>
                    <w:t xml:space="preserve">0.014</w:t>
                  </w:r>
                </w:p>
              </w:tc>
              <w:tc>
                <w:tcPr/>
                <w:p>
                  <w:pPr>
                    <w:pStyle w:val="Compact"/>
                    <w:jc w:val="right"/>
                    <w:jc w:val="center"/>
                  </w:pPr>
                  <w:r>
                    <w:t xml:space="preserve">0.063</w:t>
                  </w:r>
                </w:p>
              </w:tc>
            </w:tr>
            <w:tr>
              <w:tc>
                <w:tcPr/>
                <w:p>
                  <w:pPr>
                    <w:pStyle w:val="Compact"/>
                    <w:jc w:val="left"/>
                    <w:jc w:val="center"/>
                  </w:pPr>
                  <w:r>
                    <w:t xml:space="preserve">Occidente</w:t>
                  </w:r>
                </w:p>
              </w:tc>
              <w:tc>
                <w:tcPr/>
                <w:p>
                  <w:pPr>
                    <w:pStyle w:val="Compact"/>
                    <w:jc w:val="right"/>
                    <w:jc w:val="center"/>
                  </w:pPr>
                  <w:r>
                    <w:t xml:space="preserve">0.040</w:t>
                  </w:r>
                </w:p>
              </w:tc>
              <w:tc>
                <w:tcPr/>
                <w:p>
                  <w:pPr>
                    <w:pStyle w:val="Compact"/>
                    <w:jc w:val="right"/>
                    <w:jc w:val="center"/>
                  </w:pPr>
                  <w:r>
                    <w:t xml:space="preserve">0.012</w:t>
                  </w:r>
                </w:p>
              </w:tc>
              <w:tc>
                <w:tcPr/>
                <w:p>
                  <w:pPr>
                    <w:pStyle w:val="Compact"/>
                    <w:jc w:val="right"/>
                    <w:jc w:val="center"/>
                  </w:pPr>
                  <w:r>
                    <w:t xml:space="preserve">0.016</w:t>
                  </w:r>
                </w:p>
              </w:tc>
              <w:tc>
                <w:tcPr/>
                <w:p>
                  <w:pPr>
                    <w:pStyle w:val="Compact"/>
                    <w:jc w:val="right"/>
                    <w:jc w:val="center"/>
                  </w:pPr>
                  <w:r>
                    <w:t xml:space="preserve">0.064</w:t>
                  </w:r>
                </w:p>
              </w:tc>
            </w:tr>
            <w:tr>
              <w:tc>
                <w:tcPr/>
                <w:p>
                  <w:pPr>
                    <w:pStyle w:val="Compact"/>
                    <w:jc w:val="left"/>
                    <w:jc w:val="center"/>
                  </w:pPr>
                  <w:r>
                    <w:t xml:space="preserve">Oriente</w:t>
                  </w:r>
                </w:p>
              </w:tc>
              <w:tc>
                <w:tcPr/>
                <w:p>
                  <w:pPr>
                    <w:pStyle w:val="Compact"/>
                    <w:jc w:val="right"/>
                    <w:jc w:val="center"/>
                  </w:pPr>
                  <w:r>
                    <w:t xml:space="preserve">0.030</w:t>
                  </w:r>
                </w:p>
              </w:tc>
              <w:tc>
                <w:tcPr/>
                <w:p>
                  <w:pPr>
                    <w:pStyle w:val="Compact"/>
                    <w:jc w:val="right"/>
                    <w:jc w:val="center"/>
                  </w:pPr>
                  <w:r>
                    <w:t xml:space="preserve">0.013</w:t>
                  </w:r>
                </w:p>
              </w:tc>
              <w:tc>
                <w:tcPr/>
                <w:p>
                  <w:pPr>
                    <w:pStyle w:val="Compact"/>
                    <w:jc w:val="right"/>
                    <w:jc w:val="center"/>
                  </w:pPr>
                  <w:r>
                    <w:t xml:space="preserve">0.005</w:t>
                  </w:r>
                </w:p>
              </w:tc>
              <w:tc>
                <w:tcPr/>
                <w:p>
                  <w:pPr>
                    <w:pStyle w:val="Compact"/>
                    <w:jc w:val="right"/>
                    <w:jc w:val="center"/>
                  </w:pPr>
                  <w:r>
                    <w:t xml:space="preserve">0.054</w:t>
                  </w:r>
                </w:p>
              </w:tc>
            </w:tr>
          </w:tbl>
          <w:bookmarkEnd w:id="122"/>
          <w:p/>
        </w:tc>
      </w:tr>
    </w:tbl>
    <w:p>
      <w:pPr>
        <w:pStyle w:val="BodyText"/>
      </w:pPr>
      <w:r>
        <w:t xml:space="preserve">Una vez estimadas las proporciones de desempleo por región, el siguiente paso consiste en evaluar si existen diferencias estadísticamente significativas entre algunas de estas proporciones mediante contrastes lineales. En particular, el interés se centra en comparar las diferencias entre las proporciones estimadas de desempleo de distintas regiones. Los contrastes considerados corresponden a</w:t>
      </w:r>
      <w:r>
        <w:t xml:space="preserve"> </w:t>
      </w:r>
      <m:oMath>
        <m:sSub>
          <m:e>
            <m:acc>
              <m:accPr>
                <m:chr m:val="̂"/>
              </m:accPr>
              <m:e>
                <m:r>
                  <m:t>p</m:t>
                </m:r>
              </m:e>
            </m:acc>
          </m:e>
          <m:sub>
            <m:r>
              <m:t>N</m:t>
            </m:r>
            <m:r>
              <m:t>o</m:t>
            </m:r>
            <m:r>
              <m:t>r</m:t>
            </m:r>
            <m:r>
              <m:t>t</m:t>
            </m:r>
            <m:r>
              <m:t>e</m:t>
            </m:r>
          </m:sub>
        </m:sSub>
        <m:r>
          <m:rPr>
            <m:sty m:val="p"/>
          </m:rPr>
          <m:t>−</m:t>
        </m:r>
        <m:sSub>
          <m:e>
            <m:acc>
              <m:accPr>
                <m:chr m:val="̂"/>
              </m:accPr>
              <m:e>
                <m:r>
                  <m:t>p</m:t>
                </m:r>
              </m:e>
            </m:acc>
          </m:e>
          <m:sub>
            <m:r>
              <m:t>C</m:t>
            </m:r>
            <m:r>
              <m:t>e</m:t>
            </m:r>
            <m:r>
              <m:t>n</m:t>
            </m:r>
            <m:r>
              <m:t>t</m:t>
            </m:r>
            <m:r>
              <m:t>r</m:t>
            </m:r>
            <m:r>
              <m:t>o</m:t>
            </m:r>
          </m:sub>
        </m:sSub>
        <m:r>
          <m:rPr>
            <m:sty m:val="p"/>
          </m:rPr>
          <m:t>=</m:t>
        </m:r>
        <m:r>
          <m:t>0.01004</m:t>
        </m:r>
      </m:oMath>
      <w:r>
        <w:t xml:space="preserve">,</w:t>
      </w:r>
      <w:r>
        <w:t xml:space="preserve"> </w:t>
      </w:r>
      <m:oMath>
        <m:sSub>
          <m:e>
            <m:acc>
              <m:accPr>
                <m:chr m:val="̂"/>
              </m:accPr>
              <m:e>
                <m:r>
                  <m:t>p</m:t>
                </m:r>
              </m:e>
            </m:acc>
          </m:e>
          <m:sub>
            <m:r>
              <m:t>S</m:t>
            </m:r>
            <m:r>
              <m:t>u</m:t>
            </m:r>
            <m:r>
              <m:t>r</m:t>
            </m:r>
          </m:sub>
        </m:sSub>
        <m:r>
          <m:rPr>
            <m:sty m:val="p"/>
          </m:rPr>
          <m:t>−</m:t>
        </m:r>
        <m:sSub>
          <m:e>
            <m:acc>
              <m:accPr>
                <m:chr m:val="̂"/>
              </m:accPr>
              <m:e>
                <m:r>
                  <m:t>p</m:t>
                </m:r>
              </m:e>
            </m:acc>
          </m:e>
          <m:sub>
            <m:r>
              <m:t>C</m:t>
            </m:r>
            <m:r>
              <m:t>e</m:t>
            </m:r>
            <m:r>
              <m:t>n</m:t>
            </m:r>
            <m:r>
              <m:t>t</m:t>
            </m:r>
            <m:r>
              <m:t>r</m:t>
            </m:r>
            <m:r>
              <m:t>o</m:t>
            </m:r>
          </m:sub>
        </m:sSub>
        <m:r>
          <m:rPr>
            <m:sty m:val="p"/>
          </m:rPr>
          <m:t>=</m:t>
        </m:r>
        <m:r>
          <m:t>0.02691</m:t>
        </m:r>
      </m:oMath>
      <w:r>
        <w:t xml:space="preserve"> </w:t>
      </w:r>
      <w:r>
        <w:t xml:space="preserve">y</w:t>
      </w:r>
      <w:r>
        <w:t xml:space="preserve"> </w:t>
      </w:r>
      <m:oMath>
        <m:sSub>
          <m:e>
            <m:acc>
              <m:accPr>
                <m:chr m:val="̂"/>
              </m:accPr>
              <m:e>
                <m:r>
                  <m:t>p</m:t>
                </m:r>
              </m:e>
            </m:acc>
          </m:e>
          <m:sub>
            <m:r>
              <m:t>O</m:t>
            </m:r>
            <m:r>
              <m:t>c</m:t>
            </m:r>
            <m:r>
              <m:t>c</m:t>
            </m:r>
            <m:r>
              <m:t>i</m:t>
            </m:r>
            <m:r>
              <m:t>d</m:t>
            </m:r>
            <m:r>
              <m:t>e</m:t>
            </m:r>
            <m:r>
              <m:t>n</m:t>
            </m:r>
            <m:r>
              <m:t>t</m:t>
            </m:r>
            <m:r>
              <m:t>e</m:t>
            </m:r>
          </m:sub>
        </m:sSub>
        <m:r>
          <m:rPr>
            <m:sty m:val="p"/>
          </m:rPr>
          <m:t>−</m:t>
        </m:r>
        <m:sSub>
          <m:e>
            <m:acc>
              <m:accPr>
                <m:chr m:val="̂"/>
              </m:accPr>
              <m:e>
                <m:r>
                  <m:t>p</m:t>
                </m:r>
              </m:e>
            </m:acc>
          </m:e>
          <m:sub>
            <m:r>
              <m:t>O</m:t>
            </m:r>
            <m:r>
              <m:t>r</m:t>
            </m:r>
            <m:r>
              <m:t>i</m:t>
            </m:r>
            <m:r>
              <m:t>e</m:t>
            </m:r>
            <m:r>
              <m:t>n</m:t>
            </m:r>
            <m:r>
              <m:t>t</m:t>
            </m:r>
            <m:r>
              <m:t>e</m:t>
            </m:r>
          </m:sub>
        </m:sSub>
        <m:r>
          <m:rPr>
            <m:sty m:val="p"/>
          </m:rPr>
          <m:t>=</m:t>
        </m:r>
        <m:r>
          <m:t>0.01046</m:t>
        </m:r>
      </m:oMath>
      <w:r>
        <w:t xml:space="preserve">. De manera matricial, estos contrastes entre regiones pueden escribirse así:</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1</m:t>
                    </m:r>
                  </m:e>
                  <m:e>
                    <m:r>
                      <m:t>0</m:t>
                    </m:r>
                  </m:e>
                  <m:e>
                    <m:r>
                      <m:t>0</m:t>
                    </m:r>
                  </m:e>
                </m:mr>
                <m:mr>
                  <m:e>
                    <m:r>
                      <m:t>0</m:t>
                    </m:r>
                  </m:e>
                  <m:e>
                    <m:r>
                      <m:t>1</m:t>
                    </m:r>
                  </m:e>
                  <m:e>
                    <m:r>
                      <m:rPr>
                        <m:sty m:val="p"/>
                      </m:rPr>
                      <m:t>−</m:t>
                    </m:r>
                    <m:r>
                      <m:t>1</m:t>
                    </m:r>
                  </m:e>
                  <m:e>
                    <m:r>
                      <m:t>0</m:t>
                    </m:r>
                  </m:e>
                  <m:e>
                    <m:r>
                      <m:t>0</m:t>
                    </m:r>
                  </m:e>
                </m:mr>
                <m:mr>
                  <m:e>
                    <m:r>
                      <m:t>0</m:t>
                    </m:r>
                  </m:e>
                  <m:e>
                    <m:r>
                      <m:t>0</m:t>
                    </m:r>
                  </m:e>
                  <m:e>
                    <m:r>
                      <m:t>0</m:t>
                    </m:r>
                  </m:e>
                  <m:e>
                    <m:r>
                      <m:t>1</m:t>
                    </m:r>
                  </m:e>
                  <m:e>
                    <m:r>
                      <m:rPr>
                        <m:sty m:val="p"/>
                      </m:rPr>
                      <m:t>−</m:t>
                    </m:r>
                    <m:r>
                      <m:t>1</m:t>
                    </m:r>
                  </m:e>
                </m:mr>
              </m:m>
            </m:e>
          </m:d>
        </m:oMath>
      </m:oMathPara>
    </w:p>
    <w:p>
      <w:pPr>
        <w:pStyle w:val="FirstParagraph"/>
      </w:pPr>
      <w:r>
        <w:t xml:space="preserve">Para calcular los errores estándar asociados a cada uno de los contrastes anteriores, es necesario considerar no solo las varianzas de las estimaciones regionales, sino también las covarianzas entre ellas. Esta información se resume en la matriz de varianzas y covarianzas de las proporciones estimadas de desempleo por región, presentada en la</w:t>
      </w:r>
      <w:r>
        <w:t xml:space="preserve"> </w:t>
      </w:r>
      <w:hyperlink w:anchor="tbl-vcov-desempleo-region">
        <w:r>
          <w:rPr>
            <w:rStyle w:val="Hyperlink"/>
          </w:rPr>
          <w:t xml:space="preserve">tabla 4.15</w:t>
        </w:r>
      </w:hyperlink>
      <w:r>
        <w:t xml:space="preserve">:</w:t>
      </w:r>
    </w:p>
    <w:p>
      <w:pPr>
        <w:pStyle w:val="SourceCode"/>
      </w:pPr>
      <w:r>
        <w:rPr>
          <w:rStyle w:val="NormalTok"/>
        </w:rPr>
        <w:t xml:space="preserve">region_unemployment_vcov </w:t>
      </w:r>
      <w:r>
        <w:rPr>
          <w:rStyle w:val="OtherTok"/>
        </w:rPr>
        <w:t xml:space="preserve">&lt;-</w:t>
      </w:r>
      <w:r>
        <w:rPr>
          <w:rStyle w:val="NormalTok"/>
        </w:rPr>
        <w:t xml:space="preserve"> </w:t>
      </w:r>
      <w:r>
        <w:rPr>
          <w:rStyle w:val="FunctionTok"/>
        </w:rPr>
        <w:t xml:space="preserve">vcov</w:t>
      </w:r>
      <w:r>
        <w:rPr>
          <w:rStyle w:val="NormalTok"/>
        </w:rPr>
        <w:t xml:space="preserve">(region_unemployment_contrast)</w:t>
      </w:r>
      <w:r>
        <w:br/>
      </w:r>
      <w:r>
        <w:br/>
      </w:r>
      <w:r>
        <w:rPr>
          <w:rStyle w:val="NormalTok"/>
        </w:rPr>
        <w:t xml:space="preserve">region_unemployment_vcov </w:t>
      </w:r>
      <w:r>
        <w:rPr>
          <w:rStyle w:val="SpecialCharTok"/>
        </w:rPr>
        <w:t xml:space="preserve">%&gt;%</w:t>
      </w:r>
      <w:r>
        <w:br/>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Norte      Sur   Centro Occidente  Oriente</w:t>
      </w:r>
      <w:r>
        <w:br/>
      </w:r>
      <w:r>
        <w:rPr>
          <w:rStyle w:val="VerbatimChar"/>
        </w:rPr>
        <w:t xml:space="preserve">Norte     0.000401 0.000000 0.000000  0.000000 0.000000</w:t>
      </w:r>
      <w:r>
        <w:br/>
      </w:r>
      <w:r>
        <w:rPr>
          <w:rStyle w:val="VerbatimChar"/>
        </w:rPr>
        <w:t xml:space="preserve">Sur       0.000000 0.000564 0.000000  0.000000 0.000000</w:t>
      </w:r>
      <w:r>
        <w:br/>
      </w:r>
      <w:r>
        <w:rPr>
          <w:rStyle w:val="VerbatimChar"/>
        </w:rPr>
        <w:t xml:space="preserve">Centro    0.000000 0.000000 0.000154  0.000000 0.000000</w:t>
      </w:r>
      <w:r>
        <w:br/>
      </w:r>
      <w:r>
        <w:rPr>
          <w:rStyle w:val="VerbatimChar"/>
        </w:rPr>
        <w:t xml:space="preserve">Occidente 0.000000 0.000000 0.000000  0.000151 0.000000</w:t>
      </w:r>
      <w:r>
        <w:br/>
      </w:r>
      <w:r>
        <w:rPr>
          <w:rStyle w:val="VerbatimChar"/>
        </w:rPr>
        <w:t xml:space="preserve">Oriente   0.000000 0.000000 0.000000  0.000000 0.000158</w:t>
      </w:r>
    </w:p>
    <w:tbl>
      <w:tblPr>
        <w:tblStyle w:val="Table"/>
        <w:tblW w:type="pct" w:w="5000"/>
        <w:tblLayout w:type="fixed"/>
        <w:tblLook w:firstRow="0" w:lastRow="0" w:firstColumn="0" w:lastColumn="0" w:noHBand="0" w:noVBand="0" w:val="0000"/>
      </w:tblPr>
      <w:tblGrid>
        <w:gridCol w:w="7920"/>
      </w:tblGrid>
      <w:tr>
        <w:tc>
          <w:tcPr/>
          <w:bookmarkStart w:id="123" w:name="tbl-vcov-desempleo-region"/>
          <w:p>
            <w:pPr>
              <w:jc w:val="center"/>
            </w:pPr>
            <w:pPr>
              <w:jc w:val="left"/>
              <w:spacing w:before="200"/>
              <w:pStyle w:val="ImageCaption"/>
            </w:pPr>
            <w:r>
              <w:t xml:space="preserve">Tabla 4.15: Matriz de varianzas y covarianzas de la proporción de desempleo por región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Norte</w:t>
                  </w:r>
                </w:p>
              </w:tc>
              <w:tc>
                <w:tcPr/>
                <w:p>
                  <w:pPr>
                    <w:pStyle w:val="Compact"/>
                    <w:jc w:val="right"/>
                    <w:jc w:val="center"/>
                  </w:pPr>
                  <w:r>
                    <w:t xml:space="preserve">Sur</w:t>
                  </w:r>
                </w:p>
              </w:tc>
              <w:tc>
                <w:tcPr/>
                <w:p>
                  <w:pPr>
                    <w:pStyle w:val="Compact"/>
                    <w:jc w:val="right"/>
                    <w:jc w:val="center"/>
                  </w:pPr>
                  <w:r>
                    <w:t xml:space="preserve">Centro</w:t>
                  </w:r>
                </w:p>
              </w:tc>
              <w:tc>
                <w:tcPr/>
                <w:p>
                  <w:pPr>
                    <w:pStyle w:val="Compact"/>
                    <w:jc w:val="right"/>
                    <w:jc w:val="center"/>
                  </w:pPr>
                  <w:r>
                    <w:t xml:space="preserve">Occidente</w:t>
                  </w:r>
                </w:p>
              </w:tc>
              <w:tc>
                <w:tcPr/>
                <w:p>
                  <w:pPr>
                    <w:pStyle w:val="Compact"/>
                    <w:jc w:val="right"/>
                    <w:jc w:val="center"/>
                  </w:pPr>
                  <w:r>
                    <w:t xml:space="preserve">Oriente</w:t>
                  </w:r>
                </w:p>
              </w:tc>
            </w:tr>
            <w:tr>
              <w:tc>
                <w:tcPr/>
                <w:p>
                  <w:pPr>
                    <w:pStyle w:val="Compact"/>
                    <w:jc w:val="left"/>
                    <w:jc w:val="center"/>
                  </w:pPr>
                  <w:r>
                    <w:t xml:space="preserve">Norte</w:t>
                  </w:r>
                </w:p>
              </w:tc>
              <w:tc>
                <w:tcPr/>
                <w:p>
                  <w:pPr>
                    <w:pStyle w:val="Compact"/>
                    <w:jc w:val="right"/>
                    <w:jc w:val="center"/>
                  </w:pPr>
                  <w:r>
                    <w:t xml:space="preserve">0.000401</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0.000000</w:t>
                  </w:r>
                </w:p>
              </w:tc>
            </w:tr>
            <w:tr>
              <w:tc>
                <w:tcPr/>
                <w:p>
                  <w:pPr>
                    <w:pStyle w:val="Compact"/>
                    <w:jc w:val="left"/>
                    <w:jc w:val="center"/>
                  </w:pPr>
                  <w:r>
                    <w:t xml:space="preserve">Sur</w:t>
                  </w:r>
                </w:p>
              </w:tc>
              <w:tc>
                <w:tcPr/>
                <w:p>
                  <w:pPr>
                    <w:pStyle w:val="Compact"/>
                    <w:jc w:val="right"/>
                    <w:jc w:val="center"/>
                  </w:pPr>
                  <w:r>
                    <w:t xml:space="preserve">0.000000</w:t>
                  </w:r>
                </w:p>
              </w:tc>
              <w:tc>
                <w:tcPr/>
                <w:p>
                  <w:pPr>
                    <w:pStyle w:val="Compact"/>
                    <w:jc w:val="right"/>
                    <w:jc w:val="center"/>
                  </w:pPr>
                  <w:r>
                    <w:t xml:space="preserve">0.000564</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0.000000</w:t>
                  </w:r>
                </w:p>
              </w:tc>
            </w:tr>
            <w:tr>
              <w:tc>
                <w:tcPr/>
                <w:p>
                  <w:pPr>
                    <w:pStyle w:val="Compact"/>
                    <w:jc w:val="left"/>
                    <w:jc w:val="center"/>
                  </w:pPr>
                  <w:r>
                    <w:t xml:space="preserve">Centro</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0.000154</w:t>
                  </w:r>
                </w:p>
              </w:tc>
              <w:tc>
                <w:tcPr/>
                <w:p>
                  <w:pPr>
                    <w:pStyle w:val="Compact"/>
                    <w:jc w:val="right"/>
                    <w:jc w:val="center"/>
                  </w:pPr>
                  <w:r>
                    <w:t xml:space="preserve">0.000000</w:t>
                  </w:r>
                </w:p>
              </w:tc>
              <w:tc>
                <w:tcPr/>
                <w:p>
                  <w:pPr>
                    <w:pStyle w:val="Compact"/>
                    <w:jc w:val="right"/>
                    <w:jc w:val="center"/>
                  </w:pPr>
                  <w:r>
                    <w:t xml:space="preserve">0.000000</w:t>
                  </w:r>
                </w:p>
              </w:tc>
            </w:tr>
            <w:tr>
              <w:tc>
                <w:tcPr/>
                <w:p>
                  <w:pPr>
                    <w:pStyle w:val="Compact"/>
                    <w:jc w:val="left"/>
                    <w:jc w:val="center"/>
                  </w:pPr>
                  <w:r>
                    <w:t xml:space="preserve">Occidente</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0.000151</w:t>
                  </w:r>
                </w:p>
              </w:tc>
              <w:tc>
                <w:tcPr/>
                <w:p>
                  <w:pPr>
                    <w:pStyle w:val="Compact"/>
                    <w:jc w:val="right"/>
                    <w:jc w:val="center"/>
                  </w:pPr>
                  <w:r>
                    <w:t xml:space="preserve">0.000000</w:t>
                  </w:r>
                </w:p>
              </w:tc>
            </w:tr>
            <w:tr>
              <w:tc>
                <w:tcPr/>
                <w:p>
                  <w:pPr>
                    <w:pStyle w:val="Compact"/>
                    <w:jc w:val="left"/>
                    <w:jc w:val="center"/>
                  </w:pPr>
                  <w:r>
                    <w:t xml:space="preserve">Oriente</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0.000000</w:t>
                  </w:r>
                </w:p>
              </w:tc>
              <w:tc>
                <w:tcPr/>
                <w:p>
                  <w:pPr>
                    <w:pStyle w:val="Compact"/>
                    <w:jc w:val="right"/>
                    <w:jc w:val="center"/>
                  </w:pPr>
                  <w:r>
                    <w:t xml:space="preserve">0.000158</w:t>
                  </w:r>
                </w:p>
              </w:tc>
            </w:tr>
          </w:tbl>
          <w:bookmarkEnd w:id="123"/>
          <w:p/>
        </w:tc>
      </w:tr>
    </w:tbl>
    <w:p>
      <w:pPr>
        <w:pStyle w:val="BodyText"/>
      </w:pPr>
      <w:r>
        <w:t xml:space="preserve">Nótese que las covarianzas entre las estimaciones regionales son iguales a cero debido a que las muestras seleccionadas en cada región son independientes entre sí. Por tanto, el error estándar de cada contraste se obtiene aplicando la expresión de la varianza para la diferencia entre dos estimadores. Para verificar los resultados sin introducir errores de redondeo, los cálculos siguientes toman las varianzas y covarianzas directamente de la matriz presentada en la</w:t>
      </w:r>
      <w:r>
        <w:t xml:space="preserve"> </w:t>
      </w:r>
      <w:hyperlink w:anchor="tbl-vcov-desempleo-region">
        <w:r>
          <w:rPr>
            <w:rStyle w:val="Hyperlink"/>
          </w:rPr>
          <w:t xml:space="preserve">tabla 4.15</w:t>
        </w:r>
      </w:hyperlink>
      <w:r>
        <w:t xml:space="preserve">:</w:t>
      </w:r>
    </w:p>
    <w:p>
      <w:pPr>
        <w:pStyle w:val="SourceCode"/>
      </w:pPr>
      <w:r>
        <w:rPr>
          <w:rStyle w:val="CommentTok"/>
        </w:rPr>
        <w:t xml:space="preserve"># Norte - Centro</w:t>
      </w:r>
      <w:r>
        <w:br/>
      </w:r>
      <w:r>
        <w:rPr>
          <w:rStyle w:val="FunctionTok"/>
        </w:rPr>
        <w:t xml:space="preserve">sqrt</w:t>
      </w:r>
      <w:r>
        <w:rPr>
          <w:rStyle w:val="NormalTok"/>
        </w:rPr>
        <w:t xml:space="preserve">(</w:t>
      </w:r>
      <w:r>
        <w:br/>
      </w:r>
      <w:r>
        <w:rPr>
          <w:rStyle w:val="NormalTok"/>
        </w:rPr>
        <w:t xml:space="preserve">  region_unemployment_vcov[</w:t>
      </w:r>
      <w:r>
        <w:rPr>
          <w:rStyle w:val="StringTok"/>
        </w:rPr>
        <w:t xml:space="preserve">"Norte"</w:t>
      </w:r>
      <w:r>
        <w:rPr>
          <w:rStyle w:val="NormalTok"/>
        </w:rPr>
        <w:t xml:space="preserve">, </w:t>
      </w:r>
      <w:r>
        <w:rPr>
          <w:rStyle w:val="StringTok"/>
        </w:rPr>
        <w:t xml:space="preserve">"Norte"</w:t>
      </w:r>
      <w:r>
        <w:rPr>
          <w:rStyle w:val="NormalTok"/>
        </w:rPr>
        <w:t xml:space="preserve">] </w:t>
      </w:r>
      <w:r>
        <w:rPr>
          <w:rStyle w:val="SpecialCharTok"/>
        </w:rPr>
        <w:t xml:space="preserve">+</w:t>
      </w:r>
      <w:r>
        <w:br/>
      </w:r>
      <w:r>
        <w:rPr>
          <w:rStyle w:val="NormalTok"/>
        </w:rPr>
        <w:t xml:space="preserve">    region_unemployment_vcov[</w:t>
      </w:r>
      <w:r>
        <w:rPr>
          <w:rStyle w:val="StringTok"/>
        </w:rPr>
        <w:t xml:space="preserve">"Centro"</w:t>
      </w:r>
      <w:r>
        <w:rPr>
          <w:rStyle w:val="NormalTok"/>
        </w:rPr>
        <w:t xml:space="preserve">, </w:t>
      </w:r>
      <w:r>
        <w:rPr>
          <w:rStyle w:val="StringTok"/>
        </w:rPr>
        <w:t xml:space="preserve">"Centro"</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region_unemployment_vcov[</w:t>
      </w:r>
      <w:r>
        <w:rPr>
          <w:rStyle w:val="StringTok"/>
        </w:rPr>
        <w:t xml:space="preserve">"Norte"</w:t>
      </w:r>
      <w:r>
        <w:rPr>
          <w:rStyle w:val="NormalTok"/>
        </w:rPr>
        <w:t xml:space="preserve">, </w:t>
      </w:r>
      <w:r>
        <w:rPr>
          <w:rStyle w:val="StringTok"/>
        </w:rPr>
        <w:t xml:space="preserve">"Centro"</w:t>
      </w:r>
      <w:r>
        <w:rPr>
          <w:rStyle w:val="NormalTok"/>
        </w:rPr>
        <w:t xml:space="preserve">]</w:t>
      </w:r>
      <w:r>
        <w:br/>
      </w:r>
      <w:r>
        <w:rPr>
          <w:rStyle w:val="NormalTok"/>
        </w:rPr>
        <w:t xml:space="preserve">)</w:t>
      </w:r>
    </w:p>
    <w:p>
      <w:pPr>
        <w:pStyle w:val="SourceCode"/>
      </w:pPr>
      <w:r>
        <w:rPr>
          <w:rStyle w:val="VerbatimChar"/>
        </w:rPr>
        <w:t xml:space="preserve">[1] 0.0236</w:t>
      </w:r>
    </w:p>
    <w:p>
      <w:pPr>
        <w:pStyle w:val="SourceCode"/>
      </w:pPr>
      <w:r>
        <w:rPr>
          <w:rStyle w:val="CommentTok"/>
        </w:rPr>
        <w:t xml:space="preserve"># Sur - Centro</w:t>
      </w:r>
      <w:r>
        <w:br/>
      </w:r>
      <w:r>
        <w:rPr>
          <w:rStyle w:val="FunctionTok"/>
        </w:rPr>
        <w:t xml:space="preserve">sqrt</w:t>
      </w:r>
      <w:r>
        <w:rPr>
          <w:rStyle w:val="NormalTok"/>
        </w:rPr>
        <w:t xml:space="preserve">(</w:t>
      </w:r>
      <w:r>
        <w:br/>
      </w:r>
      <w:r>
        <w:rPr>
          <w:rStyle w:val="NormalTok"/>
        </w:rPr>
        <w:t xml:space="preserve">  region_unemployment_vcov[</w:t>
      </w:r>
      <w:r>
        <w:rPr>
          <w:rStyle w:val="StringTok"/>
        </w:rPr>
        <w:t xml:space="preserve">"Sur"</w:t>
      </w:r>
      <w:r>
        <w:rPr>
          <w:rStyle w:val="NormalTok"/>
        </w:rPr>
        <w:t xml:space="preserve">, </w:t>
      </w:r>
      <w:r>
        <w:rPr>
          <w:rStyle w:val="StringTok"/>
        </w:rPr>
        <w:t xml:space="preserve">"Sur"</w:t>
      </w:r>
      <w:r>
        <w:rPr>
          <w:rStyle w:val="NormalTok"/>
        </w:rPr>
        <w:t xml:space="preserve">] </w:t>
      </w:r>
      <w:r>
        <w:rPr>
          <w:rStyle w:val="SpecialCharTok"/>
        </w:rPr>
        <w:t xml:space="preserve">+</w:t>
      </w:r>
      <w:r>
        <w:br/>
      </w:r>
      <w:r>
        <w:rPr>
          <w:rStyle w:val="NormalTok"/>
        </w:rPr>
        <w:t xml:space="preserve">    region_unemployment_vcov[</w:t>
      </w:r>
      <w:r>
        <w:rPr>
          <w:rStyle w:val="StringTok"/>
        </w:rPr>
        <w:t xml:space="preserve">"Centro"</w:t>
      </w:r>
      <w:r>
        <w:rPr>
          <w:rStyle w:val="NormalTok"/>
        </w:rPr>
        <w:t xml:space="preserve">, </w:t>
      </w:r>
      <w:r>
        <w:rPr>
          <w:rStyle w:val="StringTok"/>
        </w:rPr>
        <w:t xml:space="preserve">"Centro"</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region_unemployment_vcov[</w:t>
      </w:r>
      <w:r>
        <w:rPr>
          <w:rStyle w:val="StringTok"/>
        </w:rPr>
        <w:t xml:space="preserve">"Sur"</w:t>
      </w:r>
      <w:r>
        <w:rPr>
          <w:rStyle w:val="NormalTok"/>
        </w:rPr>
        <w:t xml:space="preserve">, </w:t>
      </w:r>
      <w:r>
        <w:rPr>
          <w:rStyle w:val="StringTok"/>
        </w:rPr>
        <w:t xml:space="preserve">"Centro"</w:t>
      </w:r>
      <w:r>
        <w:rPr>
          <w:rStyle w:val="NormalTok"/>
        </w:rPr>
        <w:t xml:space="preserve">]</w:t>
      </w:r>
      <w:r>
        <w:br/>
      </w:r>
      <w:r>
        <w:rPr>
          <w:rStyle w:val="NormalTok"/>
        </w:rPr>
        <w:t xml:space="preserve">)</w:t>
      </w:r>
    </w:p>
    <w:p>
      <w:pPr>
        <w:pStyle w:val="SourceCode"/>
      </w:pPr>
      <w:r>
        <w:rPr>
          <w:rStyle w:val="VerbatimChar"/>
        </w:rPr>
        <w:t xml:space="preserve">[1] 0.0268</w:t>
      </w:r>
    </w:p>
    <w:p>
      <w:pPr>
        <w:pStyle w:val="SourceCode"/>
      </w:pPr>
      <w:r>
        <w:rPr>
          <w:rStyle w:val="CommentTok"/>
        </w:rPr>
        <w:t xml:space="preserve"># Occidente - Oriente</w:t>
      </w:r>
      <w:r>
        <w:br/>
      </w:r>
      <w:r>
        <w:rPr>
          <w:rStyle w:val="FunctionTok"/>
        </w:rPr>
        <w:t xml:space="preserve">sqrt</w:t>
      </w:r>
      <w:r>
        <w:rPr>
          <w:rStyle w:val="NormalTok"/>
        </w:rPr>
        <w:t xml:space="preserve">(</w:t>
      </w:r>
      <w:r>
        <w:br/>
      </w:r>
      <w:r>
        <w:rPr>
          <w:rStyle w:val="NormalTok"/>
        </w:rPr>
        <w:t xml:space="preserve">  region_unemployment_vcov[</w:t>
      </w:r>
      <w:r>
        <w:rPr>
          <w:rStyle w:val="StringTok"/>
        </w:rPr>
        <w:t xml:space="preserve">"Occidente"</w:t>
      </w:r>
      <w:r>
        <w:rPr>
          <w:rStyle w:val="NormalTok"/>
        </w:rPr>
        <w:t xml:space="preserve">, </w:t>
      </w:r>
      <w:r>
        <w:rPr>
          <w:rStyle w:val="StringTok"/>
        </w:rPr>
        <w:t xml:space="preserve">"Occidente"</w:t>
      </w:r>
      <w:r>
        <w:rPr>
          <w:rStyle w:val="NormalTok"/>
        </w:rPr>
        <w:t xml:space="preserve">] </w:t>
      </w:r>
      <w:r>
        <w:rPr>
          <w:rStyle w:val="SpecialCharTok"/>
        </w:rPr>
        <w:t xml:space="preserve">+</w:t>
      </w:r>
      <w:r>
        <w:br/>
      </w:r>
      <w:r>
        <w:rPr>
          <w:rStyle w:val="NormalTok"/>
        </w:rPr>
        <w:t xml:space="preserve">    region_unemployment_vcov[</w:t>
      </w:r>
      <w:r>
        <w:rPr>
          <w:rStyle w:val="StringTok"/>
        </w:rPr>
        <w:t xml:space="preserve">"Oriente"</w:t>
      </w:r>
      <w:r>
        <w:rPr>
          <w:rStyle w:val="NormalTok"/>
        </w:rPr>
        <w:t xml:space="preserve">, </w:t>
      </w:r>
      <w:r>
        <w:rPr>
          <w:rStyle w:val="StringTok"/>
        </w:rPr>
        <w:t xml:space="preserve">"Oriente"</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region_unemployment_vcov[</w:t>
      </w:r>
      <w:r>
        <w:rPr>
          <w:rStyle w:val="StringTok"/>
        </w:rPr>
        <w:t xml:space="preserve">"Occidente"</w:t>
      </w:r>
      <w:r>
        <w:rPr>
          <w:rStyle w:val="NormalTok"/>
        </w:rPr>
        <w:t xml:space="preserve">, </w:t>
      </w:r>
      <w:r>
        <w:rPr>
          <w:rStyle w:val="StringTok"/>
        </w:rPr>
        <w:t xml:space="preserve">"Oriente"</w:t>
      </w:r>
      <w:r>
        <w:rPr>
          <w:rStyle w:val="NormalTok"/>
        </w:rPr>
        <w:t xml:space="preserve">]</w:t>
      </w:r>
      <w:r>
        <w:br/>
      </w:r>
      <w:r>
        <w:rPr>
          <w:rStyle w:val="NormalTok"/>
        </w:rPr>
        <w:t xml:space="preserve">)</w:t>
      </w:r>
    </w:p>
    <w:p>
      <w:pPr>
        <w:pStyle w:val="SourceCode"/>
      </w:pPr>
      <w:r>
        <w:rPr>
          <w:rStyle w:val="VerbatimChar"/>
        </w:rPr>
        <w:t xml:space="preserve">[1] 0.0176</w:t>
      </w:r>
    </w:p>
    <w:p>
      <w:pPr>
        <w:pStyle w:val="FirstParagraph"/>
      </w:pPr>
      <w:r>
        <w:t xml:space="preserve">Alternativamente, el paquete</w:t>
      </w:r>
      <w:r>
        <w:t xml:space="preserve"> </w:t>
      </w:r>
      <w:r>
        <w:rPr>
          <w:rStyle w:val="VerbatimChar"/>
        </w:rPr>
        <w:t xml:space="preserve">survey</w:t>
      </w:r>
      <w:r>
        <w:t xml:space="preserve"> </w:t>
      </w:r>
      <w:r>
        <w:t xml:space="preserve">permite calcular estos contrastes de manera directa mediante la función</w:t>
      </w:r>
      <w:r>
        <w:t xml:space="preserve"> </w:t>
      </w:r>
      <w:r>
        <w:rPr>
          <w:rStyle w:val="VerbatimChar"/>
        </w:rPr>
        <w:t xml:space="preserve">svycontrast</w:t>
      </w:r>
      <w:r>
        <w:t xml:space="preserve">, la cual obtiene tanto las diferencias estimadas entre proporciones como sus respectivos errores estándar. En este caso, la estimación de los contrastes definidos anteriormente se realiza de la siguiente manera:</w:t>
      </w:r>
    </w:p>
    <w:p>
      <w:pPr>
        <w:pStyle w:val="SourceCode"/>
      </w:pPr>
      <w:r>
        <w:rPr>
          <w:rStyle w:val="FunctionTok"/>
        </w:rPr>
        <w:t xml:space="preserve">svycontrast</w:t>
      </w:r>
      <w:r>
        <w:rPr>
          <w:rStyle w:val="NormalTok"/>
        </w:rPr>
        <w:t xml:space="preserve">(</w:t>
      </w:r>
      <w:r>
        <w:br/>
      </w:r>
      <w:r>
        <w:rPr>
          <w:rStyle w:val="NormalTok"/>
        </w:rPr>
        <w:t xml:space="preserve">  </w:t>
      </w:r>
      <w:r>
        <w:rPr>
          <w:rStyle w:val="AttributeTok"/>
        </w:rPr>
        <w:t xml:space="preserve">stat =</w:t>
      </w:r>
      <w:r>
        <w:rPr>
          <w:rStyle w:val="NormalTok"/>
        </w:rPr>
        <w:t xml:space="preserve"> region_unemployment_contrast,</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north_center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south_center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west_east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contrast     SE</w:t>
      </w:r>
      <w:r>
        <w:br/>
      </w:r>
      <w:r>
        <w:rPr>
          <w:rStyle w:val="VerbatimChar"/>
        </w:rPr>
        <w:t xml:space="preserve">north_center   0.0100 0.0236</w:t>
      </w:r>
      <w:r>
        <w:br/>
      </w:r>
      <w:r>
        <w:rPr>
          <w:rStyle w:val="VerbatimChar"/>
        </w:rPr>
        <w:t xml:space="preserve">south_center   0.0269 0.0268</w:t>
      </w:r>
      <w:r>
        <w:br/>
      </w:r>
      <w:r>
        <w:rPr>
          <w:rStyle w:val="VerbatimChar"/>
        </w:rPr>
        <w:t xml:space="preserve">west_east      0.0105 0.0176</w:t>
      </w:r>
    </w:p>
    <w:bookmarkEnd w:id="124"/>
    <w:bookmarkStart w:id="132" w:name="tablas-cruzadas"/>
    <w:p>
      <w:pPr>
        <w:pStyle w:val="Heading2"/>
      </w:pPr>
      <w:r>
        <w:t xml:space="preserve">4.4 Tablas cruzadas</w:t>
      </w:r>
    </w:p>
    <w:p>
      <w:pPr>
        <w:pStyle w:val="FirstParagraph"/>
      </w:pPr>
      <w:r>
        <w:t xml:space="preserve">De acuerdo con</w:t>
      </w:r>
      <w:r>
        <w:t xml:space="preserve"> </w:t>
      </w:r>
      <w:r>
        <w:t xml:space="preserve">Heeringa et al. (2017)</w:t>
      </w:r>
      <w:r>
        <w:t xml:space="preserve"> </w:t>
      </w:r>
      <w:r>
        <w:t xml:space="preserve">y</w:t>
      </w:r>
      <w:r>
        <w:t xml:space="preserve"> </w:t>
      </w:r>
      <w:r>
        <w:t xml:space="preserve">Agresti (2019)</w:t>
      </w:r>
      <w:r>
        <w:t xml:space="preserve">, además de analizar cada variable de manera individual, resulta especialmente relevante estudiar si existe asociación entre dos variables categóricas. Este tipo de análisis permite identificar patrones y relaciones que aportan información valiosa para la toma de decisiones y la comprensión de fenómenos sociales. Por ejemplo, en el ámbito de las políticas públicas es posible relacionar educación y empleo para diseñar estrategias orientadas al mercado laboral; en la evaluación de programas sociales, analizar diferencias en el acceso a servicios de salud según el nivel de ingresos; y en investigación social, estudiar cómo variables demográficas y condiciones de vida se relacionan entre sí para comprender dinámicas y tendencias de la población.</w:t>
      </w:r>
    </w:p>
    <w:p>
      <w:pPr>
        <w:pStyle w:val="BodyText"/>
      </w:pPr>
      <w:r>
        <w:t xml:space="preserve">Formalmente, sean</w:t>
      </w:r>
      <w:r>
        <w:t xml:space="preserve"> </w:t>
      </w:r>
      <m:oMath>
        <m:r>
          <m:t>x</m:t>
        </m:r>
      </m:oMath>
      <w:r>
        <w:t xml:space="preserve"> </w:t>
      </w:r>
      <w:r>
        <w:t xml:space="preserve">y</w:t>
      </w:r>
      <w:r>
        <w:t xml:space="preserve"> </w:t>
      </w:r>
      <m:oMath>
        <m:r>
          <m:t>y</m:t>
        </m:r>
      </m:oMath>
      <w:r>
        <w:t xml:space="preserve"> </w:t>
      </w:r>
      <w:r>
        <w:t xml:space="preserve">dos variables categóricas con</w:t>
      </w:r>
      <w:r>
        <w:t xml:space="preserve"> </w:t>
      </w:r>
      <m:oMath>
        <m:r>
          <m:t>R</m:t>
        </m:r>
      </m:oMath>
      <w:r>
        <w:t xml:space="preserve"> </w:t>
      </w:r>
      <w:r>
        <w:t xml:space="preserve">categorías para las filas y</w:t>
      </w:r>
      <w:r>
        <w:t xml:space="preserve"> </w:t>
      </w:r>
      <m:oMath>
        <m:r>
          <m:t>C</m:t>
        </m:r>
      </m:oMath>
      <w:r>
        <w:t xml:space="preserve"> </w:t>
      </w:r>
      <w:r>
        <w:t xml:space="preserve">categorías para las columnas, respectivamente. En el contexto de encuestas por muestreo, el interés suele centrarse en estimar la distribución conjunta de ambas variables, es decir, la proporción de unidades poblacionales que pertenecen simultáneamente a cada combinación posible de categorías. Para ello, las entradas de una tabla cruzada, también conocida como tabla de contingencia, se estiman mediante frecuencias ponderadas obtenidas a partir de los factores de expansión y del diseño muestral. La estimación del total poblacional asociado a cada celda</w:t>
      </w:r>
      <w:r>
        <w:t xml:space="preserve"> </w:t>
      </w:r>
      <m:oMath>
        <m:r>
          <m:rPr>
            <m:sty m:val="p"/>
          </m:rPr>
          <m:t>(</m:t>
        </m:r>
        <m:r>
          <m:t>r</m:t>
        </m:r>
        <m:r>
          <m:rPr>
            <m:sty m:val="p"/>
          </m:rPr>
          <m:t>,</m:t>
        </m:r>
        <m:r>
          <m:t>c</m:t>
        </m:r>
        <m:r>
          <m:rPr>
            <m:sty m:val="p"/>
          </m:rPr>
          <m:t>)</m:t>
        </m:r>
      </m:oMath>
      <w:r>
        <w:t xml:space="preserve"> </w:t>
      </w:r>
      <w:r>
        <w:t xml:space="preserve">se define como:</w:t>
      </w:r>
    </w:p>
    <w:p>
      <w:pPr>
        <w:pStyle w:val="BodyText"/>
      </w:pPr>
      <m:oMathPara>
        <m:oMathParaPr>
          <m:jc m:val="center"/>
        </m:oMathParaPr>
        <m:oMath>
          <m:sSub>
            <m:e>
              <m:acc>
                <m:accPr>
                  <m:chr m:val="̂"/>
                </m:accPr>
                <m:e>
                  <m:r>
                    <m:t>N</m:t>
                  </m:r>
                </m:e>
              </m:acc>
            </m:e>
            <m:sub>
              <m:r>
                <m:t>r</m:t>
              </m:r>
              <m:r>
                <m:t>c</m:t>
              </m:r>
            </m:sub>
          </m:sSub>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t>I</m:t>
          </m:r>
          <m:r>
            <m:rPr>
              <m:sty m:val="p"/>
            </m:rPr>
            <m:t>(</m:t>
          </m:r>
          <m:sSub>
            <m:e>
              <m:r>
                <m:t>x</m:t>
              </m:r>
            </m:e>
            <m:sub>
              <m:r>
                <m:t>h</m:t>
              </m:r>
              <m:r>
                <m:t>i</m:t>
              </m:r>
              <m:r>
                <m:t>k</m:t>
              </m:r>
            </m:sub>
          </m:sSub>
          <m:r>
            <m:rPr>
              <m:sty m:val="p"/>
            </m:rPr>
            <m:t>=</m:t>
          </m:r>
          <m:r>
            <m:t>r</m:t>
          </m:r>
          <m:r>
            <m:rPr>
              <m:sty m:val="p"/>
            </m:rPr>
            <m:t>,</m:t>
          </m:r>
          <m:r>
            <m:t> </m:t>
          </m:r>
          <m:sSub>
            <m:e>
              <m:r>
                <m:t>y</m:t>
              </m:r>
            </m:e>
            <m:sub>
              <m:r>
                <m:t>h</m:t>
              </m:r>
              <m:r>
                <m:t>i</m:t>
              </m:r>
              <m:r>
                <m:t>k</m:t>
              </m:r>
            </m:sub>
          </m:sSub>
          <m:r>
            <m:rPr>
              <m:sty m:val="p"/>
            </m:rPr>
            <m:t>=</m:t>
          </m:r>
          <m:r>
            <m:t>c</m:t>
          </m:r>
          <m:r>
            <m:rPr>
              <m:sty m:val="p"/>
            </m:rPr>
            <m:t>)</m:t>
          </m:r>
          <m:r>
            <m:rPr>
              <m:sty m:val="p"/>
            </m:rPr>
            <m:t>,</m:t>
          </m:r>
        </m:oMath>
      </m:oMathPara>
    </w:p>
    <w:p>
      <w:pPr>
        <w:pStyle w:val="FirstParagraph"/>
      </w:pPr>
      <w:r>
        <w:t xml:space="preserve">donde</w:t>
      </w:r>
      <w:r>
        <w:t xml:space="preserve"> </w:t>
      </w:r>
      <m:oMath>
        <m:sSub>
          <m:e>
            <m:r>
              <m:t>w</m:t>
            </m:r>
          </m:e>
          <m:sub>
            <m:r>
              <m:t>h</m:t>
            </m:r>
            <m:r>
              <m:t>i</m:t>
            </m:r>
            <m:r>
              <m:t>k</m:t>
            </m:r>
          </m:sub>
        </m:sSub>
      </m:oMath>
      <w:r>
        <w:t xml:space="preserve"> </w:t>
      </w:r>
      <w:r>
        <w:t xml:space="preserve">representa el factor de expansión asociado al elemento</w:t>
      </w:r>
      <w:r>
        <w:t xml:space="preserve"> </w:t>
      </w:r>
      <m:oMath>
        <m:r>
          <m:t>k</m:t>
        </m:r>
      </m:oMath>
      <w:r>
        <w:t xml:space="preserve"> </w:t>
      </w:r>
      <w:r>
        <w:t xml:space="preserve">de la UPM</w:t>
      </w:r>
      <w:r>
        <w:t xml:space="preserve"> </w:t>
      </w:r>
      <m:oMath>
        <m:r>
          <m:t>i</m:t>
        </m:r>
      </m:oMath>
      <w:r>
        <w:t xml:space="preserve"> </w:t>
      </w:r>
      <w:r>
        <w:t xml:space="preserve">perteneciente al estrato</w:t>
      </w:r>
      <w:r>
        <w:t xml:space="preserve"> </w:t>
      </w:r>
      <m:oMath>
        <m:r>
          <m:t>h</m:t>
        </m:r>
      </m:oMath>
      <w:r>
        <w:t xml:space="preserve">, mientras que</w:t>
      </w:r>
      <w:r>
        <w:t xml:space="preserve"> </w:t>
      </w:r>
      <m:oMath>
        <m:r>
          <m:t>I</m:t>
        </m:r>
        <m:r>
          <m:rPr>
            <m:sty m:val="p"/>
          </m:rPr>
          <m:t>(</m:t>
        </m:r>
        <m:sSub>
          <m:e>
            <m:r>
              <m:t>x</m:t>
            </m:r>
          </m:e>
          <m:sub>
            <m:r>
              <m:t>h</m:t>
            </m:r>
            <m:r>
              <m:t>i</m:t>
            </m:r>
            <m:r>
              <m:t>k</m:t>
            </m:r>
          </m:sub>
        </m:sSub>
        <m:r>
          <m:rPr>
            <m:sty m:val="p"/>
          </m:rPr>
          <m:t>=</m:t>
        </m:r>
        <m:r>
          <m:t>r</m:t>
        </m:r>
        <m:r>
          <m:rPr>
            <m:sty m:val="p"/>
          </m:rPr>
          <m:t>,</m:t>
        </m:r>
        <m:r>
          <m:t> </m:t>
        </m:r>
        <m:sSub>
          <m:e>
            <m:r>
              <m:t>y</m:t>
            </m:r>
          </m:e>
          <m:sub>
            <m:r>
              <m:t>h</m:t>
            </m:r>
            <m:r>
              <m:t>i</m:t>
            </m:r>
            <m:r>
              <m:t>k</m:t>
            </m:r>
          </m:sub>
        </m:sSub>
        <m:r>
          <m:rPr>
            <m:sty m:val="p"/>
          </m:rPr>
          <m:t>=</m:t>
        </m:r>
        <m:r>
          <m:t>c</m:t>
        </m:r>
        <m:r>
          <m:rPr>
            <m:sty m:val="p"/>
          </m:rPr>
          <m:t>)</m:t>
        </m:r>
      </m:oMath>
      <w:r>
        <w:t xml:space="preserve"> </w:t>
      </w:r>
      <w:r>
        <w:t xml:space="preserve">corresponde a una función indicadora que toma el valor de uno cuando la unidad observada pertenece simultáneamente a la categoría</w:t>
      </w:r>
      <w:r>
        <w:t xml:space="preserve"> </w:t>
      </w:r>
      <m:oMath>
        <m:r>
          <m:t>r</m:t>
        </m:r>
      </m:oMath>
      <w:r>
        <w:t xml:space="preserve"> </w:t>
      </w:r>
      <w:r>
        <w:t xml:space="preserve">de la variable</w:t>
      </w:r>
      <w:r>
        <w:t xml:space="preserve"> </w:t>
      </w:r>
      <m:oMath>
        <m:r>
          <m:t>x</m:t>
        </m:r>
      </m:oMath>
      <w:r>
        <w:t xml:space="preserve"> </w:t>
      </w:r>
      <w:r>
        <w:t xml:space="preserve">y a la categoría</w:t>
      </w:r>
      <w:r>
        <w:t xml:space="preserve"> </w:t>
      </w:r>
      <m:oMath>
        <m:r>
          <m:t>c</m:t>
        </m:r>
      </m:oMath>
      <w:r>
        <w:t xml:space="preserve"> </w:t>
      </w:r>
      <w:r>
        <w:t xml:space="preserve">de la variable</w:t>
      </w:r>
      <w:r>
        <w:t xml:space="preserve"> </w:t>
      </w:r>
      <m:oMath>
        <m:r>
          <m:t>y</m:t>
        </m:r>
      </m:oMath>
      <w:r>
        <w:t xml:space="preserve">, y toma el valor de cero en cualquier otro caso.</w:t>
      </w:r>
    </w:p>
    <w:p>
      <w:pPr>
        <w:pStyle w:val="BodyText"/>
      </w:pPr>
      <w:r>
        <w:t xml:space="preserve">Además de las frecuencias conjuntas, también es posible estimar los tamaños marginales por filas y columnas, definidos respectivamente como</w:t>
      </w:r>
      <w:r>
        <w:t xml:space="preserve"> </w:t>
      </w:r>
      <m:oMath>
        <m:sSub>
          <m:e>
            <m:acc>
              <m:accPr>
                <m:chr m:val="̂"/>
              </m:accPr>
              <m:e>
                <m:r>
                  <m:t>N</m:t>
                </m:r>
              </m:e>
            </m:acc>
          </m:e>
          <m:sub>
            <m:r>
              <m:t>r</m:t>
            </m:r>
            <m:r>
              <m:rPr>
                <m:sty m:val="p"/>
              </m:rPr>
              <m:t>+</m:t>
            </m:r>
          </m:sub>
        </m:sSub>
        <m:r>
          <m:rPr>
            <m:sty m:val="p"/>
          </m:rPr>
          <m:t>=</m:t>
        </m:r>
        <m:nary>
          <m:naryPr>
            <m:chr m:val="∑"/>
            <m:limLoc m:val="undOvr"/>
            <m:subHide m:val="off"/>
            <m:supHide m:val="off"/>
          </m:naryPr>
          <m:sub>
            <m:r>
              <m:t>c</m:t>
            </m:r>
            <m:r>
              <m:rPr>
                <m:sty m:val="p"/>
              </m:rPr>
              <m:t>=</m:t>
            </m:r>
            <m:r>
              <m:t>1</m:t>
            </m:r>
          </m:sub>
          <m:sup>
            <m:r>
              <m:t>C</m:t>
            </m:r>
          </m:sup>
          <m:e>
            <m:sSub>
              <m:e>
                <m:acc>
                  <m:accPr>
                    <m:chr m:val="̂"/>
                  </m:accPr>
                  <m:e>
                    <m:r>
                      <m:t>N</m:t>
                    </m:r>
                  </m:e>
                </m:acc>
              </m:e>
              <m:sub>
                <m:r>
                  <m:t>r</m:t>
                </m:r>
                <m:r>
                  <m:t>c</m:t>
                </m:r>
              </m:sub>
            </m:sSub>
          </m:e>
        </m:nary>
      </m:oMath>
      <w:r>
        <w:t xml:space="preserve"> </w:t>
      </w:r>
      <w:r>
        <w:t xml:space="preserve">y</w:t>
      </w:r>
      <w:r>
        <w:t xml:space="preserve"> </w:t>
      </w:r>
      <m:oMath>
        <m:sSub>
          <m:e>
            <m:acc>
              <m:accPr>
                <m:chr m:val="̂"/>
              </m:accPr>
              <m:e>
                <m:r>
                  <m:t>N</m:t>
                </m:r>
              </m:e>
            </m:acc>
          </m:e>
          <m:sub>
            <m:r>
              <m:rPr>
                <m:sty m:val="p"/>
              </m:rPr>
              <m:t>+</m:t>
            </m:r>
            <m:r>
              <m:t>c</m:t>
            </m:r>
          </m:sub>
        </m:sSub>
        <m:r>
          <m:rPr>
            <m:sty m:val="p"/>
          </m:rPr>
          <m:t>=</m:t>
        </m:r>
        <m:nary>
          <m:naryPr>
            <m:chr m:val="∑"/>
            <m:limLoc m:val="undOvr"/>
            <m:subHide m:val="off"/>
            <m:supHide m:val="off"/>
          </m:naryPr>
          <m:sub>
            <m:r>
              <m:t>r</m:t>
            </m:r>
            <m:r>
              <m:rPr>
                <m:sty m:val="p"/>
              </m:rPr>
              <m:t>=</m:t>
            </m:r>
            <m:r>
              <m:t>1</m:t>
            </m:r>
          </m:sub>
          <m:sup>
            <m:r>
              <m:t>R</m:t>
            </m:r>
          </m:sup>
          <m:e>
            <m:sSub>
              <m:e>
                <m:acc>
                  <m:accPr>
                    <m:chr m:val="̂"/>
                  </m:accPr>
                  <m:e>
                    <m:r>
                      <m:t>N</m:t>
                    </m:r>
                  </m:e>
                </m:acc>
              </m:e>
              <m:sub>
                <m:r>
                  <m:t>r</m:t>
                </m:r>
                <m:r>
                  <m:t>c</m:t>
                </m:r>
              </m:sub>
            </m:sSub>
          </m:e>
        </m:nary>
      </m:oMath>
      <w:r>
        <w:t xml:space="preserve">. Mientras que el total general se expresa como</w:t>
      </w:r>
      <w:r>
        <w:t xml:space="preserve"> </w:t>
      </w:r>
      <m:oMath>
        <m:sSub>
          <m:e>
            <m:acc>
              <m:accPr>
                <m:chr m:val="̂"/>
              </m:accPr>
              <m:e>
                <m:r>
                  <m:t>N</m:t>
                </m:r>
              </m:e>
            </m:acc>
          </m:e>
          <m:sub>
            <m:r>
              <m:rPr>
                <m:sty m:val="p"/>
              </m:rPr>
              <m:t>+</m:t>
            </m:r>
            <m:r>
              <m:rPr>
                <m:sty m:val="p"/>
              </m:rPr>
              <m:t>+</m:t>
            </m:r>
          </m:sub>
        </m:sSub>
        <m:r>
          <m:rPr>
            <m:sty m:val="p"/>
          </m:rPr>
          <m:t>=</m:t>
        </m:r>
        <m:nary>
          <m:naryPr>
            <m:chr m:val="∑"/>
            <m:limLoc m:val="undOvr"/>
            <m:subHide m:val="off"/>
            <m:supHide m:val="off"/>
          </m:naryPr>
          <m:sub>
            <m:r>
              <m:t>r</m:t>
            </m:r>
            <m:r>
              <m:rPr>
                <m:sty m:val="p"/>
              </m:rPr>
              <m:t>=</m:t>
            </m:r>
            <m:r>
              <m:t>1</m:t>
            </m:r>
          </m:sub>
          <m:sup>
            <m:r>
              <m:t>R</m:t>
            </m:r>
          </m:sup>
          <m:e>
            <m:nary>
              <m:naryPr>
                <m:chr m:val="∑"/>
                <m:limLoc m:val="undOvr"/>
                <m:subHide m:val="off"/>
                <m:supHide m:val="off"/>
              </m:naryPr>
              <m:sub>
                <m:r>
                  <m:t>c</m:t>
                </m:r>
                <m:r>
                  <m:rPr>
                    <m:sty m:val="p"/>
                  </m:rPr>
                  <m:t>=</m:t>
                </m:r>
                <m:r>
                  <m:t>1</m:t>
                </m:r>
              </m:sub>
              <m:sup>
                <m:r>
                  <m:t>C</m:t>
                </m:r>
              </m:sup>
              <m:e>
                <m:sSub>
                  <m:e>
                    <m:acc>
                      <m:accPr>
                        <m:chr m:val="̂"/>
                      </m:accPr>
                      <m:e>
                        <m:r>
                          <m:t>N</m:t>
                        </m:r>
                      </m:e>
                    </m:acc>
                  </m:e>
                  <m:sub>
                    <m:r>
                      <m:t>r</m:t>
                    </m:r>
                    <m:r>
                      <m:t>c</m:t>
                    </m:r>
                  </m:sub>
                </m:sSub>
              </m:e>
            </m:nary>
          </m:e>
        </m:nary>
      </m:oMath>
      <w:r>
        <w:t xml:space="preserve">. La estructura general de una tabla de contingencia con</w:t>
      </w:r>
      <w:r>
        <w:t xml:space="preserve"> </w:t>
      </w:r>
      <m:oMath>
        <m:r>
          <m:t>R</m:t>
        </m:r>
      </m:oMath>
      <w:r>
        <w:t xml:space="preserve"> </w:t>
      </w:r>
      <w:r>
        <w:t xml:space="preserve">filas y</w:t>
      </w:r>
      <w:r>
        <w:t xml:space="preserve"> </w:t>
      </w:r>
      <m:oMath>
        <m:r>
          <m:t>C</m:t>
        </m:r>
      </m:oMath>
      <w:r>
        <w:t xml:space="preserve"> </w:t>
      </w:r>
      <w:r>
        <w:t xml:space="preserve">columnas se presenta en la</w:t>
      </w:r>
      <w:r>
        <w:t xml:space="preserve"> </w:t>
      </w:r>
      <w:hyperlink w:anchor="tbl-estructura-contingencia">
        <w:r>
          <w:rPr>
            <w:rStyle w:val="Hyperlink"/>
          </w:rPr>
          <w:t xml:space="preserve">tabla 4.16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5" w:name="tbl-estructura-contingencia"/>
          <w:p>
            <w:pPr>
              <w:jc w:val="center"/>
            </w:pPr>
            <w:pPr>
              <w:jc w:val="left"/>
              <w:spacing w:before="200"/>
              <w:pStyle w:val="ImageCaption"/>
            </w:pPr>
            <w:r>
              <w:t xml:space="preserve">Tabla 4.16: Estructura general de una tabla de contingencia con</w:t>
            </w:r>
            <w:r>
              <w:t xml:space="preserve"> </w:t>
            </w:r>
            <m:oMath>
              <m:r>
                <m:t>R</m:t>
              </m:r>
            </m:oMath>
            <w:r>
              <w:t xml:space="preserve"> </w:t>
            </w:r>
            <w:r>
              <w:t xml:space="preserve">filas y</w:t>
            </w:r>
            <w:r>
              <w:t xml:space="preserve"> </w:t>
            </w:r>
            <m:oMath>
              <m:r>
                <m:t>C</m:t>
              </m:r>
            </m:oMath>
            <w:r>
              <w:t xml:space="preserve"> </w:t>
            </w:r>
            <w:r>
              <w:t xml:space="preserve">columnas</w:t>
            </w:r>
          </w:p>
          <w:tbl>
            <w:tblPr>
              <w:tblStyle w:val="Table"/>
              <w:tblW w:type="pct" w:w="5000"/>
              <w:tblLayout w:type="fixed"/>
              <w:tblLook w:firstRow="1" w:lastRow="0" w:firstColumn="0" w:lastColumn="0" w:noHBand="0" w:noVBand="0" w:val="0020"/>
            </w:tblPr>
            <w:tblGrid>
              <w:gridCol w:w="1690"/>
              <w:gridCol w:w="1156"/>
              <w:gridCol w:w="1334"/>
              <w:gridCol w:w="978"/>
              <w:gridCol w:w="1334"/>
              <w:gridCol w:w="1423"/>
            </w:tblGrid>
            <w:tr>
              <w:trPr>
                <w:tblHeader w:val="on"/>
              </w:trPr>
              <w:tc>
                <w:tcPr/>
                <w:p>
                  <w:pPr>
                    <w:pStyle w:val="Compact"/>
                    <w:jc w:val="center"/>
                  </w:pPr>
                  <w:r>
                    <w:t xml:space="preserve">Variable 2</w:t>
                  </w:r>
                </w:p>
              </w:tc>
              <w:tc>
                <w:tcPr/>
                <w:p>
                  <w:pPr>
                    <w:pStyle w:val="Compact"/>
                    <w:jc w:val="center"/>
                  </w:pPr>
                  <w:r>
                    <w:t xml:space="preserve">Variable 1</w:t>
                  </w:r>
                </w:p>
              </w:tc>
              <w:tc>
                <w:tcPr/>
                <w:p>
                  <w:pPr>
                    <w:pStyle w:val="Compact"/>
                  </w:pPr>
                </w:p>
              </w:tc>
              <w:tc>
                <w:tcPr/>
                <w:p>
                  <w:pPr>
                    <w:pStyle w:val="Compact"/>
                    <w:jc w:val="center"/>
                  </w:pPr>
                  <m:oMath>
                    <m:r>
                      <m:rPr>
                        <m:sty m:val="p"/>
                      </m:rPr>
                      <m:t>⋯</m:t>
                    </m:r>
                  </m:oMath>
                </w:p>
              </w:tc>
              <w:tc>
                <w:tcPr/>
                <w:p>
                  <w:pPr>
                    <w:pStyle w:val="Compact"/>
                  </w:pPr>
                </w:p>
              </w:tc>
              <w:tc>
                <w:tcPr/>
                <w:p>
                  <w:pPr>
                    <w:pStyle w:val="Compact"/>
                    <w:jc w:val="center"/>
                  </w:pPr>
                  <w:r>
                    <w:t xml:space="preserve">Marginal fila</w:t>
                  </w:r>
                </w:p>
              </w:tc>
            </w:tr>
            <w:tr>
              <w:tc>
                <w:tcPr/>
                <w:p>
                  <w:pPr>
                    <w:pStyle w:val="Compact"/>
                  </w:pPr>
                </w:p>
              </w:tc>
              <w:tc>
                <w:tcPr/>
                <w:p>
                  <w:pPr>
                    <w:pStyle w:val="Compact"/>
                    <w:jc w:val="center"/>
                  </w:pPr>
                  <m:oMath>
                    <m:r>
                      <m:t>1</m:t>
                    </m:r>
                  </m:oMath>
                </w:p>
              </w:tc>
              <w:tc>
                <w:tcPr/>
                <w:p>
                  <w:pPr>
                    <w:pStyle w:val="Compact"/>
                    <w:jc w:val="center"/>
                  </w:pPr>
                  <m:oMath>
                    <m:r>
                      <m:t>2</m:t>
                    </m:r>
                  </m:oMath>
                </w:p>
              </w:tc>
              <w:tc>
                <w:tcPr/>
                <w:p>
                  <w:pPr>
                    <w:pStyle w:val="Compact"/>
                    <w:jc w:val="center"/>
                  </w:pPr>
                  <m:oMath>
                    <m:r>
                      <m:rPr>
                        <m:sty m:val="p"/>
                      </m:rPr>
                      <m:t>⋯</m:t>
                    </m:r>
                  </m:oMath>
                </w:p>
              </w:tc>
              <w:tc>
                <w:tcPr/>
                <w:p>
                  <w:pPr>
                    <w:pStyle w:val="Compact"/>
                    <w:jc w:val="center"/>
                  </w:pPr>
                  <m:oMath>
                    <m:r>
                      <m:t>C</m:t>
                    </m:r>
                  </m:oMath>
                </w:p>
              </w:tc>
              <w:tc>
                <w:tcPr/>
                <w:p>
                  <w:pPr>
                    <w:pStyle w:val="Compact"/>
                  </w:pPr>
                </w:p>
              </w:tc>
            </w:tr>
            <w:tr>
              <w:tc>
                <w:tcPr/>
                <w:p>
                  <w:pPr>
                    <w:pStyle w:val="Compact"/>
                    <w:jc w:val="center"/>
                  </w:pPr>
                  <m:oMath>
                    <m:r>
                      <m:t>1</m:t>
                    </m:r>
                  </m:oMath>
                </w:p>
              </w:tc>
              <w:tc>
                <w:tcPr/>
                <w:p>
                  <w:pPr>
                    <w:pStyle w:val="Compact"/>
                    <w:jc w:val="center"/>
                  </w:pPr>
                  <m:oMath>
                    <m:sSub>
                      <m:e>
                        <m:acc>
                          <m:accPr>
                            <m:chr m:val="̂"/>
                          </m:accPr>
                          <m:e>
                            <m:r>
                              <m:t>N</m:t>
                            </m:r>
                          </m:e>
                        </m:acc>
                      </m:e>
                      <m:sub>
                        <m:r>
                          <m:t>11</m:t>
                        </m:r>
                      </m:sub>
                    </m:sSub>
                  </m:oMath>
                </w:p>
              </w:tc>
              <w:tc>
                <w:tcPr/>
                <w:p>
                  <w:pPr>
                    <w:pStyle w:val="Compact"/>
                    <w:jc w:val="center"/>
                  </w:pPr>
                  <m:oMath>
                    <m:sSub>
                      <m:e>
                        <m:acc>
                          <m:accPr>
                            <m:chr m:val="̂"/>
                          </m:accPr>
                          <m:e>
                            <m:r>
                              <m:t>N</m:t>
                            </m:r>
                          </m:e>
                        </m:acc>
                      </m:e>
                      <m:sub>
                        <m:r>
                          <m:t>12</m:t>
                        </m:r>
                      </m:sub>
                    </m:sSub>
                  </m:oMath>
                </w:p>
              </w:tc>
              <w:tc>
                <w:tcPr/>
                <w:p>
                  <w:pPr>
                    <w:pStyle w:val="Compact"/>
                    <w:jc w:val="center"/>
                  </w:pPr>
                  <m:oMath>
                    <m:r>
                      <m:rPr>
                        <m:sty m:val="p"/>
                      </m:rPr>
                      <m:t>⋯</m:t>
                    </m:r>
                  </m:oMath>
                </w:p>
              </w:tc>
              <w:tc>
                <w:tcPr/>
                <w:p>
                  <w:pPr>
                    <w:pStyle w:val="Compact"/>
                    <w:jc w:val="center"/>
                  </w:pPr>
                  <m:oMath>
                    <m:sSub>
                      <m:e>
                        <m:acc>
                          <m:accPr>
                            <m:chr m:val="̂"/>
                          </m:accPr>
                          <m:e>
                            <m:r>
                              <m:t>N</m:t>
                            </m:r>
                          </m:e>
                        </m:acc>
                      </m:e>
                      <m:sub>
                        <m:r>
                          <m:t>1</m:t>
                        </m:r>
                        <m:r>
                          <m:t>C</m:t>
                        </m:r>
                      </m:sub>
                    </m:sSub>
                  </m:oMath>
                </w:p>
              </w:tc>
              <w:tc>
                <w:tcPr/>
                <w:p>
                  <w:pPr>
                    <w:pStyle w:val="Compact"/>
                    <w:jc w:val="center"/>
                  </w:pPr>
                  <m:oMath>
                    <m:sSub>
                      <m:e>
                        <m:acc>
                          <m:accPr>
                            <m:chr m:val="̂"/>
                          </m:accPr>
                          <m:e>
                            <m:r>
                              <m:t>N</m:t>
                            </m:r>
                          </m:e>
                        </m:acc>
                      </m:e>
                      <m:sub>
                        <m:r>
                          <m:t>1</m:t>
                        </m:r>
                        <m:r>
                          <m:rPr>
                            <m:sty m:val="p"/>
                          </m:rPr>
                          <m:t>+</m:t>
                        </m:r>
                      </m:sub>
                    </m:sSub>
                  </m:oMath>
                </w:p>
              </w:tc>
            </w:tr>
            <w:tr>
              <w:tc>
                <w:tcPr/>
                <w:p>
                  <w:pPr>
                    <w:pStyle w:val="Compact"/>
                    <w:jc w:val="center"/>
                  </w:pPr>
                  <m:oMath>
                    <m:r>
                      <m:t>2</m:t>
                    </m:r>
                  </m:oMath>
                </w:p>
              </w:tc>
              <w:tc>
                <w:tcPr/>
                <w:p>
                  <w:pPr>
                    <w:pStyle w:val="Compact"/>
                    <w:jc w:val="center"/>
                  </w:pPr>
                  <m:oMath>
                    <m:sSub>
                      <m:e>
                        <m:acc>
                          <m:accPr>
                            <m:chr m:val="̂"/>
                          </m:accPr>
                          <m:e>
                            <m:r>
                              <m:t>N</m:t>
                            </m:r>
                          </m:e>
                        </m:acc>
                      </m:e>
                      <m:sub>
                        <m:r>
                          <m:t>21</m:t>
                        </m:r>
                      </m:sub>
                    </m:sSub>
                  </m:oMath>
                </w:p>
              </w:tc>
              <w:tc>
                <w:tcPr/>
                <w:p>
                  <w:pPr>
                    <w:pStyle w:val="Compact"/>
                    <w:jc w:val="center"/>
                  </w:pPr>
                  <m:oMath>
                    <m:sSub>
                      <m:e>
                        <m:acc>
                          <m:accPr>
                            <m:chr m:val="̂"/>
                          </m:accPr>
                          <m:e>
                            <m:r>
                              <m:t>N</m:t>
                            </m:r>
                          </m:e>
                        </m:acc>
                      </m:e>
                      <m:sub>
                        <m:r>
                          <m:t>22</m:t>
                        </m:r>
                      </m:sub>
                    </m:sSub>
                  </m:oMath>
                </w:p>
              </w:tc>
              <w:tc>
                <w:tcPr/>
                <w:p>
                  <w:pPr>
                    <w:pStyle w:val="Compact"/>
                    <w:jc w:val="center"/>
                  </w:pPr>
                  <m:oMath>
                    <m:r>
                      <m:rPr>
                        <m:sty m:val="p"/>
                      </m:rPr>
                      <m:t>⋯</m:t>
                    </m:r>
                  </m:oMath>
                </w:p>
              </w:tc>
              <w:tc>
                <w:tcPr/>
                <w:p>
                  <w:pPr>
                    <w:pStyle w:val="Compact"/>
                    <w:jc w:val="center"/>
                  </w:pPr>
                  <m:oMath>
                    <m:sSub>
                      <m:e>
                        <m:acc>
                          <m:accPr>
                            <m:chr m:val="̂"/>
                          </m:accPr>
                          <m:e>
                            <m:r>
                              <m:t>N</m:t>
                            </m:r>
                          </m:e>
                        </m:acc>
                      </m:e>
                      <m:sub>
                        <m:r>
                          <m:t>2</m:t>
                        </m:r>
                        <m:r>
                          <m:t>C</m:t>
                        </m:r>
                      </m:sub>
                    </m:sSub>
                  </m:oMath>
                </w:p>
              </w:tc>
              <w:tc>
                <w:tcPr/>
                <w:p>
                  <w:pPr>
                    <w:pStyle w:val="Compact"/>
                    <w:jc w:val="center"/>
                  </w:pPr>
                  <m:oMath>
                    <m:sSub>
                      <m:e>
                        <m:acc>
                          <m:accPr>
                            <m:chr m:val="̂"/>
                          </m:accPr>
                          <m:e>
                            <m:r>
                              <m:t>N</m:t>
                            </m:r>
                          </m:e>
                        </m:acc>
                      </m:e>
                      <m:sub>
                        <m:r>
                          <m:t>2</m:t>
                        </m:r>
                        <m:r>
                          <m:rPr>
                            <m:sty m:val="p"/>
                          </m:rPr>
                          <m:t>+</m:t>
                        </m:r>
                      </m:sub>
                    </m:sSub>
                  </m:oMath>
                </w:p>
              </w:tc>
            </w:tr>
            <w:tr>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center"/>
                  </w:pPr>
                  <m:oMath>
                    <m:r>
                      <m:t>R</m:t>
                    </m:r>
                  </m:oMath>
                </w:p>
              </w:tc>
              <w:tc>
                <w:tcPr/>
                <w:p>
                  <w:pPr>
                    <w:pStyle w:val="Compact"/>
                    <w:jc w:val="center"/>
                  </w:pPr>
                  <m:oMath>
                    <m:sSub>
                      <m:e>
                        <m:acc>
                          <m:accPr>
                            <m:chr m:val="̂"/>
                          </m:accPr>
                          <m:e>
                            <m:r>
                              <m:t>N</m:t>
                            </m:r>
                          </m:e>
                        </m:acc>
                      </m:e>
                      <m:sub>
                        <m:r>
                          <m:t>R</m:t>
                        </m:r>
                        <m:r>
                          <m:t>1</m:t>
                        </m:r>
                      </m:sub>
                    </m:sSub>
                  </m:oMath>
                </w:p>
              </w:tc>
              <w:tc>
                <w:tcPr/>
                <w:p>
                  <w:pPr>
                    <w:pStyle w:val="Compact"/>
                    <w:jc w:val="center"/>
                  </w:pPr>
                  <m:oMath>
                    <m:sSub>
                      <m:e>
                        <m:acc>
                          <m:accPr>
                            <m:chr m:val="̂"/>
                          </m:accPr>
                          <m:e>
                            <m:r>
                              <m:t>N</m:t>
                            </m:r>
                          </m:e>
                        </m:acc>
                      </m:e>
                      <m:sub>
                        <m:r>
                          <m:t>R</m:t>
                        </m:r>
                        <m:r>
                          <m:t>2</m:t>
                        </m:r>
                      </m:sub>
                    </m:sSub>
                  </m:oMath>
                </w:p>
              </w:tc>
              <w:tc>
                <w:tcPr/>
                <w:p>
                  <w:pPr>
                    <w:pStyle w:val="Compact"/>
                    <w:jc w:val="center"/>
                  </w:pPr>
                  <m:oMath>
                    <m:r>
                      <m:rPr>
                        <m:sty m:val="p"/>
                      </m:rPr>
                      <m:t>⋯</m:t>
                    </m:r>
                  </m:oMath>
                </w:p>
              </w:tc>
              <w:tc>
                <w:tcPr/>
                <w:p>
                  <w:pPr>
                    <w:pStyle w:val="Compact"/>
                    <w:jc w:val="center"/>
                  </w:pPr>
                  <m:oMath>
                    <m:sSub>
                      <m:e>
                        <m:acc>
                          <m:accPr>
                            <m:chr m:val="̂"/>
                          </m:accPr>
                          <m:e>
                            <m:r>
                              <m:t>N</m:t>
                            </m:r>
                          </m:e>
                        </m:acc>
                      </m:e>
                      <m:sub>
                        <m:r>
                          <m:t>R</m:t>
                        </m:r>
                        <m:r>
                          <m:t>C</m:t>
                        </m:r>
                      </m:sub>
                    </m:sSub>
                  </m:oMath>
                </w:p>
              </w:tc>
              <w:tc>
                <w:tcPr/>
                <w:p>
                  <w:pPr>
                    <w:pStyle w:val="Compact"/>
                    <w:jc w:val="center"/>
                  </w:pPr>
                  <m:oMath>
                    <m:sSub>
                      <m:e>
                        <m:acc>
                          <m:accPr>
                            <m:chr m:val="̂"/>
                          </m:accPr>
                          <m:e>
                            <m:r>
                              <m:t>N</m:t>
                            </m:r>
                          </m:e>
                        </m:acc>
                      </m:e>
                      <m:sub>
                        <m:r>
                          <m:t>R</m:t>
                        </m:r>
                        <m:r>
                          <m:rPr>
                            <m:sty m:val="p"/>
                          </m:rPr>
                          <m:t>+</m:t>
                        </m:r>
                      </m:sub>
                    </m:sSub>
                  </m:oMath>
                </w:p>
              </w:tc>
            </w:tr>
            <w:tr>
              <w:tc>
                <w:tcPr/>
                <w:p>
                  <w:pPr>
                    <w:pStyle w:val="Compact"/>
                    <w:jc w:val="center"/>
                  </w:pPr>
                  <w:r>
                    <w:t xml:space="preserve">Marginal columna</w:t>
                  </w:r>
                </w:p>
              </w:tc>
              <w:tc>
                <w:tcPr/>
                <w:p>
                  <w:pPr>
                    <w:pStyle w:val="Compact"/>
                    <w:jc w:val="center"/>
                  </w:pPr>
                  <m:oMath>
                    <m:sSub>
                      <m:e>
                        <m:acc>
                          <m:accPr>
                            <m:chr m:val="̂"/>
                          </m:accPr>
                          <m:e>
                            <m:r>
                              <m:t>N</m:t>
                            </m:r>
                          </m:e>
                        </m:acc>
                      </m:e>
                      <m:sub>
                        <m:r>
                          <m:rPr>
                            <m:sty m:val="p"/>
                          </m:rPr>
                          <m:t>+</m:t>
                        </m:r>
                        <m:r>
                          <m:t>1</m:t>
                        </m:r>
                      </m:sub>
                    </m:sSub>
                  </m:oMath>
                </w:p>
              </w:tc>
              <w:tc>
                <w:tcPr/>
                <w:p>
                  <w:pPr>
                    <w:pStyle w:val="Compact"/>
                    <w:jc w:val="center"/>
                  </w:pPr>
                  <m:oMath>
                    <m:sSub>
                      <m:e>
                        <m:acc>
                          <m:accPr>
                            <m:chr m:val="̂"/>
                          </m:accPr>
                          <m:e>
                            <m:r>
                              <m:t>N</m:t>
                            </m:r>
                          </m:e>
                        </m:acc>
                      </m:e>
                      <m:sub>
                        <m:r>
                          <m:rPr>
                            <m:sty m:val="p"/>
                          </m:rPr>
                          <m:t>+</m:t>
                        </m:r>
                        <m:r>
                          <m:t>2</m:t>
                        </m:r>
                      </m:sub>
                    </m:sSub>
                  </m:oMath>
                </w:p>
              </w:tc>
              <w:tc>
                <w:tcPr/>
                <w:p>
                  <w:pPr>
                    <w:pStyle w:val="Compact"/>
                    <w:jc w:val="center"/>
                  </w:pPr>
                  <m:oMath>
                    <m:r>
                      <m:rPr>
                        <m:sty m:val="p"/>
                      </m:rPr>
                      <m:t>⋯</m:t>
                    </m:r>
                  </m:oMath>
                </w:p>
              </w:tc>
              <w:tc>
                <w:tcPr/>
                <w:p>
                  <w:pPr>
                    <w:pStyle w:val="Compact"/>
                    <w:jc w:val="center"/>
                  </w:pPr>
                  <m:oMath>
                    <m:sSub>
                      <m:e>
                        <m:acc>
                          <m:accPr>
                            <m:chr m:val="̂"/>
                          </m:accPr>
                          <m:e>
                            <m:r>
                              <m:t>N</m:t>
                            </m:r>
                          </m:e>
                        </m:acc>
                      </m:e>
                      <m:sub>
                        <m:r>
                          <m:rPr>
                            <m:sty m:val="p"/>
                          </m:rPr>
                          <m:t>+</m:t>
                        </m:r>
                        <m:r>
                          <m:t>C</m:t>
                        </m:r>
                      </m:sub>
                    </m:sSub>
                  </m:oMath>
                </w:p>
              </w:tc>
              <w:tc>
                <w:tcPr/>
                <w:p>
                  <w:pPr>
                    <w:pStyle w:val="Compact"/>
                    <w:jc w:val="center"/>
                  </w:pPr>
                  <m:oMath>
                    <m:sSub>
                      <m:e>
                        <m:acc>
                          <m:accPr>
                            <m:chr m:val="̂"/>
                          </m:accPr>
                          <m:e>
                            <m:r>
                              <m:t>N</m:t>
                            </m:r>
                          </m:e>
                        </m:acc>
                      </m:e>
                      <m:sub>
                        <m:r>
                          <m:rPr>
                            <m:sty m:val="p"/>
                          </m:rPr>
                          <m:t>+</m:t>
                        </m:r>
                        <m:r>
                          <m:rPr>
                            <m:sty m:val="p"/>
                          </m:rPr>
                          <m:t>+</m:t>
                        </m:r>
                      </m:sub>
                    </m:sSub>
                  </m:oMath>
                </w:p>
              </w:tc>
            </w:tr>
          </w:tbl>
          <w:bookmarkEnd w:id="125"/>
          <w:p/>
        </w:tc>
      </w:tr>
    </w:tbl>
    <w:p>
      <w:pPr>
        <w:pStyle w:val="BodyText"/>
      </w:pPr>
      <w:r>
        <w:t xml:space="preserve">De manera tradicional, las tablas de contingencia suelen representarse como arreglos bidimensionales de dimensión</w:t>
      </w:r>
      <w:r>
        <w:t xml:space="preserve"> </w:t>
      </w:r>
      <m:oMath>
        <m:r>
          <m:t>R</m:t>
        </m:r>
        <m:r>
          <m:rPr>
            <m:sty m:val="p"/>
          </m:rPr>
          <m:t>×</m:t>
        </m:r>
        <m:r>
          <m:t>C</m:t>
        </m:r>
      </m:oMath>
      <w:r>
        <w:t xml:space="preserve">. Sin embargo, también pueden extenderse para incorporar una o más variables adicionales, generando subconjuntos o subtablas que permiten estudiar relaciones más complejas entre variables categóricas. A partir de los tamaños estimados, también pueden estimarse proporciones para cada celda de la tabla de contingencia, de la siguiente manera:</w:t>
      </w:r>
    </w:p>
    <w:p>
      <w:pPr>
        <w:pStyle w:val="BodyText"/>
      </w:pPr>
      <m:oMathPara>
        <m:oMathParaPr>
          <m:jc m:val="center"/>
        </m:oMathParaPr>
        <m:oMath>
          <m:sSub>
            <m:e>
              <m:acc>
                <m:accPr>
                  <m:chr m:val="̂"/>
                </m:accPr>
                <m:e>
                  <m:r>
                    <m:t>p</m:t>
                  </m:r>
                </m:e>
              </m:acc>
            </m:e>
            <m:sub>
              <m:r>
                <m:t>r</m:t>
              </m:r>
              <m:r>
                <m:t>c</m:t>
              </m:r>
            </m:sub>
          </m:sSub>
          <m:r>
            <m:rPr>
              <m:sty m:val="p"/>
            </m:rPr>
            <m:t>=</m:t>
          </m:r>
          <m:f>
            <m:fPr>
              <m:type m:val="bar"/>
            </m:fPr>
            <m:num>
              <m:sSub>
                <m:e>
                  <m:acc>
                    <m:accPr>
                      <m:chr m:val="̂"/>
                    </m:accPr>
                    <m:e>
                      <m:r>
                        <m:t>N</m:t>
                      </m:r>
                    </m:e>
                  </m:acc>
                </m:e>
                <m:sub>
                  <m:r>
                    <m:t>r</m:t>
                  </m:r>
                  <m:r>
                    <m:t>c</m:t>
                  </m:r>
                </m:sub>
              </m:sSub>
            </m:num>
            <m:den>
              <m:sSub>
                <m:e>
                  <m:acc>
                    <m:accPr>
                      <m:chr m:val="̂"/>
                    </m:accPr>
                    <m:e>
                      <m:r>
                        <m:t>N</m:t>
                      </m:r>
                    </m:e>
                  </m:acc>
                </m:e>
                <m:sub>
                  <m:r>
                    <m:rPr>
                      <m:sty m:val="p"/>
                    </m:rPr>
                    <m:t>+</m:t>
                  </m:r>
                  <m:r>
                    <m:rPr>
                      <m:sty m:val="p"/>
                    </m:rPr>
                    <m:t>+</m:t>
                  </m:r>
                </m:sub>
              </m:sSub>
            </m:den>
          </m:f>
        </m:oMath>
      </m:oMathPara>
    </w:p>
    <w:p>
      <w:pPr>
        <w:pStyle w:val="FirstParagraph"/>
      </w:pPr>
      <w:r>
        <w:t xml:space="preserve">A continuación, y siguiendo con la base de datos de ejemplo, se estima la distribución porcentual de hombres y mujeres según su condición de pobreza, incorporando además sus respectivos errores estándar e intervalos de confianza. Los resultados se presentan en la</w:t>
      </w:r>
      <w:r>
        <w:t xml:space="preserve"> </w:t>
      </w:r>
      <w:hyperlink w:anchor="tbl-contingencia-pobreza-sexo">
        <w:r>
          <w:rPr>
            <w:rStyle w:val="Hyperlink"/>
          </w:rPr>
          <w:t xml:space="preserve">tabla 4.17</w:t>
        </w:r>
      </w:hyperlink>
      <w:r>
        <w:t xml:space="preserve">. Este tipo de análisis permite describir la composición de la población pobre según sexo y evaluar la precisión de las estimaciones obtenidas a partir del diseño muestral.</w:t>
      </w:r>
    </w:p>
    <w:p>
      <w:pPr>
        <w:pStyle w:val="SourceCode"/>
      </w:pPr>
      <w:r>
        <w:rPr>
          <w:rStyle w:val="NormalTok"/>
        </w:rPr>
        <w:t xml:space="preserve">poverty_design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poor =</w:t>
      </w:r>
      <w:r>
        <w:rPr>
          <w:rStyle w:val="NormalTok"/>
        </w:rPr>
        <w:t xml:space="preserve"> </w:t>
      </w:r>
      <w:r>
        <w:rPr>
          <w:rStyle w:val="FunctionTok"/>
        </w:rPr>
        <w:t xml:space="preserve">factor</w:t>
      </w:r>
      <w:r>
        <w:rPr>
          <w:rStyle w:val="NormalTok"/>
        </w:rPr>
        <w:t xml:space="preserve">(</w:t>
      </w:r>
      <w:r>
        <w:br/>
      </w:r>
      <w:r>
        <w:rPr>
          <w:rStyle w:val="NormalTok"/>
        </w:rPr>
        <w:t xml:space="preserve">    poor,</w:t>
      </w:r>
      <w:r>
        <w:br/>
      </w:r>
      <w:r>
        <w:rPr>
          <w:rStyle w:val="NormalTok"/>
        </w:rPr>
        <w:t xml:space="preserve">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"Not poor"</w:t>
      </w:r>
      <w:r>
        <w:rPr>
          <w:rStyle w:val="NormalTok"/>
        </w:rPr>
        <w:t xml:space="preserve">, </w:t>
      </w:r>
      <w:r>
        <w:rPr>
          <w:rStyle w:val="StringTok"/>
        </w:rPr>
        <w:t xml:space="preserve">"Poor"</w:t>
      </w:r>
      <w:r>
        <w:rPr>
          <w:rStyle w:val="NormalTok"/>
        </w:rPr>
        <w:t xml:space="preserve">)</w:t>
      </w:r>
      <w:r>
        <w:br/>
      </w:r>
      <w:r>
        <w:rPr>
          <w:rStyle w:val="NormalTok"/>
        </w:rPr>
        <w:t xml:space="preserve">  ))</w:t>
      </w:r>
    </w:p>
    <w:p>
      <w:pPr>
        <w:pStyle w:val="SourceCode"/>
      </w:pPr>
      <w:r>
        <w:rPr>
          <w:rStyle w:val="NormalTok"/>
        </w:rPr>
        <w:t xml:space="preserve">poverty_design </w:t>
      </w:r>
      <w:r>
        <w:rPr>
          <w:rStyle w:val="SpecialCharTok"/>
        </w:rPr>
        <w:t xml:space="preserve">%&gt;%</w:t>
      </w:r>
      <w:r>
        <w:br/>
      </w:r>
      <w:r>
        <w:rPr>
          <w:rStyle w:val="NormalTok"/>
        </w:rPr>
        <w:t xml:space="preserve">  </w:t>
      </w:r>
      <w:r>
        <w:rPr>
          <w:rStyle w:val="FunctionTok"/>
        </w:rPr>
        <w:t xml:space="preserve">group_by</w:t>
      </w:r>
      <w:r>
        <w:rPr>
          <w:rStyle w:val="NormalTok"/>
        </w:rPr>
        <w:t xml:space="preserve">(poor,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6" w:name="tbl-contingencia-pobreza-sexo"/>
          <w:p>
            <w:pPr>
              <w:jc w:val="center"/>
            </w:pPr>
            <w:pPr>
              <w:jc w:val="left"/>
              <w:spacing w:before="200"/>
              <w:pStyle w:val="ImageCaption"/>
            </w:pPr>
            <w:r>
              <w:t xml:space="preserve">Tabla 4.17: Proporción de hombres y mujeres en condición de pobreza y no pobreza</w:t>
            </w:r>
          </w:p>
          <w:tbl>
            <w:tblPr>
              <w:tblStyle w:val="Table"/>
              <w:tblW w:type="pct" w:w="5000"/>
              <w:tblLayout w:type="fixed"/>
              <w:tblLook w:firstRow="1" w:lastRow="0" w:firstColumn="0" w:lastColumn="0" w:noHBand="0" w:noVBand="0" w:val="0020"/>
            </w:tblPr>
            <w:tblGrid>
              <w:gridCol w:w="1003"/>
              <w:gridCol w:w="780"/>
              <w:gridCol w:w="1227"/>
              <w:gridCol w:w="1561"/>
              <w:gridCol w:w="1673"/>
              <w:gridCol w:w="1673"/>
            </w:tblGrid>
            <w:tr>
              <w:trPr>
                <w:tblHeader w:val="on"/>
              </w:trPr>
              <w:tc>
                <w:tcPr/>
                <w:p>
                  <w:pPr>
                    <w:pStyle w:val="Compact"/>
                    <w:jc w:val="left"/>
                    <w:jc w:val="center"/>
                  </w:pPr>
                  <w:r>
                    <w:t xml:space="preserve">poor</w:t>
                  </w:r>
                </w:p>
              </w:tc>
              <w:tc>
                <w:tcPr/>
                <w:p>
                  <w:pPr>
                    <w:pStyle w:val="Compact"/>
                    <w:jc w:val="left"/>
                    <w:jc w:val="center"/>
                  </w:pPr>
                  <w:r>
                    <w:t xml:space="preserve">Sex</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Not poor</w:t>
                  </w:r>
                </w:p>
              </w:tc>
              <w:tc>
                <w:tcPr/>
                <w:p>
                  <w:pPr>
                    <w:pStyle w:val="Compact"/>
                    <w:jc w:val="left"/>
                    <w:jc w:val="center"/>
                  </w:pPr>
                  <w:r>
                    <w:t xml:space="preserve">Female</w:t>
                  </w:r>
                </w:p>
              </w:tc>
              <w:tc>
                <w:tcPr/>
                <w:p>
                  <w:pPr>
                    <w:pStyle w:val="Compact"/>
                    <w:jc w:val="right"/>
                    <w:jc w:val="center"/>
                  </w:pPr>
                  <w:r>
                    <w:t xml:space="preserve">0.529</w:t>
                  </w:r>
                </w:p>
              </w:tc>
              <w:tc>
                <w:tcPr/>
                <w:p>
                  <w:pPr>
                    <w:pStyle w:val="Compact"/>
                    <w:jc w:val="right"/>
                    <w:jc w:val="center"/>
                  </w:pPr>
                  <w:r>
                    <w:t xml:space="preserve">0.012</w:t>
                  </w:r>
                </w:p>
              </w:tc>
              <w:tc>
                <w:tcPr/>
                <w:p>
                  <w:pPr>
                    <w:pStyle w:val="Compact"/>
                    <w:jc w:val="right"/>
                    <w:jc w:val="center"/>
                  </w:pPr>
                  <w:r>
                    <w:t xml:space="preserve">0.505</w:t>
                  </w:r>
                </w:p>
              </w:tc>
              <w:tc>
                <w:tcPr/>
                <w:p>
                  <w:pPr>
                    <w:pStyle w:val="Compact"/>
                    <w:jc w:val="right"/>
                    <w:jc w:val="center"/>
                  </w:pPr>
                  <w:r>
                    <w:t xml:space="preserve">0.554</w:t>
                  </w:r>
                </w:p>
              </w:tc>
            </w:tr>
            <w:tr>
              <w:tc>
                <w:tcPr/>
                <w:p>
                  <w:pPr>
                    <w:pStyle w:val="Compact"/>
                    <w:jc w:val="left"/>
                    <w:jc w:val="center"/>
                  </w:pPr>
                  <w:r>
                    <w:t xml:space="preserve">Not poor</w:t>
                  </w:r>
                </w:p>
              </w:tc>
              <w:tc>
                <w:tcPr/>
                <w:p>
                  <w:pPr>
                    <w:pStyle w:val="Compact"/>
                    <w:jc w:val="left"/>
                    <w:jc w:val="center"/>
                  </w:pPr>
                  <w:r>
                    <w:t xml:space="preserve">Male</w:t>
                  </w:r>
                </w:p>
              </w:tc>
              <w:tc>
                <w:tcPr/>
                <w:p>
                  <w:pPr>
                    <w:pStyle w:val="Compact"/>
                    <w:jc w:val="right"/>
                    <w:jc w:val="center"/>
                  </w:pPr>
                  <w:r>
                    <w:t xml:space="preserve">0.471</w:t>
                  </w:r>
                </w:p>
              </w:tc>
              <w:tc>
                <w:tcPr/>
                <w:p>
                  <w:pPr>
                    <w:pStyle w:val="Compact"/>
                    <w:jc w:val="right"/>
                    <w:jc w:val="center"/>
                  </w:pPr>
                  <w:r>
                    <w:t xml:space="preserve">0.012</w:t>
                  </w:r>
                </w:p>
              </w:tc>
              <w:tc>
                <w:tcPr/>
                <w:p>
                  <w:pPr>
                    <w:pStyle w:val="Compact"/>
                    <w:jc w:val="right"/>
                    <w:jc w:val="center"/>
                  </w:pPr>
                  <w:r>
                    <w:t xml:space="preserve">0.446</w:t>
                  </w:r>
                </w:p>
              </w:tc>
              <w:tc>
                <w:tcPr/>
                <w:p>
                  <w:pPr>
                    <w:pStyle w:val="Compact"/>
                    <w:jc w:val="right"/>
                    <w:jc w:val="center"/>
                  </w:pPr>
                  <w:r>
                    <w:t xml:space="preserve">0.495</w:t>
                  </w:r>
                </w:p>
              </w:tc>
            </w:tr>
            <w:tr>
              <w:tc>
                <w:tcPr/>
                <w:p>
                  <w:pPr>
                    <w:pStyle w:val="Compact"/>
                    <w:jc w:val="left"/>
                    <w:jc w:val="center"/>
                  </w:pPr>
                  <w:r>
                    <w:t xml:space="preserve">Poor</w:t>
                  </w:r>
                </w:p>
              </w:tc>
              <w:tc>
                <w:tcPr/>
                <w:p>
                  <w:pPr>
                    <w:pStyle w:val="Compact"/>
                    <w:jc w:val="left"/>
                    <w:jc w:val="center"/>
                  </w:pPr>
                  <w:r>
                    <w:t xml:space="preserve">Female</w:t>
                  </w:r>
                </w:p>
              </w:tc>
              <w:tc>
                <w:tcPr/>
                <w:p>
                  <w:pPr>
                    <w:pStyle w:val="Compact"/>
                    <w:jc w:val="right"/>
                    <w:jc w:val="center"/>
                  </w:pPr>
                  <w:r>
                    <w:t xml:space="preserve">0.524</w:t>
                  </w:r>
                </w:p>
              </w:tc>
              <w:tc>
                <w:tcPr/>
                <w:p>
                  <w:pPr>
                    <w:pStyle w:val="Compact"/>
                    <w:jc w:val="right"/>
                    <w:jc w:val="center"/>
                  </w:pPr>
                  <w:r>
                    <w:t xml:space="preserve">0.016</w:t>
                  </w:r>
                </w:p>
              </w:tc>
              <w:tc>
                <w:tcPr/>
                <w:p>
                  <w:pPr>
                    <w:pStyle w:val="Compact"/>
                    <w:jc w:val="right"/>
                    <w:jc w:val="center"/>
                  </w:pPr>
                  <w:r>
                    <w:t xml:space="preserve">0.492</w:t>
                  </w:r>
                </w:p>
              </w:tc>
              <w:tc>
                <w:tcPr/>
                <w:p>
                  <w:pPr>
                    <w:pStyle w:val="Compact"/>
                    <w:jc w:val="right"/>
                    <w:jc w:val="center"/>
                  </w:pPr>
                  <w:r>
                    <w:t xml:space="preserve">0.555</w:t>
                  </w:r>
                </w:p>
              </w:tc>
            </w:tr>
            <w:tr>
              <w:tc>
                <w:tcPr/>
                <w:p>
                  <w:pPr>
                    <w:pStyle w:val="Compact"/>
                    <w:jc w:val="left"/>
                    <w:jc w:val="center"/>
                  </w:pPr>
                  <w:r>
                    <w:t xml:space="preserve">Poor</w:t>
                  </w:r>
                </w:p>
              </w:tc>
              <w:tc>
                <w:tcPr/>
                <w:p>
                  <w:pPr>
                    <w:pStyle w:val="Compact"/>
                    <w:jc w:val="left"/>
                    <w:jc w:val="center"/>
                  </w:pPr>
                  <w:r>
                    <w:t xml:space="preserve">Male</w:t>
                  </w:r>
                </w:p>
              </w:tc>
              <w:tc>
                <w:tcPr/>
                <w:p>
                  <w:pPr>
                    <w:pStyle w:val="Compact"/>
                    <w:jc w:val="right"/>
                    <w:jc w:val="center"/>
                  </w:pPr>
                  <w:r>
                    <w:t xml:space="preserve">0.476</w:t>
                  </w:r>
                </w:p>
              </w:tc>
              <w:tc>
                <w:tcPr/>
                <w:p>
                  <w:pPr>
                    <w:pStyle w:val="Compact"/>
                    <w:jc w:val="right"/>
                    <w:jc w:val="center"/>
                  </w:pPr>
                  <w:r>
                    <w:t xml:space="preserve">0.016</w:t>
                  </w:r>
                </w:p>
              </w:tc>
              <w:tc>
                <w:tcPr/>
                <w:p>
                  <w:pPr>
                    <w:pStyle w:val="Compact"/>
                    <w:jc w:val="right"/>
                    <w:jc w:val="center"/>
                  </w:pPr>
                  <w:r>
                    <w:t xml:space="preserve">0.445</w:t>
                  </w:r>
                </w:p>
              </w:tc>
              <w:tc>
                <w:tcPr/>
                <w:p>
                  <w:pPr>
                    <w:pStyle w:val="Compact"/>
                    <w:jc w:val="right"/>
                    <w:jc w:val="center"/>
                  </w:pPr>
                  <w:r>
                    <w:t xml:space="preserve">0.508</w:t>
                  </w:r>
                </w:p>
              </w:tc>
            </w:tr>
          </w:tbl>
          <w:bookmarkEnd w:id="126"/>
          <w:p/>
        </w:tc>
      </w:tr>
    </w:tbl>
    <w:p>
      <w:pPr>
        <w:pStyle w:val="BodyText"/>
      </w:pPr>
      <w:r>
        <w:t xml:space="preserve">Los resultados indican que el 52.3% de la población en condición de pobreza corresponde a mujeres, mientras que el 47.6% corresponde a hombres. Para las mujeres, el intervalo de confianza al 95% se encuentra entre 49.2% y 55.5%, mientras que para los hombres el intervalo correspondiente se ubica entre 44.5% y 50.7%. Estas estimaciones permiten observar la distribución relativa de la pobreza según sexo, considerando además la incertidumbre inherente al proceso de muestreo.</w:t>
      </w:r>
    </w:p>
    <w:p>
      <w:pPr>
        <w:pStyle w:val="BodyText"/>
      </w:pPr>
      <w:r>
        <w:t xml:space="preserve">Con el mismo enfoque de</w:t>
      </w:r>
      <w:r>
        <w:t xml:space="preserve"> </w:t>
      </w:r>
      <w:r>
        <w:rPr>
          <w:rStyle w:val="VerbatimChar"/>
        </w:rPr>
        <w:t xml:space="preserve">srvyr</w:t>
      </w:r>
      <w:r>
        <w:t xml:space="preserve"> </w:t>
      </w:r>
      <w:r>
        <w:t xml:space="preserve">también puede estimarse la tabla de contingencia mediante</w:t>
      </w:r>
      <w:r>
        <w:t xml:space="preserve"> </w:t>
      </w:r>
      <w:r>
        <w:rPr>
          <w:rStyle w:val="VerbatimChar"/>
        </w:rPr>
        <w:t xml:space="preserve">group_by()</w:t>
      </w:r>
      <w:r>
        <w:t xml:space="preserve"> </w:t>
      </w:r>
      <w:r>
        <w:t xml:space="preserve">y</w:t>
      </w:r>
      <w:r>
        <w:t xml:space="preserve"> </w:t>
      </w:r>
      <w:r>
        <w:rPr>
          <w:rStyle w:val="VerbatimChar"/>
        </w:rPr>
        <w:t xml:space="preserve">summarise()</w:t>
      </w:r>
      <w:r>
        <w:t xml:space="preserve">. En el siguiente ejemplo se estima la distribución de la condición de pobreza según sexo, obteniendo además medidas de precisión como errores estándar e intervalos de confianza. El código correspondiente y sus resultados se presentan en la</w:t>
      </w:r>
      <w:r>
        <w:t xml:space="preserve"> </w:t>
      </w:r>
      <w:hyperlink w:anchor="tbl-svyby-pobreza-sexo">
        <w:r>
          <w:rPr>
            <w:rStyle w:val="Hyperlink"/>
          </w:rPr>
          <w:t xml:space="preserve">tabla 4.18</w:t>
        </w:r>
      </w:hyperlink>
      <w:r>
        <w:t xml:space="preserve">.</w:t>
      </w:r>
    </w:p>
    <w:p>
      <w:pPr>
        <w:pStyle w:val="SourceCode"/>
      </w:pPr>
      <w:r>
        <w:rPr>
          <w:rStyle w:val="NormalTok"/>
        </w:rPr>
        <w:t xml:space="preserve">sex_by_poverty_proportion </w:t>
      </w:r>
      <w:r>
        <w:rPr>
          <w:rStyle w:val="OtherTok"/>
        </w:rPr>
        <w:t xml:space="preserve">&lt;-</w:t>
      </w:r>
      <w:r>
        <w:rPr>
          <w:rStyle w:val="NormalTok"/>
        </w:rPr>
        <w:t xml:space="preserve"> poverty_design </w:t>
      </w:r>
      <w:r>
        <w:rPr>
          <w:rStyle w:val="SpecialCharTok"/>
        </w:rPr>
        <w:t xml:space="preserve">%&gt;%</w:t>
      </w:r>
      <w:r>
        <w:br/>
      </w:r>
      <w:r>
        <w:rPr>
          <w:rStyle w:val="NormalTok"/>
        </w:rPr>
        <w:t xml:space="preserve">  </w:t>
      </w:r>
      <w:r>
        <w:rPr>
          <w:rStyle w:val="FunctionTok"/>
        </w:rPr>
        <w:t xml:space="preserve">group_by</w:t>
      </w:r>
      <w:r>
        <w:rPr>
          <w:rStyle w:val="NormalTok"/>
        </w:rPr>
        <w:t xml:space="preserve">(poor,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7" w:name="tbl-svyby-pobreza-sexo"/>
          <w:p>
            <w:pPr>
              <w:jc w:val="center"/>
            </w:pPr>
            <w:pPr>
              <w:jc w:val="left"/>
              <w:spacing w:before="200"/>
              <w:pStyle w:val="ImageCaption"/>
            </w:pPr>
            <w:r>
              <w:t xml:space="preserve">Tabla 4.18: Proporción de hombres y mujeres por condición de pobreza</w:t>
            </w:r>
          </w:p>
          <w:tbl>
            <w:tblPr>
              <w:tblStyle w:val="Table"/>
              <w:tblW w:type="pct" w:w="5000"/>
              <w:tblLayout w:type="fixed"/>
              <w:tblLook w:firstRow="1" w:lastRow="0" w:firstColumn="0" w:lastColumn="0" w:noHBand="0" w:noVBand="0" w:val="0020"/>
            </w:tblPr>
            <w:tblGrid>
              <w:gridCol w:w="1003"/>
              <w:gridCol w:w="780"/>
              <w:gridCol w:w="1227"/>
              <w:gridCol w:w="1561"/>
              <w:gridCol w:w="1673"/>
              <w:gridCol w:w="1673"/>
            </w:tblGrid>
            <w:tr>
              <w:trPr>
                <w:tblHeader w:val="on"/>
              </w:trPr>
              <w:tc>
                <w:tcPr/>
                <w:p>
                  <w:pPr>
                    <w:pStyle w:val="Compact"/>
                    <w:jc w:val="left"/>
                    <w:jc w:val="center"/>
                  </w:pPr>
                  <w:r>
                    <w:t xml:space="preserve">poor</w:t>
                  </w:r>
                </w:p>
              </w:tc>
              <w:tc>
                <w:tcPr/>
                <w:p>
                  <w:pPr>
                    <w:pStyle w:val="Compact"/>
                    <w:jc w:val="left"/>
                    <w:jc w:val="center"/>
                  </w:pPr>
                  <w:r>
                    <w:t xml:space="preserve">Sex</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Not poor</w:t>
                  </w:r>
                </w:p>
              </w:tc>
              <w:tc>
                <w:tcPr/>
                <w:p>
                  <w:pPr>
                    <w:pStyle w:val="Compact"/>
                    <w:jc w:val="left"/>
                    <w:jc w:val="center"/>
                  </w:pPr>
                  <w:r>
                    <w:t xml:space="preserve">Female</w:t>
                  </w:r>
                </w:p>
              </w:tc>
              <w:tc>
                <w:tcPr/>
                <w:p>
                  <w:pPr>
                    <w:pStyle w:val="Compact"/>
                    <w:jc w:val="right"/>
                    <w:jc w:val="center"/>
                  </w:pPr>
                  <w:r>
                    <w:t xml:space="preserve">0.529</w:t>
                  </w:r>
                </w:p>
              </w:tc>
              <w:tc>
                <w:tcPr/>
                <w:p>
                  <w:pPr>
                    <w:pStyle w:val="Compact"/>
                    <w:jc w:val="right"/>
                    <w:jc w:val="center"/>
                  </w:pPr>
                  <w:r>
                    <w:t xml:space="preserve">0.012</w:t>
                  </w:r>
                </w:p>
              </w:tc>
              <w:tc>
                <w:tcPr/>
                <w:p>
                  <w:pPr>
                    <w:pStyle w:val="Compact"/>
                    <w:jc w:val="right"/>
                    <w:jc w:val="center"/>
                  </w:pPr>
                  <w:r>
                    <w:t xml:space="preserve">0.505</w:t>
                  </w:r>
                </w:p>
              </w:tc>
              <w:tc>
                <w:tcPr/>
                <w:p>
                  <w:pPr>
                    <w:pStyle w:val="Compact"/>
                    <w:jc w:val="right"/>
                    <w:jc w:val="center"/>
                  </w:pPr>
                  <w:r>
                    <w:t xml:space="preserve">0.554</w:t>
                  </w:r>
                </w:p>
              </w:tc>
            </w:tr>
            <w:tr>
              <w:tc>
                <w:tcPr/>
                <w:p>
                  <w:pPr>
                    <w:pStyle w:val="Compact"/>
                    <w:jc w:val="left"/>
                    <w:jc w:val="center"/>
                  </w:pPr>
                  <w:r>
                    <w:t xml:space="preserve">Not poor</w:t>
                  </w:r>
                </w:p>
              </w:tc>
              <w:tc>
                <w:tcPr/>
                <w:p>
                  <w:pPr>
                    <w:pStyle w:val="Compact"/>
                    <w:jc w:val="left"/>
                    <w:jc w:val="center"/>
                  </w:pPr>
                  <w:r>
                    <w:t xml:space="preserve">Male</w:t>
                  </w:r>
                </w:p>
              </w:tc>
              <w:tc>
                <w:tcPr/>
                <w:p>
                  <w:pPr>
                    <w:pStyle w:val="Compact"/>
                    <w:jc w:val="right"/>
                    <w:jc w:val="center"/>
                  </w:pPr>
                  <w:r>
                    <w:t xml:space="preserve">0.471</w:t>
                  </w:r>
                </w:p>
              </w:tc>
              <w:tc>
                <w:tcPr/>
                <w:p>
                  <w:pPr>
                    <w:pStyle w:val="Compact"/>
                    <w:jc w:val="right"/>
                    <w:jc w:val="center"/>
                  </w:pPr>
                  <w:r>
                    <w:t xml:space="preserve">0.012</w:t>
                  </w:r>
                </w:p>
              </w:tc>
              <w:tc>
                <w:tcPr/>
                <w:p>
                  <w:pPr>
                    <w:pStyle w:val="Compact"/>
                    <w:jc w:val="right"/>
                    <w:jc w:val="center"/>
                  </w:pPr>
                  <w:r>
                    <w:t xml:space="preserve">0.446</w:t>
                  </w:r>
                </w:p>
              </w:tc>
              <w:tc>
                <w:tcPr/>
                <w:p>
                  <w:pPr>
                    <w:pStyle w:val="Compact"/>
                    <w:jc w:val="right"/>
                    <w:jc w:val="center"/>
                  </w:pPr>
                  <w:r>
                    <w:t xml:space="preserve">0.495</w:t>
                  </w:r>
                </w:p>
              </w:tc>
            </w:tr>
            <w:tr>
              <w:tc>
                <w:tcPr/>
                <w:p>
                  <w:pPr>
                    <w:pStyle w:val="Compact"/>
                    <w:jc w:val="left"/>
                    <w:jc w:val="center"/>
                  </w:pPr>
                  <w:r>
                    <w:t xml:space="preserve">Poor</w:t>
                  </w:r>
                </w:p>
              </w:tc>
              <w:tc>
                <w:tcPr/>
                <w:p>
                  <w:pPr>
                    <w:pStyle w:val="Compact"/>
                    <w:jc w:val="left"/>
                    <w:jc w:val="center"/>
                  </w:pPr>
                  <w:r>
                    <w:t xml:space="preserve">Female</w:t>
                  </w:r>
                </w:p>
              </w:tc>
              <w:tc>
                <w:tcPr/>
                <w:p>
                  <w:pPr>
                    <w:pStyle w:val="Compact"/>
                    <w:jc w:val="right"/>
                    <w:jc w:val="center"/>
                  </w:pPr>
                  <w:r>
                    <w:t xml:space="preserve">0.524</w:t>
                  </w:r>
                </w:p>
              </w:tc>
              <w:tc>
                <w:tcPr/>
                <w:p>
                  <w:pPr>
                    <w:pStyle w:val="Compact"/>
                    <w:jc w:val="right"/>
                    <w:jc w:val="center"/>
                  </w:pPr>
                  <w:r>
                    <w:t xml:space="preserve">0.016</w:t>
                  </w:r>
                </w:p>
              </w:tc>
              <w:tc>
                <w:tcPr/>
                <w:p>
                  <w:pPr>
                    <w:pStyle w:val="Compact"/>
                    <w:jc w:val="right"/>
                    <w:jc w:val="center"/>
                  </w:pPr>
                  <w:r>
                    <w:t xml:space="preserve">0.492</w:t>
                  </w:r>
                </w:p>
              </w:tc>
              <w:tc>
                <w:tcPr/>
                <w:p>
                  <w:pPr>
                    <w:pStyle w:val="Compact"/>
                    <w:jc w:val="right"/>
                    <w:jc w:val="center"/>
                  </w:pPr>
                  <w:r>
                    <w:t xml:space="preserve">0.555</w:t>
                  </w:r>
                </w:p>
              </w:tc>
            </w:tr>
            <w:tr>
              <w:tc>
                <w:tcPr/>
                <w:p>
                  <w:pPr>
                    <w:pStyle w:val="Compact"/>
                    <w:jc w:val="left"/>
                    <w:jc w:val="center"/>
                  </w:pPr>
                  <w:r>
                    <w:t xml:space="preserve">Poor</w:t>
                  </w:r>
                </w:p>
              </w:tc>
              <w:tc>
                <w:tcPr/>
                <w:p>
                  <w:pPr>
                    <w:pStyle w:val="Compact"/>
                    <w:jc w:val="left"/>
                    <w:jc w:val="center"/>
                  </w:pPr>
                  <w:r>
                    <w:t xml:space="preserve">Male</w:t>
                  </w:r>
                </w:p>
              </w:tc>
              <w:tc>
                <w:tcPr/>
                <w:p>
                  <w:pPr>
                    <w:pStyle w:val="Compact"/>
                    <w:jc w:val="right"/>
                    <w:jc w:val="center"/>
                  </w:pPr>
                  <w:r>
                    <w:t xml:space="preserve">0.476</w:t>
                  </w:r>
                </w:p>
              </w:tc>
              <w:tc>
                <w:tcPr/>
                <w:p>
                  <w:pPr>
                    <w:pStyle w:val="Compact"/>
                    <w:jc w:val="right"/>
                    <w:jc w:val="center"/>
                  </w:pPr>
                  <w:r>
                    <w:t xml:space="preserve">0.016</w:t>
                  </w:r>
                </w:p>
              </w:tc>
              <w:tc>
                <w:tcPr/>
                <w:p>
                  <w:pPr>
                    <w:pStyle w:val="Compact"/>
                    <w:jc w:val="right"/>
                    <w:jc w:val="center"/>
                  </w:pPr>
                  <w:r>
                    <w:t xml:space="preserve">0.445</w:t>
                  </w:r>
                </w:p>
              </w:tc>
              <w:tc>
                <w:tcPr/>
                <w:p>
                  <w:pPr>
                    <w:pStyle w:val="Compact"/>
                    <w:jc w:val="right"/>
                    <w:jc w:val="center"/>
                  </w:pPr>
                  <w:r>
                    <w:t xml:space="preserve">0.508</w:t>
                  </w:r>
                </w:p>
              </w:tc>
            </w:tr>
          </w:tbl>
          <w:bookmarkEnd w:id="127"/>
          <w:p/>
        </w:tc>
      </w:tr>
    </w:tbl>
    <w:p>
      <w:pPr>
        <w:pStyle w:val="BodyText"/>
      </w:pPr>
      <w:r>
        <w:t xml:space="preserve">Los intervalos de confianza ya fueron calculados por</w:t>
      </w:r>
      <w:r>
        <w:t xml:space="preserve"> </w:t>
      </w:r>
      <w:r>
        <w:rPr>
          <w:rStyle w:val="VerbatimChar"/>
        </w:rPr>
        <w:t xml:space="preserve">survey_prop(vartype = c("se", "ci"))</w:t>
      </w:r>
      <w:r>
        <w:t xml:space="preserve">. El siguiente código no vuelve a estimarlos mediante</w:t>
      </w:r>
      <w:r>
        <w:t xml:space="preserve"> </w:t>
      </w:r>
      <w:r>
        <w:rPr>
          <w:rStyle w:val="VerbatimChar"/>
        </w:rPr>
        <w:t xml:space="preserve">confint()</w:t>
      </w:r>
      <w:r>
        <w:t xml:space="preserve">; utiliza</w:t>
      </w:r>
      <w:r>
        <w:t xml:space="preserve"> </w:t>
      </w:r>
      <w:r>
        <w:rPr>
          <w:rStyle w:val="VerbatimChar"/>
        </w:rPr>
        <w:t xml:space="preserve">select()</w:t>
      </w:r>
      <w:r>
        <w:t xml:space="preserve"> </w:t>
      </w:r>
      <w:r>
        <w:t xml:space="preserve">para extraer las columnas que contienen sus límites inferior y superior. Los resultados se presentan en la</w:t>
      </w:r>
      <w:r>
        <w:t xml:space="preserve"> </w:t>
      </w:r>
      <w:hyperlink w:anchor="tbl-confint-sexo-pobreza">
        <w:r>
          <w:rPr>
            <w:rStyle w:val="Hyperlink"/>
          </w:rPr>
          <w:t xml:space="preserve">tabla 4.19</w:t>
        </w:r>
      </w:hyperlink>
      <w:r>
        <w:t xml:space="preserve"> </w:t>
      </w:r>
      <w:r>
        <w:t xml:space="preserve">y coinciden, por construcción, con los generados anteriormente.</w:t>
      </w:r>
    </w:p>
    <w:p>
      <w:pPr>
        <w:pStyle w:val="SourceCode"/>
      </w:pPr>
      <w:r>
        <w:rPr>
          <w:rStyle w:val="NormalTok"/>
        </w:rPr>
        <w:t xml:space="preserve">sex_by_poverty_proportion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(poor, Sex, proportion_low, proportion_upp)</w:t>
      </w:r>
    </w:p>
    <w:tbl>
      <w:tblPr>
        <w:tblStyle w:val="Table"/>
        <w:tblW w:type="pct" w:w="5000"/>
        <w:tblLayout w:type="fixed"/>
        <w:tblLook w:firstRow="0" w:lastRow="0" w:firstColumn="0" w:lastColumn="0" w:noHBand="0" w:noVBand="0" w:val="0000"/>
      </w:tblPr>
      <w:tblGrid>
        <w:gridCol w:w="7920"/>
      </w:tblGrid>
      <w:tr>
        <w:tc>
          <w:tcPr/>
          <w:bookmarkStart w:id="128" w:name="tbl-confint-sexo-pobreza"/>
          <w:p>
            <w:pPr>
              <w:jc w:val="center"/>
            </w:pPr>
            <w:pPr>
              <w:jc w:val="left"/>
              <w:spacing w:before="200"/>
              <w:pStyle w:val="ImageCaption"/>
            </w:pPr>
            <w:r>
              <w:t xml:space="preserve">Tabla 4.19: Intervalos de confianza para la proporción por sexo y pobreza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poor</w:t>
                  </w:r>
                </w:p>
              </w:tc>
              <w:tc>
                <w:tcPr/>
                <w:p>
                  <w:pPr>
                    <w:pStyle w:val="Compact"/>
                    <w:jc w:val="left"/>
                    <w:jc w:val="center"/>
                  </w:pPr>
                  <w:r>
                    <w:t xml:space="preserve">Sex</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Not poor</w:t>
                  </w:r>
                </w:p>
              </w:tc>
              <w:tc>
                <w:tcPr/>
                <w:p>
                  <w:pPr>
                    <w:pStyle w:val="Compact"/>
                    <w:jc w:val="left"/>
                    <w:jc w:val="center"/>
                  </w:pPr>
                  <w:r>
                    <w:t xml:space="preserve">Female</w:t>
                  </w:r>
                </w:p>
              </w:tc>
              <w:tc>
                <w:tcPr/>
                <w:p>
                  <w:pPr>
                    <w:pStyle w:val="Compact"/>
                    <w:jc w:val="right"/>
                    <w:jc w:val="center"/>
                  </w:pPr>
                  <w:r>
                    <w:t xml:space="preserve">0.505</w:t>
                  </w:r>
                </w:p>
              </w:tc>
              <w:tc>
                <w:tcPr/>
                <w:p>
                  <w:pPr>
                    <w:pStyle w:val="Compact"/>
                    <w:jc w:val="right"/>
                    <w:jc w:val="center"/>
                  </w:pPr>
                  <w:r>
                    <w:t xml:space="preserve">0.554</w:t>
                  </w:r>
                </w:p>
              </w:tc>
            </w:tr>
            <w:tr>
              <w:tc>
                <w:tcPr/>
                <w:p>
                  <w:pPr>
                    <w:pStyle w:val="Compact"/>
                    <w:jc w:val="left"/>
                    <w:jc w:val="center"/>
                  </w:pPr>
                  <w:r>
                    <w:t xml:space="preserve">Not poor</w:t>
                  </w:r>
                </w:p>
              </w:tc>
              <w:tc>
                <w:tcPr/>
                <w:p>
                  <w:pPr>
                    <w:pStyle w:val="Compact"/>
                    <w:jc w:val="left"/>
                    <w:jc w:val="center"/>
                  </w:pPr>
                  <w:r>
                    <w:t xml:space="preserve">Male</w:t>
                  </w:r>
                </w:p>
              </w:tc>
              <w:tc>
                <w:tcPr/>
                <w:p>
                  <w:pPr>
                    <w:pStyle w:val="Compact"/>
                    <w:jc w:val="right"/>
                    <w:jc w:val="center"/>
                  </w:pPr>
                  <w:r>
                    <w:t xml:space="preserve">0.446</w:t>
                  </w:r>
                </w:p>
              </w:tc>
              <w:tc>
                <w:tcPr/>
                <w:p>
                  <w:pPr>
                    <w:pStyle w:val="Compact"/>
                    <w:jc w:val="right"/>
                    <w:jc w:val="center"/>
                  </w:pPr>
                  <w:r>
                    <w:t xml:space="preserve">0.495</w:t>
                  </w:r>
                </w:p>
              </w:tc>
            </w:tr>
            <w:tr>
              <w:tc>
                <w:tcPr/>
                <w:p>
                  <w:pPr>
                    <w:pStyle w:val="Compact"/>
                    <w:jc w:val="left"/>
                    <w:jc w:val="center"/>
                  </w:pPr>
                  <w:r>
                    <w:t xml:space="preserve">Poor</w:t>
                  </w:r>
                </w:p>
              </w:tc>
              <w:tc>
                <w:tcPr/>
                <w:p>
                  <w:pPr>
                    <w:pStyle w:val="Compact"/>
                    <w:jc w:val="left"/>
                    <w:jc w:val="center"/>
                  </w:pPr>
                  <w:r>
                    <w:t xml:space="preserve">Female</w:t>
                  </w:r>
                </w:p>
              </w:tc>
              <w:tc>
                <w:tcPr/>
                <w:p>
                  <w:pPr>
                    <w:pStyle w:val="Compact"/>
                    <w:jc w:val="right"/>
                    <w:jc w:val="center"/>
                  </w:pPr>
                  <w:r>
                    <w:t xml:space="preserve">0.492</w:t>
                  </w:r>
                </w:p>
              </w:tc>
              <w:tc>
                <w:tcPr/>
                <w:p>
                  <w:pPr>
                    <w:pStyle w:val="Compact"/>
                    <w:jc w:val="right"/>
                    <w:jc w:val="center"/>
                  </w:pPr>
                  <w:r>
                    <w:t xml:space="preserve">0.555</w:t>
                  </w:r>
                </w:p>
              </w:tc>
            </w:tr>
            <w:tr>
              <w:tc>
                <w:tcPr/>
                <w:p>
                  <w:pPr>
                    <w:pStyle w:val="Compact"/>
                    <w:jc w:val="left"/>
                    <w:jc w:val="center"/>
                  </w:pPr>
                  <w:r>
                    <w:t xml:space="preserve">Poor</w:t>
                  </w:r>
                </w:p>
              </w:tc>
              <w:tc>
                <w:tcPr/>
                <w:p>
                  <w:pPr>
                    <w:pStyle w:val="Compact"/>
                    <w:jc w:val="left"/>
                    <w:jc w:val="center"/>
                  </w:pPr>
                  <w:r>
                    <w:t xml:space="preserve">Male</w:t>
                  </w:r>
                </w:p>
              </w:tc>
              <w:tc>
                <w:tcPr/>
                <w:p>
                  <w:pPr>
                    <w:pStyle w:val="Compact"/>
                    <w:jc w:val="right"/>
                    <w:jc w:val="center"/>
                  </w:pPr>
                  <w:r>
                    <w:t xml:space="preserve">0.445</w:t>
                  </w:r>
                </w:p>
              </w:tc>
              <w:tc>
                <w:tcPr/>
                <w:p>
                  <w:pPr>
                    <w:pStyle w:val="Compact"/>
                    <w:jc w:val="right"/>
                    <w:jc w:val="center"/>
                  </w:pPr>
                  <w:r>
                    <w:t xml:space="preserve">0.508</w:t>
                  </w:r>
                </w:p>
              </w:tc>
            </w:tr>
          </w:tbl>
          <w:bookmarkEnd w:id="128"/>
          <w:p/>
        </w:tc>
      </w:tr>
    </w:tbl>
    <w:p>
      <w:pPr>
        <w:pStyle w:val="BodyText"/>
      </w:pPr>
      <w:r>
        <w:t xml:space="preserve">Otro análisis de interés relacionado con tablas de doble entrada en encuestas de hogares consiste en estimar el porcentaje de personas desempleadas según sexo. El procedimiento correspondiente y sus resultados se presentan en la</w:t>
      </w:r>
      <w:r>
        <w:t xml:space="preserve"> </w:t>
      </w:r>
      <w:hyperlink w:anchor="tbl-svyby-empleo-sexo">
        <w:r>
          <w:rPr>
            <w:rStyle w:val="Hyperlink"/>
          </w:rPr>
          <w:t xml:space="preserve">tabla 4.20</w:t>
        </w:r>
      </w:hyperlink>
      <w:r>
        <w:t xml:space="preserve">.</w:t>
      </w:r>
    </w:p>
    <w:p>
      <w:pPr>
        <w:pStyle w:val="SourceCode"/>
      </w:pPr>
      <w:r>
        <w:rPr>
          <w:rStyle w:val="NormalTok"/>
        </w:rPr>
        <w:t xml:space="preserve">sex_by_employment_proportion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9" w:name="tbl-svyby-empleo-sexo"/>
          <w:p>
            <w:pPr>
              <w:jc w:val="center"/>
            </w:pPr>
            <w:pPr>
              <w:jc w:val="left"/>
              <w:spacing w:before="200"/>
              <w:pStyle w:val="ImageCaption"/>
            </w:pPr>
            <w:r>
              <w:t xml:space="preserve">Tabla 4.20: Proporción de hombres y mujeres por estado de ocupación</w:t>
            </w:r>
          </w:p>
          <w:tbl>
            <w:tblPr>
              <w:tblStyle w:val="Table"/>
              <w:tblW w:type="pct" w:w="5000"/>
              <w:tblLayout w:type="fixed"/>
              <w:tblLook w:firstRow="1" w:lastRow="0" w:firstColumn="0" w:lastColumn="0" w:noHBand="0" w:noVBand="0" w:val="0020"/>
            </w:tblPr>
            <w:tblGrid>
              <w:gridCol w:w="1193"/>
              <w:gridCol w:w="759"/>
              <w:gridCol w:w="1193"/>
              <w:gridCol w:w="1518"/>
              <w:gridCol w:w="1627"/>
              <w:gridCol w:w="1627"/>
            </w:tblGrid>
            <w:tr>
              <w:trPr>
                <w:tblHeader w:val="on"/>
              </w:trPr>
              <w:tc>
                <w:tcPr/>
                <w:p>
                  <w:pPr>
                    <w:pStyle w:val="Compact"/>
                    <w:jc w:val="left"/>
                    <w:jc w:val="center"/>
                  </w:pPr>
                  <w:r>
                    <w:t xml:space="preserve">Employment</w:t>
                  </w:r>
                </w:p>
              </w:tc>
              <w:tc>
                <w:tcPr/>
                <w:p>
                  <w:pPr>
                    <w:pStyle w:val="Compact"/>
                    <w:jc w:val="left"/>
                    <w:jc w:val="center"/>
                  </w:pPr>
                  <w:r>
                    <w:t xml:space="preserve">Sex</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Unemployed</w:t>
                  </w:r>
                </w:p>
              </w:tc>
              <w:tc>
                <w:tcPr/>
                <w:p>
                  <w:pPr>
                    <w:pStyle w:val="Compact"/>
                    <w:jc w:val="left"/>
                    <w:jc w:val="center"/>
                  </w:pPr>
                  <w:r>
                    <w:t xml:space="preserve">Female</w:t>
                  </w:r>
                </w:p>
              </w:tc>
              <w:tc>
                <w:tcPr/>
                <w:p>
                  <w:pPr>
                    <w:pStyle w:val="Compact"/>
                    <w:jc w:val="right"/>
                    <w:jc w:val="center"/>
                  </w:pPr>
                  <w:r>
                    <w:t xml:space="preserve">0.273</w:t>
                  </w:r>
                </w:p>
              </w:tc>
              <w:tc>
                <w:tcPr/>
                <w:p>
                  <w:pPr>
                    <w:pStyle w:val="Compact"/>
                    <w:jc w:val="right"/>
                    <w:jc w:val="center"/>
                  </w:pPr>
                  <w:r>
                    <w:t xml:space="preserve">0.054</w:t>
                  </w:r>
                </w:p>
              </w:tc>
              <w:tc>
                <w:tcPr/>
                <w:p>
                  <w:pPr>
                    <w:pStyle w:val="Compact"/>
                    <w:jc w:val="right"/>
                    <w:jc w:val="center"/>
                  </w:pPr>
                  <w:r>
                    <w:t xml:space="preserve">0.180</w:t>
                  </w:r>
                </w:p>
              </w:tc>
              <w:tc>
                <w:tcPr/>
                <w:p>
                  <w:pPr>
                    <w:pStyle w:val="Compact"/>
                    <w:jc w:val="right"/>
                    <w:jc w:val="center"/>
                  </w:pPr>
                  <w:r>
                    <w:t xml:space="preserve">0.390</w:t>
                  </w:r>
                </w:p>
              </w:tc>
            </w:tr>
            <w:tr>
              <w:tc>
                <w:tcPr/>
                <w:p>
                  <w:pPr>
                    <w:pStyle w:val="Compact"/>
                    <w:jc w:val="left"/>
                    <w:jc w:val="center"/>
                  </w:pPr>
                  <w:r>
                    <w:t xml:space="preserve">Unemployed</w:t>
                  </w:r>
                </w:p>
              </w:tc>
              <w:tc>
                <w:tcPr/>
                <w:p>
                  <w:pPr>
                    <w:pStyle w:val="Compact"/>
                    <w:jc w:val="left"/>
                    <w:jc w:val="center"/>
                  </w:pPr>
                  <w:r>
                    <w:t xml:space="preserve">Male</w:t>
                  </w:r>
                </w:p>
              </w:tc>
              <w:tc>
                <w:tcPr/>
                <w:p>
                  <w:pPr>
                    <w:pStyle w:val="Compact"/>
                    <w:jc w:val="right"/>
                    <w:jc w:val="center"/>
                  </w:pPr>
                  <w:r>
                    <w:t xml:space="preserve">0.727</w:t>
                  </w:r>
                </w:p>
              </w:tc>
              <w:tc>
                <w:tcPr/>
                <w:p>
                  <w:pPr>
                    <w:pStyle w:val="Compact"/>
                    <w:jc w:val="right"/>
                    <w:jc w:val="center"/>
                  </w:pPr>
                  <w:r>
                    <w:t xml:space="preserve">0.054</w:t>
                  </w:r>
                </w:p>
              </w:tc>
              <w:tc>
                <w:tcPr/>
                <w:p>
                  <w:pPr>
                    <w:pStyle w:val="Compact"/>
                    <w:jc w:val="right"/>
                    <w:jc w:val="center"/>
                  </w:pPr>
                  <w:r>
                    <w:t xml:space="preserve">0.610</w:t>
                  </w:r>
                </w:p>
              </w:tc>
              <w:tc>
                <w:tcPr/>
                <w:p>
                  <w:pPr>
                    <w:pStyle w:val="Compact"/>
                    <w:jc w:val="right"/>
                    <w:jc w:val="center"/>
                  </w:pPr>
                  <w:r>
                    <w:t xml:space="preserve">0.820</w:t>
                  </w:r>
                </w:p>
              </w:tc>
            </w:tr>
            <w:tr>
              <w:tc>
                <w:tcPr/>
                <w:p>
                  <w:pPr>
                    <w:pStyle w:val="Compact"/>
                    <w:jc w:val="left"/>
                    <w:jc w:val="center"/>
                  </w:pPr>
                  <w:r>
                    <w:t xml:space="preserve">Inactive</w:t>
                  </w:r>
                </w:p>
              </w:tc>
              <w:tc>
                <w:tcPr/>
                <w:p>
                  <w:pPr>
                    <w:pStyle w:val="Compact"/>
                    <w:jc w:val="left"/>
                    <w:jc w:val="center"/>
                  </w:pPr>
                  <w:r>
                    <w:t xml:space="preserve">Female</w:t>
                  </w:r>
                </w:p>
              </w:tc>
              <w:tc>
                <w:tcPr/>
                <w:p>
                  <w:pPr>
                    <w:pStyle w:val="Compact"/>
                    <w:jc w:val="right"/>
                    <w:jc w:val="center"/>
                  </w:pPr>
                  <w:r>
                    <w:t xml:space="preserve">0.770</w:t>
                  </w:r>
                </w:p>
              </w:tc>
              <w:tc>
                <w:tcPr/>
                <w:p>
                  <w:pPr>
                    <w:pStyle w:val="Compact"/>
                    <w:jc w:val="right"/>
                    <w:jc w:val="center"/>
                  </w:pPr>
                  <w:r>
                    <w:t xml:space="preserve">0.023</w:t>
                  </w:r>
                </w:p>
              </w:tc>
              <w:tc>
                <w:tcPr/>
                <w:p>
                  <w:pPr>
                    <w:pStyle w:val="Compact"/>
                    <w:jc w:val="right"/>
                    <w:jc w:val="center"/>
                  </w:pPr>
                  <w:r>
                    <w:t xml:space="preserve">0.721</w:t>
                  </w:r>
                </w:p>
              </w:tc>
              <w:tc>
                <w:tcPr/>
                <w:p>
                  <w:pPr>
                    <w:pStyle w:val="Compact"/>
                    <w:jc w:val="right"/>
                    <w:jc w:val="center"/>
                  </w:pPr>
                  <w:r>
                    <w:t xml:space="preserve">0.813</w:t>
                  </w:r>
                </w:p>
              </w:tc>
            </w:tr>
            <w:tr>
              <w:tc>
                <w:tcPr/>
                <w:p>
                  <w:pPr>
                    <w:pStyle w:val="Compact"/>
                    <w:jc w:val="left"/>
                    <w:jc w:val="center"/>
                  </w:pPr>
                  <w:r>
                    <w:t xml:space="preserve">Inactive</w:t>
                  </w:r>
                </w:p>
              </w:tc>
              <w:tc>
                <w:tcPr/>
                <w:p>
                  <w:pPr>
                    <w:pStyle w:val="Compact"/>
                    <w:jc w:val="left"/>
                    <w:jc w:val="center"/>
                  </w:pPr>
                  <w:r>
                    <w:t xml:space="preserve">Male</w:t>
                  </w:r>
                </w:p>
              </w:tc>
              <w:tc>
                <w:tcPr/>
                <w:p>
                  <w:pPr>
                    <w:pStyle w:val="Compact"/>
                    <w:jc w:val="right"/>
                    <w:jc w:val="center"/>
                  </w:pPr>
                  <w:r>
                    <w:t xml:space="preserve">0.230</w:t>
                  </w:r>
                </w:p>
              </w:tc>
              <w:tc>
                <w:tcPr/>
                <w:p>
                  <w:pPr>
                    <w:pStyle w:val="Compact"/>
                    <w:jc w:val="right"/>
                    <w:jc w:val="center"/>
                  </w:pPr>
                  <w:r>
                    <w:t xml:space="preserve">0.023</w:t>
                  </w:r>
                </w:p>
              </w:tc>
              <w:tc>
                <w:tcPr/>
                <w:p>
                  <w:pPr>
                    <w:pStyle w:val="Compact"/>
                    <w:jc w:val="right"/>
                    <w:jc w:val="center"/>
                  </w:pPr>
                  <w:r>
                    <w:t xml:space="preserve">0.187</w:t>
                  </w:r>
                </w:p>
              </w:tc>
              <w:tc>
                <w:tcPr/>
                <w:p>
                  <w:pPr>
                    <w:pStyle w:val="Compact"/>
                    <w:jc w:val="right"/>
                    <w:jc w:val="center"/>
                  </w:pPr>
                  <w:r>
                    <w:t xml:space="preserve">0.279</w:t>
                  </w:r>
                </w:p>
              </w:tc>
            </w:tr>
            <w:tr>
              <w:tc>
                <w:tcPr/>
                <w:p>
                  <w:pPr>
                    <w:pStyle w:val="Compact"/>
                    <w:jc w:val="left"/>
                    <w:jc w:val="center"/>
                  </w:pPr>
                  <w:r>
                    <w:t xml:space="preserve">Employed</w:t>
                  </w:r>
                </w:p>
              </w:tc>
              <w:tc>
                <w:tcPr/>
                <w:p>
                  <w:pPr>
                    <w:pStyle w:val="Compact"/>
                    <w:jc w:val="left"/>
                    <w:jc w:val="center"/>
                  </w:pPr>
                  <w:r>
                    <w:t xml:space="preserve">Female</w:t>
                  </w:r>
                </w:p>
              </w:tc>
              <w:tc>
                <w:tcPr/>
                <w:p>
                  <w:pPr>
                    <w:pStyle w:val="Compact"/>
                    <w:jc w:val="right"/>
                    <w:jc w:val="center"/>
                  </w:pPr>
                  <w:r>
                    <w:t xml:space="preserve">0.405</w:t>
                  </w:r>
                </w:p>
              </w:tc>
              <w:tc>
                <w:tcPr/>
                <w:p>
                  <w:pPr>
                    <w:pStyle w:val="Compact"/>
                    <w:jc w:val="right"/>
                    <w:jc w:val="center"/>
                  </w:pPr>
                  <w:r>
                    <w:t xml:space="preserve">0.019</w:t>
                  </w:r>
                </w:p>
              </w:tc>
              <w:tc>
                <w:tcPr/>
                <w:p>
                  <w:pPr>
                    <w:pStyle w:val="Compact"/>
                    <w:jc w:val="right"/>
                    <w:jc w:val="center"/>
                  </w:pPr>
                  <w:r>
                    <w:t xml:space="preserve">0.369</w:t>
                  </w:r>
                </w:p>
              </w:tc>
              <w:tc>
                <w:tcPr/>
                <w:p>
                  <w:pPr>
                    <w:pStyle w:val="Compact"/>
                    <w:jc w:val="right"/>
                    <w:jc w:val="center"/>
                  </w:pPr>
                  <w:r>
                    <w:t xml:space="preserve">0.442</w:t>
                  </w:r>
                </w:p>
              </w:tc>
            </w:tr>
            <w:tr>
              <w:tc>
                <w:tcPr/>
                <w:p>
                  <w:pPr>
                    <w:pStyle w:val="Compact"/>
                    <w:jc w:val="left"/>
                    <w:jc w:val="center"/>
                  </w:pPr>
                  <w:r>
                    <w:t xml:space="preserve">Employed</w:t>
                  </w:r>
                </w:p>
              </w:tc>
              <w:tc>
                <w:tcPr/>
                <w:p>
                  <w:pPr>
                    <w:pStyle w:val="Compact"/>
                    <w:jc w:val="left"/>
                    <w:jc w:val="center"/>
                  </w:pPr>
                  <w:r>
                    <w:t xml:space="preserve">Male</w:t>
                  </w:r>
                </w:p>
              </w:tc>
              <w:tc>
                <w:tcPr/>
                <w:p>
                  <w:pPr>
                    <w:pStyle w:val="Compact"/>
                    <w:jc w:val="right"/>
                    <w:jc w:val="center"/>
                  </w:pPr>
                  <w:r>
                    <w:t xml:space="preserve">0.595</w:t>
                  </w:r>
                </w:p>
              </w:tc>
              <w:tc>
                <w:tcPr/>
                <w:p>
                  <w:pPr>
                    <w:pStyle w:val="Compact"/>
                    <w:jc w:val="right"/>
                    <w:jc w:val="center"/>
                  </w:pPr>
                  <w:r>
                    <w:t xml:space="preserve">0.019</w:t>
                  </w:r>
                </w:p>
              </w:tc>
              <w:tc>
                <w:tcPr/>
                <w:p>
                  <w:pPr>
                    <w:pStyle w:val="Compact"/>
                    <w:jc w:val="right"/>
                    <w:jc w:val="center"/>
                  </w:pPr>
                  <w:r>
                    <w:t xml:space="preserve">0.558</w:t>
                  </w:r>
                </w:p>
              </w:tc>
              <w:tc>
                <w:tcPr/>
                <w:p>
                  <w:pPr>
                    <w:pStyle w:val="Compact"/>
                    <w:jc w:val="right"/>
                    <w:jc w:val="center"/>
                  </w:pPr>
                  <w:r>
                    <w:t xml:space="preserve">0.631</w:t>
                  </w:r>
                </w:p>
              </w:tc>
            </w:tr>
          </w:tbl>
          <w:bookmarkEnd w:id="129"/>
          <w:p/>
        </w:tc>
      </w:tr>
    </w:tbl>
    <w:p>
      <w:pPr>
        <w:pStyle w:val="BodyText"/>
      </w:pPr>
      <w:r>
        <w:t xml:space="preserve">De la anterior salida se puede observar que el 27.2% de las personas desempleadas son mujeres y el 72.7% son hombres, con errores estándar de 5.3 puntos porcentuales para ambas estimaciones. Los intervalos de confianza correspondientes se presentan en la</w:t>
      </w:r>
      <w:r>
        <w:t xml:space="preserve"> </w:t>
      </w:r>
      <w:hyperlink w:anchor="tbl-confint-empleo-sexo">
        <w:r>
          <w:rPr>
            <w:rStyle w:val="Hyperlink"/>
          </w:rPr>
          <w:t xml:space="preserve">tabla 4.21</w:t>
        </w:r>
      </w:hyperlink>
      <w:r>
        <w:t xml:space="preserve">:</w:t>
      </w:r>
    </w:p>
    <w:p>
      <w:pPr>
        <w:pStyle w:val="SourceCode"/>
      </w:pPr>
      <w:r>
        <w:rPr>
          <w:rStyle w:val="NormalTok"/>
        </w:rPr>
        <w:t xml:space="preserve">sex_by_employment_proportion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(Employment, Sex, proportion_low, proportion_upp)</w:t>
      </w:r>
    </w:p>
    <w:tbl>
      <w:tblPr>
        <w:tblStyle w:val="Table"/>
        <w:tblW w:type="pct" w:w="5000"/>
        <w:tblLayout w:type="fixed"/>
        <w:tblLook w:firstRow="0" w:lastRow="0" w:firstColumn="0" w:lastColumn="0" w:noHBand="0" w:noVBand="0" w:val="0000"/>
      </w:tblPr>
      <w:tblGrid>
        <w:gridCol w:w="7920"/>
      </w:tblGrid>
      <w:tr>
        <w:tc>
          <w:tcPr/>
          <w:bookmarkStart w:id="130" w:name="tbl-confint-empleo-sexo"/>
          <w:p>
            <w:pPr>
              <w:jc w:val="center"/>
            </w:pPr>
            <w:pPr>
              <w:jc w:val="left"/>
              <w:spacing w:before="200"/>
              <w:pStyle w:val="ImageCaption"/>
            </w:pPr>
            <w:r>
              <w:t xml:space="preserve">Tabla 4.21: Intervalos de confianza para la proporción por sexo y ocupación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Employment</w:t>
                  </w:r>
                </w:p>
              </w:tc>
              <w:tc>
                <w:tcPr/>
                <w:p>
                  <w:pPr>
                    <w:pStyle w:val="Compact"/>
                    <w:jc w:val="left"/>
                    <w:jc w:val="center"/>
                  </w:pPr>
                  <w:r>
                    <w:t xml:space="preserve">Sex</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Unemployed</w:t>
                  </w:r>
                </w:p>
              </w:tc>
              <w:tc>
                <w:tcPr/>
                <w:p>
                  <w:pPr>
                    <w:pStyle w:val="Compact"/>
                    <w:jc w:val="left"/>
                    <w:jc w:val="center"/>
                  </w:pPr>
                  <w:r>
                    <w:t xml:space="preserve">Female</w:t>
                  </w:r>
                </w:p>
              </w:tc>
              <w:tc>
                <w:tcPr/>
                <w:p>
                  <w:pPr>
                    <w:pStyle w:val="Compact"/>
                    <w:jc w:val="right"/>
                    <w:jc w:val="center"/>
                  </w:pPr>
                  <w:r>
                    <w:t xml:space="preserve">0.180</w:t>
                  </w:r>
                </w:p>
              </w:tc>
              <w:tc>
                <w:tcPr/>
                <w:p>
                  <w:pPr>
                    <w:pStyle w:val="Compact"/>
                    <w:jc w:val="right"/>
                    <w:jc w:val="center"/>
                  </w:pPr>
                  <w:r>
                    <w:t xml:space="preserve">0.390</w:t>
                  </w:r>
                </w:p>
              </w:tc>
            </w:tr>
            <w:tr>
              <w:tc>
                <w:tcPr/>
                <w:p>
                  <w:pPr>
                    <w:pStyle w:val="Compact"/>
                    <w:jc w:val="left"/>
                    <w:jc w:val="center"/>
                  </w:pPr>
                  <w:r>
                    <w:t xml:space="preserve">Unemployed</w:t>
                  </w:r>
                </w:p>
              </w:tc>
              <w:tc>
                <w:tcPr/>
                <w:p>
                  <w:pPr>
                    <w:pStyle w:val="Compact"/>
                    <w:jc w:val="left"/>
                    <w:jc w:val="center"/>
                  </w:pPr>
                  <w:r>
                    <w:t xml:space="preserve">Male</w:t>
                  </w:r>
                </w:p>
              </w:tc>
              <w:tc>
                <w:tcPr/>
                <w:p>
                  <w:pPr>
                    <w:pStyle w:val="Compact"/>
                    <w:jc w:val="right"/>
                    <w:jc w:val="center"/>
                  </w:pPr>
                  <w:r>
                    <w:t xml:space="preserve">0.610</w:t>
                  </w:r>
                </w:p>
              </w:tc>
              <w:tc>
                <w:tcPr/>
                <w:p>
                  <w:pPr>
                    <w:pStyle w:val="Compact"/>
                    <w:jc w:val="right"/>
                    <w:jc w:val="center"/>
                  </w:pPr>
                  <w:r>
                    <w:t xml:space="preserve">0.820</w:t>
                  </w:r>
                </w:p>
              </w:tc>
            </w:tr>
            <w:tr>
              <w:tc>
                <w:tcPr/>
                <w:p>
                  <w:pPr>
                    <w:pStyle w:val="Compact"/>
                    <w:jc w:val="left"/>
                    <w:jc w:val="center"/>
                  </w:pPr>
                  <w:r>
                    <w:t xml:space="preserve">Inactive</w:t>
                  </w:r>
                </w:p>
              </w:tc>
              <w:tc>
                <w:tcPr/>
                <w:p>
                  <w:pPr>
                    <w:pStyle w:val="Compact"/>
                    <w:jc w:val="left"/>
                    <w:jc w:val="center"/>
                  </w:pPr>
                  <w:r>
                    <w:t xml:space="preserve">Female</w:t>
                  </w:r>
                </w:p>
              </w:tc>
              <w:tc>
                <w:tcPr/>
                <w:p>
                  <w:pPr>
                    <w:pStyle w:val="Compact"/>
                    <w:jc w:val="right"/>
                    <w:jc w:val="center"/>
                  </w:pPr>
                  <w:r>
                    <w:t xml:space="preserve">0.721</w:t>
                  </w:r>
                </w:p>
              </w:tc>
              <w:tc>
                <w:tcPr/>
                <w:p>
                  <w:pPr>
                    <w:pStyle w:val="Compact"/>
                    <w:jc w:val="right"/>
                    <w:jc w:val="center"/>
                  </w:pPr>
                  <w:r>
                    <w:t xml:space="preserve">0.813</w:t>
                  </w:r>
                </w:p>
              </w:tc>
            </w:tr>
            <w:tr>
              <w:tc>
                <w:tcPr/>
                <w:p>
                  <w:pPr>
                    <w:pStyle w:val="Compact"/>
                    <w:jc w:val="left"/>
                    <w:jc w:val="center"/>
                  </w:pPr>
                  <w:r>
                    <w:t xml:space="preserve">Inactive</w:t>
                  </w:r>
                </w:p>
              </w:tc>
              <w:tc>
                <w:tcPr/>
                <w:p>
                  <w:pPr>
                    <w:pStyle w:val="Compact"/>
                    <w:jc w:val="left"/>
                    <w:jc w:val="center"/>
                  </w:pPr>
                  <w:r>
                    <w:t xml:space="preserve">Male</w:t>
                  </w:r>
                </w:p>
              </w:tc>
              <w:tc>
                <w:tcPr/>
                <w:p>
                  <w:pPr>
                    <w:pStyle w:val="Compact"/>
                    <w:jc w:val="right"/>
                    <w:jc w:val="center"/>
                  </w:pPr>
                  <w:r>
                    <w:t xml:space="preserve">0.187</w:t>
                  </w:r>
                </w:p>
              </w:tc>
              <w:tc>
                <w:tcPr/>
                <w:p>
                  <w:pPr>
                    <w:pStyle w:val="Compact"/>
                    <w:jc w:val="right"/>
                    <w:jc w:val="center"/>
                  </w:pPr>
                  <w:r>
                    <w:t xml:space="preserve">0.279</w:t>
                  </w:r>
                </w:p>
              </w:tc>
            </w:tr>
            <w:tr>
              <w:tc>
                <w:tcPr/>
                <w:p>
                  <w:pPr>
                    <w:pStyle w:val="Compact"/>
                    <w:jc w:val="left"/>
                    <w:jc w:val="center"/>
                  </w:pPr>
                  <w:r>
                    <w:t xml:space="preserve">Employed</w:t>
                  </w:r>
                </w:p>
              </w:tc>
              <w:tc>
                <w:tcPr/>
                <w:p>
                  <w:pPr>
                    <w:pStyle w:val="Compact"/>
                    <w:jc w:val="left"/>
                    <w:jc w:val="center"/>
                  </w:pPr>
                  <w:r>
                    <w:t xml:space="preserve">Female</w:t>
                  </w:r>
                </w:p>
              </w:tc>
              <w:tc>
                <w:tcPr/>
                <w:p>
                  <w:pPr>
                    <w:pStyle w:val="Compact"/>
                    <w:jc w:val="right"/>
                    <w:jc w:val="center"/>
                  </w:pPr>
                  <w:r>
                    <w:t xml:space="preserve">0.369</w:t>
                  </w:r>
                </w:p>
              </w:tc>
              <w:tc>
                <w:tcPr/>
                <w:p>
                  <w:pPr>
                    <w:pStyle w:val="Compact"/>
                    <w:jc w:val="right"/>
                    <w:jc w:val="center"/>
                  </w:pPr>
                  <w:r>
                    <w:t xml:space="preserve">0.442</w:t>
                  </w:r>
                </w:p>
              </w:tc>
            </w:tr>
            <w:tr>
              <w:tc>
                <w:tcPr/>
                <w:p>
                  <w:pPr>
                    <w:pStyle w:val="Compact"/>
                    <w:jc w:val="left"/>
                    <w:jc w:val="center"/>
                  </w:pPr>
                  <w:r>
                    <w:t xml:space="preserve">Employed</w:t>
                  </w:r>
                </w:p>
              </w:tc>
              <w:tc>
                <w:tcPr/>
                <w:p>
                  <w:pPr>
                    <w:pStyle w:val="Compact"/>
                    <w:jc w:val="left"/>
                    <w:jc w:val="center"/>
                  </w:pPr>
                  <w:r>
                    <w:t xml:space="preserve">Male</w:t>
                  </w:r>
                </w:p>
              </w:tc>
              <w:tc>
                <w:tcPr/>
                <w:p>
                  <w:pPr>
                    <w:pStyle w:val="Compact"/>
                    <w:jc w:val="right"/>
                    <w:jc w:val="center"/>
                  </w:pPr>
                  <w:r>
                    <w:t xml:space="preserve">0.558</w:t>
                  </w:r>
                </w:p>
              </w:tc>
              <w:tc>
                <w:tcPr/>
                <w:p>
                  <w:pPr>
                    <w:pStyle w:val="Compact"/>
                    <w:jc w:val="right"/>
                    <w:jc w:val="center"/>
                  </w:pPr>
                  <w:r>
                    <w:t xml:space="preserve">0.631</w:t>
                  </w:r>
                </w:p>
              </w:tc>
            </w:tr>
          </w:tbl>
          <w:bookmarkEnd w:id="130"/>
          <w:p/>
        </w:tc>
      </w:tr>
    </w:tbl>
    <w:p>
      <w:pPr>
        <w:pStyle w:val="BodyText"/>
      </w:pPr>
      <w:r>
        <w:t xml:space="preserve">Si ahora el objetivo es estimar la pobreza por región, se utiliza la variable numérica</w:t>
      </w:r>
      <w:r>
        <w:t xml:space="preserve"> </w:t>
      </w:r>
      <w:r>
        <w:rPr>
          <w:rStyle w:val="VerbatimChar"/>
        </w:rPr>
        <w:t xml:space="preserve">poor</w:t>
      </w:r>
      <w:r>
        <w:t xml:space="preserve"> </w:t>
      </w:r>
      <w:r>
        <w:t xml:space="preserve">dentro de un flujo</w:t>
      </w:r>
      <w:r>
        <w:t xml:space="preserve"> </w:t>
      </w:r>
      <w:r>
        <w:rPr>
          <w:rStyle w:val="VerbatimChar"/>
        </w:rPr>
        <w:t xml:space="preserve">srvyr</w:t>
      </w:r>
      <w:r>
        <w:t xml:space="preserve">, como se muestra en la</w:t>
      </w:r>
      <w:r>
        <w:t xml:space="preserve"> </w:t>
      </w:r>
      <w:hyperlink w:anchor="tbl-svyby-region-pobreza">
        <w:r>
          <w:rPr>
            <w:rStyle w:val="Hyperlink"/>
          </w:rPr>
          <w:t xml:space="preserve">tabla 4.22</w:t>
        </w:r>
      </w:hyperlink>
      <w:r>
        <w:t xml:space="preserve">.</w:t>
      </w:r>
    </w:p>
    <w:p>
      <w:pPr>
        <w:pStyle w:val="SourceCode"/>
      </w:pPr>
      <w:r>
        <w:rPr>
          <w:rStyle w:val="NormalTok"/>
        </w:rPr>
        <w:t xml:space="preserve">region_poverty_proportion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(Region, poor)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1" w:name="tbl-svyby-region-pobreza"/>
          <w:p>
            <w:pPr>
              <w:jc w:val="center"/>
            </w:pPr>
            <w:pPr>
              <w:jc w:val="left"/>
              <w:spacing w:before="200"/>
              <w:pStyle w:val="ImageCaption"/>
            </w:pPr>
            <w:r>
              <w:t xml:space="preserve">Tabla 4.22: Proporción en condición de pobreza por región</w:t>
            </w:r>
          </w:p>
          <w:tbl>
            <w:tblPr>
              <w:tblStyle w:val="Table"/>
              <w:tblW w:type="pct" w:w="5000"/>
              <w:tblLayout w:type="fixed"/>
              <w:tblLook w:firstRow="1" w:lastRow="0" w:firstColumn="0" w:lastColumn="0" w:noHBand="0" w:noVBand="0" w:val="0020"/>
            </w:tblPr>
            <w:tblGrid>
              <w:gridCol w:w="1131"/>
              <w:gridCol w:w="565"/>
              <w:gridCol w:w="1244"/>
              <w:gridCol w:w="1584"/>
              <w:gridCol w:w="1697"/>
              <w:gridCol w:w="1697"/>
            </w:tblGrid>
            <w:tr>
              <w:trPr>
                <w:tblHeader w:val="on"/>
              </w:trPr>
              <w:tc>
                <w:tcPr/>
                <w:p>
                  <w:pPr>
                    <w:pStyle w:val="Compact"/>
                    <w:jc w:val="left"/>
                    <w:jc w:val="center"/>
                  </w:pPr>
                  <w:r>
                    <w:t xml:space="preserve">Region</w:t>
                  </w:r>
                </w:p>
              </w:tc>
              <w:tc>
                <w:tcPr/>
                <w:p>
                  <w:pPr>
                    <w:pStyle w:val="Compact"/>
                    <w:jc w:val="right"/>
                    <w:jc w:val="center"/>
                  </w:pPr>
                  <w:r>
                    <w:t xml:space="preserve">poor</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Norte</w:t>
                  </w:r>
                </w:p>
              </w:tc>
              <w:tc>
                <w:tcPr/>
                <w:p>
                  <w:pPr>
                    <w:pStyle w:val="Compact"/>
                    <w:jc w:val="right"/>
                    <w:jc w:val="center"/>
                  </w:pPr>
                  <w:r>
                    <w:t xml:space="preserve">0</w:t>
                  </w:r>
                </w:p>
              </w:tc>
              <w:tc>
                <w:tcPr/>
                <w:p>
                  <w:pPr>
                    <w:pStyle w:val="Compact"/>
                    <w:jc w:val="right"/>
                    <w:jc w:val="center"/>
                  </w:pPr>
                  <w:r>
                    <w:t xml:space="preserve">0.641</w:t>
                  </w:r>
                </w:p>
              </w:tc>
              <w:tc>
                <w:tcPr/>
                <w:p>
                  <w:pPr>
                    <w:pStyle w:val="Compact"/>
                    <w:jc w:val="right"/>
                    <w:jc w:val="center"/>
                  </w:pPr>
                  <w:r>
                    <w:t xml:space="preserve">0.055</w:t>
                  </w:r>
                </w:p>
              </w:tc>
              <w:tc>
                <w:tcPr/>
                <w:p>
                  <w:pPr>
                    <w:pStyle w:val="Compact"/>
                    <w:jc w:val="right"/>
                    <w:jc w:val="center"/>
                  </w:pPr>
                  <w:r>
                    <w:t xml:space="preserve">0.526</w:t>
                  </w:r>
                </w:p>
              </w:tc>
              <w:tc>
                <w:tcPr/>
                <w:p>
                  <w:pPr>
                    <w:pStyle w:val="Compact"/>
                    <w:jc w:val="right"/>
                    <w:jc w:val="center"/>
                  </w:pPr>
                  <w:r>
                    <w:t xml:space="preserve">0.742</w:t>
                  </w:r>
                </w:p>
              </w:tc>
            </w:tr>
            <w:tr>
              <w:tc>
                <w:tcPr/>
                <w:p>
                  <w:pPr>
                    <w:pStyle w:val="Compact"/>
                    <w:jc w:val="left"/>
                    <w:jc w:val="center"/>
                  </w:pPr>
                  <w:r>
                    <w:t xml:space="preserve">Norte</w:t>
                  </w:r>
                </w:p>
              </w:tc>
              <w:tc>
                <w:tcPr/>
                <w:p>
                  <w:pPr>
                    <w:pStyle w:val="Compact"/>
                    <w:jc w:val="right"/>
                    <w:jc w:val="center"/>
                  </w:pPr>
                  <w:r>
                    <w:t xml:space="preserve">1</w:t>
                  </w:r>
                </w:p>
              </w:tc>
              <w:tc>
                <w:tcPr/>
                <w:p>
                  <w:pPr>
                    <w:pStyle w:val="Compact"/>
                    <w:jc w:val="right"/>
                    <w:jc w:val="center"/>
                  </w:pPr>
                  <w:r>
                    <w:t xml:space="preserve">0.359</w:t>
                  </w:r>
                </w:p>
              </w:tc>
              <w:tc>
                <w:tcPr/>
                <w:p>
                  <w:pPr>
                    <w:pStyle w:val="Compact"/>
                    <w:jc w:val="right"/>
                    <w:jc w:val="center"/>
                  </w:pPr>
                  <w:r>
                    <w:t xml:space="preserve">0.055</w:t>
                  </w:r>
                </w:p>
              </w:tc>
              <w:tc>
                <w:tcPr/>
                <w:p>
                  <w:pPr>
                    <w:pStyle w:val="Compact"/>
                    <w:jc w:val="right"/>
                    <w:jc w:val="center"/>
                  </w:pPr>
                  <w:r>
                    <w:t xml:space="preserve">0.258</w:t>
                  </w:r>
                </w:p>
              </w:tc>
              <w:tc>
                <w:tcPr/>
                <w:p>
                  <w:pPr>
                    <w:pStyle w:val="Compact"/>
                    <w:jc w:val="right"/>
                    <w:jc w:val="center"/>
                  </w:pPr>
                  <w:r>
                    <w:t xml:space="preserve">0.474</w:t>
                  </w:r>
                </w:p>
              </w:tc>
            </w:tr>
            <w:tr>
              <w:tc>
                <w:tcPr/>
                <w:p>
                  <w:pPr>
                    <w:pStyle w:val="Compact"/>
                    <w:jc w:val="left"/>
                    <w:jc w:val="center"/>
                  </w:pPr>
                  <w:r>
                    <w:t xml:space="preserve">Sur</w:t>
                  </w:r>
                </w:p>
              </w:tc>
              <w:tc>
                <w:tcPr/>
                <w:p>
                  <w:pPr>
                    <w:pStyle w:val="Compact"/>
                    <w:jc w:val="right"/>
                    <w:jc w:val="center"/>
                  </w:pPr>
                  <w:r>
                    <w:t xml:space="preserve">0</w:t>
                  </w:r>
                </w:p>
              </w:tc>
              <w:tc>
                <w:tcPr/>
                <w:p>
                  <w:pPr>
                    <w:pStyle w:val="Compact"/>
                    <w:jc w:val="right"/>
                    <w:jc w:val="center"/>
                  </w:pPr>
                  <w:r>
                    <w:t xml:space="preserve">0.656</w:t>
                  </w:r>
                </w:p>
              </w:tc>
              <w:tc>
                <w:tcPr/>
                <w:p>
                  <w:pPr>
                    <w:pStyle w:val="Compact"/>
                    <w:jc w:val="right"/>
                    <w:jc w:val="center"/>
                  </w:pPr>
                  <w:r>
                    <w:t xml:space="preserve">0.043</w:t>
                  </w:r>
                </w:p>
              </w:tc>
              <w:tc>
                <w:tcPr/>
                <w:p>
                  <w:pPr>
                    <w:pStyle w:val="Compact"/>
                    <w:jc w:val="right"/>
                    <w:jc w:val="center"/>
                  </w:pPr>
                  <w:r>
                    <w:t xml:space="preserve">0.566</w:t>
                  </w:r>
                </w:p>
              </w:tc>
              <w:tc>
                <w:tcPr/>
                <w:p>
                  <w:pPr>
                    <w:pStyle w:val="Compact"/>
                    <w:jc w:val="right"/>
                    <w:jc w:val="center"/>
                  </w:pPr>
                  <w:r>
                    <w:t xml:space="preserve">0.737</w:t>
                  </w:r>
                </w:p>
              </w:tc>
            </w:tr>
            <w:tr>
              <w:tc>
                <w:tcPr/>
                <w:p>
                  <w:pPr>
                    <w:pStyle w:val="Compact"/>
                    <w:jc w:val="left"/>
                    <w:jc w:val="center"/>
                  </w:pPr>
                  <w:r>
                    <w:t xml:space="preserve">Sur</w:t>
                  </w:r>
                </w:p>
              </w:tc>
              <w:tc>
                <w:tcPr/>
                <w:p>
                  <w:pPr>
                    <w:pStyle w:val="Compact"/>
                    <w:jc w:val="right"/>
                    <w:jc w:val="center"/>
                  </w:pPr>
                  <w:r>
                    <w:t xml:space="preserve">1</w:t>
                  </w:r>
                </w:p>
              </w:tc>
              <w:tc>
                <w:tcPr/>
                <w:p>
                  <w:pPr>
                    <w:pStyle w:val="Compact"/>
                    <w:jc w:val="right"/>
                    <w:jc w:val="center"/>
                  </w:pPr>
                  <w:r>
                    <w:t xml:space="preserve">0.344</w:t>
                  </w:r>
                </w:p>
              </w:tc>
              <w:tc>
                <w:tcPr/>
                <w:p>
                  <w:pPr>
                    <w:pStyle w:val="Compact"/>
                    <w:jc w:val="right"/>
                    <w:jc w:val="center"/>
                  </w:pPr>
                  <w:r>
                    <w:t xml:space="preserve">0.043</w:t>
                  </w:r>
                </w:p>
              </w:tc>
              <w:tc>
                <w:tcPr/>
                <w:p>
                  <w:pPr>
                    <w:pStyle w:val="Compact"/>
                    <w:jc w:val="right"/>
                    <w:jc w:val="center"/>
                  </w:pPr>
                  <w:r>
                    <w:t xml:space="preserve">0.263</w:t>
                  </w:r>
                </w:p>
              </w:tc>
              <w:tc>
                <w:tcPr/>
                <w:p>
                  <w:pPr>
                    <w:pStyle w:val="Compact"/>
                    <w:jc w:val="right"/>
                    <w:jc w:val="center"/>
                  </w:pPr>
                  <w:r>
                    <w:t xml:space="preserve">0.434</w:t>
                  </w:r>
                </w:p>
              </w:tc>
            </w:tr>
            <w:tr>
              <w:tc>
                <w:tcPr/>
                <w:p>
                  <w:pPr>
                    <w:pStyle w:val="Compact"/>
                    <w:jc w:val="left"/>
                    <w:jc w:val="center"/>
                  </w:pPr>
                  <w:r>
                    <w:t xml:space="preserve">Centro</w:t>
                  </w:r>
                </w:p>
              </w:tc>
              <w:tc>
                <w:tcPr/>
                <w:p>
                  <w:pPr>
                    <w:pStyle w:val="Compact"/>
                    <w:jc w:val="right"/>
                    <w:jc w:val="center"/>
                  </w:pPr>
                  <w:r>
                    <w:t xml:space="preserve">0</w:t>
                  </w:r>
                </w:p>
              </w:tc>
              <w:tc>
                <w:tcPr/>
                <w:p>
                  <w:pPr>
                    <w:pStyle w:val="Compact"/>
                    <w:jc w:val="right"/>
                    <w:jc w:val="center"/>
                  </w:pPr>
                  <w:r>
                    <w:t xml:space="preserve">0.635</w:t>
                  </w:r>
                </w:p>
              </w:tc>
              <w:tc>
                <w:tcPr/>
                <w:p>
                  <w:pPr>
                    <w:pStyle w:val="Compact"/>
                    <w:jc w:val="right"/>
                    <w:jc w:val="center"/>
                  </w:pPr>
                  <w:r>
                    <w:t xml:space="preserve">0.079</w:t>
                  </w:r>
                </w:p>
              </w:tc>
              <w:tc>
                <w:tcPr/>
                <w:p>
                  <w:pPr>
                    <w:pStyle w:val="Compact"/>
                    <w:jc w:val="right"/>
                    <w:jc w:val="center"/>
                  </w:pPr>
                  <w:r>
                    <w:t xml:space="preserve">0.470</w:t>
                  </w:r>
                </w:p>
              </w:tc>
              <w:tc>
                <w:tcPr/>
                <w:p>
                  <w:pPr>
                    <w:pStyle w:val="Compact"/>
                    <w:jc w:val="right"/>
                    <w:jc w:val="center"/>
                  </w:pPr>
                  <w:r>
                    <w:t xml:space="preserve">0.773</w:t>
                  </w:r>
                </w:p>
              </w:tc>
            </w:tr>
            <w:tr>
              <w:tc>
                <w:tcPr/>
                <w:p>
                  <w:pPr>
                    <w:pStyle w:val="Compact"/>
                    <w:jc w:val="left"/>
                    <w:jc w:val="center"/>
                  </w:pPr>
                  <w:r>
                    <w:t xml:space="preserve">Centro</w:t>
                  </w:r>
                </w:p>
              </w:tc>
              <w:tc>
                <w:tcPr/>
                <w:p>
                  <w:pPr>
                    <w:pStyle w:val="Compact"/>
                    <w:jc w:val="right"/>
                    <w:jc w:val="center"/>
                  </w:pPr>
                  <w:r>
                    <w:t xml:space="preserve">1</w:t>
                  </w:r>
                </w:p>
              </w:tc>
              <w:tc>
                <w:tcPr/>
                <w:p>
                  <w:pPr>
                    <w:pStyle w:val="Compact"/>
                    <w:jc w:val="right"/>
                    <w:jc w:val="center"/>
                  </w:pPr>
                  <w:r>
                    <w:t xml:space="preserve">0.365</w:t>
                  </w:r>
                </w:p>
              </w:tc>
              <w:tc>
                <w:tcPr/>
                <w:p>
                  <w:pPr>
                    <w:pStyle w:val="Compact"/>
                    <w:jc w:val="right"/>
                    <w:jc w:val="center"/>
                  </w:pPr>
                  <w:r>
                    <w:t xml:space="preserve">0.079</w:t>
                  </w:r>
                </w:p>
              </w:tc>
              <w:tc>
                <w:tcPr/>
                <w:p>
                  <w:pPr>
                    <w:pStyle w:val="Compact"/>
                    <w:jc w:val="right"/>
                    <w:jc w:val="center"/>
                  </w:pPr>
                  <w:r>
                    <w:t xml:space="preserve">0.227</w:t>
                  </w:r>
                </w:p>
              </w:tc>
              <w:tc>
                <w:tcPr/>
                <w:p>
                  <w:pPr>
                    <w:pStyle w:val="Compact"/>
                    <w:jc w:val="right"/>
                    <w:jc w:val="center"/>
                  </w:pPr>
                  <w:r>
                    <w:t xml:space="preserve">0.530</w:t>
                  </w:r>
                </w:p>
              </w:tc>
            </w:tr>
            <w:tr>
              <w:tc>
                <w:tcPr/>
                <w:p>
                  <w:pPr>
                    <w:pStyle w:val="Compact"/>
                    <w:jc w:val="left"/>
                    <w:jc w:val="center"/>
                  </w:pPr>
                  <w:r>
                    <w:t xml:space="preserve">Occidente</w:t>
                  </w:r>
                </w:p>
              </w:tc>
              <w:tc>
                <w:tcPr/>
                <w:p>
                  <w:pPr>
                    <w:pStyle w:val="Compact"/>
                    <w:jc w:val="right"/>
                    <w:jc w:val="center"/>
                  </w:pPr>
                  <w:r>
                    <w:t xml:space="preserve">0</w:t>
                  </w:r>
                </w:p>
              </w:tc>
              <w:tc>
                <w:tcPr/>
                <w:p>
                  <w:pPr>
                    <w:pStyle w:val="Compact"/>
                    <w:jc w:val="right"/>
                    <w:jc w:val="center"/>
                  </w:pPr>
                  <w:r>
                    <w:t xml:space="preserve">0.599</w:t>
                  </w:r>
                </w:p>
              </w:tc>
              <w:tc>
                <w:tcPr/>
                <w:p>
                  <w:pPr>
                    <w:pStyle w:val="Compact"/>
                    <w:jc w:val="right"/>
                    <w:jc w:val="center"/>
                  </w:pPr>
                  <w:r>
                    <w:t xml:space="preserve">0.047</w:t>
                  </w:r>
                </w:p>
              </w:tc>
              <w:tc>
                <w:tcPr/>
                <w:p>
                  <w:pPr>
                    <w:pStyle w:val="Compact"/>
                    <w:jc w:val="right"/>
                    <w:jc w:val="center"/>
                  </w:pPr>
                  <w:r>
                    <w:t xml:space="preserve">0.504</w:t>
                  </w:r>
                </w:p>
              </w:tc>
              <w:tc>
                <w:tcPr/>
                <w:p>
                  <w:pPr>
                    <w:pStyle w:val="Compact"/>
                    <w:jc w:val="right"/>
                    <w:jc w:val="center"/>
                  </w:pPr>
                  <w:r>
                    <w:t xml:space="preserve">0.687</w:t>
                  </w:r>
                </w:p>
              </w:tc>
            </w:tr>
            <w:tr>
              <w:tc>
                <w:tcPr/>
                <w:p>
                  <w:pPr>
                    <w:pStyle w:val="Compact"/>
                    <w:jc w:val="left"/>
                    <w:jc w:val="center"/>
                  </w:pPr>
                  <w:r>
                    <w:t xml:space="preserve">Occidente</w:t>
                  </w:r>
                </w:p>
              </w:tc>
              <w:tc>
                <w:tcPr/>
                <w:p>
                  <w:pPr>
                    <w:pStyle w:val="Compact"/>
                    <w:jc w:val="right"/>
                    <w:jc w:val="center"/>
                  </w:pPr>
                  <w:r>
                    <w:t xml:space="preserve">1</w:t>
                  </w:r>
                </w:p>
              </w:tc>
              <w:tc>
                <w:tcPr/>
                <w:p>
                  <w:pPr>
                    <w:pStyle w:val="Compact"/>
                    <w:jc w:val="right"/>
                    <w:jc w:val="center"/>
                  </w:pPr>
                  <w:r>
                    <w:t xml:space="preserve">0.401</w:t>
                  </w:r>
                </w:p>
              </w:tc>
              <w:tc>
                <w:tcPr/>
                <w:p>
                  <w:pPr>
                    <w:pStyle w:val="Compact"/>
                    <w:jc w:val="right"/>
                    <w:jc w:val="center"/>
                  </w:pPr>
                  <w:r>
                    <w:t xml:space="preserve">0.047</w:t>
                  </w:r>
                </w:p>
              </w:tc>
              <w:tc>
                <w:tcPr/>
                <w:p>
                  <w:pPr>
                    <w:pStyle w:val="Compact"/>
                    <w:jc w:val="right"/>
                    <w:jc w:val="center"/>
                  </w:pPr>
                  <w:r>
                    <w:t xml:space="preserve">0.313</w:t>
                  </w:r>
                </w:p>
              </w:tc>
              <w:tc>
                <w:tcPr/>
                <w:p>
                  <w:pPr>
                    <w:pStyle w:val="Compact"/>
                    <w:jc w:val="right"/>
                    <w:jc w:val="center"/>
                  </w:pPr>
                  <w:r>
                    <w:t xml:space="preserve">0.496</w:t>
                  </w:r>
                </w:p>
              </w:tc>
            </w:tr>
            <w:tr>
              <w:tc>
                <w:tcPr/>
                <w:p>
                  <w:pPr>
                    <w:pStyle w:val="Compact"/>
                    <w:jc w:val="left"/>
                    <w:jc w:val="center"/>
                  </w:pPr>
                  <w:r>
                    <w:t xml:space="preserve">Oriente</w:t>
                  </w:r>
                </w:p>
              </w:tc>
              <w:tc>
                <w:tcPr/>
                <w:p>
                  <w:pPr>
                    <w:pStyle w:val="Compact"/>
                    <w:jc w:val="right"/>
                    <w:jc w:val="center"/>
                  </w:pPr>
                  <w:r>
                    <w:t xml:space="preserve">0</w:t>
                  </w:r>
                </w:p>
              </w:tc>
              <w:tc>
                <w:tcPr/>
                <w:p>
                  <w:pPr>
                    <w:pStyle w:val="Compact"/>
                    <w:jc w:val="right"/>
                    <w:jc w:val="center"/>
                  </w:pPr>
                  <w:r>
                    <w:t xml:space="preserve">0.548</w:t>
                  </w:r>
                </w:p>
              </w:tc>
              <w:tc>
                <w:tcPr/>
                <w:p>
                  <w:pPr>
                    <w:pStyle w:val="Compact"/>
                    <w:jc w:val="right"/>
                    <w:jc w:val="center"/>
                  </w:pPr>
                  <w:r>
                    <w:t xml:space="preserve">0.088</w:t>
                  </w:r>
                </w:p>
              </w:tc>
              <w:tc>
                <w:tcPr/>
                <w:p>
                  <w:pPr>
                    <w:pStyle w:val="Compact"/>
                    <w:jc w:val="right"/>
                    <w:jc w:val="center"/>
                  </w:pPr>
                  <w:r>
                    <w:t xml:space="preserve">0.374</w:t>
                  </w:r>
                </w:p>
              </w:tc>
              <w:tc>
                <w:tcPr/>
                <w:p>
                  <w:pPr>
                    <w:pStyle w:val="Compact"/>
                    <w:jc w:val="right"/>
                    <w:jc w:val="center"/>
                  </w:pPr>
                  <w:r>
                    <w:t xml:space="preserve">0.711</w:t>
                  </w:r>
                </w:p>
              </w:tc>
            </w:tr>
            <w:tr>
              <w:tc>
                <w:tcPr/>
                <w:p>
                  <w:pPr>
                    <w:pStyle w:val="Compact"/>
                    <w:jc w:val="left"/>
                    <w:jc w:val="center"/>
                  </w:pPr>
                  <w:r>
                    <w:t xml:space="preserve">Oriente</w:t>
                  </w:r>
                </w:p>
              </w:tc>
              <w:tc>
                <w:tcPr/>
                <w:p>
                  <w:pPr>
                    <w:pStyle w:val="Compact"/>
                    <w:jc w:val="right"/>
                    <w:jc w:val="center"/>
                  </w:pPr>
                  <w:r>
                    <w:t xml:space="preserve">1</w:t>
                  </w:r>
                </w:p>
              </w:tc>
              <w:tc>
                <w:tcPr/>
                <w:p>
                  <w:pPr>
                    <w:pStyle w:val="Compact"/>
                    <w:jc w:val="right"/>
                    <w:jc w:val="center"/>
                  </w:pPr>
                  <w:r>
                    <w:t xml:space="preserve">0.452</w:t>
                  </w:r>
                </w:p>
              </w:tc>
              <w:tc>
                <w:tcPr/>
                <w:p>
                  <w:pPr>
                    <w:pStyle w:val="Compact"/>
                    <w:jc w:val="right"/>
                    <w:jc w:val="center"/>
                  </w:pPr>
                  <w:r>
                    <w:t xml:space="preserve">0.088</w:t>
                  </w:r>
                </w:p>
              </w:tc>
              <w:tc>
                <w:tcPr/>
                <w:p>
                  <w:pPr>
                    <w:pStyle w:val="Compact"/>
                    <w:jc w:val="right"/>
                    <w:jc w:val="center"/>
                  </w:pPr>
                  <w:r>
                    <w:t xml:space="preserve">0.289</w:t>
                  </w:r>
                </w:p>
              </w:tc>
              <w:tc>
                <w:tcPr/>
                <w:p>
                  <w:pPr>
                    <w:pStyle w:val="Compact"/>
                    <w:jc w:val="right"/>
                    <w:jc w:val="center"/>
                  </w:pPr>
                  <w:r>
                    <w:t xml:space="preserve">0.626</w:t>
                  </w:r>
                </w:p>
              </w:tc>
            </w:tr>
          </w:tbl>
          <w:bookmarkEnd w:id="131"/>
          <w:p/>
        </w:tc>
      </w:tr>
    </w:tbl>
    <w:p>
      <w:pPr>
        <w:pStyle w:val="BodyText"/>
      </w:pPr>
      <w:r>
        <w:t xml:space="preserve">De lo anterior se puede concluir que, en la región Norte, el 35% de las personas están en estado de pobreza, mientras que en el Sur la proporción es del 34%. La proporción estimada más alta se observa en la región Oriente, con un 45%. Los errores estándar reportados permiten evaluar la precisión de estas estimaciones.</w:t>
      </w:r>
    </w:p>
    <w:bookmarkEnd w:id="132"/>
    <w:bookmarkStart w:id="134" w:name="la-razon-de-odds"/>
    <w:p>
      <w:pPr>
        <w:pStyle w:val="Heading2"/>
      </w:pPr>
      <w:r>
        <w:t xml:space="preserve">4.5 La razón de</w:t>
      </w:r>
      <w:r>
        <w:t xml:space="preserve"> </w:t>
      </w:r>
      <w:r>
        <w:rPr>
          <w:i/>
          <w:iCs/>
        </w:rPr>
        <w:t xml:space="preserve">odds</w:t>
      </w:r>
    </w:p>
    <w:p>
      <w:pPr>
        <w:pStyle w:val="FirstParagraph"/>
      </w:pPr>
      <w:r>
        <w:t xml:space="preserve">De acuerdo con</w:t>
      </w:r>
      <w:r>
        <w:t xml:space="preserve"> </w:t>
      </w:r>
      <w:r>
        <w:t xml:space="preserve">Díaz Monroy et al. (2018)</w:t>
      </w:r>
      <w:r>
        <w:t xml:space="preserve"> </w:t>
      </w:r>
      <w:r>
        <w:t xml:space="preserve">y</w:t>
      </w:r>
      <w:r>
        <w:t xml:space="preserve"> </w:t>
      </w:r>
      <w:r>
        <w:t xml:space="preserve">Agresti (2019)</w:t>
      </w:r>
      <w:r>
        <w:t xml:space="preserve">, la razón de</w:t>
      </w:r>
      <w:r>
        <w:t xml:space="preserve"> </w:t>
      </w:r>
      <w:r>
        <w:rPr>
          <w:i/>
          <w:iCs/>
        </w:rPr>
        <w:t xml:space="preserve">odds</w:t>
      </w:r>
      <w:r>
        <w:t xml:space="preserve"> </w:t>
      </w:r>
      <w:r>
        <w:t xml:space="preserve">es una medida ampliamente utilizada para estudiar la asociación entre dos variables categóricas, especialmente cuando el interés se centra en comparar la probabilidad de ocurrencia de un evento entre distintos grupos poblacionales. Su interpretación se basa en comparar las ventajas relativas (</w:t>
      </w:r>
      <w:r>
        <w:rPr>
          <w:i/>
          <w:iCs/>
        </w:rPr>
        <w:t xml:space="preserve">odds</w:t>
      </w:r>
      <w:r>
        <w:t xml:space="preserve">) de ocurrencia de un evento entre dos categorías de análisis.</w:t>
      </w:r>
    </w:p>
    <w:p>
      <w:pPr>
        <w:pStyle w:val="BodyText"/>
      </w:pPr>
      <w:r>
        <w:t xml:space="preserve">Como explican</w:t>
      </w:r>
      <w:r>
        <w:t xml:space="preserve"> </w:t>
      </w:r>
      <w:r>
        <w:t xml:space="preserve">Heeringa et al. (2017)</w:t>
      </w:r>
      <w:r>
        <w:t xml:space="preserve">, en este sentido, este parámetro permite evaluar cómo cambia dicha ventaja entre diferentes grupos de interés y constituye una herramienta fundamental en estudios sociales, económicos y de salud; además, esta medida también puede utilizarse para cuantificar la relación entre los niveles de una variable y un factor categórico, comparando las ventajas relativas de ocurrencia del evento en cada grupo.</w:t>
      </w:r>
    </w:p>
    <w:p>
      <w:pPr>
        <w:pStyle w:val="BodyText"/>
      </w:pPr>
      <w:r>
        <w:t xml:space="preserve">Por ejemplo, suponga que se desea estudiar la asociación entre el sexo de las personas y la condición de pobreza. En particular, interesa evaluar si la ventaja relativa de pertenecer al grupo de personas no pobres frente al grupo de personas pobres es diferente entre mujeres y hombres. Para ello, puede expresarse la siguiente razón de</w:t>
      </w:r>
      <w:r>
        <w:t xml:space="preserve"> </w:t>
      </w:r>
      <w:r>
        <w:rPr>
          <w:i/>
          <w:iCs/>
        </w:rPr>
        <w:t xml:space="preserve">odds</w:t>
      </w:r>
      <w:r>
        <w:t xml:space="preserve">:</w:t>
      </w:r>
    </w:p>
    <w:p>
      <w:pPr>
        <w:pStyle w:val="BodyText"/>
      </w:pPr>
      <m:oMathPara>
        <m:oMathParaPr>
          <m:jc m:val="center"/>
        </m:oMathParaPr>
        <m:oMath>
          <m:r>
            <m:rPr>
              <m:sty m:val="i"/>
            </m:rPr>
            <m:t>O</m:t>
          </m:r>
          <m:r>
            <m:rPr>
              <m:sty m:val="i"/>
            </m:rPr>
            <m:t>R</m:t>
          </m:r>
          <m:r>
            <m:rPr>
              <m:sty m:val="p"/>
            </m:rPr>
            <m:t>=</m:t>
          </m:r>
          <m:f>
            <m:fPr>
              <m:type m:val="bar"/>
            </m:fPr>
            <m:num>
              <m:r>
                <m:t>P</m:t>
              </m:r>
              <m:r>
                <m:rPr>
                  <m:sty m:val="p"/>
                </m:rPr>
                <m:t>(</m:t>
              </m:r>
              <m:r>
                <m:rPr>
                  <m:nor/>
                  <m:sty m:val="p"/>
                </m:rPr>
                <m:t>pobreza</m:t>
              </m:r>
              <m:r>
                <m:rPr>
                  <m:sty m:val="p"/>
                </m:rPr>
                <m:t>=</m:t>
              </m:r>
              <m:r>
                <m:t>0</m:t>
              </m:r>
              <m:r>
                <m:rPr>
                  <m:sty m:val="p"/>
                </m:rPr>
                <m:t>∣</m:t>
              </m:r>
              <m:r>
                <m:rPr>
                  <m:nor/>
                  <m:sty m:val="p"/>
                </m:rPr>
                <m:t>Sex</m:t>
              </m:r>
              <m:r>
                <m:rPr>
                  <m:sty m:val="p"/>
                </m:rPr>
                <m:t>=</m:t>
              </m:r>
              <m:r>
                <m:rPr>
                  <m:nor/>
                  <m:sty m:val="p"/>
                </m:rPr>
                <m:t>Female</m:t>
              </m:r>
              <m:r>
                <m:rPr>
                  <m:sty m:val="p"/>
                </m:rPr>
                <m:t>)</m:t>
              </m:r>
              <m:r>
                <m:rPr>
                  <m:sty m:val="p"/>
                </m:rPr>
                <m:t>/</m:t>
              </m:r>
              <m:r>
                <m:t>P</m:t>
              </m:r>
              <m:r>
                <m:rPr>
                  <m:sty m:val="p"/>
                </m:rPr>
                <m:t>(</m:t>
              </m:r>
              <m:r>
                <m:rPr>
                  <m:nor/>
                  <m:sty m:val="p"/>
                </m:rPr>
                <m:t>pobreza</m:t>
              </m:r>
              <m:r>
                <m:rPr>
                  <m:sty m:val="p"/>
                </m:rPr>
                <m:t>=</m:t>
              </m:r>
              <m:r>
                <m:t>1</m:t>
              </m:r>
              <m:r>
                <m:rPr>
                  <m:sty m:val="p"/>
                </m:rPr>
                <m:t>∣</m:t>
              </m:r>
              <m:r>
                <m:rPr>
                  <m:nor/>
                  <m:sty m:val="p"/>
                </m:rPr>
                <m:t>Sex</m:t>
              </m:r>
              <m:r>
                <m:rPr>
                  <m:sty m:val="p"/>
                </m:rPr>
                <m:t>=</m:t>
              </m:r>
              <m:r>
                <m:rPr>
                  <m:nor/>
                  <m:sty m:val="p"/>
                </m:rPr>
                <m:t>Female</m:t>
              </m:r>
              <m:r>
                <m:rPr>
                  <m:sty m:val="p"/>
                </m:rPr>
                <m:t>)</m:t>
              </m:r>
            </m:num>
            <m:den>
              <m:r>
                <m:t>P</m:t>
              </m:r>
              <m:r>
                <m:rPr>
                  <m:sty m:val="p"/>
                </m:rPr>
                <m:t>(</m:t>
              </m:r>
              <m:r>
                <m:rPr>
                  <m:nor/>
                  <m:sty m:val="p"/>
                </m:rPr>
                <m:t>pobreza</m:t>
              </m:r>
              <m:r>
                <m:rPr>
                  <m:sty m:val="p"/>
                </m:rPr>
                <m:t>=</m:t>
              </m:r>
              <m:r>
                <m:t>0</m:t>
              </m:r>
              <m:r>
                <m:rPr>
                  <m:sty m:val="p"/>
                </m:rPr>
                <m:t>∣</m:t>
              </m:r>
              <m:r>
                <m:rPr>
                  <m:nor/>
                  <m:sty m:val="p"/>
                </m:rPr>
                <m:t>Sex</m:t>
              </m:r>
              <m:r>
                <m:rPr>
                  <m:sty m:val="p"/>
                </m:rPr>
                <m:t>=</m:t>
              </m:r>
              <m:r>
                <m:rPr>
                  <m:nor/>
                  <m:sty m:val="p"/>
                </m:rPr>
                <m:t>Male</m:t>
              </m:r>
              <m:r>
                <m:rPr>
                  <m:sty m:val="p"/>
                </m:rPr>
                <m:t>)</m:t>
              </m:r>
              <m:r>
                <m:rPr>
                  <m:sty m:val="p"/>
                </m:rPr>
                <m:t>/</m:t>
              </m:r>
              <m:r>
                <m:t>P</m:t>
              </m:r>
              <m:r>
                <m:rPr>
                  <m:sty m:val="p"/>
                </m:rPr>
                <m:t>(</m:t>
              </m:r>
              <m:r>
                <m:rPr>
                  <m:nor/>
                  <m:sty m:val="p"/>
                </m:rPr>
                <m:t>pobreza</m:t>
              </m:r>
              <m:r>
                <m:rPr>
                  <m:sty m:val="p"/>
                </m:rPr>
                <m:t>=</m:t>
              </m:r>
              <m:r>
                <m:t>1</m:t>
              </m:r>
              <m:r>
                <m:rPr>
                  <m:sty m:val="p"/>
                </m:rPr>
                <m:t>∣</m:t>
              </m:r>
              <m:r>
                <m:rPr>
                  <m:nor/>
                  <m:sty m:val="p"/>
                </m:rPr>
                <m:t>Sex</m:t>
              </m:r>
              <m:r>
                <m:rPr>
                  <m:sty m:val="p"/>
                </m:rPr>
                <m:t>=</m:t>
              </m:r>
              <m:r>
                <m:rPr>
                  <m:nor/>
                  <m:sty m:val="p"/>
                </m:rPr>
                <m:t>Male</m:t>
              </m:r>
              <m:r>
                <m:rPr>
                  <m:sty m:val="p"/>
                </m:rPr>
                <m:t>)</m:t>
              </m:r>
            </m:den>
          </m:f>
        </m:oMath>
      </m:oMathPara>
    </w:p>
    <w:p>
      <w:pPr>
        <w:pStyle w:val="FirstParagraph"/>
      </w:pPr>
      <w:r>
        <w:t xml:space="preserve">La expresión del numerador representa, entre las mujeres, la ventaja relativa de encontrarse en condición de no pobreza respecto de encontrarse en pobreza. De manera análoga, el denominador representa esa misma ventaja entre los hombres. Por tanto, la razón de odds compara ambas ventajas relativas y permite cuantificar si la asociación entre sexo y pobreza favorece más a un grupo que a otro.</w:t>
      </w:r>
    </w:p>
    <w:p>
      <w:pPr>
        <w:pStyle w:val="BodyText"/>
      </w:pPr>
      <w:r>
        <w:t xml:space="preserve">Un valor igual a uno indicaría ausencia de asociación entre las variables, es decir, que la relación entre sexo y condición de pobreza es similar para hombres y mujeres. Valores superiores a uno indicarían una mayor ventaja relativa para las mujeres en comparación con los hombres, mientras que valores inferiores a uno sugerirían una mayor ventaja relativa para los hombres. En el contexto de encuestas de hogares, este tipo de medidas resulta especialmente útil para estudiar desigualdades sociodemográficas y brechas en condiciones de bienestar entre distintos grupos poblacionales.</w:t>
      </w:r>
    </w:p>
    <w:p>
      <w:pPr>
        <w:pStyle w:val="BodyText"/>
      </w:pPr>
      <w:r>
        <w:t xml:space="preserve">El procedimiento para realizarlo en</w:t>
      </w:r>
      <w:r>
        <w:t xml:space="preserve"> </w:t>
      </w:r>
      <w:r>
        <w:rPr>
          <w:rStyle w:val="VerbatimChar"/>
        </w:rPr>
        <w:t xml:space="preserve">R</w:t>
      </w:r>
      <w:r>
        <w:t xml:space="preserve"> </w:t>
      </w:r>
      <w:r>
        <w:t xml:space="preserve">sería primero estimar las proporciones de la tabla cruzada entre las variables sexo y pobreza, presentada en la</w:t>
      </w:r>
      <w:r>
        <w:t xml:space="preserve"> </w:t>
      </w:r>
      <w:hyperlink w:anchor="tbl-interaccion-sexo-pobreza">
        <w:r>
          <w:rPr>
            <w:rStyle w:val="Hyperlink"/>
          </w:rPr>
          <w:t xml:space="preserve">tabla 4.23</w:t>
        </w:r>
      </w:hyperlink>
      <w:r>
        <w:t xml:space="preserve">:</w:t>
      </w:r>
    </w:p>
    <w:p>
      <w:pPr>
        <w:pStyle w:val="SourceCode"/>
      </w:pPr>
      <w:r>
        <w:rPr>
          <w:rStyle w:val="NormalTok"/>
        </w:rPr>
        <w:t xml:space="preserve">sex_poverty_interaction_proportion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(Sex, poor)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sex_poverty_odds_contrast </w:t>
      </w:r>
      <w:r>
        <w:rPr>
          <w:rStyle w:val="OtherTok"/>
        </w:rPr>
        <w:t xml:space="preserve">&lt;-</w:t>
      </w:r>
      <w:r>
        <w:rPr>
          <w:rStyle w:val="NormalTok"/>
        </w:rPr>
        <w:t xml:space="preserve"> </w:t>
      </w:r>
      <w:r>
        <w:rPr>
          <w:rStyle w:val="FunctionTok"/>
        </w:rPr>
        <w:t xml:space="preserve">svymean</w:t>
      </w:r>
      <w:r>
        <w:rPr>
          <w:rStyle w:val="NormalTok"/>
        </w:rPr>
        <w:t xml:space="preserve">(</w:t>
      </w:r>
      <w:r>
        <w:rPr>
          <w:rStyle w:val="AttributeTok"/>
        </w:rPr>
        <w:t xml:space="preserve">x =</w:t>
      </w:r>
      <w:r>
        <w:rPr>
          <w:rStyle w:val="NormalTok"/>
        </w:rPr>
        <w:t xml:space="preserve"> </w:t>
      </w:r>
      <w:r>
        <w:rPr>
          <w:rStyle w:val="SpecialCharTok"/>
        </w:rPr>
        <w:t xml:space="preserve">~</w:t>
      </w:r>
      <w:r>
        <w:rPr>
          <w:rStyle w:val="FunctionTok"/>
        </w:rPr>
        <w:t xml:space="preserve">interaction</w:t>
      </w:r>
      <w:r>
        <w:rPr>
          <w:rStyle w:val="NormalTok"/>
        </w:rPr>
        <w:t xml:space="preserve">(Sex, poor),</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keep.vars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3" w:name="tbl-interaccion-sexo-pobreza"/>
          <w:p>
            <w:pPr>
              <w:jc w:val="center"/>
            </w:pPr>
            <w:pPr>
              <w:jc w:val="left"/>
              <w:spacing w:before="200"/>
              <w:pStyle w:val="ImageCaption"/>
            </w:pPr>
            <w:r>
              <w:t xml:space="preserve">Tabla 4.23: Proporciones conjuntas de sexo y condición de pobreza</w:t>
            </w:r>
          </w:p>
          <w:tbl>
            <w:tblPr>
              <w:tblStyle w:val="Table"/>
              <w:tblW w:type="pct" w:w="5000"/>
              <w:tblLayout w:type="fixed"/>
              <w:tblLook w:firstRow="1" w:lastRow="0" w:firstColumn="0" w:lastColumn="0" w:noHBand="0" w:noVBand="0" w:val="0020"/>
            </w:tblPr>
            <w:tblGrid>
              <w:gridCol w:w="827"/>
              <w:gridCol w:w="591"/>
              <w:gridCol w:w="1300"/>
              <w:gridCol w:w="1654"/>
              <w:gridCol w:w="1773"/>
              <w:gridCol w:w="1773"/>
            </w:tblGrid>
            <w:tr>
              <w:trPr>
                <w:tblHeader w:val="on"/>
              </w:trPr>
              <w:tc>
                <w:tcPr/>
                <w:p>
                  <w:pPr>
                    <w:pStyle w:val="Compact"/>
                    <w:jc w:val="left"/>
                    <w:jc w:val="center"/>
                  </w:pPr>
                  <w:r>
                    <w:t xml:space="preserve">Sex</w:t>
                  </w:r>
                </w:p>
              </w:tc>
              <w:tc>
                <w:tcPr/>
                <w:p>
                  <w:pPr>
                    <w:pStyle w:val="Compact"/>
                    <w:jc w:val="right"/>
                    <w:jc w:val="center"/>
                  </w:pPr>
                  <w:r>
                    <w:t xml:space="preserve">poor</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Female</w:t>
                  </w:r>
                </w:p>
              </w:tc>
              <w:tc>
                <w:tcPr/>
                <w:p>
                  <w:pPr>
                    <w:pStyle w:val="Compact"/>
                    <w:jc w:val="right"/>
                    <w:jc w:val="center"/>
                  </w:pPr>
                  <w:r>
                    <w:t xml:space="preserve">0</w:t>
                  </w:r>
                </w:p>
              </w:tc>
              <w:tc>
                <w:tcPr/>
                <w:p>
                  <w:pPr>
                    <w:pStyle w:val="Compact"/>
                    <w:jc w:val="right"/>
                    <w:jc w:val="center"/>
                  </w:pPr>
                  <w:r>
                    <w:t xml:space="preserve">0.611</w:t>
                  </w:r>
                </w:p>
              </w:tc>
              <w:tc>
                <w:tcPr/>
                <w:p>
                  <w:pPr>
                    <w:pStyle w:val="Compact"/>
                    <w:jc w:val="right"/>
                    <w:jc w:val="center"/>
                  </w:pPr>
                  <w:r>
                    <w:t xml:space="preserve">0.032</w:t>
                  </w:r>
                </w:p>
              </w:tc>
              <w:tc>
                <w:tcPr/>
                <w:p>
                  <w:pPr>
                    <w:pStyle w:val="Compact"/>
                    <w:jc w:val="right"/>
                    <w:jc w:val="center"/>
                  </w:pPr>
                  <w:r>
                    <w:t xml:space="preserve">0.547</w:t>
                  </w:r>
                </w:p>
              </w:tc>
              <w:tc>
                <w:tcPr/>
                <w:p>
                  <w:pPr>
                    <w:pStyle w:val="Compact"/>
                    <w:jc w:val="right"/>
                    <w:jc w:val="center"/>
                  </w:pPr>
                  <w:r>
                    <w:t xml:space="preserve">0.671</w:t>
                  </w:r>
                </w:p>
              </w:tc>
            </w:tr>
            <w:tr>
              <w:tc>
                <w:tcPr/>
                <w:p>
                  <w:pPr>
                    <w:pStyle w:val="Compact"/>
                    <w:jc w:val="left"/>
                    <w:jc w:val="center"/>
                  </w:pPr>
                  <w:r>
                    <w:t xml:space="preserve">Female</w:t>
                  </w:r>
                </w:p>
              </w:tc>
              <w:tc>
                <w:tcPr/>
                <w:p>
                  <w:pPr>
                    <w:pStyle w:val="Compact"/>
                    <w:jc w:val="right"/>
                    <w:jc w:val="center"/>
                  </w:pPr>
                  <w:r>
                    <w:t xml:space="preserve">1</w:t>
                  </w:r>
                </w:p>
              </w:tc>
              <w:tc>
                <w:tcPr/>
                <w:p>
                  <w:pPr>
                    <w:pStyle w:val="Compact"/>
                    <w:jc w:val="right"/>
                    <w:jc w:val="center"/>
                  </w:pPr>
                  <w:r>
                    <w:t xml:space="preserve">0.389</w:t>
                  </w:r>
                </w:p>
              </w:tc>
              <w:tc>
                <w:tcPr/>
                <w:p>
                  <w:pPr>
                    <w:pStyle w:val="Compact"/>
                    <w:jc w:val="right"/>
                    <w:jc w:val="center"/>
                  </w:pPr>
                  <w:r>
                    <w:t xml:space="preserve">0.032</w:t>
                  </w:r>
                </w:p>
              </w:tc>
              <w:tc>
                <w:tcPr/>
                <w:p>
                  <w:pPr>
                    <w:pStyle w:val="Compact"/>
                    <w:jc w:val="right"/>
                    <w:jc w:val="center"/>
                  </w:pPr>
                  <w:r>
                    <w:t xml:space="preserve">0.329</w:t>
                  </w:r>
                </w:p>
              </w:tc>
              <w:tc>
                <w:tcPr/>
                <w:p>
                  <w:pPr>
                    <w:pStyle w:val="Compact"/>
                    <w:jc w:val="right"/>
                    <w:jc w:val="center"/>
                  </w:pPr>
                  <w:r>
                    <w:t xml:space="preserve">0.453</w:t>
                  </w:r>
                </w:p>
              </w:tc>
            </w:tr>
            <w:tr>
              <w:tc>
                <w:tcPr/>
                <w:p>
                  <w:pPr>
                    <w:pStyle w:val="Compact"/>
                    <w:jc w:val="left"/>
                    <w:jc w:val="center"/>
                  </w:pPr>
                  <w:r>
                    <w:t xml:space="preserve">Male</w:t>
                  </w:r>
                </w:p>
              </w:tc>
              <w:tc>
                <w:tcPr/>
                <w:p>
                  <w:pPr>
                    <w:pStyle w:val="Compact"/>
                    <w:jc w:val="right"/>
                    <w:jc w:val="center"/>
                  </w:pPr>
                  <w:r>
                    <w:t xml:space="preserve">0</w:t>
                  </w:r>
                </w:p>
              </w:tc>
              <w:tc>
                <w:tcPr/>
                <w:p>
                  <w:pPr>
                    <w:pStyle w:val="Compact"/>
                    <w:jc w:val="right"/>
                    <w:jc w:val="center"/>
                  </w:pPr>
                  <w:r>
                    <w:t xml:space="preserve">0.605</w:t>
                  </w:r>
                </w:p>
              </w:tc>
              <w:tc>
                <w:tcPr/>
                <w:p>
                  <w:pPr>
                    <w:pStyle w:val="Compact"/>
                    <w:jc w:val="right"/>
                    <w:jc w:val="center"/>
                  </w:pPr>
                  <w:r>
                    <w:t xml:space="preserve">0.037</w:t>
                  </w:r>
                </w:p>
              </w:tc>
              <w:tc>
                <w:tcPr/>
                <w:p>
                  <w:pPr>
                    <w:pStyle w:val="Compact"/>
                    <w:jc w:val="right"/>
                    <w:jc w:val="center"/>
                  </w:pPr>
                  <w:r>
                    <w:t xml:space="preserve">0.531</w:t>
                  </w:r>
                </w:p>
              </w:tc>
              <w:tc>
                <w:tcPr/>
                <w:p>
                  <w:pPr>
                    <w:pStyle w:val="Compact"/>
                    <w:jc w:val="right"/>
                    <w:jc w:val="center"/>
                  </w:pPr>
                  <w:r>
                    <w:t xml:space="preserve">0.675</w:t>
                  </w:r>
                </w:p>
              </w:tc>
            </w:tr>
            <w:tr>
              <w:tc>
                <w:tcPr/>
                <w:p>
                  <w:pPr>
                    <w:pStyle w:val="Compact"/>
                    <w:jc w:val="left"/>
                    <w:jc w:val="center"/>
                  </w:pPr>
                  <w:r>
                    <w:t xml:space="preserve">Male</w:t>
                  </w:r>
                </w:p>
              </w:tc>
              <w:tc>
                <w:tcPr/>
                <w:p>
                  <w:pPr>
                    <w:pStyle w:val="Compact"/>
                    <w:jc w:val="right"/>
                    <w:jc w:val="center"/>
                  </w:pPr>
                  <w:r>
                    <w:t xml:space="preserve">1</w:t>
                  </w:r>
                </w:p>
              </w:tc>
              <w:tc>
                <w:tcPr/>
                <w:p>
                  <w:pPr>
                    <w:pStyle w:val="Compact"/>
                    <w:jc w:val="right"/>
                    <w:jc w:val="center"/>
                  </w:pPr>
                  <w:r>
                    <w:t xml:space="preserve">0.395</w:t>
                  </w:r>
                </w:p>
              </w:tc>
              <w:tc>
                <w:tcPr/>
                <w:p>
                  <w:pPr>
                    <w:pStyle w:val="Compact"/>
                    <w:jc w:val="right"/>
                    <w:jc w:val="center"/>
                  </w:pPr>
                  <w:r>
                    <w:t xml:space="preserve">0.037</w:t>
                  </w:r>
                </w:p>
              </w:tc>
              <w:tc>
                <w:tcPr/>
                <w:p>
                  <w:pPr>
                    <w:pStyle w:val="Compact"/>
                    <w:jc w:val="right"/>
                    <w:jc w:val="center"/>
                  </w:pPr>
                  <w:r>
                    <w:t xml:space="preserve">0.325</w:t>
                  </w:r>
                </w:p>
              </w:tc>
              <w:tc>
                <w:tcPr/>
                <w:p>
                  <w:pPr>
                    <w:pStyle w:val="Compact"/>
                    <w:jc w:val="right"/>
                    <w:jc w:val="center"/>
                  </w:pPr>
                  <w:r>
                    <w:t xml:space="preserve">0.469</w:t>
                  </w:r>
                </w:p>
              </w:tc>
            </w:tr>
          </w:tbl>
          <w:bookmarkEnd w:id="133"/>
          <w:p/>
        </w:tc>
      </w:tr>
    </w:tbl>
    <w:p>
      <w:pPr>
        <w:pStyle w:val="BodyText"/>
      </w:pPr>
      <w:r>
        <w:t xml:space="preserve">Luego, la función</w:t>
      </w:r>
      <w:r>
        <w:t xml:space="preserve"> </w:t>
      </w:r>
      <w:r>
        <w:rPr>
          <w:rStyle w:val="VerbatimChar"/>
        </w:rPr>
        <w:t xml:space="preserve">svycontrast()</w:t>
      </w:r>
      <w:r>
        <w:t xml:space="preserve"> </w:t>
      </w:r>
      <w:r>
        <w:t xml:space="preserve">realiza el contraste dividiendo cada uno de los elementos de la expresión mostrada anteriormente:</w:t>
      </w:r>
    </w:p>
    <w:p>
      <w:pPr>
        <w:pStyle w:val="SourceCode"/>
      </w:pPr>
      <w:r>
        <w:rPr>
          <w:rStyle w:val="NormalTok"/>
        </w:rPr>
        <w:t xml:space="preserve">odds_ratio </w:t>
      </w:r>
      <w:r>
        <w:rPr>
          <w:rStyle w:val="OtherTok"/>
        </w:rPr>
        <w:t xml:space="preserve">&lt;-</w:t>
      </w:r>
      <w:r>
        <w:rPr>
          <w:rStyle w:val="NormalTok"/>
        </w:rPr>
        <w:t xml:space="preserve"> </w:t>
      </w:r>
      <w:r>
        <w:rPr>
          <w:rStyle w:val="FunctionTok"/>
        </w:rPr>
        <w:t xml:space="preserve">quote</w:t>
      </w:r>
      <w:r>
        <w:rPr>
          <w:rStyle w:val="NormalTok"/>
        </w:rPr>
        <w:t xml:space="preserve">(</w:t>
      </w:r>
      <w:r>
        <w:br/>
      </w:r>
      <w:r>
        <w:rPr>
          <w:rStyle w:val="NormalTok"/>
        </w:rPr>
        <w:t xml:space="preserve"> (</w:t>
      </w:r>
      <w:r>
        <w:rPr>
          <w:rStyle w:val="StringTok"/>
        </w:rPr>
        <w:t xml:space="preserve">`</w:t>
      </w:r>
      <w:r>
        <w:rPr>
          <w:rStyle w:val="AttributeTok"/>
        </w:rPr>
        <w:t xml:space="preserve">interaction(Sex, poor)Female.0</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StringTok"/>
        </w:rPr>
        <w:t xml:space="preserve">`</w:t>
      </w:r>
      <w:r>
        <w:rPr>
          <w:rStyle w:val="AttributeTok"/>
        </w:rPr>
        <w:t xml:space="preserve">interaction(Sex, poor)Female.1</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StringTok"/>
        </w:rPr>
        <w:t xml:space="preserve">`</w:t>
      </w:r>
      <w:r>
        <w:rPr>
          <w:rStyle w:val="AttributeTok"/>
        </w:rPr>
        <w:t xml:space="preserve">interaction(Sex, poor)Male.0</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StringTok"/>
        </w:rPr>
        <w:t xml:space="preserve">`</w:t>
      </w:r>
      <w:r>
        <w:rPr>
          <w:rStyle w:val="AttributeTok"/>
        </w:rPr>
        <w:t xml:space="preserve">interaction(Sex, poor)Male.1</w:t>
      </w:r>
      <w:r>
        <w:rPr>
          <w:rStyle w:val="StringTok"/>
        </w:rPr>
        <w:t xml:space="preserve">`</w:t>
      </w:r>
      <w:r>
        <w:rPr>
          <w:rStyle w:val="NormalTok"/>
        </w:rPr>
        <w:t xml:space="preserve">)</w:t>
      </w:r>
      <w:r>
        <w:br/>
      </w:r>
      <w:r>
        <w:rPr>
          <w:rStyle w:val="NormalTok"/>
        </w:rPr>
        <w:t xml:space="preserve">)</w:t>
      </w:r>
      <w:r>
        <w:br/>
      </w:r>
      <w:r>
        <w:br/>
      </w:r>
      <w:r>
        <w:rPr>
          <w:rStyle w:val="FunctionTok"/>
        </w:rPr>
        <w:t xml:space="preserve">svycontrast</w:t>
      </w:r>
      <w:r>
        <w:rPr>
          <w:rStyle w:val="NormalTok"/>
        </w:rPr>
        <w:t xml:space="preserve">(</w:t>
      </w:r>
      <w:r>
        <w:br/>
      </w:r>
      <w:r>
        <w:rPr>
          <w:rStyle w:val="NormalTok"/>
        </w:rPr>
        <w:t xml:space="preserve">  </w:t>
      </w:r>
      <w:r>
        <w:rPr>
          <w:rStyle w:val="AttributeTok"/>
        </w:rPr>
        <w:t xml:space="preserve">stat =</w:t>
      </w:r>
      <w:r>
        <w:rPr>
          <w:rStyle w:val="NormalTok"/>
        </w:rPr>
        <w:t xml:space="preserve"> sex_poverty_odds_contrast,</w:t>
      </w:r>
      <w:r>
        <w:br/>
      </w:r>
      <w:r>
        <w:rPr>
          <w:rStyle w:val="NormalTok"/>
        </w:rPr>
        <w:t xml:space="preserve">  </w:t>
      </w:r>
      <w:r>
        <w:rPr>
          <w:rStyle w:val="AttributeTok"/>
        </w:rPr>
        <w:t xml:space="preserve">contrasts =</w:t>
      </w:r>
      <w:r>
        <w:rPr>
          <w:rStyle w:val="NormalTok"/>
        </w:rPr>
        <w:t xml:space="preserve"> odds_ratio</w:t>
      </w:r>
      <w:r>
        <w:br/>
      </w:r>
      <w:r>
        <w:rPr>
          <w:rStyle w:val="NormalTok"/>
        </w:rPr>
        <w:t xml:space="preserve">)</w:t>
      </w:r>
    </w:p>
    <w:p>
      <w:pPr>
        <w:pStyle w:val="SourceCode"/>
      </w:pPr>
      <w:r>
        <w:rPr>
          <w:rStyle w:val="VerbatimChar"/>
        </w:rPr>
        <w:t xml:space="preserve">         nlcon  SE</w:t>
      </w:r>
      <w:r>
        <w:br/>
      </w:r>
      <w:r>
        <w:rPr>
          <w:rStyle w:val="VerbatimChar"/>
        </w:rPr>
        <w:t xml:space="preserve">contrast  1.02 0.1</w:t>
      </w:r>
    </w:p>
    <w:p>
      <w:pPr>
        <w:pStyle w:val="FirstParagraph"/>
      </w:pPr>
      <w:r>
        <w:t xml:space="preserve">Obteniendo que el</w:t>
      </w:r>
      <w:r>
        <w:t xml:space="preserve"> </w:t>
      </w:r>
      <w:r>
        <w:rPr>
          <w:i/>
          <w:iCs/>
        </w:rPr>
        <w:t xml:space="preserve">odds</w:t>
      </w:r>
      <w:r>
        <w:t xml:space="preserve"> </w:t>
      </w:r>
      <w:r>
        <w:t xml:space="preserve">estimado de que una mujer no se encuentre en situación de pobreza, en comparación con un hombre, es igual a 1.02. Esto significa que, sin considerar otras variables de la encuesta, las mujeres presentan una razón de probabilidades de no estar en pobreza aproximadamente 2% mayor que la observada en los hombres. En otras palabras, la probabilidad relativa de no encontrarse en condición de pobreza es ligeramente superior para las mujeres respecto a los hombres.</w:t>
      </w:r>
    </w:p>
    <w:bookmarkEnd w:id="134"/>
    <w:bookmarkStart w:id="135" w:name="prueba-de-independencia-chi"/>
    <w:p>
      <w:pPr>
        <w:pStyle w:val="Heading2"/>
      </w:pPr>
      <w:r>
        <w:t xml:space="preserve">4.6 Prueba de independencia</w:t>
      </w:r>
      <w:r>
        <w:t xml:space="preserve"> </w:t>
      </w:r>
      <m:oMath>
        <m:sSup>
          <m:e>
            <m:r>
              <m:t>χ</m:t>
            </m:r>
          </m:e>
          <m:sup>
            <m:r>
              <m:t>2</m:t>
            </m:r>
          </m:sup>
        </m:sSup>
      </m:oMath>
    </w:p>
    <w:p>
      <w:pPr>
        <w:pStyle w:val="FirstParagraph"/>
      </w:pPr>
      <w:r>
        <w:t xml:space="preserve">Como explica</w:t>
      </w:r>
      <w:r>
        <w:t xml:space="preserve"> </w:t>
      </w:r>
      <w:r>
        <w:t xml:space="preserve">Agresti (2019)</w:t>
      </w:r>
      <w:r>
        <w:t xml:space="preserve">, y como se introdujo en los capítulos anteriores, una prueba de hipótesis es un procedimiento estadístico utilizado para evaluar si la evidencia observada en una muestra es compatible con una afirmación acerca de la población. En el contexto de tablas de contingencia, las pruebas de independencia permiten analizar si existe asociación entre dos variables categóricas.</w:t>
      </w:r>
    </w:p>
    <w:p>
      <w:pPr>
        <w:pStyle w:val="BodyText"/>
      </w:pPr>
      <w:r>
        <w:t xml:space="preserve">De acuerdo con</w:t>
      </w:r>
      <w:r>
        <w:t xml:space="preserve"> </w:t>
      </w:r>
      <w:r>
        <w:t xml:space="preserve">Heeringa et al. (2017)</w:t>
      </w:r>
      <w:r>
        <w:t xml:space="preserve">, en este caso, la hipótesis nula (</w:t>
      </w:r>
      <m:oMath>
        <m:sSub>
          <m:e>
            <m:r>
              <m:t>H</m:t>
            </m:r>
          </m:e>
          <m:sub>
            <m:r>
              <m:t>0</m:t>
            </m:r>
          </m:sub>
        </m:sSub>
      </m:oMath>
      <w:r>
        <w:t xml:space="preserve">) establece que ambas variables son independientes; es decir, que la distribución de una variable no depende de las categorías de la otra. Bajo este supuesto, las diferencias observadas en la muestra se atribuyen únicamente a la variabilidad muestral y no a una relación real entre las variables en la población. Matemáticamente, esta hipótesis puede expresarse como:</w:t>
      </w:r>
    </w:p>
    <w:p>
      <w:pPr>
        <w:pStyle w:val="BodyText"/>
      </w:pPr>
      <m:oMathPara>
        <m:oMathParaPr>
          <m:jc m:val="center"/>
        </m:oMathParaPr>
        <m:oMath>
          <m:sSub>
            <m:e>
              <m:r>
                <m:t>H</m:t>
              </m:r>
            </m:e>
            <m:sub>
              <m:r>
                <m:t>0</m:t>
              </m:r>
            </m:sub>
          </m:sSub>
          <m:r>
            <m:rPr>
              <m:sty m:val="p"/>
            </m:rPr>
            <m:t>:</m:t>
          </m:r>
          <m:sSubSup>
            <m:e>
              <m:r>
                <m:t>p</m:t>
              </m:r>
            </m:e>
            <m:sub>
              <m:r>
                <m:t>r</m:t>
              </m:r>
              <m:r>
                <m:t>c</m:t>
              </m:r>
            </m:sub>
            <m:sup>
              <m:r>
                <m:t>0</m:t>
              </m:r>
            </m:sup>
          </m:sSubSup>
          <m:r>
            <m:rPr>
              <m:sty m:val="p"/>
            </m:rPr>
            <m:t>=</m:t>
          </m:r>
          <m:sSub>
            <m:e>
              <m:r>
                <m:t>p</m:t>
              </m:r>
            </m:e>
            <m:sub>
              <m:r>
                <m:t>r</m:t>
              </m:r>
              <m:r>
                <m:rPr>
                  <m:sty m:val="p"/>
                </m:rPr>
                <m:t>+</m:t>
              </m:r>
            </m:sub>
          </m:sSub>
          <m:r>
            <m:rPr>
              <m:sty m:val="p"/>
            </m:rPr>
            <m:t>×</m:t>
          </m:r>
          <m:sSub>
            <m:e>
              <m:r>
                <m:t>p</m:t>
              </m:r>
            </m:e>
            <m:sub>
              <m:r>
                <m:rPr>
                  <m:sty m:val="p"/>
                </m:rPr>
                <m:t>+</m:t>
              </m:r>
              <m:r>
                <m:t>c</m:t>
              </m:r>
            </m:sub>
          </m:sSub>
          <m:r>
            <m:rPr>
              <m:sty m:val="p"/>
            </m:rPr>
            <m:t>,</m:t>
          </m:r>
          <m:r>
            <m:t> </m:t>
          </m:r>
          <m:r>
            <m:rPr>
              <m:nor/>
              <m:sty m:val="p"/>
            </m:rPr>
            <m:t>para todo </m:t>
          </m:r>
          <m:r>
            <m:t>r</m:t>
          </m:r>
          <m:r>
            <m:rPr>
              <m:sty m:val="p"/>
            </m:rPr>
            <m:t>=</m:t>
          </m:r>
          <m:r>
            <m:t>1</m:t>
          </m:r>
          <m:r>
            <m:rPr>
              <m:sty m:val="p"/>
            </m:rPr>
            <m:t>,</m:t>
          </m:r>
          <m:r>
            <m:rPr>
              <m:sty m:val="p"/>
            </m:rPr>
            <m:t>…</m:t>
          </m:r>
          <m:r>
            <m:rPr>
              <m:sty m:val="p"/>
            </m:rPr>
            <m:t>,</m:t>
          </m:r>
          <m:r>
            <m:t>R</m:t>
          </m:r>
          <m:r>
            <m:rPr>
              <m:nor/>
              <m:sty m:val="p"/>
            </m:rPr>
            <m:t> y </m:t>
          </m:r>
          <m:r>
            <m:t>c</m:t>
          </m:r>
          <m:r>
            <m:rPr>
              <m:sty m:val="p"/>
            </m:rPr>
            <m:t>=</m:t>
          </m:r>
          <m:r>
            <m:t>1</m:t>
          </m:r>
          <m:r>
            <m:rPr>
              <m:sty m:val="p"/>
            </m:rPr>
            <m:t>,</m:t>
          </m:r>
          <m:r>
            <m:rPr>
              <m:sty m:val="p"/>
            </m:rPr>
            <m:t>…</m:t>
          </m:r>
          <m:r>
            <m:rPr>
              <m:sty m:val="p"/>
            </m:rPr>
            <m:t>,</m:t>
          </m:r>
          <m:r>
            <m:t>C</m:t>
          </m:r>
        </m:oMath>
      </m:oMathPara>
    </w:p>
    <w:p>
      <w:pPr>
        <w:pStyle w:val="FirstParagraph"/>
      </w:pPr>
      <w:r>
        <w:t xml:space="preserve">En donde</w:t>
      </w:r>
      <w:r>
        <w:t xml:space="preserve"> </w:t>
      </w:r>
      <m:oMath>
        <m:sSubSup>
          <m:e>
            <m:r>
              <m:t>p</m:t>
            </m:r>
          </m:e>
          <m:sub>
            <m:r>
              <m:t>r</m:t>
            </m:r>
            <m:r>
              <m:t>c</m:t>
            </m:r>
          </m:sub>
          <m:sup>
            <m:r>
              <m:t>0</m:t>
            </m:r>
          </m:sup>
        </m:sSubSup>
      </m:oMath>
      <w:r>
        <w:t xml:space="preserve"> </w:t>
      </w:r>
      <w:r>
        <w:t xml:space="preserve">representa la proporción esperada en la celda</w:t>
      </w:r>
      <w:r>
        <w:t xml:space="preserve"> </w:t>
      </w:r>
      <m:oMath>
        <m:r>
          <m:rPr>
            <m:sty m:val="p"/>
          </m:rPr>
          <m:t>(</m:t>
        </m:r>
        <m:r>
          <m:t>r</m:t>
        </m:r>
        <m:r>
          <m:rPr>
            <m:sty m:val="p"/>
          </m:rPr>
          <m:t>,</m:t>
        </m:r>
        <m:r>
          <m:t>c</m:t>
        </m:r>
        <m:r>
          <m:rPr>
            <m:sty m:val="p"/>
          </m:rPr>
          <m:t>)</m:t>
        </m:r>
      </m:oMath>
      <w:r>
        <w:t xml:space="preserve"> </w:t>
      </w:r>
      <w:r>
        <w:t xml:space="preserve">bajo el supuesto de independencia, mientras que</w:t>
      </w:r>
      <w:r>
        <w:t xml:space="preserve"> </w:t>
      </w:r>
      <m:oMath>
        <m:sSub>
          <m:e>
            <m:r>
              <m:t>P</m:t>
            </m:r>
          </m:e>
          <m:sub>
            <m:r>
              <m:t>r</m:t>
            </m:r>
            <m:r>
              <m:rPr>
                <m:sty m:val="p"/>
              </m:rPr>
              <m:t>+</m:t>
            </m:r>
          </m:sub>
        </m:sSub>
      </m:oMath>
      <w:r>
        <w:t xml:space="preserve"> </w:t>
      </w:r>
      <w:r>
        <w:t xml:space="preserve">y</w:t>
      </w:r>
      <w:r>
        <w:t xml:space="preserve"> </w:t>
      </w:r>
      <m:oMath>
        <m:sSub>
          <m:e>
            <m:r>
              <m:t>P</m:t>
            </m:r>
          </m:e>
          <m:sub>
            <m:r>
              <m:rPr>
                <m:sty m:val="p"/>
              </m:rPr>
              <m:t>+</m:t>
            </m:r>
            <m:r>
              <m:t>c</m:t>
            </m:r>
          </m:sub>
        </m:sSub>
      </m:oMath>
      <w:r>
        <w:t xml:space="preserve"> </w:t>
      </w:r>
      <w:r>
        <w:t xml:space="preserve">corresponden a las proporciones marginales de las filas y columnas, respectivamente. Bajo esta formulación, la hipótesis de independencia implica que la probabilidad conjunta de cada celda puede expresarse como el producto de sus probabilidades marginales.</w:t>
      </w:r>
    </w:p>
    <w:p>
      <w:pPr>
        <w:pStyle w:val="BodyText"/>
      </w:pPr>
      <w:r>
        <w:t xml:space="preserve">En consecuencia, la prueba de independencia consiste en comparar las proporciones observadas o estimadas</w:t>
      </w:r>
      <w:r>
        <w:t xml:space="preserve"> </w:t>
      </w:r>
      <m:oMath>
        <m:sSub>
          <m:e>
            <m:acc>
              <m:accPr>
                <m:chr m:val="̂"/>
              </m:accPr>
              <m:e>
                <m:r>
                  <m:t>p</m:t>
                </m:r>
              </m:e>
            </m:acc>
          </m:e>
          <m:sub>
            <m:r>
              <m:t>r</m:t>
            </m:r>
            <m:r>
              <m:t>c</m:t>
            </m:r>
          </m:sub>
        </m:sSub>
      </m:oMath>
      <w:r>
        <w:t xml:space="preserve"> </w:t>
      </w:r>
      <w:r>
        <w:t xml:space="preserve">con las proporciones esperadas</w:t>
      </w:r>
      <w:r>
        <w:t xml:space="preserve"> </w:t>
      </w:r>
      <m:oMath>
        <m:sSubSup>
          <m:e>
            <m:r>
              <m:t>p</m:t>
            </m:r>
          </m:e>
          <m:sub>
            <m:r>
              <m:t>r</m:t>
            </m:r>
            <m:r>
              <m:t>c</m:t>
            </m:r>
          </m:sub>
          <m:sup>
            <m:r>
              <m:t>0</m:t>
            </m:r>
          </m:sup>
        </m:sSubSup>
      </m:oMath>
      <w:r>
        <w:t xml:space="preserve"> </w:t>
      </w:r>
      <w:r>
        <w:t xml:space="preserve">bajo la hipótesis nula. Cuando las diferencias entre ambas son pequeñas, la evidencia empírica resulta consistente con el supuesto de independencia. Por el contrario, discrepancias suficientemente grandes sugieren la existencia de asociación entre las variables y conducen al rechazo de</w:t>
      </w:r>
      <w:r>
        <w:t xml:space="preserve"> </w:t>
      </w:r>
      <m:oMath>
        <m:sSub>
          <m:e>
            <m:r>
              <m:t>H</m:t>
            </m:r>
          </m:e>
          <m:sub>
            <m:r>
              <m:t>0</m:t>
            </m:r>
          </m:sub>
        </m:sSub>
      </m:oMath>
      <w:r>
        <w:t xml:space="preserve">.</w:t>
      </w:r>
    </w:p>
    <w:p>
      <w:pPr>
        <w:pStyle w:val="BodyText"/>
      </w:pPr>
      <w:r>
        <w:t xml:space="preserve">Como explican</w:t>
      </w:r>
      <w:r>
        <w:t xml:space="preserve"> </w:t>
      </w:r>
      <w:r>
        <w:t xml:space="preserve">Rao y Scott (1981)</w:t>
      </w:r>
      <w:r>
        <w:t xml:space="preserve">, en las encuestas de hogares, características propias del diseño muestral complejo, como la estratificación, la selección por conglomerados y el uso de factores de expansión, afectan la variabilidad de los estimadores en comparación con la que se obtendría bajo un muestreo aleatorio simple. Como consecuencia, la prueba clásica de independencia</w:t>
      </w:r>
      <w:r>
        <w:t xml:space="preserve"> </w:t>
      </w:r>
      <m:oMath>
        <m:sSup>
          <m:e>
            <m:r>
              <m:t>χ</m:t>
            </m:r>
          </m:e>
          <m:sup>
            <m:r>
              <m:t>2</m:t>
            </m:r>
          </m:sup>
        </m:sSup>
      </m:oMath>
      <w:r>
        <w:t xml:space="preserve"> </w:t>
      </w:r>
      <w:r>
        <w:t xml:space="preserve">de Pearson no resulta adecuada para analizar tablas de contingencia provenientes de este tipo de diseños, ya que puede subestimar o sobreestimar la variabilidad real de las estimaciones.</w:t>
      </w:r>
    </w:p>
    <w:p>
      <w:pPr>
        <w:pStyle w:val="BodyText"/>
      </w:pPr>
      <w:r>
        <w:t xml:space="preserve">Con el propósito de corregir este problema,</w:t>
      </w:r>
      <w:r>
        <w:t xml:space="preserve"> </w:t>
      </w:r>
      <w:r>
        <w:t xml:space="preserve">Fay (1979)</w:t>
      </w:r>
      <w:r>
        <w:t xml:space="preserve">,</w:t>
      </w:r>
      <w:r>
        <w:t xml:space="preserve"> </w:t>
      </w:r>
      <w:r>
        <w:t xml:space="preserve">Fellegi (1980)</w:t>
      </w:r>
      <w:r>
        <w:t xml:space="preserve"> </w:t>
      </w:r>
      <w:r>
        <w:t xml:space="preserve">y</w:t>
      </w:r>
      <w:r>
        <w:t xml:space="preserve"> </w:t>
      </w:r>
      <w:r>
        <w:t xml:space="preserve">Thomas y Rao (1987)</w:t>
      </w:r>
      <w:r>
        <w:t xml:space="preserve"> </w:t>
      </w:r>
      <w:r>
        <w:t xml:space="preserve">propusieron los primeros ajustes al estadístico chi-cuadrado de Pearson, basados en el efecto de diseño generalizado (</w:t>
      </w:r>
      <m:oMath>
        <m:r>
          <m:t>G</m:t>
        </m:r>
        <m:r>
          <m:t>D</m:t>
        </m:r>
        <m:r>
          <m:t>E</m:t>
        </m:r>
        <m:r>
          <m:t>F</m:t>
        </m:r>
        <m:r>
          <m:t>F</m:t>
        </m:r>
      </m:oMath>
      <w:r>
        <w:t xml:space="preserve">). Posteriormente,</w:t>
      </w:r>
      <w:r>
        <w:t xml:space="preserve"> </w:t>
      </w:r>
      <w:r>
        <w:t xml:space="preserve">Rao y Scott (1984)</w:t>
      </w:r>
      <w:r>
        <w:t xml:space="preserve"> </w:t>
      </w:r>
      <w:r>
        <w:t xml:space="preserve">amplió y formalizó el marco teórico de estas correcciones, dando origen a lo que actualmente se conoce como la prueba de Rao-Scott, considerada el procedimiento de referencia para el análisis de datos categóricos obtenidos mediante encuestas complejas.</w:t>
      </w:r>
    </w:p>
    <w:p>
      <w:pPr>
        <w:pStyle w:val="BodyText"/>
      </w:pPr>
      <w:r>
        <w:t xml:space="preserve">La idea central del ajuste de primer orden consiste en adaptar la prueba clásica de independencia mediante la incorporación del efecto de diseño generalizado, obteniendo así un estadístico robusto frente a las complejidades del diseño muestral:</w:t>
      </w:r>
    </w:p>
    <w:p>
      <w:pPr>
        <w:pStyle w:val="BodyText"/>
      </w:pPr>
      <m:oMathPara>
        <m:oMathParaPr>
          <m:jc m:val="center"/>
        </m:oMathParaPr>
        <m:oMath>
          <m:sSubSup>
            <m:e>
              <m:r>
                <m:t>χ</m:t>
              </m:r>
            </m:e>
            <m:sub>
              <m:r>
                <m:t>R</m:t>
              </m:r>
              <m:r>
                <m:t>S</m:t>
              </m:r>
            </m:sub>
            <m:sup>
              <m:r>
                <m:t>2</m:t>
              </m:r>
            </m:sup>
          </m:sSubSup>
          <m:r>
            <m:rPr>
              <m:sty m:val="p"/>
            </m:rPr>
            <m:t>=</m:t>
          </m:r>
          <m:f>
            <m:fPr>
              <m:type m:val="bar"/>
            </m:fPr>
            <m:num>
              <m:sSub>
                <m:e>
                  <m:r>
                    <m:t>n</m:t>
                  </m:r>
                </m:e>
                <m:sub>
                  <m:r>
                    <m:rPr>
                      <m:sty m:val="p"/>
                    </m:rPr>
                    <m:t>+</m:t>
                  </m:r>
                  <m:r>
                    <m:rPr>
                      <m:sty m:val="p"/>
                    </m:rPr>
                    <m:t>+</m:t>
                  </m:r>
                </m:sub>
              </m:sSub>
            </m:num>
            <m:den>
              <m:r>
                <m:t>G</m:t>
              </m:r>
              <m:r>
                <m:t>D</m:t>
              </m:r>
              <m:r>
                <m:t>E</m:t>
              </m:r>
              <m:r>
                <m:t>F</m:t>
              </m:r>
              <m:r>
                <m:t>F</m:t>
              </m:r>
            </m:den>
          </m:f>
          <m:nary>
            <m:naryPr>
              <m:chr m:val="∑"/>
              <m:limLoc m:val="undOvr"/>
              <m:subHide m:val="off"/>
              <m:supHide m:val="on"/>
            </m:naryPr>
            <m:sub>
              <m:r>
                <m:t>r</m:t>
              </m:r>
            </m:sub>
            <m:sup>
              <m:r>
                <m:t>​</m:t>
              </m:r>
            </m:sup>
            <m:e>
              <m:nary>
                <m:naryPr>
                  <m:chr m:val="∑"/>
                  <m:limLoc m:val="undOvr"/>
                  <m:subHide m:val="off"/>
                  <m:supHide m:val="on"/>
                </m:naryPr>
                <m:sub>
                  <m:r>
                    <m:t>c</m:t>
                  </m:r>
                </m:sub>
                <m:sup>
                  <m:r>
                    <m:t>​</m:t>
                  </m:r>
                </m:sup>
                <m:e>
                  <m:f>
                    <m:fPr>
                      <m:type m:val="bar"/>
                    </m:fPr>
                    <m:num>
                      <m:r>
                        <m:rPr>
                          <m:sty m:val="p"/>
                        </m:rPr>
                        <m:t>(</m:t>
                      </m:r>
                      <m:sSub>
                        <m:e>
                          <m:acc>
                            <m:accPr>
                              <m:chr m:val="̂"/>
                            </m:accPr>
                            <m:e>
                              <m:r>
                                <m:t>p</m:t>
                              </m:r>
                            </m:e>
                          </m:acc>
                        </m:e>
                        <m:sub>
                          <m:r>
                            <m:t>r</m:t>
                          </m:r>
                          <m:r>
                            <m:t>c</m:t>
                          </m:r>
                        </m:sub>
                      </m:sSub>
                      <m:r>
                        <m:rPr>
                          <m:sty m:val="p"/>
                        </m:rPr>
                        <m:t>−</m:t>
                      </m:r>
                      <m:sSubSup>
                        <m:e>
                          <m:r>
                            <m:t>p</m:t>
                          </m:r>
                        </m:e>
                        <m:sub>
                          <m:r>
                            <m:t>r</m:t>
                          </m:r>
                          <m:r>
                            <m:t>c</m:t>
                          </m:r>
                        </m:sub>
                        <m:sup>
                          <m:r>
                            <m:t>0</m:t>
                          </m:r>
                        </m:sup>
                      </m:sSubSup>
                      <m:sSup>
                        <m:e>
                          <m:r>
                            <m:rPr>
                              <m:sty m:val="p"/>
                            </m:rPr>
                            <m:t>)</m:t>
                          </m:r>
                        </m:e>
                        <m:sup>
                          <m:r>
                            <m:t>2</m:t>
                          </m:r>
                        </m:sup>
                      </m:sSup>
                    </m:num>
                    <m:den>
                      <m:sSubSup>
                        <m:e>
                          <m:r>
                            <m:t>p</m:t>
                          </m:r>
                        </m:e>
                        <m:sub>
                          <m:r>
                            <m:t>r</m:t>
                          </m:r>
                          <m:r>
                            <m:t>c</m:t>
                          </m:r>
                        </m:sub>
                        <m:sup>
                          <m:r>
                            <m:t>0</m:t>
                          </m:r>
                        </m:sup>
                      </m:sSubSup>
                    </m:den>
                  </m:f>
                </m:e>
              </m:nary>
            </m:e>
          </m:nary>
        </m:oMath>
      </m:oMathPara>
    </w:p>
    <w:p>
      <w:pPr>
        <w:pStyle w:val="FirstParagraph"/>
      </w:pPr>
      <w:r>
        <w:t xml:space="preserve">Como explica</w:t>
      </w:r>
      <w:r>
        <w:t xml:space="preserve"> </w:t>
      </w:r>
      <w:r>
        <w:t xml:space="preserve">Lumley et al. (2026)</w:t>
      </w:r>
      <w:r>
        <w:t xml:space="preserve">, esta expresión resume la corrección de primer orden. La opción</w:t>
      </w:r>
      <w:r>
        <w:t xml:space="preserve"> </w:t>
      </w:r>
      <w:r>
        <w:rPr>
          <w:rStyle w:val="VerbatimChar"/>
        </w:rPr>
        <w:t xml:space="preserve">statistic = "F"</w:t>
      </w:r>
      <w:r>
        <w:t xml:space="preserve"> </w:t>
      </w:r>
      <w:r>
        <w:t xml:space="preserve">utilizada más adelante en</w:t>
      </w:r>
      <w:r>
        <w:t xml:space="preserve"> </w:t>
      </w:r>
      <w:r>
        <w:rPr>
          <w:rStyle w:val="VerbatimChar"/>
        </w:rPr>
        <w:t xml:space="preserve">svychisq()</w:t>
      </w:r>
      <w:r>
        <w:t xml:space="preserve"> </w:t>
      </w:r>
      <w:r>
        <w:t xml:space="preserve">corresponde a la corrección de segundo orden de Rao-Scott expresada mediante una aproximación basada en la distribución</w:t>
      </w:r>
      <w:r>
        <w:t xml:space="preserve"> </w:t>
      </w:r>
      <m:oMath>
        <m:r>
          <m:t>F</m:t>
        </m:r>
      </m:oMath>
      <w:r>
        <w:t xml:space="preserve">; por ello, no debe interpretarse como una aplicación numéricamente idéntica de la fórmula anterior.</w:t>
      </w:r>
    </w:p>
    <w:p>
      <w:pPr>
        <w:pStyle w:val="BodyText"/>
      </w:pPr>
      <w:r>
        <w:t xml:space="preserve">donde</w:t>
      </w:r>
      <w:r>
        <w:t xml:space="preserve"> </w:t>
      </w:r>
      <m:oMath>
        <m:sSub>
          <m:e>
            <m:r>
              <m:t>n</m:t>
            </m:r>
          </m:e>
          <m:sub>
            <m:r>
              <m:rPr>
                <m:sty m:val="p"/>
              </m:rPr>
              <m:t>+</m:t>
            </m:r>
            <m:r>
              <m:rPr>
                <m:sty m:val="p"/>
              </m:rPr>
              <m:t>+</m:t>
            </m:r>
          </m:sub>
        </m:sSub>
      </m:oMath>
      <w:r>
        <w:t xml:space="preserve"> </w:t>
      </w:r>
      <w:r>
        <w:t xml:space="preserve">representa el tamaño total de la muestra,</w:t>
      </w:r>
      <w:r>
        <w:t xml:space="preserve"> </w:t>
      </w:r>
      <m:oMath>
        <m:sSub>
          <m:e>
            <m:acc>
              <m:accPr>
                <m:chr m:val="̂"/>
              </m:accPr>
              <m:e>
                <m:r>
                  <m:t>p</m:t>
                </m:r>
              </m:e>
            </m:acc>
          </m:e>
          <m:sub>
            <m:r>
              <m:t>r</m:t>
            </m:r>
            <m:r>
              <m:t>c</m:t>
            </m:r>
          </m:sub>
        </m:sSub>
      </m:oMath>
      <w:r>
        <w:t xml:space="preserve"> </w:t>
      </w:r>
      <w:r>
        <w:t xml:space="preserve">corresponde a la proporción estimada en la celda</w:t>
      </w:r>
      <w:r>
        <w:t xml:space="preserve"> </w:t>
      </w:r>
      <m:oMath>
        <m:r>
          <m:rPr>
            <m:sty m:val="p"/>
          </m:rPr>
          <m:t>(</m:t>
        </m:r>
        <m:r>
          <m:t>r</m:t>
        </m:r>
        <m:r>
          <m:rPr>
            <m:sty m:val="p"/>
          </m:rPr>
          <m:t>,</m:t>
        </m:r>
        <m:r>
          <m:t>c</m:t>
        </m:r>
        <m:r>
          <m:rPr>
            <m:sty m:val="p"/>
          </m:rPr>
          <m:t>)</m:t>
        </m:r>
      </m:oMath>
      <w:r>
        <w:t xml:space="preserve"> </w:t>
      </w:r>
      <w:r>
        <w:t xml:space="preserve">de la tabla de contingencia y</w:t>
      </w:r>
      <w:r>
        <w:t xml:space="preserve"> </w:t>
      </w:r>
      <m:oMath>
        <m:sSubSup>
          <m:e>
            <m:r>
              <m:t>p</m:t>
            </m:r>
          </m:e>
          <m:sub>
            <m:r>
              <m:t>r</m:t>
            </m:r>
            <m:r>
              <m:t>c</m:t>
            </m:r>
          </m:sub>
          <m:sup>
            <m:r>
              <m:t>0</m:t>
            </m:r>
          </m:sup>
        </m:sSubSup>
      </m:oMath>
      <w:r>
        <w:t xml:space="preserve"> </w:t>
      </w:r>
      <w:r>
        <w:t xml:space="preserve">denota la proporción esperada bajo la hipótesis nula de independencia, calculada a partir del producto de las proporciones marginales de filas y columnas.</w:t>
      </w:r>
    </w:p>
    <w:p>
      <w:pPr>
        <w:pStyle w:val="BodyText"/>
      </w:pPr>
      <w:r>
        <w:t xml:space="preserve">El término</w:t>
      </w:r>
      <w:r>
        <w:t xml:space="preserve"> </w:t>
      </w:r>
      <m:oMath>
        <m:r>
          <m:t>G</m:t>
        </m:r>
        <m:r>
          <m:t>D</m:t>
        </m:r>
        <m:r>
          <m:t>E</m:t>
        </m:r>
        <m:r>
          <m:t>F</m:t>
        </m:r>
        <m:r>
          <m:t>F</m:t>
        </m:r>
      </m:oMath>
      <w:r>
        <w:t xml:space="preserve"> </w:t>
      </w:r>
      <w:r>
        <w:t xml:space="preserve">representa el efecto de diseño generalizado y mide cuánto se incrementa o disminuye la variabilidad de las estimaciones como consecuencia del diseño complejo de la encuesta respecto a la variabilidad que se observaría bajo un muestreo aleatorio simple. De esta manera, el ajuste de Rao–Scott permite que las inferencias derivadas de la prueba de independencia reflejen adecuadamente la estructura del diseño muestral.</w:t>
      </w:r>
    </w:p>
    <w:p>
      <w:pPr>
        <w:pStyle w:val="BodyText"/>
      </w:pPr>
      <w:r>
        <w:t xml:space="preserve">Bajo la hipótesis nula</w:t>
      </w:r>
      <w:r>
        <w:t xml:space="preserve"> </w:t>
      </w:r>
      <m:oMath>
        <m:sSub>
          <m:e>
            <m:r>
              <m:t>H</m:t>
            </m:r>
          </m:e>
          <m:sub>
            <m:r>
              <m:t>0</m:t>
            </m:r>
          </m:sub>
        </m:sSub>
      </m:oMath>
      <w:r>
        <w:t xml:space="preserve">, el estadístico</w:t>
      </w:r>
      <w:r>
        <w:t xml:space="preserve"> </w:t>
      </w:r>
      <m:oMath>
        <m:sSubSup>
          <m:e>
            <m:r>
              <m:t>χ</m:t>
            </m:r>
          </m:e>
          <m:sub>
            <m:r>
              <m:t>R</m:t>
            </m:r>
            <m:r>
              <m:t>S</m:t>
            </m:r>
          </m:sub>
          <m:sup>
            <m:r>
              <m:t>2</m:t>
            </m:r>
          </m:sup>
        </m:sSubSup>
      </m:oMath>
      <w:r>
        <w:t xml:space="preserve"> </w:t>
      </w:r>
      <w:r>
        <w:t xml:space="preserve">sigue aproximadamente una distribución</w:t>
      </w:r>
      <w:r>
        <w:t xml:space="preserve"> </w:t>
      </w:r>
      <m:oMath>
        <m:sSup>
          <m:e>
            <m:r>
              <m:t>χ</m:t>
            </m:r>
          </m:e>
          <m:sup>
            <m:r>
              <m:t>2</m:t>
            </m:r>
          </m:sup>
        </m:sSup>
      </m:oMath>
      <w:r>
        <w:t xml:space="preserve"> </w:t>
      </w:r>
      <w:r>
        <w:t xml:space="preserve">con</w:t>
      </w:r>
      <w:r>
        <w:t xml:space="preserve"> </w:t>
      </w:r>
      <m:oMath>
        <m:r>
          <m:rPr>
            <m:sty m:val="p"/>
          </m:rPr>
          <m:t>(</m:t>
        </m:r>
        <m:r>
          <m:t>R</m:t>
        </m:r>
        <m:r>
          <m:rPr>
            <m:sty m:val="p"/>
          </m:rPr>
          <m:t>−</m:t>
        </m:r>
        <m:r>
          <m:t>1</m:t>
        </m:r>
        <m:r>
          <m:rPr>
            <m:sty m:val="p"/>
          </m:rPr>
          <m:t>)</m:t>
        </m:r>
        <m:r>
          <m:rPr>
            <m:sty m:val="p"/>
          </m:rPr>
          <m:t>(</m:t>
        </m:r>
        <m:r>
          <m:t>C</m:t>
        </m:r>
        <m:r>
          <m:rPr>
            <m:sty m:val="p"/>
          </m:rPr>
          <m:t>−</m:t>
        </m:r>
        <m:r>
          <m:t>1</m:t>
        </m:r>
        <m:r>
          <m:rPr>
            <m:sty m:val="p"/>
          </m:rPr>
          <m:t>)</m:t>
        </m:r>
      </m:oMath>
      <w:r>
        <w:t xml:space="preserve"> </w:t>
      </w:r>
      <w:r>
        <w:t xml:space="preserve">grados de libertad, donde</w:t>
      </w:r>
      <w:r>
        <w:t xml:space="preserve"> </w:t>
      </w:r>
      <m:oMath>
        <m:r>
          <m:t>R</m:t>
        </m:r>
      </m:oMath>
      <w:r>
        <w:t xml:space="preserve"> </w:t>
      </w:r>
      <w:r>
        <w:t xml:space="preserve">y</w:t>
      </w:r>
      <w:r>
        <w:t xml:space="preserve"> </w:t>
      </w:r>
      <m:oMath>
        <m:r>
          <m:t>C</m:t>
        </m:r>
      </m:oMath>
      <w:r>
        <w:t xml:space="preserve"> </w:t>
      </w:r>
      <w:r>
        <w:t xml:space="preserve">corresponden al número de categorías de las filas y columnas, respectivamente. En situaciones de muestras pequeñas o con pocos grados de libertad, es frecuente utilizar ajustes basados en la distribución</w:t>
      </w:r>
      <w:r>
        <w:t xml:space="preserve"> </w:t>
      </w:r>
      <m:oMath>
        <m:r>
          <m:t>F</m:t>
        </m:r>
      </m:oMath>
      <w:r>
        <w:t xml:space="preserve">, los cuales mejoran la precisión de la inferencia estadística. Las pruebas de Rao-Scott constituyen el estándar para el análisis de asociación entre variables categóricas en encuestas complejas.</w:t>
      </w:r>
    </w:p>
    <w:p>
      <w:pPr>
        <w:pStyle w:val="BodyText"/>
      </w:pPr>
      <w:r>
        <w:t xml:space="preserve">El paquete</w:t>
      </w:r>
      <w:r>
        <w:t xml:space="preserve"> </w:t>
      </w:r>
      <w:r>
        <w:rPr>
          <w:rStyle w:val="VerbatimChar"/>
        </w:rPr>
        <w:t xml:space="preserve">survey</w:t>
      </w:r>
      <w:r>
        <w:t xml:space="preserve"> </w:t>
      </w:r>
      <w:r>
        <w:t xml:space="preserve">en</w:t>
      </w:r>
      <w:r>
        <w:t xml:space="preserve"> </w:t>
      </w:r>
      <w:r>
        <w:rPr>
          <w:rStyle w:val="VerbatimChar"/>
        </w:rPr>
        <w:t xml:space="preserve">R</w:t>
      </w:r>
      <w:r>
        <w:t xml:space="preserve"> </w:t>
      </w:r>
      <w:r>
        <w:t xml:space="preserve">implementa este tipo de pruebas mediante la función</w:t>
      </w:r>
      <w:r>
        <w:t xml:space="preserve"> </w:t>
      </w:r>
      <w:r>
        <w:rPr>
          <w:rStyle w:val="VerbatimChar"/>
        </w:rPr>
        <w:t xml:space="preserve">svychisq()</w:t>
      </w:r>
      <w:r>
        <w:t xml:space="preserve">, la cual incorpora automáticamente los ajustes de Rao-Scott para tener en cuenta las características del diseño muestral complejo. Esta función permite evaluar la existencia de asociación entre dos variables categóricas utilizando tablas de contingencia ponderadas y corrigiendo adecuadamente la variabilidad de los estimadores. A modo de ejemplo, para evaluar si la condición de pobreza es independiente del sexo, se ejecuta el siguiente código:</w:t>
      </w:r>
    </w:p>
    <w:p>
      <w:pPr>
        <w:pStyle w:val="SourceCode"/>
      </w:pPr>
      <w:r>
        <w:rPr>
          <w:rStyle w:val="FunctionTok"/>
        </w:rPr>
        <w:t xml:space="preserve">svychisq</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Sex </w:t>
      </w:r>
      <w:r>
        <w:rPr>
          <w:rStyle w:val="SpecialCharTok"/>
        </w:rPr>
        <w:t xml:space="preserve">+</w:t>
      </w:r>
      <w:r>
        <w:rPr>
          <w:rStyle w:val="NormalTok"/>
        </w:rPr>
        <w:t xml:space="preserve"> poor, </w:t>
      </w:r>
      <w:r>
        <w:rPr>
          <w:rStyle w:val="AttributeTok"/>
        </w:rPr>
        <w:t xml:space="preserve">design =</w:t>
      </w:r>
      <w:r>
        <w:rPr>
          <w:rStyle w:val="NormalTok"/>
        </w:rPr>
        <w:t xml:space="preserve"> survey_design, </w:t>
      </w:r>
      <w:r>
        <w:rPr>
          <w:rStyle w:val="AttributeTok"/>
        </w:rPr>
        <w:t xml:space="preserve">statistic =</w:t>
      </w:r>
      <w:r>
        <w:rPr>
          <w:rStyle w:val="NormalTok"/>
        </w:rPr>
        <w:t xml:space="preserve"> </w:t>
      </w:r>
      <w:r>
        <w:rPr>
          <w:rStyle w:val="StringTok"/>
        </w:rPr>
        <w:t xml:space="preserve">"F"</w:t>
      </w:r>
      <w:r>
        <w:rPr>
          <w:rStyle w:val="NormalTok"/>
        </w:rPr>
        <w:t xml:space="preserve">)</w:t>
      </w:r>
    </w:p>
    <w:p>
      <w:pPr>
        <w:pStyle w:val="SourceCode"/>
      </w:pPr>
      <w:r>
        <w:br/>
      </w:r>
      <w:r>
        <w:rPr>
          <w:rStyle w:val="VerbatimChar"/>
        </w:rPr>
        <w:t xml:space="preserve">    Pearson's X^2: Rao &amp; Scott adjustment</w:t>
      </w:r>
      <w:r>
        <w:br/>
      </w:r>
      <w:r>
        <w:br/>
      </w:r>
      <w:r>
        <w:rPr>
          <w:rStyle w:val="VerbatimChar"/>
        </w:rPr>
        <w:t xml:space="preserve">data:  NextMethod()</w:t>
      </w:r>
      <w:r>
        <w:br/>
      </w:r>
      <w:r>
        <w:rPr>
          <w:rStyle w:val="VerbatimChar"/>
        </w:rPr>
        <w:t xml:space="preserve">F = 0.06, ndf = 1, ddf = 119, p-value = 0.8</w:t>
      </w:r>
    </w:p>
    <w:p>
      <w:pPr>
        <w:pStyle w:val="FirstParagraph"/>
      </w:pPr>
      <w:r>
        <w:t xml:space="preserve">En este caso, el argumento</w:t>
      </w:r>
      <w:r>
        <w:t xml:space="preserve"> </w:t>
      </w:r>
      <w:r>
        <w:rPr>
          <w:rStyle w:val="VerbatimChar"/>
        </w:rPr>
        <w:t xml:space="preserve">formula</w:t>
      </w:r>
      <w:r>
        <w:t xml:space="preserve"> </w:t>
      </w:r>
      <w:r>
        <w:t xml:space="preserve">especifica las dos variables categóricas cuya independencia se desea evaluar;</w:t>
      </w:r>
      <w:r>
        <w:t xml:space="preserve"> </w:t>
      </w:r>
      <w:r>
        <w:rPr>
          <w:rStyle w:val="VerbatimChar"/>
        </w:rPr>
        <w:t xml:space="preserve">design</w:t>
      </w:r>
      <w:r>
        <w:t xml:space="preserve"> </w:t>
      </w:r>
      <w:r>
        <w:t xml:space="preserve">corresponde al diseño muestral previamente definido; y</w:t>
      </w:r>
      <w:r>
        <w:t xml:space="preserve"> </w:t>
      </w:r>
      <w:r>
        <w:rPr>
          <w:rStyle w:val="VerbatimChar"/>
        </w:rPr>
        <w:t xml:space="preserve">statistic = "F"</w:t>
      </w:r>
      <w:r>
        <w:t xml:space="preserve"> </w:t>
      </w:r>
      <w:r>
        <w:t xml:space="preserve">indica que la prueba se realizará utilizando la versión ajustada basada en la distribución</w:t>
      </w:r>
      <w:r>
        <w:t xml:space="preserve"> </w:t>
      </w:r>
      <m:oMath>
        <m:r>
          <m:t>F</m:t>
        </m:r>
      </m:oMath>
      <w:r>
        <w:t xml:space="preserve">. Si el valor-</w:t>
      </w:r>
      <w:r>
        <w:rPr>
          <w:i/>
          <w:iCs/>
        </w:rPr>
        <w:t xml:space="preserve">p</w:t>
      </w:r>
      <w:r>
        <w:t xml:space="preserve"> </w:t>
      </w:r>
      <w:r>
        <w:t xml:space="preserve">es superior al 5%, no se rechaza la hipótesis nula</w:t>
      </w:r>
      <w:r>
        <w:t xml:space="preserve"> </w:t>
      </w:r>
      <m:oMath>
        <m:sSub>
          <m:e>
            <m:r>
              <m:t>H</m:t>
            </m:r>
          </m:e>
          <m:sub>
            <m:r>
              <m:t>0</m:t>
            </m:r>
          </m:sub>
        </m:sSub>
      </m:oMath>
      <w:r>
        <w:t xml:space="preserve">, concluyendo que no existe evidencia estadística suficiente para afirmar que pobreza y sexo están asociadas. Por el contrario, si el valor-</w:t>
      </w:r>
      <w:r>
        <w:rPr>
          <w:i/>
          <w:iCs/>
        </w:rPr>
        <w:t xml:space="preserve">p</w:t>
      </w:r>
      <w:r>
        <w:t xml:space="preserve"> </w:t>
      </w:r>
      <w:r>
        <w:t xml:space="preserve">es inferior al 5%, se rechaza</w:t>
      </w:r>
      <w:r>
        <w:t xml:space="preserve"> </w:t>
      </w:r>
      <m:oMath>
        <m:sSub>
          <m:e>
            <m:r>
              <m:t>H</m:t>
            </m:r>
          </m:e>
          <m:sub>
            <m:r>
              <m:t>0</m:t>
            </m:r>
          </m:sub>
        </m:sSub>
      </m:oMath>
      <w:r>
        <w:t xml:space="preserve">, lo que sugiere la existencia de dependencia o asociación entre ambas variables categóricas. De manera similar, se pueden evaluar otras relaciones, como desempleo y sexo o pobreza y región.</w:t>
      </w:r>
    </w:p>
    <w:p>
      <w:pPr>
        <w:pStyle w:val="SourceCode"/>
      </w:pPr>
      <w:r>
        <w:rPr>
          <w:rStyle w:val="FunctionTok"/>
        </w:rPr>
        <w:t xml:space="preserve">svychisq</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Sex </w:t>
      </w:r>
      <w:r>
        <w:rPr>
          <w:rStyle w:val="SpecialCharTok"/>
        </w:rPr>
        <w:t xml:space="preserve">+</w:t>
      </w:r>
      <w:r>
        <w:rPr>
          <w:rStyle w:val="NormalTok"/>
        </w:rPr>
        <w:t xml:space="preserve"> Employment, </w:t>
      </w:r>
      <w:r>
        <w:rPr>
          <w:rStyle w:val="AttributeTok"/>
        </w:rPr>
        <w:t xml:space="preserve">design =</w:t>
      </w:r>
      <w:r>
        <w:rPr>
          <w:rStyle w:val="NormalTok"/>
        </w:rPr>
        <w:t xml:space="preserve"> survey_design, </w:t>
      </w:r>
      <w:r>
        <w:rPr>
          <w:rStyle w:val="AttributeTok"/>
        </w:rPr>
        <w:t xml:space="preserve">statistic =</w:t>
      </w:r>
      <w:r>
        <w:rPr>
          <w:rStyle w:val="NormalTok"/>
        </w:rPr>
        <w:t xml:space="preserve"> </w:t>
      </w:r>
      <w:r>
        <w:rPr>
          <w:rStyle w:val="StringTok"/>
        </w:rPr>
        <w:t xml:space="preserve">"F"</w:t>
      </w:r>
      <w:r>
        <w:rPr>
          <w:rStyle w:val="NormalTok"/>
        </w:rPr>
        <w:t xml:space="preserve">)</w:t>
      </w:r>
    </w:p>
    <w:p>
      <w:pPr>
        <w:pStyle w:val="SourceCode"/>
      </w:pPr>
      <w:r>
        <w:br/>
      </w:r>
      <w:r>
        <w:rPr>
          <w:rStyle w:val="VerbatimChar"/>
        </w:rPr>
        <w:t xml:space="preserve">    Pearson's X^2: Rao &amp; Scott adjustment</w:t>
      </w:r>
      <w:r>
        <w:br/>
      </w:r>
      <w:r>
        <w:br/>
      </w:r>
      <w:r>
        <w:rPr>
          <w:rStyle w:val="VerbatimChar"/>
        </w:rPr>
        <w:t xml:space="preserve">data:  NextMethod()</w:t>
      </w:r>
      <w:r>
        <w:br/>
      </w:r>
      <w:r>
        <w:rPr>
          <w:rStyle w:val="VerbatimChar"/>
        </w:rPr>
        <w:t xml:space="preserve">F = 62, ndf = 2, ddf = 201, p-value &lt;0.0000000000000002</w:t>
      </w:r>
    </w:p>
    <w:p>
      <w:pPr>
        <w:pStyle w:val="FirstParagraph"/>
      </w:pPr>
      <w:r>
        <w:t xml:space="preserve">En este primer caso, para el contraste de independencia entre las variables</w:t>
      </w:r>
      <w:r>
        <w:t xml:space="preserve"> </w:t>
      </w:r>
      <w:r>
        <w:rPr>
          <w:rStyle w:val="VerbatimChar"/>
        </w:rPr>
        <w:t xml:space="preserve">Sex</w:t>
      </w:r>
      <w:r>
        <w:t xml:space="preserve"> </w:t>
      </w:r>
      <w:r>
        <w:t xml:space="preserve">y</w:t>
      </w:r>
      <w:r>
        <w:t xml:space="preserve"> </w:t>
      </w:r>
      <w:r>
        <w:rPr>
          <w:rStyle w:val="VerbatimChar"/>
        </w:rPr>
        <w:t xml:space="preserve">Employment</w:t>
      </w:r>
      <w:r>
        <w:t xml:space="preserve">, el estadístico obtenido fue</w:t>
      </w:r>
      <w:r>
        <w:t xml:space="preserve"> </w:t>
      </w:r>
      <m:oMath>
        <m:r>
          <m:t>F</m:t>
        </m:r>
        <m:r>
          <m:rPr>
            <m:sty m:val="p"/>
          </m:rPr>
          <m:t>=</m:t>
        </m:r>
        <m:r>
          <m:t>62.251</m:t>
        </m:r>
      </m:oMath>
      <w:r>
        <w:t xml:space="preserve">, con un valor-</w:t>
      </w:r>
      <m:oMath>
        <m:r>
          <m:t>p</m:t>
        </m:r>
      </m:oMath>
      <w:r>
        <w:t xml:space="preserve"> </w:t>
      </w:r>
      <w:r>
        <w:t xml:space="preserve">menor que</w:t>
      </w:r>
      <w:r>
        <w:t xml:space="preserve"> </w:t>
      </w:r>
      <m:oMath>
        <m:r>
          <m:t>2.2</m:t>
        </m:r>
        <m:r>
          <m:rPr>
            <m:sty m:val="p"/>
          </m:rPr>
          <m:t>×</m:t>
        </m:r>
        <m:sSup>
          <m:e>
            <m:r>
              <m:t>10</m:t>
            </m:r>
          </m:e>
          <m:sup>
            <m:r>
              <m:rPr>
                <m:sty m:val="p"/>
              </m:rPr>
              <m:t>−</m:t>
            </m:r>
            <m:r>
              <m:t>16</m:t>
            </m:r>
          </m:sup>
        </m:sSup>
      </m:oMath>
      <w:r>
        <w:t xml:space="preserve">, lo que proporciona evidencia estadísticamente significativa para rechazar la hipótesis nula de independencia entre ambas variables. En consecuencia, los resultados sugieren que existe una asociación significativa entre el sexo y la condición de empleo en la población de estudio.</w:t>
      </w:r>
    </w:p>
    <w:p>
      <w:pPr>
        <w:pStyle w:val="SourceCode"/>
      </w:pPr>
      <w:r>
        <w:rPr>
          <w:rStyle w:val="FunctionTok"/>
        </w:rPr>
        <w:t xml:space="preserve">svychisq</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Region </w:t>
      </w:r>
      <w:r>
        <w:rPr>
          <w:rStyle w:val="SpecialCharTok"/>
        </w:rPr>
        <w:t xml:space="preserve">+</w:t>
      </w:r>
      <w:r>
        <w:rPr>
          <w:rStyle w:val="NormalTok"/>
        </w:rPr>
        <w:t xml:space="preserve"> poor, </w:t>
      </w:r>
      <w:r>
        <w:rPr>
          <w:rStyle w:val="AttributeTok"/>
        </w:rPr>
        <w:t xml:space="preserve">design =</w:t>
      </w:r>
      <w:r>
        <w:rPr>
          <w:rStyle w:val="NormalTok"/>
        </w:rPr>
        <w:t xml:space="preserve"> survey_design, </w:t>
      </w:r>
      <w:r>
        <w:rPr>
          <w:rStyle w:val="AttributeTok"/>
        </w:rPr>
        <w:t xml:space="preserve">statistic =</w:t>
      </w:r>
      <w:r>
        <w:rPr>
          <w:rStyle w:val="NormalTok"/>
        </w:rPr>
        <w:t xml:space="preserve"> </w:t>
      </w:r>
      <w:r>
        <w:rPr>
          <w:rStyle w:val="StringTok"/>
        </w:rPr>
        <w:t xml:space="preserve">"F"</w:t>
      </w:r>
      <w:r>
        <w:rPr>
          <w:rStyle w:val="NormalTok"/>
        </w:rPr>
        <w:t xml:space="preserve">)</w:t>
      </w:r>
    </w:p>
    <w:p>
      <w:pPr>
        <w:pStyle w:val="SourceCode"/>
      </w:pPr>
      <w:r>
        <w:br/>
      </w:r>
      <w:r>
        <w:rPr>
          <w:rStyle w:val="VerbatimChar"/>
        </w:rPr>
        <w:t xml:space="preserve">    Pearson's X^2: Rao &amp; Scott adjustment</w:t>
      </w:r>
      <w:r>
        <w:br/>
      </w:r>
      <w:r>
        <w:br/>
      </w:r>
      <w:r>
        <w:rPr>
          <w:rStyle w:val="VerbatimChar"/>
        </w:rPr>
        <w:t xml:space="preserve">data:  NextMethod()</w:t>
      </w:r>
      <w:r>
        <w:br/>
      </w:r>
      <w:r>
        <w:rPr>
          <w:rStyle w:val="VerbatimChar"/>
        </w:rPr>
        <w:t xml:space="preserve">F = 0.5, ndf = 3, ddf = 358, p-value = 0.7</w:t>
      </w:r>
    </w:p>
    <w:p>
      <w:pPr>
        <w:pStyle w:val="FirstParagraph"/>
      </w:pPr>
      <w:r>
        <w:t xml:space="preserve">Por otro lado, esta prueba de independencia entre las variables</w:t>
      </w:r>
      <w:r>
        <w:t xml:space="preserve"> </w:t>
      </w:r>
      <w:r>
        <w:rPr>
          <w:rStyle w:val="VerbatimChar"/>
        </w:rPr>
        <w:t xml:space="preserve">Region</w:t>
      </w:r>
      <w:r>
        <w:t xml:space="preserve"> </w:t>
      </w:r>
      <w:r>
        <w:t xml:space="preserve">y</w:t>
      </w:r>
      <w:r>
        <w:t xml:space="preserve"> </w:t>
      </w:r>
      <w:r>
        <w:rPr>
          <w:rStyle w:val="VerbatimChar"/>
        </w:rPr>
        <w:t xml:space="preserve">poor</w:t>
      </w:r>
      <w:r>
        <w:t xml:space="preserve">, da como resultado</w:t>
      </w:r>
      <w:r>
        <w:t xml:space="preserve"> </w:t>
      </w:r>
      <m:oMath>
        <m:r>
          <m:t>F</m:t>
        </m:r>
        <m:r>
          <m:rPr>
            <m:sty m:val="p"/>
          </m:rPr>
          <m:t>=</m:t>
        </m:r>
        <m:r>
          <m:t>0.48794</m:t>
        </m:r>
      </m:oMath>
      <w:r>
        <w:t xml:space="preserve">, con un valor-</w:t>
      </w:r>
      <m:oMath>
        <m:r>
          <m:t>p</m:t>
        </m:r>
        <m:r>
          <m:rPr>
            <m:sty m:val="p"/>
          </m:rPr>
          <m:t>=</m:t>
        </m:r>
        <m:r>
          <m:t>0.6914</m:t>
        </m:r>
      </m:oMath>
      <w:r>
        <w:t xml:space="preserve">. Dado que este valor-</w:t>
      </w:r>
      <m:oMath>
        <m:r>
          <m:t>p</m:t>
        </m:r>
      </m:oMath>
      <w:r>
        <w:t xml:space="preserve"> </w:t>
      </w:r>
      <w:r>
        <w:t xml:space="preserve">es considerablemente mayor que niveles de significancia convencionales, no existe evidencia suficiente para rechazar la hipótesis nula de independencia. Por tanto, los resultados sugieren que, bajo el diseño muestral considerado, no se observa una asociación estadísticamente significativa entre la región y la condición de pobreza.</w:t>
      </w:r>
    </w:p>
    <w:bookmarkEnd w:id="135"/>
    <w:bookmarkStart w:id="174" w:name="viz-categoricas"/>
    <w:p>
      <w:pPr>
        <w:pStyle w:val="Heading2"/>
      </w:pPr>
      <w:r>
        <w:t xml:space="preserve">4.7 Visualización de variables categóricas</w:t>
      </w:r>
    </w:p>
    <w:p>
      <w:pPr>
        <w:pStyle w:val="FirstParagraph"/>
      </w:pPr>
      <w:r>
        <w:t xml:space="preserve">De acuerdo con</w:t>
      </w:r>
      <w:r>
        <w:t xml:space="preserve"> </w:t>
      </w:r>
      <w:r>
        <w:t xml:space="preserve">Wickham (2016)</w:t>
      </w:r>
      <w:r>
        <w:t xml:space="preserve"> </w:t>
      </w:r>
      <w:r>
        <w:t xml:space="preserve">y</w:t>
      </w:r>
      <w:r>
        <w:t xml:space="preserve"> </w:t>
      </w:r>
      <w:r>
        <w:t xml:space="preserve">Heeringa et al. (2017)</w:t>
      </w:r>
      <w:r>
        <w:t xml:space="preserve">, la visualización de variables categóricas es fundamental en el análisis de encuestas de hogares, ya que permite comunicar de manera clara la distribución de grupos poblacionales y las comparaciones entre ellos. Al igual que en el análisis de variables continuas, los gráficos deben incorporar los pesos muestrales para que la representación visual corresponda a estimaciones válidas a nivel poblacional. Cuando la precisión estadística es relevante, es recomendable acompañar las barras con intervalos de confianza, que comunican tanto el valor central como la incertidumbre asociada al proceso de estimación.</w:t>
      </w:r>
    </w:p>
    <w:p>
      <w:pPr>
        <w:pStyle w:val="BodyText"/>
      </w:pPr>
      <w:r>
        <w:t xml:space="preserve">En esta sección se utiliza el paquete</w:t>
      </w:r>
      <w:r>
        <w:t xml:space="preserve"> </w:t>
      </w:r>
      <w:r>
        <w:rPr>
          <w:rStyle w:val="VerbatimChar"/>
        </w:rPr>
        <w:t xml:space="preserve">ggplot2</w:t>
      </w:r>
      <w:r>
        <w:t xml:space="preserve">.</w:t>
      </w:r>
    </w:p>
    <w:p>
      <w:pPr>
        <w:pStyle w:val="SourceCode"/>
      </w:pPr>
      <w:r>
        <w:rPr>
          <w:rStyle w:val="FunctionTok"/>
        </w:rPr>
        <w:t xml:space="preserve">library</w:t>
      </w:r>
      <w:r>
        <w:rPr>
          <w:rStyle w:val="NormalTok"/>
        </w:rPr>
        <w:t xml:space="preserve">(ggplot2)</w:t>
      </w:r>
    </w:p>
    <w:bookmarkStart w:id="156" w:name="graficos-de-barras"/>
    <w:p>
      <w:pPr>
        <w:pStyle w:val="Heading3"/>
      </w:pPr>
      <w:r>
        <w:t xml:space="preserve">4.7.1 Gráficos de barras</w:t>
      </w:r>
    </w:p>
    <w:p>
      <w:pPr>
        <w:pStyle w:val="FirstParagraph"/>
      </w:pPr>
      <w:r>
        <w:t xml:space="preserve">La construcción de gráficos de barras en</w:t>
      </w:r>
      <w:r>
        <w:t xml:space="preserve"> </w:t>
      </w:r>
      <w:r>
        <w:rPr>
          <w:rStyle w:val="VerbatimChar"/>
        </w:rPr>
        <w:t xml:space="preserve">R</w:t>
      </w:r>
      <w:r>
        <w:t xml:space="preserve"> </w:t>
      </w:r>
      <w:r>
        <w:t xml:space="preserve">requiere, como paso previo, obtener las estimaciones que se desean representar visualmente. En el contexto de encuestas complejas, estas estimaciones pueden calcularse mediante las funciones</w:t>
      </w:r>
      <w:r>
        <w:t xml:space="preserve"> </w:t>
      </w:r>
      <w:r>
        <w:rPr>
          <w:rStyle w:val="VerbatimChar"/>
        </w:rPr>
        <w:t xml:space="preserve">survey_total()</w:t>
      </w:r>
      <w:r>
        <w:t xml:space="preserve"> </w:t>
      </w:r>
      <w:r>
        <w:t xml:space="preserve">o</w:t>
      </w:r>
      <w:r>
        <w:t xml:space="preserve"> </w:t>
      </w:r>
      <w:r>
        <w:rPr>
          <w:rStyle w:val="VerbatimChar"/>
        </w:rPr>
        <w:t xml:space="preserve">survey_prop()</w:t>
      </w:r>
      <w:r>
        <w:t xml:space="preserve"> </w:t>
      </w:r>
      <w:r>
        <w:t xml:space="preserve">del paquete</w:t>
      </w:r>
      <w:r>
        <w:t xml:space="preserve"> </w:t>
      </w:r>
      <w:r>
        <w:rPr>
          <w:rStyle w:val="VerbatimChar"/>
        </w:rPr>
        <w:t xml:space="preserve">srvyr</w:t>
      </w:r>
      <w:r>
        <w:t xml:space="preserve">, dependiendo de si el interés se centra en totales poblacionales o proporciones.</w:t>
      </w:r>
    </w:p>
    <w:p>
      <w:pPr>
        <w:pStyle w:val="BodyText"/>
      </w:pPr>
      <w:r>
        <w:t xml:space="preserve">A continuación, se ilustra este procedimiento utilizando el tamaño poblacional estimado por zona de residencia. Los resultados gráficos correspondientes se presentan en la</w:t>
      </w:r>
      <w:r>
        <w:t xml:space="preserve"> </w:t>
      </w:r>
      <w:hyperlink w:anchor="fig-barras-zona">
        <w:r>
          <w:rPr>
            <w:rStyle w:val="Hyperlink"/>
          </w:rPr>
          <w:t xml:space="preserve">figura 4.1</w:t>
        </w:r>
      </w:hyperlink>
      <w:r>
        <w:t xml:space="preserve">:</w:t>
      </w:r>
    </w:p>
    <w:p>
      <w:pPr>
        <w:pStyle w:val="SourceCode"/>
      </w:pPr>
      <w:r>
        <w:rPr>
          <w:rStyle w:val="NormalTok"/>
        </w:rPr>
        <w:t xml:space="preserve">zone_size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size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zone_colors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Urban =</w:t>
      </w:r>
      <w:r>
        <w:rPr>
          <w:rStyle w:val="NormalTok"/>
        </w:rPr>
        <w:t xml:space="preserve"> </w:t>
      </w:r>
      <w:r>
        <w:rPr>
          <w:rStyle w:val="StringTok"/>
        </w:rPr>
        <w:t xml:space="preserve">"#48C9B0"</w:t>
      </w:r>
      <w:r>
        <w:rPr>
          <w:rStyle w:val="NormalTok"/>
        </w:rPr>
        <w:t xml:space="preserve">, </w:t>
      </w:r>
      <w:r>
        <w:rPr>
          <w:rStyle w:val="AttributeTok"/>
        </w:rPr>
        <w:t xml:space="preserve">Rural =</w:t>
      </w:r>
      <w:r>
        <w:rPr>
          <w:rStyle w:val="NormalTok"/>
        </w:rPr>
        <w:t xml:space="preserve"> </w:t>
      </w:r>
      <w:r>
        <w:rPr>
          <w:rStyle w:val="StringTok"/>
        </w:rPr>
        <w:t xml:space="preserve">"#117864"</w:t>
      </w:r>
      <w:r>
        <w:rPr>
          <w:rStyle w:val="NormalTok"/>
        </w:rPr>
        <w:t xml:space="preserve">)</w:t>
      </w:r>
      <w:r>
        <w:br/>
      </w:r>
      <w:r>
        <w:br/>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zone_size,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Zone, </w:t>
      </w:r>
      <w:r>
        <w:rPr>
          <w:rStyle w:val="AttributeTok"/>
        </w:rPr>
        <w:t xml:space="preserve">y =</w:t>
      </w:r>
      <w:r>
        <w:rPr>
          <w:rStyle w:val="NormalTok"/>
        </w:rPr>
        <w:t xml:space="preserve"> size,</w:t>
      </w:r>
      <w:r>
        <w:br/>
      </w:r>
      <w:r>
        <w:rPr>
          <w:rStyle w:val="NormalTok"/>
        </w:rPr>
        <w:t xml:space="preserve">    </w:t>
      </w:r>
      <w:r>
        <w:rPr>
          <w:rStyle w:val="AttributeTok"/>
        </w:rPr>
        <w:t xml:space="preserve">ymax =</w:t>
      </w:r>
      <w:r>
        <w:rPr>
          <w:rStyle w:val="NormalTok"/>
        </w:rPr>
        <w:t xml:space="preserve"> size_upp, </w:t>
      </w:r>
      <w:r>
        <w:rPr>
          <w:rStyle w:val="AttributeTok"/>
        </w:rPr>
        <w:t xml:space="preserve">ymin =</w:t>
      </w:r>
      <w:r>
        <w:rPr>
          <w:rStyle w:val="NormalTok"/>
        </w:rPr>
        <w:t xml:space="preserve"> size_low,</w:t>
      </w:r>
      <w:r>
        <w:br/>
      </w:r>
      <w:r>
        <w:rPr>
          <w:rStyle w:val="NormalTok"/>
        </w:rPr>
        <w:t xml:space="preserve">    </w:t>
      </w:r>
      <w:r>
        <w:rPr>
          <w:rStyle w:val="AttributeTok"/>
        </w:rPr>
        <w:t xml:space="preserve">fill =</w:t>
      </w:r>
      <w:r>
        <w:rPr>
          <w:rStyle w:val="NormalTok"/>
        </w:rPr>
        <w:t xml:space="preserve"> Zone</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zone_colors)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9" w:name="fig-barras-zona"/>
          <w:p>
            <w:pPr>
              <w:pStyle w:val="Compact"/>
              <w:jc w:val="center"/>
            </w:pPr>
            <w:r>
              <w:drawing>
                <wp:inline>
                  <wp:extent cx="3733800" cy="2489200"/>
                  <wp:effectExtent b="0" l="0" r="0" t="0"/>
                  <wp:docPr descr="" title="" id="137" name="Picture"/>
                  <a:graphic>
                    <a:graphicData uri="http://schemas.openxmlformats.org/drawingml/2006/picture">
                      <pic:pic>
                        <pic:nvPicPr>
                          <pic:cNvPr descr="chapters/../figures/fig-barras-zona-1.png" id="138" name="Picture"/>
                          <pic:cNvPicPr>
                            <a:picLocks noChangeArrowheads="1" noChangeAspect="1"/>
                          </pic:cNvPicPr>
                        </pic:nvPicPr>
                        <pic:blipFill>
                          <a:blip r:embed="rId136"/>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4.1: Gráfico de barras del tamaño poblacional por zona geográfica</w:t>
            </w:r>
          </w:p>
          <w:bookmarkEnd w:id="139"/>
        </w:tc>
      </w:tr>
    </w:tbl>
    <w:p>
      <w:pPr>
        <w:pStyle w:val="BodyText"/>
      </w:pPr>
      <w:r>
        <w:t xml:space="preserve">El procedimiento anterior también puede aplicarse a variables con más de dos categorías. En estos casos, el gráfico de barras permite comparar de manera sencilla las estimaciones asociadas a cada categoría de la variable de interés. Por ejemplo, a continuación se presenta la distribución estimada de la población según la condición de pobreza, cuyos resultados gráficos se muestran en la</w:t>
      </w:r>
      <w:r>
        <w:t xml:space="preserve"> </w:t>
      </w:r>
      <w:hyperlink w:anchor="fig-barras-pobreza">
        <w:r>
          <w:rPr>
            <w:rStyle w:val="Hyperlink"/>
          </w:rPr>
          <w:t xml:space="preserve">figura 4.2</w:t>
        </w:r>
      </w:hyperlink>
      <w:r>
        <w:t xml:space="preserve">.</w:t>
      </w:r>
    </w:p>
    <w:p>
      <w:pPr>
        <w:pStyle w:val="SourceCode"/>
      </w:pPr>
      <w:r>
        <w:rPr>
          <w:rStyle w:val="NormalTok"/>
        </w:rPr>
        <w:t xml:space="preserve">poverty_size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size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poverty_size,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Poverty, </w:t>
      </w:r>
      <w:r>
        <w:rPr>
          <w:rStyle w:val="AttributeTok"/>
        </w:rPr>
        <w:t xml:space="preserve">y =</w:t>
      </w:r>
      <w:r>
        <w:rPr>
          <w:rStyle w:val="NormalTok"/>
        </w:rPr>
        <w:t xml:space="preserve"> size,</w:t>
      </w:r>
      <w:r>
        <w:br/>
      </w:r>
      <w:r>
        <w:rPr>
          <w:rStyle w:val="NormalTok"/>
        </w:rPr>
        <w:t xml:space="preserve">    </w:t>
      </w:r>
      <w:r>
        <w:rPr>
          <w:rStyle w:val="AttributeTok"/>
        </w:rPr>
        <w:t xml:space="preserve">ymax =</w:t>
      </w:r>
      <w:r>
        <w:rPr>
          <w:rStyle w:val="NormalTok"/>
        </w:rPr>
        <w:t xml:space="preserve"> size_upp, </w:t>
      </w:r>
      <w:r>
        <w:rPr>
          <w:rStyle w:val="AttributeTok"/>
        </w:rPr>
        <w:t xml:space="preserve">ymin =</w:t>
      </w:r>
      <w:r>
        <w:rPr>
          <w:rStyle w:val="NormalTok"/>
        </w:rPr>
        <w:t xml:space="preserve"> size_low,</w:t>
      </w:r>
      <w:r>
        <w:br/>
      </w:r>
      <w:r>
        <w:rPr>
          <w:rStyle w:val="NormalTok"/>
        </w:rPr>
        <w:t xml:space="preserve">    </w:t>
      </w:r>
      <w:r>
        <w:rPr>
          <w:rStyle w:val="AttributeTok"/>
        </w:rPr>
        <w:t xml:space="preserve">fill =</w:t>
      </w:r>
      <w:r>
        <w:rPr>
          <w:rStyle w:val="NormalTok"/>
        </w:rPr>
        <w:t xml:space="preserve"> Poverty</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3" w:name="fig-barras-pobreza"/>
          <w:p>
            <w:pPr>
              <w:pStyle w:val="Compact"/>
              <w:jc w:val="center"/>
            </w:pPr>
            <w:r>
              <w:drawing>
                <wp:inline>
                  <wp:extent cx="3733800" cy="2489200"/>
                  <wp:effectExtent b="0" l="0" r="0" t="0"/>
                  <wp:docPr descr="" title="" id="141" name="Picture"/>
                  <a:graphic>
                    <a:graphicData uri="http://schemas.openxmlformats.org/drawingml/2006/picture">
                      <pic:pic>
                        <pic:nvPicPr>
                          <pic:cNvPr descr="chapters/../figures/fig-barras-pobreza-1.png" id="142" name="Picture"/>
                          <pic:cNvPicPr>
                            <a:picLocks noChangeArrowheads="1" noChangeAspect="1"/>
                          </pic:cNvPicPr>
                        </pic:nvPicPr>
                        <pic:blipFill>
                          <a:blip r:embed="rId140"/>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4.2: Gráfico de barras del tamaño poblacional por condición de pobreza</w:t>
            </w:r>
          </w:p>
          <w:bookmarkEnd w:id="143"/>
        </w:tc>
      </w:tr>
    </w:tbl>
    <w:p>
      <w:pPr>
        <w:pStyle w:val="BodyText"/>
      </w:pPr>
      <w:r>
        <w:t xml:space="preserve">Una de las ventajas de los gráficos de barras es que pueden extenderse fácilmente a comparaciones entre dos variables categóricas. Por ejemplo, se puede analizar el tamaño poblacional por nivel de pobreza cruzado con el estado de ocupación, presentada en la</w:t>
      </w:r>
      <w:r>
        <w:t xml:space="preserve"> </w:t>
      </w:r>
      <w:hyperlink w:anchor="fig-barras-empleo-pobreza">
        <w:r>
          <w:rPr>
            <w:rStyle w:val="Hyperlink"/>
          </w:rPr>
          <w:t xml:space="preserve">figura 4.3</w:t>
        </w:r>
      </w:hyperlink>
      <w:r>
        <w:t xml:space="preserve">:</w:t>
      </w:r>
    </w:p>
    <w:p>
      <w:pPr>
        <w:pStyle w:val="SourceCode"/>
      </w:pPr>
      <w:r>
        <w:rPr>
          <w:rStyle w:val="NormalTok"/>
        </w:rPr>
        <w:t xml:space="preserve">employment_poverty_size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(unemployed, 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size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unemployed =</w:t>
      </w:r>
      <w:r>
        <w:rPr>
          <w:rStyle w:val="NormalTok"/>
        </w:rPr>
        <w:t xml:space="preserve"> </w:t>
      </w:r>
      <w:r>
        <w:rPr>
          <w:rStyle w:val="FunctionTok"/>
        </w:rPr>
        <w:t xml:space="preserve">case_when</w:t>
      </w:r>
      <w:r>
        <w:rPr>
          <w:rStyle w:val="NormalTok"/>
        </w:rPr>
        <w:t xml:space="preserve">(</w:t>
      </w:r>
      <w:r>
        <w:br/>
      </w:r>
      <w:r>
        <w:rPr>
          <w:rStyle w:val="NormalTok"/>
        </w:rPr>
        <w:t xml:space="preserve">      unemployed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"Occupied"</w:t>
      </w:r>
      <w:r>
        <w:rPr>
          <w:rStyle w:val="NormalTok"/>
        </w:rPr>
        <w:t xml:space="preserve">,</w:t>
      </w:r>
      <w:r>
        <w:br/>
      </w:r>
      <w:r>
        <w:rPr>
          <w:rStyle w:val="NormalTok"/>
        </w:rPr>
        <w:t xml:space="preserve">      unemployed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"Unemployed"</w:t>
      </w:r>
      <w:r>
        <w:rPr>
          <w:rStyle w:val="NormalTok"/>
        </w:rPr>
        <w:t xml:space="preserve">,</w:t>
      </w:r>
      <w:r>
        <w:br/>
      </w:r>
      <w:r>
        <w:rPr>
          <w:rStyle w:val="NormalTok"/>
        </w:rPr>
        <w:t xml:space="preserve">      </w:t>
      </w:r>
      <w:r>
        <w:rPr>
          <w:rStyle w:val="FunctionTok"/>
        </w:rPr>
        <w:t xml:space="preserve">is.na</w:t>
      </w:r>
      <w:r>
        <w:rPr>
          <w:rStyle w:val="NormalTok"/>
        </w:rPr>
        <w:t xml:space="preserve">(unemployed) </w:t>
      </w:r>
      <w:r>
        <w:rPr>
          <w:rStyle w:val="SpecialCharTok"/>
        </w:rPr>
        <w:t xml:space="preserve">~</w:t>
      </w:r>
      <w:r>
        <w:rPr>
          <w:rStyle w:val="NormalTok"/>
        </w:rPr>
        <w:t xml:space="preserve"> </w:t>
      </w:r>
      <w:r>
        <w:rPr>
          <w:rStyle w:val="StringTok"/>
        </w:rPr>
        <w:t xml:space="preserve">"Not in the Labour Force"</w:t>
      </w:r>
      <w:r>
        <w:br/>
      </w:r>
      <w:r>
        <w:rPr>
          <w:rStyle w:val="NormalTok"/>
        </w:rPr>
        <w:t xml:space="preserve">    )</w:t>
      </w:r>
      <w:r>
        <w:br/>
      </w:r>
      <w:r>
        <w:rPr>
          <w:rStyle w:val="NormalTok"/>
        </w:rPr>
        <w:t xml:space="preserve">  )</w:t>
      </w:r>
      <w:r>
        <w:br/>
      </w:r>
      <w:r>
        <w:br/>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employment_poverty_size,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Poverty, </w:t>
      </w:r>
      <w:r>
        <w:rPr>
          <w:rStyle w:val="AttributeTok"/>
        </w:rPr>
        <w:t xml:space="preserve">y =</w:t>
      </w:r>
      <w:r>
        <w:rPr>
          <w:rStyle w:val="NormalTok"/>
        </w:rPr>
        <w:t xml:space="preserve"> size,</w:t>
      </w:r>
      <w:r>
        <w:br/>
      </w:r>
      <w:r>
        <w:rPr>
          <w:rStyle w:val="NormalTok"/>
        </w:rPr>
        <w:t xml:space="preserve">    </w:t>
      </w:r>
      <w:r>
        <w:rPr>
          <w:rStyle w:val="AttributeTok"/>
        </w:rPr>
        <w:t xml:space="preserve">ymax =</w:t>
      </w:r>
      <w:r>
        <w:rPr>
          <w:rStyle w:val="NormalTok"/>
        </w:rPr>
        <w:t xml:space="preserve"> size_upp, </w:t>
      </w:r>
      <w:r>
        <w:rPr>
          <w:rStyle w:val="AttributeTok"/>
        </w:rPr>
        <w:t xml:space="preserve">ymin =</w:t>
      </w:r>
      <w:r>
        <w:rPr>
          <w:rStyle w:val="NormalTok"/>
        </w:rPr>
        <w:t xml:space="preserve"> size_low,</w:t>
      </w:r>
      <w:r>
        <w:br/>
      </w:r>
      <w:r>
        <w:rPr>
          <w:rStyle w:val="NormalTok"/>
        </w:rPr>
        <w:t xml:space="preserve">    </w:t>
      </w:r>
      <w:r>
        <w:rPr>
          <w:rStyle w:val="AttributeTok"/>
        </w:rPr>
        <w:t xml:space="preserve">fill =</w:t>
      </w:r>
      <w:r>
        <w:rPr>
          <w:rStyle w:val="NormalTok"/>
        </w:rPr>
        <w:t xml:space="preserve"> </w:t>
      </w:r>
      <w:r>
        <w:rPr>
          <w:rStyle w:val="FunctionTok"/>
        </w:rPr>
        <w:t xml:space="preserve">as.factor</w:t>
      </w:r>
      <w:r>
        <w:rPr>
          <w:rStyle w:val="NormalTok"/>
        </w:rPr>
        <w:t xml:space="preserve">(unemployed)</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47" w:name="fig-barras-empleo-pobreza"/>
          <w:p>
            <w:pPr>
              <w:pStyle w:val="Compact"/>
              <w:jc w:val="center"/>
            </w:pPr>
            <w:r>
              <w:drawing>
                <wp:inline>
                  <wp:extent cx="4267200" cy="2844800"/>
                  <wp:effectExtent b="0" l="0" r="0" t="0"/>
                  <wp:docPr descr="" title="" id="145" name="Picture"/>
                  <a:graphic>
                    <a:graphicData uri="http://schemas.openxmlformats.org/drawingml/2006/picture">
                      <pic:pic>
                        <pic:nvPicPr>
                          <pic:cNvPr descr="chapters/../figures/fig-barras-empleo-pobreza-1.png" id="146" name="Picture"/>
                          <pic:cNvPicPr>
                            <a:picLocks noChangeArrowheads="1" noChangeAspect="1"/>
                          </pic:cNvPicPr>
                        </pic:nvPicPr>
                        <pic:blipFill>
                          <a:blip r:embed="rId144"/>
                          <a:stretch>
                            <a:fillRect/>
                          </a:stretch>
                        </pic:blipFill>
                        <pic:spPr bwMode="auto">
                          <a:xfrm>
                            <a:off x="0" y="0"/>
                            <a:ext cx="4267200" cy="28448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4.3: Gráfico de barras del tamaño poblacional por estado de ocupación y pobreza</w:t>
            </w:r>
          </w:p>
          <w:bookmarkEnd w:id="147"/>
        </w:tc>
      </w:tr>
    </w:tbl>
    <w:p>
      <w:pPr>
        <w:pStyle w:val="BodyText"/>
      </w:pPr>
      <w:r>
        <w:t xml:space="preserve">Este tipo de análisis gráfico resulta especialmente útil para identificar intersecciones de vulnerabilidad, al mostrar de manera simultánea dos o más características poblacionales. También es posible presentar proporciones en lugar de conteos. Por ejemplo, la proporción de hombres en condición de pobreza por zona, presentada en la</w:t>
      </w:r>
      <w:r>
        <w:t xml:space="preserve"> </w:t>
      </w:r>
      <w:hyperlink w:anchor="fig-barras-prop-zona-hombre">
        <w:r>
          <w:rPr>
            <w:rStyle w:val="Hyperlink"/>
          </w:rPr>
          <w:t xml:space="preserve">figura 4.4</w:t>
        </w:r>
      </w:hyperlink>
      <w:r>
        <w:t xml:space="preserve">:</w:t>
      </w:r>
    </w:p>
    <w:p>
      <w:pPr>
        <w:pStyle w:val="SourceCode"/>
      </w:pPr>
      <w:r>
        <w:rPr>
          <w:rStyle w:val="NormalTok"/>
        </w:rPr>
        <w:t xml:space="preserve">male_zone_poverty_proportion </w:t>
      </w:r>
      <w:r>
        <w:rPr>
          <w:rStyle w:val="OtherTok"/>
        </w:rPr>
        <w:t xml:space="preserve">&lt;-</w:t>
      </w:r>
      <w:r>
        <w:rPr>
          <w:rStyle w:val="NormalTok"/>
        </w:rPr>
        <w:t xml:space="preserve"> male_subset </w:t>
      </w:r>
      <w:r>
        <w:rPr>
          <w:rStyle w:val="SpecialCharTok"/>
        </w:rPr>
        <w:t xml:space="preserve">%&gt;%</w:t>
      </w:r>
      <w:r>
        <w:br/>
      </w:r>
      <w:r>
        <w:rPr>
          <w:rStyle w:val="NormalTok"/>
        </w:rPr>
        <w:t xml:space="preserve">  </w:t>
      </w:r>
      <w:r>
        <w:rPr>
          <w:rStyle w:val="FunctionTok"/>
        </w:rPr>
        <w:t xml:space="preserve">group_by</w:t>
      </w:r>
      <w:r>
        <w:rPr>
          <w:rStyle w:val="NormalTok"/>
        </w:rPr>
        <w:t xml:space="preserve">(Zone, 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male_zone_poverty_proportion,</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Poverty, </w:t>
      </w:r>
      <w:r>
        <w:rPr>
          <w:rStyle w:val="AttributeTok"/>
        </w:rPr>
        <w:t xml:space="preserve">y =</w:t>
      </w:r>
      <w:r>
        <w:rPr>
          <w:rStyle w:val="NormalTok"/>
        </w:rPr>
        <w:t xml:space="preserve"> proportion,</w:t>
      </w:r>
      <w:r>
        <w:br/>
      </w:r>
      <w:r>
        <w:rPr>
          <w:rStyle w:val="NormalTok"/>
        </w:rPr>
        <w:t xml:space="preserve">    </w:t>
      </w:r>
      <w:r>
        <w:rPr>
          <w:rStyle w:val="AttributeTok"/>
        </w:rPr>
        <w:t xml:space="preserve">ymax =</w:t>
      </w:r>
      <w:r>
        <w:rPr>
          <w:rStyle w:val="NormalTok"/>
        </w:rPr>
        <w:t xml:space="preserve"> proportion_upp, </w:t>
      </w:r>
      <w:r>
        <w:rPr>
          <w:rStyle w:val="AttributeTok"/>
        </w:rPr>
        <w:t xml:space="preserve">ymin =</w:t>
      </w:r>
      <w:r>
        <w:rPr>
          <w:rStyle w:val="NormalTok"/>
        </w:rPr>
        <w:t xml:space="preserve"> proportion_low,</w:t>
      </w:r>
      <w:r>
        <w:br/>
      </w:r>
      <w:r>
        <w:rPr>
          <w:rStyle w:val="NormalTok"/>
        </w:rPr>
        <w:t xml:space="preserve">    </w:t>
      </w:r>
      <w:r>
        <w:rPr>
          <w:rStyle w:val="AttributeTok"/>
        </w:rPr>
        <w:t xml:space="preserve">fill =</w:t>
      </w:r>
      <w:r>
        <w:rPr>
          <w:rStyle w:val="NormalTok"/>
        </w:rPr>
        <w:t xml:space="preserve"> Zone</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zone_colors)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fig-barras-prop-zona-hombre"/>
          <w:p>
            <w:pPr>
              <w:pStyle w:val="Compact"/>
              <w:jc w:val="center"/>
            </w:pPr>
            <w:r>
              <w:drawing>
                <wp:inline>
                  <wp:extent cx="3733800" cy="2489200"/>
                  <wp:effectExtent b="0" l="0" r="0" t="0"/>
                  <wp:docPr descr="" title="" id="149" name="Picture"/>
                  <a:graphic>
                    <a:graphicData uri="http://schemas.openxmlformats.org/drawingml/2006/picture">
                      <pic:pic>
                        <pic:nvPicPr>
                          <pic:cNvPr descr="chapters/../figures/fig-barras-prop-zona-hombre-1.png" id="150" name="Picture"/>
                          <pic:cNvPicPr>
                            <a:picLocks noChangeArrowheads="1" noChangeAspect="1"/>
                          </pic:cNvPicPr>
                        </pic:nvPicPr>
                        <pic:blipFill>
                          <a:blip r:embed="rId148"/>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4.4: Proporción de hombres en condición de pobreza por zona geográfica</w:t>
            </w:r>
          </w:p>
          <w:bookmarkEnd w:id="151"/>
        </w:tc>
      </w:tr>
    </w:tbl>
    <w:p>
      <w:pPr>
        <w:pStyle w:val="BodyText"/>
      </w:pPr>
      <w:r>
        <w:t xml:space="preserve">De forma análoga, se puede graficar la proporción de hombres en condición de pobreza desagregada por región, presentada en la</w:t>
      </w:r>
      <w:r>
        <w:t xml:space="preserve"> </w:t>
      </w:r>
      <w:hyperlink w:anchor="fig-barras-prop-region-hombre">
        <w:r>
          <w:rPr>
            <w:rStyle w:val="Hyperlink"/>
          </w:rPr>
          <w:t xml:space="preserve">figura 4.5</w:t>
        </w:r>
      </w:hyperlink>
      <w:r>
        <w:t xml:space="preserve">:</w:t>
      </w:r>
    </w:p>
    <w:p>
      <w:pPr>
        <w:pStyle w:val="SourceCode"/>
      </w:pPr>
      <w:r>
        <w:rPr>
          <w:rStyle w:val="NormalTok"/>
        </w:rPr>
        <w:t xml:space="preserve">male_region_poverty_proportion </w:t>
      </w:r>
      <w:r>
        <w:rPr>
          <w:rStyle w:val="OtherTok"/>
        </w:rPr>
        <w:t xml:space="preserve">&lt;-</w:t>
      </w:r>
      <w:r>
        <w:rPr>
          <w:rStyle w:val="NormalTok"/>
        </w:rPr>
        <w:t xml:space="preserve"> male_subset </w:t>
      </w:r>
      <w:r>
        <w:rPr>
          <w:rStyle w:val="SpecialCharTok"/>
        </w:rPr>
        <w:t xml:space="preserve">%&gt;%</w:t>
      </w:r>
      <w:r>
        <w:br/>
      </w:r>
      <w:r>
        <w:rPr>
          <w:rStyle w:val="NormalTok"/>
        </w:rPr>
        <w:t xml:space="preserve">  </w:t>
      </w:r>
      <w:r>
        <w:rPr>
          <w:rStyle w:val="FunctionTok"/>
        </w:rPr>
        <w:t xml:space="preserve">group_by</w:t>
      </w:r>
      <w:r>
        <w:rPr>
          <w:rStyle w:val="NormalTok"/>
        </w:rPr>
        <w:t xml:space="preserve">(Region, poor)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data.frame</w:t>
      </w:r>
      <w:r>
        <w:rPr>
          <w:rStyle w:val="NormalTok"/>
        </w:rPr>
        <w:t xml:space="preserve">()</w:t>
      </w:r>
      <w:r>
        <w:br/>
      </w:r>
      <w:r>
        <w:br/>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male_region_poverty_proportion,</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Region, </w:t>
      </w:r>
      <w:r>
        <w:rPr>
          <w:rStyle w:val="AttributeTok"/>
        </w:rPr>
        <w:t xml:space="preserve">y =</w:t>
      </w:r>
      <w:r>
        <w:rPr>
          <w:rStyle w:val="NormalTok"/>
        </w:rPr>
        <w:t xml:space="preserve"> proportion,</w:t>
      </w:r>
      <w:r>
        <w:br/>
      </w:r>
      <w:r>
        <w:rPr>
          <w:rStyle w:val="NormalTok"/>
        </w:rPr>
        <w:t xml:space="preserve">    </w:t>
      </w:r>
      <w:r>
        <w:rPr>
          <w:rStyle w:val="AttributeTok"/>
        </w:rPr>
        <w:t xml:space="preserve">ymax =</w:t>
      </w:r>
      <w:r>
        <w:rPr>
          <w:rStyle w:val="NormalTok"/>
        </w:rPr>
        <w:t xml:space="preserve"> proportion_upp, </w:t>
      </w:r>
      <w:r>
        <w:rPr>
          <w:rStyle w:val="AttributeTok"/>
        </w:rPr>
        <w:t xml:space="preserve">ymin =</w:t>
      </w:r>
      <w:r>
        <w:rPr>
          <w:rStyle w:val="NormalTok"/>
        </w:rPr>
        <w:t xml:space="preserve"> proportion_low,</w:t>
      </w:r>
      <w:r>
        <w:br/>
      </w:r>
      <w:r>
        <w:rPr>
          <w:rStyle w:val="NormalTok"/>
        </w:rPr>
        <w:t xml:space="preserve">    </w:t>
      </w:r>
      <w:r>
        <w:rPr>
          <w:rStyle w:val="AttributeTok"/>
        </w:rPr>
        <w:t xml:space="preserve">fill =</w:t>
      </w:r>
      <w:r>
        <w:rPr>
          <w:rStyle w:val="NormalTok"/>
        </w:rPr>
        <w:t xml:space="preserve"> </w:t>
      </w:r>
      <w:r>
        <w:rPr>
          <w:rStyle w:val="FunctionTok"/>
        </w:rPr>
        <w:t xml:space="preserve">as.factor</w:t>
      </w:r>
      <w:r>
        <w:rPr>
          <w:rStyle w:val="NormalTok"/>
        </w:rPr>
        <w:t xml:space="preserve">(poor)</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fig-barras-prop-region-hombre"/>
          <w:p>
            <w:pPr>
              <w:pStyle w:val="Compact"/>
              <w:jc w:val="center"/>
            </w:pPr>
            <w:r>
              <w:drawing>
                <wp:inline>
                  <wp:extent cx="4000500" cy="2667000"/>
                  <wp:effectExtent b="0" l="0" r="0" t="0"/>
                  <wp:docPr descr="" title="" id="153" name="Picture"/>
                  <a:graphic>
                    <a:graphicData uri="http://schemas.openxmlformats.org/drawingml/2006/picture">
                      <pic:pic>
                        <pic:nvPicPr>
                          <pic:cNvPr descr="chapters/../figures/fig-barras-prop-region-hombre-1.png" id="154" name="Picture"/>
                          <pic:cNvPicPr>
                            <a:picLocks noChangeArrowheads="1" noChangeAspect="1"/>
                          </pic:cNvPicPr>
                        </pic:nvPicPr>
                        <pic:blipFill>
                          <a:blip r:embed="rId152"/>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4.5: Proporción de hombres en condición de pobreza por región</w:t>
            </w:r>
          </w:p>
          <w:bookmarkEnd w:id="155"/>
        </w:tc>
      </w:tr>
    </w:tbl>
    <w:p>
      <w:pPr>
        <w:pStyle w:val="BodyText"/>
      </w:pPr>
      <w:r>
        <w:t xml:space="preserve">En síntesis, los gráficos de barras junto con sus correspondientes errores estándar o intervalos de confianza permiten una descripción clara de los patrones de pobreza, empleo u otras variables categóricas en la población y, cuando se aplican correctamente, constituyen una herramienta poderosa para comunicar hallazgos de encuestas de hogares manteniendo el rigor estadístico en la representación de los resultados.</w:t>
      </w:r>
    </w:p>
    <w:bookmarkEnd w:id="156"/>
    <w:bookmarkStart w:id="173" w:name="viz-mapas"/>
    <w:p>
      <w:pPr>
        <w:pStyle w:val="Heading3"/>
      </w:pPr>
      <w:r>
        <w:t xml:space="preserve">4.7.2 Mapas</w:t>
      </w:r>
    </w:p>
    <w:p>
      <w:pPr>
        <w:pStyle w:val="FirstParagraph"/>
      </w:pPr>
      <w:r>
        <w:t xml:space="preserve">Como explica</w:t>
      </w:r>
      <w:r>
        <w:t xml:space="preserve"> </w:t>
      </w:r>
      <w:r>
        <w:t xml:space="preserve">Tennekes (2018)</w:t>
      </w:r>
      <w:r>
        <w:t xml:space="preserve">, los mapas temáticos constituyen una herramienta de visualización especialmente útil en el análisis de encuestas de hogares, ya que permiten representar la distribución territorial de indicadores sociales y demográficos. En este contexto, las estimaciones de proporciones calculadas en secciones anteriores —como el porcentaje de pobreza o desempleo por región— pueden proyectarse directamente sobre unidades geográficas, facilitando así la identificación de patrones espaciales y desigualdades regionales.</w:t>
      </w:r>
    </w:p>
    <w:p>
      <w:pPr>
        <w:pStyle w:val="BodyText"/>
      </w:pPr>
      <w:r>
        <w:t xml:space="preserve">De acuerdo con</w:t>
      </w:r>
      <w:r>
        <w:t xml:space="preserve"> </w:t>
      </w:r>
      <w:r>
        <w:t xml:space="preserve">Pebesma et al. (2026)</w:t>
      </w:r>
      <w:r>
        <w:t xml:space="preserve">,</w:t>
      </w:r>
      <w:r>
        <w:t xml:space="preserve"> </w:t>
      </w:r>
      <w:r>
        <w:t xml:space="preserve">Tennekes (2026)</w:t>
      </w:r>
      <w:r>
        <w:t xml:space="preserve"> </w:t>
      </w:r>
      <w:r>
        <w:t xml:space="preserve">y</w:t>
      </w:r>
      <w:r>
        <w:t xml:space="preserve"> </w:t>
      </w:r>
      <w:r>
        <w:t xml:space="preserve">Pebesma (2018)</w:t>
      </w:r>
      <w:r>
        <w:t xml:space="preserve">, para construir este tipo de mapas en</w:t>
      </w:r>
      <w:r>
        <w:t xml:space="preserve"> </w:t>
      </w:r>
      <w:r>
        <w:rPr>
          <w:rStyle w:val="VerbatimChar"/>
        </w:rPr>
        <w:t xml:space="preserve">R</w:t>
      </w:r>
      <w:r>
        <w:t xml:space="preserve"> </w:t>
      </w:r>
      <w:r>
        <w:t xml:space="preserve">se requiere información geoespacial en formato</w:t>
      </w:r>
      <w:r>
        <w:t xml:space="preserve"> </w:t>
      </w:r>
      <w:r>
        <w:rPr>
          <w:i/>
          <w:iCs/>
        </w:rPr>
        <w:t xml:space="preserve">shapefile</w:t>
      </w:r>
      <w:r>
        <w:t xml:space="preserve">, la cual contiene los polígonos asociados a cada unidad geográfica de análisis. En este capítulo se utiliza el archivo</w:t>
      </w:r>
      <w:r>
        <w:t xml:space="preserve"> </w:t>
      </w:r>
      <w:r>
        <w:rPr>
          <w:rStyle w:val="VerbatimChar"/>
        </w:rPr>
        <w:t xml:space="preserve">shapeBigCity/BigCity.shp</w:t>
      </w:r>
      <w:r>
        <w:t xml:space="preserve">, cuyas regiones corresponden a las definidas en la base de datos</w:t>
      </w:r>
      <w:r>
        <w:t xml:space="preserve"> </w:t>
      </w:r>
      <w:r>
        <w:rPr>
          <w:rStyle w:val="VerbatimChar"/>
        </w:rPr>
        <w:t xml:space="preserve">BigCity</w:t>
      </w:r>
      <w:r>
        <w:t xml:space="preserve">. Los paquetes</w:t>
      </w:r>
      <w:r>
        <w:t xml:space="preserve"> </w:t>
      </w:r>
      <w:r>
        <w:rPr>
          <w:rStyle w:val="VerbatimChar"/>
        </w:rPr>
        <w:t xml:space="preserve">sf</w:t>
      </w:r>
      <w:r>
        <w:t xml:space="preserve"> </w:t>
      </w:r>
      <w:r>
        <w:t xml:space="preserve">y</w:t>
      </w:r>
      <w:r>
        <w:t xml:space="preserve"> </w:t>
      </w:r>
      <w:r>
        <w:rPr>
          <w:rStyle w:val="VerbatimChar"/>
        </w:rPr>
        <w:t xml:space="preserve">tmap</w:t>
      </w:r>
      <w:r>
        <w:t xml:space="preserve"> </w:t>
      </w:r>
      <w:r>
        <w:t xml:space="preserve">permiten cargar, manipular y visualizar esta información geográfica de manera integrada con los resultados obtenidos a partir de la encuesta.</w:t>
      </w:r>
    </w:p>
    <w:p>
      <w:pPr>
        <w:pStyle w:val="BodyText"/>
      </w:pPr>
      <w:r>
        <w:t xml:space="preserve">El siguiente código carga los paquetes necesarios para trabajar con información geoespacial y visualización cartográfica en</w:t>
      </w:r>
      <w:r>
        <w:t xml:space="preserve"> </w:t>
      </w:r>
      <w:r>
        <w:rPr>
          <w:rStyle w:val="VerbatimChar"/>
        </w:rPr>
        <w:t xml:space="preserve">R</w:t>
      </w:r>
      <w:r>
        <w:t xml:space="preserve">. La librería</w:t>
      </w:r>
      <w:r>
        <w:t xml:space="preserve"> </w:t>
      </w:r>
      <w:r>
        <w:rPr>
          <w:rStyle w:val="VerbatimChar"/>
        </w:rPr>
        <w:t xml:space="preserve">sf</w:t>
      </w:r>
      <w:r>
        <w:t xml:space="preserve"> </w:t>
      </w:r>
      <w:r>
        <w:t xml:space="preserve">permite leer y manipular objetos espaciales modernos, mientras que</w:t>
      </w:r>
      <w:r>
        <w:t xml:space="preserve"> </w:t>
      </w:r>
      <w:r>
        <w:rPr>
          <w:rStyle w:val="VerbatimChar"/>
        </w:rPr>
        <w:t xml:space="preserve">tmap</w:t>
      </w:r>
      <w:r>
        <w:t xml:space="preserve"> </w:t>
      </w:r>
      <w:r>
        <w:t xml:space="preserve">proporciona herramientas para elaborar mapas temáticos. La instrucción</w:t>
      </w:r>
      <w:r>
        <w:t xml:space="preserve"> </w:t>
      </w:r>
      <w:r>
        <w:rPr>
          <w:rStyle w:val="VerbatimChar"/>
        </w:rPr>
        <w:t xml:space="preserve">tmap_mode("plot")</w:t>
      </w:r>
      <w:r>
        <w:t xml:space="preserve"> </w:t>
      </w:r>
      <w:r>
        <w:t xml:space="preserve">establece el modo de visualización estática de los mapas, apropiado para documentos y reportes. Finalmente, la función</w:t>
      </w:r>
      <w:r>
        <w:t xml:space="preserve"> </w:t>
      </w:r>
      <w:r>
        <w:rPr>
          <w:rStyle w:val="VerbatimChar"/>
        </w:rPr>
        <w:t xml:space="preserve">read_sf()</w:t>
      </w:r>
      <w:r>
        <w:t xml:space="preserve"> </w:t>
      </w:r>
      <w:r>
        <w:t xml:space="preserve">importa el archivo geográfico</w:t>
      </w:r>
      <w:r>
        <w:t xml:space="preserve"> </w:t>
      </w:r>
      <w:r>
        <w:rPr>
          <w:rStyle w:val="VerbatimChar"/>
        </w:rPr>
        <w:t xml:space="preserve">BigCity.shp</w:t>
      </w:r>
      <w:r>
        <w:t xml:space="preserve">, almacenándolo en el objeto</w:t>
      </w:r>
      <w:r>
        <w:t xml:space="preserve"> </w:t>
      </w:r>
      <w:r>
        <w:rPr>
          <w:rStyle w:val="VerbatimChar"/>
        </w:rPr>
        <w:t xml:space="preserve">bigcity_shape</w:t>
      </w:r>
      <w:r>
        <w:t xml:space="preserve">, el cual contiene los polígonos correspondientes a las regiones de análisis.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tmap_mode</w:t>
      </w:r>
      <w:r>
        <w:rPr>
          <w:rStyle w:val="NormalTok"/>
        </w:rPr>
        <w:t xml:space="preserve">(</w:t>
      </w:r>
      <w:r>
        <w:rPr>
          <w:rStyle w:val="StringTok"/>
        </w:rPr>
        <w:t xml:space="preserve">"plot"</w:t>
      </w:r>
      <w:r>
        <w:rPr>
          <w:rStyle w:val="NormalTok"/>
        </w:rPr>
        <w:t xml:space="preserve">)</w:t>
      </w:r>
      <w:r>
        <w:br/>
      </w:r>
      <w:r>
        <w:rPr>
          <w:rStyle w:val="NormalTok"/>
        </w:rPr>
        <w:t xml:space="preserve">bigcity_shape </w:t>
      </w:r>
      <w:r>
        <w:rPr>
          <w:rStyle w:val="OtherTok"/>
        </w:rPr>
        <w:t xml:space="preserve">&lt;-</w:t>
      </w:r>
      <w:r>
        <w:rPr>
          <w:rStyle w:val="NormalTok"/>
        </w:rPr>
        <w:t xml:space="preserve"> </w:t>
      </w:r>
      <w:r>
        <w:rPr>
          <w:rStyle w:val="FunctionTok"/>
        </w:rPr>
        <w:t xml:space="preserve">read_sf</w:t>
      </w:r>
      <w:r>
        <w:rPr>
          <w:rStyle w:val="NormalTok"/>
        </w:rPr>
        <w:t xml:space="preserve">(</w:t>
      </w:r>
      <w:r>
        <w:rPr>
          <w:rStyle w:val="StringTok"/>
        </w:rPr>
        <w:t xml:space="preserve">"../Data/shapeBigCity/BigCity.shp"</w:t>
      </w:r>
      <w:r>
        <w:rPr>
          <w:rStyle w:val="NormalTok"/>
        </w:rPr>
        <w:t xml:space="preserve">)</w:t>
      </w:r>
    </w:p>
    <w:p>
      <w:pPr>
        <w:pStyle w:val="FirstParagraph"/>
      </w:pPr>
      <w:r>
        <w:t xml:space="preserve">Con el shapefile cargado, se puede generar un mapa de las regiones usando</w:t>
      </w:r>
      <w:r>
        <w:t xml:space="preserve"> </w:t>
      </w:r>
      <w:r>
        <w:rPr>
          <w:rStyle w:val="VerbatimChar"/>
        </w:rPr>
        <w:t xml:space="preserve">tm_shape()</w:t>
      </w:r>
      <w:r>
        <w:t xml:space="preserve"> </w:t>
      </w:r>
      <w:r>
        <w:t xml:space="preserve">y</w:t>
      </w:r>
      <w:r>
        <w:t xml:space="preserve"> </w:t>
      </w:r>
      <w:r>
        <w:rPr>
          <w:rStyle w:val="VerbatimChar"/>
        </w:rPr>
        <w:t xml:space="preserve">tm_polygons()</w:t>
      </w:r>
      <w:r>
        <w:t xml:space="preserve">, como se muestra en la</w:t>
      </w:r>
      <w:r>
        <w:t xml:space="preserve"> </w:t>
      </w:r>
      <w:hyperlink w:anchor="fig-mapa-regiones">
        <w:r>
          <w:rPr>
            <w:rStyle w:val="Hyperlink"/>
          </w:rPr>
          <w:t xml:space="preserve">figura 4.6</w:t>
        </w:r>
      </w:hyperlink>
      <w:r>
        <w:t xml:space="preserve">:</w:t>
      </w:r>
    </w:p>
    <w:p>
      <w:pPr>
        <w:pStyle w:val="SourceCode"/>
      </w:pPr>
      <w:r>
        <w:rPr>
          <w:rStyle w:val="FunctionTok"/>
        </w:rPr>
        <w:t xml:space="preserve">tm_shape</w:t>
      </w:r>
      <w:r>
        <w:rPr>
          <w:rStyle w:val="NormalTok"/>
        </w:rPr>
        <w:t xml:space="preserve">(bigcity_shape) </w:t>
      </w:r>
      <w:r>
        <w:rPr>
          <w:rStyle w:val="SpecialCharTok"/>
        </w:rPr>
        <w:t xml:space="preserve">+</w:t>
      </w:r>
      <w:r>
        <w:br/>
      </w:r>
      <w:r>
        <w:rPr>
          <w:rStyle w:val="NormalTok"/>
        </w:rPr>
        <w:t xml:space="preserve">  </w:t>
      </w:r>
      <w:r>
        <w:rPr>
          <w:rStyle w:val="FunctionTok"/>
        </w:rPr>
        <w:t xml:space="preserve">tm_polygons</w:t>
      </w:r>
      <w:r>
        <w:rPr>
          <w:rStyle w:val="NormalTok"/>
        </w:rPr>
        <w:t xml:space="preserve">(</w:t>
      </w:r>
      <w:r>
        <w:rPr>
          <w:rStyle w:val="AttributeTok"/>
        </w:rPr>
        <w:t xml:space="preserve">col =</w:t>
      </w:r>
      <w:r>
        <w:rPr>
          <w:rStyle w:val="NormalTok"/>
        </w:rPr>
        <w:t xml:space="preserve"> </w:t>
      </w:r>
      <w:r>
        <w:rPr>
          <w:rStyle w:val="StringTok"/>
        </w:rPr>
        <w:t xml:space="preserve">"Region"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mapa-regiones"/>
          <w:p>
            <w:pPr>
              <w:pStyle w:val="Compact"/>
              <w:jc w:val="center"/>
            </w:pPr>
            <w:r>
              <w:drawing>
                <wp:inline>
                  <wp:extent cx="3733800" cy="2489200"/>
                  <wp:effectExtent b="0" l="0" r="0" t="0"/>
                  <wp:docPr descr="" title="" id="158" name="Picture"/>
                  <a:graphic>
                    <a:graphicData uri="http://schemas.openxmlformats.org/drawingml/2006/picture">
                      <pic:pic>
                        <pic:nvPicPr>
                          <pic:cNvPr descr="chapters/../figures/fig-mapa-regiones-1.png" id="159" name="Picture"/>
                          <pic:cNvPicPr>
                            <a:picLocks noChangeArrowheads="1" noChangeAspect="1"/>
                          </pic:cNvPicPr>
                        </pic:nvPicPr>
                        <pic:blipFill>
                          <a:blip r:embed="rId157"/>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4.6: Mapa de regiones geográficas de BigCity</w:t>
            </w:r>
          </w:p>
          <w:bookmarkEnd w:id="160"/>
        </w:tc>
      </w:tr>
    </w:tbl>
    <w:p>
      <w:pPr>
        <w:pStyle w:val="BodyText"/>
      </w:pPr>
      <w:r>
        <w:t xml:space="preserve">Por ejemplo, si se desea representar geográficamente la proporción de hombres en condición de pobreza por región, estimada previamente en la</w:t>
      </w:r>
      <w:r>
        <w:t xml:space="preserve"> </w:t>
      </w:r>
      <w:hyperlink w:anchor="fig-barras-prop-region-hombre">
        <w:r>
          <w:rPr>
            <w:rStyle w:val="Hyperlink"/>
          </w:rPr>
          <w:t xml:space="preserve">figura 4.5</w:t>
        </w:r>
      </w:hyperlink>
      <w:r>
        <w:t xml:space="preserve">, es necesario integrar las estimaciones obtenidas con la información espacial del shapefile. Para ello, el objeto</w:t>
      </w:r>
      <w:r>
        <w:t xml:space="preserve"> </w:t>
      </w:r>
      <w:r>
        <w:rPr>
          <w:rStyle w:val="VerbatimChar"/>
        </w:rPr>
        <w:t xml:space="preserve">male_region_poverty_proportion</w:t>
      </w:r>
      <w:r>
        <w:t xml:space="preserve">, que contiene las proporciones estimadas para cada región, se vincula con el archivo geográfico mediante la función</w:t>
      </w:r>
      <w:r>
        <w:t xml:space="preserve"> </w:t>
      </w:r>
      <w:r>
        <w:rPr>
          <w:rStyle w:val="VerbatimChar"/>
        </w:rPr>
        <w:t xml:space="preserve">left_join()</w:t>
      </w:r>
      <w:r>
        <w:t xml:space="preserve">. Posteriormente, se filtran únicamente las observaciones correspondientes a la categoría de pobreza (</w:t>
      </w:r>
      <w:r>
        <w:rPr>
          <w:rStyle w:val="VerbatimChar"/>
        </w:rPr>
        <w:t xml:space="preserve">poor == 1</w:t>
      </w:r>
      <w:r>
        <w:t xml:space="preserve">), de manera que el mapa represente exclusivamente la distribución espacial de la población masculina en condición de pobreza.</w:t>
      </w:r>
    </w:p>
    <w:p>
      <w:pPr>
        <w:pStyle w:val="SourceCode"/>
      </w:pPr>
      <w:r>
        <w:rPr>
          <w:rStyle w:val="NormalTok"/>
        </w:rPr>
        <w:t xml:space="preserve">shape_region_map </w:t>
      </w:r>
      <w:r>
        <w:rPr>
          <w:rStyle w:val="OtherTok"/>
        </w:rPr>
        <w:t xml:space="preserve">&lt;-</w:t>
      </w:r>
      <w:r>
        <w:rPr>
          <w:rStyle w:val="NormalTok"/>
        </w:rPr>
        <w:t xml:space="preserve"> </w:t>
      </w:r>
      <w:r>
        <w:rPr>
          <w:rStyle w:val="FunctionTok"/>
        </w:rPr>
        <w:t xml:space="preserve">tm_shape</w:t>
      </w:r>
      <w:r>
        <w:rPr>
          <w:rStyle w:val="NormalTok"/>
        </w:rPr>
        <w:t xml:space="preserve">(</w:t>
      </w:r>
      <w:r>
        <w:br/>
      </w:r>
      <w:r>
        <w:rPr>
          <w:rStyle w:val="NormalTok"/>
        </w:rPr>
        <w:t xml:space="preserve">  bigcity_shape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male_region_poverty_proportion </w:t>
      </w:r>
      <w:r>
        <w:rPr>
          <w:rStyle w:val="SpecialCharTok"/>
        </w:rPr>
        <w:t xml:space="preserve">%&gt;%</w:t>
      </w:r>
      <w:r>
        <w:br/>
      </w:r>
      <w:r>
        <w:rPr>
          <w:rStyle w:val="NormalTok"/>
        </w:rPr>
        <w:t xml:space="preserve">        </w:t>
      </w:r>
      <w:r>
        <w:rPr>
          <w:rStyle w:val="FunctionTok"/>
        </w:rPr>
        <w:t xml:space="preserve">filter</w:t>
      </w:r>
      <w:r>
        <w:rPr>
          <w:rStyle w:val="NormalTok"/>
        </w:rPr>
        <w:t xml:space="preserve">(poor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"Region"</w:t>
      </w:r>
      <w:r>
        <w:br/>
      </w:r>
      <w:r>
        <w:rPr>
          <w:rStyle w:val="NormalTok"/>
        </w:rPr>
        <w:t xml:space="preserve">    )</w:t>
      </w:r>
      <w:r>
        <w:br/>
      </w:r>
      <w:r>
        <w:rPr>
          <w:rStyle w:val="NormalTok"/>
        </w:rPr>
        <w:t xml:space="preserve">)</w:t>
      </w:r>
    </w:p>
    <w:p>
      <w:pPr>
        <w:pStyle w:val="FirstParagraph"/>
      </w:pPr>
      <w:r>
        <w:t xml:space="preserve">Una vez construido el objeto espacial con las estimaciones de interés, el argumento</w:t>
      </w:r>
      <w:r>
        <w:t xml:space="preserve"> </w:t>
      </w:r>
      <w:r>
        <w:rPr>
          <w:rStyle w:val="VerbatimChar"/>
        </w:rPr>
        <w:t xml:space="preserve">breaks</w:t>
      </w:r>
      <w:r>
        <w:t xml:space="preserve"> </w:t>
      </w:r>
      <w:r>
        <w:t xml:space="preserve">ayuda a definir los puntos de corte que determinarán los intervalos de la escala de color utilizada en el mapa. Posteriormente, se genera el mapa temático, permitiendo visualizar la distribución regional de la proporción de hombres en condición de pobreza, como se presenta en la</w:t>
      </w:r>
      <w:r>
        <w:t xml:space="preserve"> </w:t>
      </w:r>
      <w:hyperlink w:anchor="fig-mapa-pobreza-hombre">
        <w:r>
          <w:rPr>
            <w:rStyle w:val="Hyperlink"/>
          </w:rPr>
          <w:t xml:space="preserve">figura 4.7</w:t>
        </w:r>
      </w:hyperlink>
      <w:r>
        <w:t xml:space="preserve">.</w:t>
      </w:r>
    </w:p>
    <w:p>
      <w:pPr>
        <w:pStyle w:val="SourceCode"/>
      </w:pPr>
      <w:r>
        <w:rPr>
          <w:rStyle w:val="NormalTok"/>
        </w:rPr>
        <w:t xml:space="preserve">poverty_breaks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0.6</w:t>
      </w:r>
      <w:r>
        <w:rPr>
          <w:rStyle w:val="NormalTok"/>
        </w:rPr>
        <w:t xml:space="preserve">, </w:t>
      </w:r>
      <w:r>
        <w:rPr>
          <w:rStyle w:val="FloatTok"/>
        </w:rPr>
        <w:t xml:space="preserve">0.8</w:t>
      </w:r>
      <w:r>
        <w:rPr>
          <w:rStyle w:val="NormalTok"/>
        </w:rPr>
        <w:t xml:space="preserve">, </w:t>
      </w:r>
      <w:r>
        <w:rPr>
          <w:rStyle w:val="DecValTok"/>
        </w:rPr>
        <w:t xml:space="preserve">1</w:t>
      </w:r>
      <w:r>
        <w:rPr>
          <w:rStyle w:val="NormalTok"/>
        </w:rPr>
        <w:t xml:space="preserve">)</w:t>
      </w:r>
      <w:r>
        <w:br/>
      </w:r>
      <w:r>
        <w:rPr>
          <w:rStyle w:val="NormalTok"/>
        </w:rPr>
        <w:t xml:space="preserve">shape_region_map </w:t>
      </w:r>
      <w:r>
        <w:rPr>
          <w:rStyle w:val="SpecialCharTok"/>
        </w:rPr>
        <w:t xml:space="preserve">+</w:t>
      </w:r>
      <w:r>
        <w:br/>
      </w:r>
      <w:r>
        <w:rPr>
          <w:rStyle w:val="NormalTok"/>
        </w:rPr>
        <w:t xml:space="preserve">  </w:t>
      </w:r>
      <w:r>
        <w:rPr>
          <w:rStyle w:val="FunctionTok"/>
        </w:rPr>
        <w:t xml:space="preserve">tm_polygons</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"proportion"</w:t>
      </w:r>
      <w:r>
        <w:rPr>
          <w:rStyle w:val="NormalTok"/>
        </w:rPr>
        <w:t xml:space="preserve">,</w:t>
      </w:r>
      <w:r>
        <w:br/>
      </w:r>
      <w:r>
        <w:rPr>
          <w:rStyle w:val="NormalTok"/>
        </w:rPr>
        <w:t xml:space="preserve">    </w:t>
      </w:r>
      <w:r>
        <w:rPr>
          <w:rStyle w:val="AttributeTok"/>
        </w:rPr>
        <w:t xml:space="preserve">breaks =</w:t>
      </w:r>
      <w:r>
        <w:rPr>
          <w:rStyle w:val="NormalTok"/>
        </w:rPr>
        <w:t xml:space="preserve"> poverty_breaks,</w:t>
      </w:r>
      <w:r>
        <w:br/>
      </w:r>
      <w:r>
        <w:rPr>
          <w:rStyle w:val="NormalTok"/>
        </w:rPr>
        <w:t xml:space="preserve">    </w:t>
      </w:r>
      <w:r>
        <w:rPr>
          <w:rStyle w:val="AttributeTok"/>
        </w:rPr>
        <w:t xml:space="preserve">title =</w:t>
      </w:r>
      <w:r>
        <w:rPr>
          <w:rStyle w:val="NormalTok"/>
        </w:rPr>
        <w:t xml:space="preserve"> </w:t>
      </w:r>
      <w:r>
        <w:rPr>
          <w:rStyle w:val="StringTok"/>
        </w:rPr>
        <w:t xml:space="preserve">"Poverty proportion"</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StringTok"/>
        </w:rPr>
        <w:t xml:space="preserve">"YlOrRd"</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64" w:name="fig-mapa-pobreza-hombre"/>
          <w:p>
            <w:pPr>
              <w:pStyle w:val="Compact"/>
              <w:jc w:val="center"/>
            </w:pPr>
            <w:r>
              <w:drawing>
                <wp:inline>
                  <wp:extent cx="3733800" cy="2489200"/>
                  <wp:effectExtent b="0" l="0" r="0" t="0"/>
                  <wp:docPr descr="" title="" id="162" name="Picture"/>
                  <a:graphic>
                    <a:graphicData uri="http://schemas.openxmlformats.org/drawingml/2006/picture">
                      <pic:pic>
                        <pic:nvPicPr>
                          <pic:cNvPr descr="chapters/../figures/fig-mapa-pobreza-hombre-1.png" id="163" name="Picture"/>
                          <pic:cNvPicPr>
                            <a:picLocks noChangeArrowheads="1" noChangeAspect="1"/>
                          </pic:cNvPicPr>
                        </pic:nvPicPr>
                        <pic:blipFill>
                          <a:blip r:embed="rId161"/>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4.7: Proporción de hombres en condición de pobreza por región</w:t>
            </w:r>
          </w:p>
          <w:bookmarkEnd w:id="164"/>
        </w:tc>
      </w:tr>
    </w:tbl>
    <w:p>
      <w:pPr>
        <w:pStyle w:val="BodyText"/>
      </w:pPr>
      <w:r>
        <w:t xml:space="preserve">Otro uso de los mapas en encuestas, señalado por</w:t>
      </w:r>
      <w:r>
        <w:t xml:space="preserve"> </w:t>
      </w:r>
      <w:r>
        <w:t xml:space="preserve">CEPAL (2023)</w:t>
      </w:r>
      <w:r>
        <w:t xml:space="preserve">, es la visualización de la precisión de las estimaciones. Por ejemplo, usando el coeficiente de variación del ingreso medio por región es posible identificar las áreas donde las estimaciones son menos confiables, como se muestra en la</w:t>
      </w:r>
      <w:r>
        <w:t xml:space="preserve"> </w:t>
      </w:r>
      <w:hyperlink w:anchor="fig-mapa-cv-ingreso">
        <w:r>
          <w:rPr>
            <w:rStyle w:val="Hyperlink"/>
          </w:rPr>
          <w:t xml:space="preserve">figura 4.8</w:t>
        </w:r>
      </w:hyperlink>
      <w:r>
        <w:t xml:space="preserve">.</w:t>
      </w:r>
    </w:p>
    <w:p>
      <w:pPr>
        <w:pStyle w:val="BodyText"/>
      </w:pPr>
      <w:r>
        <w:t xml:space="preserve">El siguiente código calcula y representa geográficamente el coeficiente de variación del ingreso medio por región. En primer lugar, se estima el ingreso promedio para cada región. El argumento</w:t>
      </w:r>
      <w:r>
        <w:t xml:space="preserve"> </w:t>
      </w:r>
      <w:r>
        <w:rPr>
          <w:rStyle w:val="VerbatimChar"/>
        </w:rPr>
        <w:t xml:space="preserve">vartype = "cv"</w:t>
      </w:r>
      <w:r>
        <w:t xml:space="preserve"> </w:t>
      </w:r>
      <w:r>
        <w:t xml:space="preserve">solicita el cálculo del coeficiente de variación de cada estimación. Posteriormente, se definen los intervalos de clasificación de la escala de color mediante el objeto</w:t>
      </w:r>
      <w:r>
        <w:t xml:space="preserve"> </w:t>
      </w:r>
      <w:r>
        <w:rPr>
          <w:rStyle w:val="VerbatimChar"/>
        </w:rPr>
        <w:t xml:space="preserve">cv_breaks</w:t>
      </w:r>
      <w:r>
        <w:t xml:space="preserve">, y las estimaciones se integran con la información geográfica del shapefile usando</w:t>
      </w:r>
      <w:r>
        <w:t xml:space="preserve"> </w:t>
      </w:r>
      <w:r>
        <w:rPr>
          <w:rStyle w:val="VerbatimChar"/>
        </w:rPr>
        <w:t xml:space="preserve">left_join()</w:t>
      </w:r>
      <w:r>
        <w:t xml:space="preserve">. Finalmente, mediante las funciones</w:t>
      </w:r>
      <w:r>
        <w:t xml:space="preserve"> </w:t>
      </w:r>
      <w:r>
        <w:rPr>
          <w:rStyle w:val="VerbatimChar"/>
        </w:rPr>
        <w:t xml:space="preserve">tm_shape()</w:t>
      </w:r>
      <w:r>
        <w:t xml:space="preserve"> </w:t>
      </w:r>
      <w:r>
        <w:t xml:space="preserve">y</w:t>
      </w:r>
      <w:r>
        <w:t xml:space="preserve"> </w:t>
      </w:r>
      <w:r>
        <w:rPr>
          <w:rStyle w:val="VerbatimChar"/>
        </w:rPr>
        <w:t xml:space="preserve">tm_polygons()</w:t>
      </w:r>
      <w:r>
        <w:t xml:space="preserve"> </w:t>
      </w:r>
      <w:r>
        <w:t xml:space="preserve">del paquete</w:t>
      </w:r>
      <w:r>
        <w:t xml:space="preserve"> </w:t>
      </w:r>
      <w:r>
        <w:rPr>
          <w:rStyle w:val="VerbatimChar"/>
        </w:rPr>
        <w:t xml:space="preserve">tmap</w:t>
      </w:r>
      <w:r>
        <w:t xml:space="preserve">, se construye el mapa que representa espacialmente los coeficientes de variación utilizando una escala de colores en blanco y negro y ajustando la proporción del mapa con</w:t>
      </w:r>
      <w:r>
        <w:t xml:space="preserve"> </w:t>
      </w:r>
      <w:r>
        <w:rPr>
          <w:rStyle w:val="VerbatimChar"/>
        </w:rPr>
        <w:t xml:space="preserve">tm_layout(asp = 0)</w:t>
      </w:r>
      <w:r>
        <w:t xml:space="preserve">.</w:t>
      </w:r>
    </w:p>
    <w:p>
      <w:pPr>
        <w:pStyle w:val="SourceCode"/>
      </w:pPr>
      <w:r>
        <w:rPr>
          <w:rStyle w:val="NormalTok"/>
        </w:rPr>
        <w:t xml:space="preserve">region_mean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survey_mean</w:t>
      </w:r>
      <w:r>
        <w:rPr>
          <w:rStyle w:val="NormalTok"/>
        </w:rPr>
        <w:t xml:space="preserve">(Income,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"cv"</w:t>
      </w:r>
      <w:r>
        <w:rPr>
          <w:rStyle w:val="NormalTok"/>
        </w:rPr>
        <w:t xml:space="preserve">)))</w:t>
      </w:r>
      <w:r>
        <w:br/>
      </w:r>
      <w:r>
        <w:br/>
      </w:r>
      <w:r>
        <w:rPr>
          <w:rStyle w:val="NormalTok"/>
        </w:rPr>
        <w:t xml:space="preserve">cv_breaks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shape_cv_map </w:t>
      </w:r>
      <w:r>
        <w:rPr>
          <w:rStyle w:val="OtherTok"/>
        </w:rPr>
        <w:t xml:space="preserve">&lt;-</w:t>
      </w:r>
      <w:r>
        <w:rPr>
          <w:rStyle w:val="NormalTok"/>
        </w:rPr>
        <w:t xml:space="preserve"> </w:t>
      </w:r>
      <w:r>
        <w:rPr>
          <w:rStyle w:val="FunctionTok"/>
        </w:rPr>
        <w:t xml:space="preserve">tm_shape</w:t>
      </w:r>
      <w:r>
        <w:rPr>
          <w:rStyle w:val="NormalTok"/>
        </w:rPr>
        <w:t xml:space="preserve">(</w:t>
      </w:r>
      <w:r>
        <w:br/>
      </w:r>
      <w:r>
        <w:rPr>
          <w:rStyle w:val="NormalTok"/>
        </w:rPr>
        <w:t xml:space="preserve">  bigcity_shape </w:t>
      </w:r>
      <w:r>
        <w:rPr>
          <w:rStyle w:val="SpecialCharTok"/>
        </w:rPr>
        <w:t xml:space="preserve">%&gt;%</w:t>
      </w:r>
      <w:r>
        <w:br/>
      </w:r>
      <w:r>
        <w:rPr>
          <w:rStyle w:val="NormalTok"/>
        </w:rPr>
        <w:t xml:space="preserve">    </w:t>
      </w:r>
      <w:r>
        <w:rPr>
          <w:rStyle w:val="FunctionTok"/>
        </w:rPr>
        <w:t xml:space="preserve">left_join</w:t>
      </w:r>
      <w:r>
        <w:rPr>
          <w:rStyle w:val="NormalTok"/>
        </w:rPr>
        <w:t xml:space="preserve">(region_mean, </w:t>
      </w:r>
      <w:r>
        <w:rPr>
          <w:rStyle w:val="AttributeTok"/>
        </w:rPr>
        <w:t xml:space="preserve">by =</w:t>
      </w:r>
      <w:r>
        <w:rPr>
          <w:rStyle w:val="NormalTok"/>
        </w:rPr>
        <w:t xml:space="preserve"> </w:t>
      </w:r>
      <w:r>
        <w:rPr>
          <w:rStyle w:val="StringTok"/>
        </w:rPr>
        <w:t xml:space="preserve">"Region"</w:t>
      </w:r>
      <w:r>
        <w:rPr>
          <w:rStyle w:val="NormalTok"/>
        </w:rPr>
        <w:t xml:space="preserve">)</w:t>
      </w:r>
      <w:r>
        <w:br/>
      </w:r>
      <w:r>
        <w:rPr>
          <w:rStyle w:val="NormalTok"/>
        </w:rPr>
        <w:t xml:space="preserve">)</w:t>
      </w:r>
      <w:r>
        <w:br/>
      </w:r>
      <w:r>
        <w:br/>
      </w:r>
      <w:r>
        <w:rPr>
          <w:rStyle w:val="NormalTok"/>
        </w:rPr>
        <w:t xml:space="preserve">shape_cv_map </w:t>
      </w:r>
      <w:r>
        <w:rPr>
          <w:rStyle w:val="SpecialCharTok"/>
        </w:rPr>
        <w:t xml:space="preserve">+</w:t>
      </w:r>
      <w:r>
        <w:br/>
      </w:r>
      <w:r>
        <w:rPr>
          <w:rStyle w:val="NormalTok"/>
        </w:rPr>
        <w:t xml:space="preserve">  </w:t>
      </w:r>
      <w:r>
        <w:rPr>
          <w:rStyle w:val="FunctionTok"/>
        </w:rPr>
        <w:t xml:space="preserve">tm_polygons</w:t>
      </w:r>
      <w:r>
        <w:rPr>
          <w:rStyle w:val="NormalTok"/>
        </w:rPr>
        <w:t xml:space="preserve">(</w:t>
      </w:r>
      <w:r>
        <w:br/>
      </w:r>
      <w:r>
        <w:rPr>
          <w:rStyle w:val="NormalTok"/>
        </w:rPr>
        <w:t xml:space="preserve">    </w:t>
      </w:r>
      <w:r>
        <w:rPr>
          <w:rStyle w:val="StringTok"/>
        </w:rPr>
        <w:t xml:space="preserve">"mean_cv"</w:t>
      </w:r>
      <w:r>
        <w:rPr>
          <w:rStyle w:val="NormalTok"/>
        </w:rPr>
        <w:t xml:space="preserve">,</w:t>
      </w:r>
      <w:r>
        <w:br/>
      </w:r>
      <w:r>
        <w:rPr>
          <w:rStyle w:val="NormalTok"/>
        </w:rPr>
        <w:t xml:space="preserve">    </w:t>
      </w:r>
      <w:r>
        <w:rPr>
          <w:rStyle w:val="AttributeTok"/>
        </w:rPr>
        <w:t xml:space="preserve">breaks =</w:t>
      </w:r>
      <w:r>
        <w:rPr>
          <w:rStyle w:val="NormalTok"/>
        </w:rPr>
        <w:t xml:space="preserve"> cv_breaks,</w:t>
      </w:r>
      <w:r>
        <w:br/>
      </w:r>
      <w:r>
        <w:rPr>
          <w:rStyle w:val="NormalTok"/>
        </w:rPr>
        <w:t xml:space="preserve">    </w:t>
      </w:r>
      <w:r>
        <w:rPr>
          <w:rStyle w:val="AttributeTok"/>
        </w:rPr>
        <w:t xml:space="preserve">title =</w:t>
      </w:r>
      <w:r>
        <w:rPr>
          <w:rStyle w:val="NormalTok"/>
        </w:rPr>
        <w:t xml:space="preserve"> </w:t>
      </w:r>
      <w:r>
        <w:rPr>
          <w:rStyle w:val="StringTok"/>
        </w:rPr>
        <w:t xml:space="preserve">"Mean income CV"</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"#FFFFFF"</w:t>
      </w:r>
      <w:r>
        <w:rPr>
          <w:rStyle w:val="NormalTok"/>
        </w:rPr>
        <w:t xml:space="preserve">, </w:t>
      </w:r>
      <w:r>
        <w:rPr>
          <w:rStyle w:val="StringTok"/>
        </w:rPr>
        <w:t xml:space="preserve">"#000000"</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tm_layout</w:t>
      </w:r>
      <w:r>
        <w:rPr>
          <w:rStyle w:val="NormalTok"/>
        </w:rPr>
        <w:t xml:space="preserve">(</w:t>
      </w:r>
      <w:r>
        <w:rPr>
          <w:rStyle w:val="AttributeTok"/>
        </w:rPr>
        <w:t xml:space="preserve">asp =</w:t>
      </w:r>
      <w:r>
        <w:rPr>
          <w:rStyle w:val="NormalTok"/>
        </w:rPr>
        <w:t xml:space="preserve"> </w:t>
      </w:r>
      <w:r>
        <w:rPr>
          <w:rStyle w:val="DecValTok"/>
        </w:rPr>
        <w:t xml:space="preserve">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fig-mapa-cv-ingreso"/>
          <w:p>
            <w:pPr>
              <w:pStyle w:val="Compact"/>
              <w:jc w:val="center"/>
            </w:pPr>
            <w:r>
              <w:drawing>
                <wp:inline>
                  <wp:extent cx="3733800" cy="2489200"/>
                  <wp:effectExtent b="0" l="0" r="0" t="0"/>
                  <wp:docPr descr="" title="" id="166" name="Picture"/>
                  <a:graphic>
                    <a:graphicData uri="http://schemas.openxmlformats.org/drawingml/2006/picture">
                      <pic:pic>
                        <pic:nvPicPr>
                          <pic:cNvPr descr="chapters/../figures/fig-mapa-cv-ingreso-1.png" id="167" name="Picture"/>
                          <pic:cNvPicPr>
                            <a:picLocks noChangeArrowheads="1" noChangeAspect="1"/>
                          </pic:cNvPicPr>
                        </pic:nvPicPr>
                        <pic:blipFill>
                          <a:blip r:embed="rId165"/>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4.8: Coeficiente de variación del ingreso medio por región</w:t>
            </w:r>
          </w:p>
          <w:bookmarkEnd w:id="168"/>
        </w:tc>
      </w:tr>
    </w:tbl>
    <w:p>
      <w:pPr>
        <w:pStyle w:val="BodyText"/>
      </w:pPr>
      <w:r>
        <w:t xml:space="preserve">Los polígonos con tonos más oscuros corresponden a regiones donde la estimación del ingreso presenta mayor variabilidad relativa. Un coeficiente de variación elevado indica menor precisión relativa, pero no permite atribuirla únicamente a un tamaño muestral insuficiente, pues también puede reflejar la ponderación y otras características del diseño.</w:t>
      </w:r>
    </w:p>
    <w:p>
      <w:pPr>
        <w:pStyle w:val="BodyText"/>
      </w:pPr>
      <w:r>
        <w:t xml:space="preserve">De acuerdo con</w:t>
      </w:r>
      <w:r>
        <w:t xml:space="preserve"> </w:t>
      </w:r>
      <w:r>
        <w:t xml:space="preserve">Prener et al. (2025)</w:t>
      </w:r>
      <w:r>
        <w:t xml:space="preserve"> </w:t>
      </w:r>
      <w:r>
        <w:t xml:space="preserve">y</w:t>
      </w:r>
      <w:r>
        <w:t xml:space="preserve"> </w:t>
      </w:r>
      <w:r>
        <w:t xml:space="preserve">Wilke (2025)</w:t>
      </w:r>
      <w:r>
        <w:t xml:space="preserve">, cuando se desea representar simultáneamente dos variables —por ejemplo, la proporción de pobreza y su coeficiente de variación— es posible construir un mapa bivariante utilizando</w:t>
      </w:r>
      <w:r>
        <w:t xml:space="preserve"> </w:t>
      </w:r>
      <w:r>
        <w:rPr>
          <w:rStyle w:val="VerbatimChar"/>
        </w:rPr>
        <w:t xml:space="preserve">ggplot2</w:t>
      </w:r>
      <w:r>
        <w:t xml:space="preserve"> </w:t>
      </w:r>
      <w:r>
        <w:t xml:space="preserve">junto con los paquetes</w:t>
      </w:r>
      <w:r>
        <w:t xml:space="preserve"> </w:t>
      </w:r>
      <w:r>
        <w:rPr>
          <w:rStyle w:val="VerbatimChar"/>
        </w:rPr>
        <w:t xml:space="preserve">biscale</w:t>
      </w:r>
      <w:r>
        <w:t xml:space="preserve"> </w:t>
      </w:r>
      <w:r>
        <w:t xml:space="preserve">y</w:t>
      </w:r>
      <w:r>
        <w:t xml:space="preserve"> </w:t>
      </w:r>
      <w:r>
        <w:rPr>
          <w:rStyle w:val="VerbatimChar"/>
        </w:rPr>
        <w:t xml:space="preserve">cowplot</w:t>
      </w:r>
      <w:r>
        <w:t xml:space="preserve">. Este tipo de visualización permite identificar regiones con alta pobreza y alta incertidumbre en la estimación de forma conjunta, como se presenta en la</w:t>
      </w:r>
      <w:r>
        <w:t xml:space="preserve"> </w:t>
      </w:r>
      <w:hyperlink w:anchor="fig-mapa-bivariante">
        <w:r>
          <w:rPr>
            <w:rStyle w:val="Hyperlink"/>
          </w:rPr>
          <w:t xml:space="preserve">figura 4.9</w:t>
        </w:r>
      </w:hyperlink>
      <w:r>
        <w:t xml:space="preserve">. El siguiente código estima la proporción de mujeres en condición de pobreza en zonas rurales para cada región, incorporando además el cálculo del coeficiente de variación de las estimaciones, generando así una base de datos lista para la construcción de un mapa bivariado.</w:t>
      </w:r>
    </w:p>
    <w:p>
      <w:pPr>
        <w:pStyle w:val="SourceCode"/>
      </w:pPr>
      <w:r>
        <w:rPr>
          <w:rStyle w:val="NormalTok"/>
        </w:rPr>
        <w:t xml:space="preserve">region_sex_poverty_proportion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group_by</w:t>
      </w:r>
      <w:r>
        <w:rPr>
          <w:rStyle w:val="NormalTok"/>
        </w:rPr>
        <w:t xml:space="preserve">(Region, Zone, Sex, poor)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survey_mean</w:t>
      </w:r>
      <w:r>
        <w:rPr>
          <w:rStyle w:val="NormalTok"/>
        </w:rPr>
        <w:t xml:space="preserve">(</w:t>
      </w:r>
      <w:r>
        <w:rPr>
          <w:rStyle w:val="AttributeTok"/>
        </w:rPr>
        <w:t xml:space="preserve">vartype =</w:t>
      </w:r>
      <w:r>
        <w:rPr>
          <w:rStyle w:val="NormalTok"/>
        </w:rPr>
        <w:t xml:space="preserve"> </w:t>
      </w:r>
      <w:r>
        <w:rPr>
          <w:rStyle w:val="StringTok"/>
        </w:rPr>
        <w:t xml:space="preserve">"cv"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(poor </w:t>
      </w:r>
      <w:r>
        <w:rPr>
          <w:rStyle w:val="SpecialCharTok"/>
        </w:rPr>
        <w:t xml:space="preserve">==</w:t>
      </w:r>
      <w:r>
        <w:rPr>
          <w:rStyle w:val="NormalTok"/>
        </w:rPr>
        <w:t xml:space="preserve"> </w:t>
      </w:r>
      <w:r>
        <w:rPr>
          <w:rStyle w:val="DecValTok"/>
        </w:rPr>
        <w:t xml:space="preserve">1</w:t>
      </w:r>
      <w:r>
        <w:rPr>
          <w:rStyle w:val="NormalTok"/>
        </w:rPr>
        <w:t xml:space="preserve">, Zone </w:t>
      </w:r>
      <w:r>
        <w:rPr>
          <w:rStyle w:val="SpecialCharTok"/>
        </w:rPr>
        <w:t xml:space="preserve">==</w:t>
      </w:r>
      <w:r>
        <w:rPr>
          <w:rStyle w:val="NormalTok"/>
        </w:rPr>
        <w:t xml:space="preserve"> </w:t>
      </w:r>
      <w:r>
        <w:rPr>
          <w:rStyle w:val="StringTok"/>
        </w:rPr>
        <w:t xml:space="preserve">"Rural"</w:t>
      </w:r>
      <w:r>
        <w:rPr>
          <w:rStyle w:val="NormalTok"/>
        </w:rPr>
        <w:t xml:space="preserve">, Sex </w:t>
      </w:r>
      <w:r>
        <w:rPr>
          <w:rStyle w:val="SpecialCharTok"/>
        </w:rPr>
        <w:t xml:space="preserve">==</w:t>
      </w:r>
      <w:r>
        <w:rPr>
          <w:rStyle w:val="NormalTok"/>
        </w:rPr>
        <w:t xml:space="preserve"> </w:t>
      </w:r>
      <w:r>
        <w:rPr>
          <w:rStyle w:val="StringTok"/>
        </w:rPr>
        <w:t xml:space="preserve">"Female"</w:t>
      </w:r>
      <w:r>
        <w:rPr>
          <w:rStyle w:val="NormalTok"/>
        </w:rPr>
        <w:t xml:space="preserve">)</w:t>
      </w:r>
    </w:p>
    <w:p>
      <w:pPr>
        <w:pStyle w:val="FirstParagraph"/>
      </w:pPr>
      <w:r>
        <w:t xml:space="preserve">El siguiente código construye un mapa bivariado que permite visualizar simultáneamente la proporción de pobreza femenina rural y el coeficiente de variación asociado a dicha estimación por región. En primer lugar, se integran las estimaciones contenidas en</w:t>
      </w:r>
      <w:r>
        <w:t xml:space="preserve"> </w:t>
      </w:r>
      <w:r>
        <w:rPr>
          <w:rStyle w:val="VerbatimChar"/>
        </w:rPr>
        <w:t xml:space="preserve">region_sex_poverty_proportion</w:t>
      </w:r>
      <w:r>
        <w:t xml:space="preserve"> </w:t>
      </w:r>
      <w:r>
        <w:t xml:space="preserve">con la información geográfica del shapefile mediante</w:t>
      </w:r>
      <w:r>
        <w:t xml:space="preserve"> </w:t>
      </w:r>
      <w:r>
        <w:rPr>
          <w:rStyle w:val="VerbatimChar"/>
        </w:rPr>
        <w:t xml:space="preserve">left_join()</w:t>
      </w:r>
      <w:r>
        <w:t xml:space="preserve">. Posteriormente, la función</w:t>
      </w:r>
      <w:r>
        <w:t xml:space="preserve"> </w:t>
      </w:r>
      <w:r>
        <w:rPr>
          <w:rStyle w:val="VerbatimChar"/>
        </w:rPr>
        <w:t xml:space="preserve">bi_class()</w:t>
      </w:r>
      <w:r>
        <w:t xml:space="preserve"> </w:t>
      </w:r>
      <w:r>
        <w:t xml:space="preserve">del paquete</w:t>
      </w:r>
      <w:r>
        <w:t xml:space="preserve"> </w:t>
      </w:r>
      <w:r>
        <w:rPr>
          <w:rStyle w:val="VerbatimChar"/>
        </w:rPr>
        <w:t xml:space="preserve">biscale</w:t>
      </w:r>
      <w:r>
        <w:t xml:space="preserve"> </w:t>
      </w:r>
      <w:r>
        <w:t xml:space="preserve">clasifica conjuntamente las variables</w:t>
      </w:r>
      <w:r>
        <w:t xml:space="preserve"> </w:t>
      </w:r>
      <w:r>
        <w:rPr>
          <w:rStyle w:val="VerbatimChar"/>
        </w:rPr>
        <w:t xml:space="preserve">proportion</w:t>
      </w:r>
      <w:r>
        <w:t xml:space="preserve"> </w:t>
      </w:r>
      <w:r>
        <w:t xml:space="preserve">y</w:t>
      </w:r>
      <w:r>
        <w:t xml:space="preserve"> </w:t>
      </w:r>
      <w:r>
        <w:rPr>
          <w:rStyle w:val="VerbatimChar"/>
        </w:rPr>
        <w:t xml:space="preserve">proportion_cv</w:t>
      </w:r>
      <w:r>
        <w:t xml:space="preserve"> </w:t>
      </w:r>
      <w:r>
        <w:t xml:space="preserve">en una cuadrícula de (3</w:t>
      </w:r>
      <w:r>
        <w:t xml:space="preserve"> </w:t>
      </w:r>
      <w:r>
        <w:t xml:space="preserve">) categorías (</w:t>
      </w:r>
      <w:r>
        <w:rPr>
          <w:rStyle w:val="VerbatimChar"/>
        </w:rPr>
        <w:t xml:space="preserve">dim = 3</w:t>
      </w:r>
      <w:r>
        <w:t xml:space="preserve">), empleando el método de clasificación de Fisher (</w:t>
      </w:r>
      <w:r>
        <w:rPr>
          <w:rStyle w:val="VerbatimChar"/>
        </w:rPr>
        <w:t xml:space="preserve">style = "fisher"</w:t>
      </w:r>
      <w:r>
        <w:t xml:space="preserve">). Luego, con</w:t>
      </w:r>
      <w:r>
        <w:t xml:space="preserve"> </w:t>
      </w:r>
      <w:r>
        <w:rPr>
          <w:rStyle w:val="VerbatimChar"/>
        </w:rPr>
        <w:t xml:space="preserve">ggplot2</w:t>
      </w:r>
      <w:r>
        <w:t xml:space="preserve"> </w:t>
      </w:r>
      <w:r>
        <w:t xml:space="preserve">y</w:t>
      </w:r>
      <w:r>
        <w:t xml:space="preserve"> </w:t>
      </w:r>
      <w:r>
        <w:rPr>
          <w:rStyle w:val="VerbatimChar"/>
        </w:rPr>
        <w:t xml:space="preserve">geom_sf()</w:t>
      </w:r>
      <w:r>
        <w:t xml:space="preserve">, se genera el mapa temático utilizando colores bivariados definidos por</w:t>
      </w:r>
      <w:r>
        <w:t xml:space="preserve"> </w:t>
      </w:r>
      <w:r>
        <w:rPr>
          <w:rStyle w:val="VerbatimChar"/>
        </w:rPr>
        <w:t xml:space="preserve">bi_scale_fill()</w:t>
      </w:r>
      <w:r>
        <w:t xml:space="preserve">, mientras que</w:t>
      </w:r>
      <w:r>
        <w:t xml:space="preserve"> </w:t>
      </w:r>
      <w:r>
        <w:rPr>
          <w:rStyle w:val="VerbatimChar"/>
        </w:rPr>
        <w:t xml:space="preserve">bi_theme()</w:t>
      </w:r>
      <w:r>
        <w:t xml:space="preserve"> </w:t>
      </w:r>
      <w:r>
        <w:t xml:space="preserve">aplica un estilo minimalista y se elimina la leyenda predeterminada.</w:t>
      </w:r>
    </w:p>
    <w:p>
      <w:pPr>
        <w:pStyle w:val="BodyText"/>
      </w:pPr>
      <w:r>
        <w:t xml:space="preserve">A continuación, la función</w:t>
      </w:r>
      <w:r>
        <w:t xml:space="preserve"> </w:t>
      </w:r>
      <w:r>
        <w:rPr>
          <w:rStyle w:val="VerbatimChar"/>
        </w:rPr>
        <w:t xml:space="preserve">bi_legend()</w:t>
      </w:r>
      <w:r>
        <w:t xml:space="preserve"> </w:t>
      </w:r>
      <w:r>
        <w:t xml:space="preserve">crea una leyenda especializada que permite interpretar simultáneamente ambas dimensiones del mapa: el coeficiente de variación y la pobreza femenina rural. Finalmente, mediante las funciones</w:t>
      </w:r>
      <w:r>
        <w:t xml:space="preserve"> </w:t>
      </w:r>
      <w:r>
        <w:rPr>
          <w:rStyle w:val="VerbatimChar"/>
        </w:rPr>
        <w:t xml:space="preserve">ggdraw()</w:t>
      </w:r>
      <w:r>
        <w:t xml:space="preserve"> </w:t>
      </w:r>
      <w:r>
        <w:t xml:space="preserve">y</w:t>
      </w:r>
      <w:r>
        <w:t xml:space="preserve"> </w:t>
      </w:r>
      <w:r>
        <w:rPr>
          <w:rStyle w:val="VerbatimChar"/>
        </w:rPr>
        <w:t xml:space="preserve">draw_plot()</w:t>
      </w:r>
      <w:r>
        <w:t xml:space="preserve"> </w:t>
      </w:r>
      <w:r>
        <w:t xml:space="preserve">del paquete</w:t>
      </w:r>
      <w:r>
        <w:t xml:space="preserve"> </w:t>
      </w:r>
      <w:r>
        <w:rPr>
          <w:rStyle w:val="VerbatimChar"/>
        </w:rPr>
        <w:t xml:space="preserve">cowplot</w:t>
      </w:r>
      <w:r>
        <w:t xml:space="preserve">, se combinan el mapa y la leyenda en una única visualización.</w:t>
      </w:r>
    </w:p>
    <w:p>
      <w:pPr>
        <w:pStyle w:val="SourceCode"/>
      </w:pPr>
      <w:r>
        <w:rPr>
          <w:rStyle w:val="FunctionTok"/>
        </w:rPr>
        <w:t xml:space="preserve">library</w:t>
      </w:r>
      <w:r>
        <w:rPr>
          <w:rStyle w:val="NormalTok"/>
        </w:rPr>
        <w:t xml:space="preserve">(biscale)</w:t>
      </w:r>
      <w:r>
        <w:br/>
      </w:r>
      <w:r>
        <w:rPr>
          <w:rStyle w:val="FunctionTok"/>
        </w:rPr>
        <w:t xml:space="preserve">library</w:t>
      </w:r>
      <w:r>
        <w:rPr>
          <w:rStyle w:val="NormalTok"/>
        </w:rPr>
        <w:t xml:space="preserve">(cowplot)</w:t>
      </w:r>
      <w:r>
        <w:br/>
      </w:r>
      <w:r>
        <w:br/>
      </w:r>
      <w:r>
        <w:rPr>
          <w:rStyle w:val="NormalTok"/>
        </w:rPr>
        <w:t xml:space="preserve">bivariate_shape </w:t>
      </w:r>
      <w:r>
        <w:rPr>
          <w:rStyle w:val="OtherTok"/>
        </w:rPr>
        <w:t xml:space="preserve">&lt;-</w:t>
      </w:r>
      <w:r>
        <w:rPr>
          <w:rStyle w:val="NormalTok"/>
        </w:rPr>
        <w:t xml:space="preserve"> bigcity_shape </w:t>
      </w:r>
      <w:r>
        <w:rPr>
          <w:rStyle w:val="SpecialCharTok"/>
        </w:rPr>
        <w:t xml:space="preserve">%&gt;%</w:t>
      </w:r>
      <w:r>
        <w:br/>
      </w:r>
      <w:r>
        <w:rPr>
          <w:rStyle w:val="NormalTok"/>
        </w:rPr>
        <w:t xml:space="preserve">  </w:t>
      </w:r>
      <w:r>
        <w:rPr>
          <w:rStyle w:val="FunctionTok"/>
        </w:rPr>
        <w:t xml:space="preserve">left_join</w:t>
      </w:r>
      <w:r>
        <w:rPr>
          <w:rStyle w:val="NormalTok"/>
        </w:rPr>
        <w:t xml:space="preserve">(region_sex_poverty_proportion, </w:t>
      </w:r>
      <w:r>
        <w:rPr>
          <w:rStyle w:val="AttributeTok"/>
        </w:rPr>
        <w:t xml:space="preserve">by =</w:t>
      </w:r>
      <w:r>
        <w:rPr>
          <w:rStyle w:val="NormalTok"/>
        </w:rPr>
        <w:t xml:space="preserve"> </w:t>
      </w:r>
      <w:r>
        <w:rPr>
          <w:rStyle w:val="StringTok"/>
        </w:rPr>
        <w:t xml:space="preserve">"Region"</w:t>
      </w:r>
      <w:r>
        <w:rPr>
          <w:rStyle w:val="NormalTok"/>
        </w:rPr>
        <w:t xml:space="preserve">)</w:t>
      </w:r>
      <w:r>
        <w:br/>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NormalTok"/>
        </w:rPr>
        <w:t xml:space="preserve">bivariate_data </w:t>
      </w:r>
      <w:r>
        <w:rPr>
          <w:rStyle w:val="OtherTok"/>
        </w:rPr>
        <w:t xml:space="preserve">&lt;-</w:t>
      </w:r>
      <w:r>
        <w:rPr>
          <w:rStyle w:val="NormalTok"/>
        </w:rPr>
        <w:t xml:space="preserve"> </w:t>
      </w:r>
      <w:r>
        <w:rPr>
          <w:rStyle w:val="FunctionTok"/>
        </w:rPr>
        <w:t xml:space="preserve">bi_class</w:t>
      </w:r>
      <w:r>
        <w:rPr>
          <w:rStyle w:val="NormalTok"/>
        </w:rPr>
        <w:t xml:space="preserve">(</w:t>
      </w:r>
      <w:r>
        <w:br/>
      </w:r>
      <w:r>
        <w:rPr>
          <w:rStyle w:val="NormalTok"/>
        </w:rPr>
        <w:t xml:space="preserve">  bivariate_shape,</w:t>
      </w:r>
      <w:r>
        <w:br/>
      </w:r>
      <w:r>
        <w:rPr>
          <w:rStyle w:val="NormalTok"/>
        </w:rPr>
        <w:t xml:space="preserve">  </w:t>
      </w:r>
      <w:r>
        <w:rPr>
          <w:rStyle w:val="AttributeTok"/>
        </w:rPr>
        <w:t xml:space="preserve">y =</w:t>
      </w:r>
      <w:r>
        <w:rPr>
          <w:rStyle w:val="NormalTok"/>
        </w:rPr>
        <w:t xml:space="preserve"> proportion,</w:t>
      </w:r>
      <w:r>
        <w:br/>
      </w:r>
      <w:r>
        <w:rPr>
          <w:rStyle w:val="NormalTok"/>
        </w:rPr>
        <w:t xml:space="preserve">  </w:t>
      </w:r>
      <w:r>
        <w:rPr>
          <w:rStyle w:val="AttributeTok"/>
        </w:rPr>
        <w:t xml:space="preserve">x =</w:t>
      </w:r>
      <w:r>
        <w:rPr>
          <w:rStyle w:val="NormalTok"/>
        </w:rPr>
        <w:t xml:space="preserve"> proportion_cv,</w:t>
      </w:r>
      <w:r>
        <w:br/>
      </w:r>
      <w:r>
        <w:rPr>
          <w:rStyle w:val="NormalTok"/>
        </w:rPr>
        <w:t xml:space="preserve">  </w:t>
      </w:r>
      <w:r>
        <w:rPr>
          <w:rStyle w:val="AttributeTok"/>
        </w:rPr>
        <w:t xml:space="preserve">dim =</w:t>
      </w:r>
      <w:r>
        <w:rPr>
          <w:rStyle w:val="NormalTok"/>
        </w:rPr>
        <w:t xml:space="preserve"> k,</w:t>
      </w:r>
      <w:r>
        <w:br/>
      </w:r>
      <w:r>
        <w:rPr>
          <w:rStyle w:val="NormalTok"/>
        </w:rPr>
        <w:t xml:space="preserve">  </w:t>
      </w:r>
      <w:r>
        <w:rPr>
          <w:rStyle w:val="AttributeTok"/>
        </w:rPr>
        <w:t xml:space="preserve">style =</w:t>
      </w:r>
      <w:r>
        <w:rPr>
          <w:rStyle w:val="NormalTok"/>
        </w:rPr>
        <w:t xml:space="preserve"> </w:t>
      </w:r>
      <w:r>
        <w:rPr>
          <w:rStyle w:val="StringTok"/>
        </w:rPr>
        <w:t xml:space="preserve">"fisher"</w:t>
      </w:r>
      <w:r>
        <w:br/>
      </w:r>
      <w:r>
        <w:rPr>
          <w:rStyle w:val="NormalTok"/>
        </w:rPr>
        <w:t xml:space="preserve">)</w:t>
      </w:r>
      <w:r>
        <w:br/>
      </w:r>
      <w:r>
        <w:br/>
      </w:r>
      <w:r>
        <w:rPr>
          <w:rStyle w:val="NormalTok"/>
        </w:rPr>
        <w:t xml:space="preserve">bivariate_map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br/>
      </w:r>
      <w:r>
        <w:rPr>
          <w:rStyle w:val="NormalTok"/>
        </w:rPr>
        <w:t xml:space="preserve">    </w:t>
      </w:r>
      <w:r>
        <w:rPr>
          <w:rStyle w:val="AttributeTok"/>
        </w:rPr>
        <w:t xml:space="preserve">data =</w:t>
      </w:r>
      <w:r>
        <w:rPr>
          <w:rStyle w:val="NormalTok"/>
        </w:rPr>
        <w:t xml:space="preserve"> bivariate_data,</w:t>
      </w:r>
      <w:r>
        <w:br/>
      </w:r>
      <w:r>
        <w:rPr>
          <w:rStyle w:val="NormalTok"/>
        </w:rPr>
        <w:t xml:space="preserve">    </w:t>
      </w:r>
      <w:r>
        <w:rPr>
          <w:rStyle w:val="FunctionTok"/>
        </w:rPr>
        <w:t xml:space="preserve">aes</w:t>
      </w:r>
      <w:r>
        <w:rPr>
          <w:rStyle w:val="NormalTok"/>
        </w:rPr>
        <w:t xml:space="preserve">(</w:t>
      </w:r>
      <w:r>
        <w:rPr>
          <w:rStyle w:val="AttributeTok"/>
        </w:rPr>
        <w:t xml:space="preserve">fill =</w:t>
      </w:r>
      <w:r>
        <w:rPr>
          <w:rStyle w:val="NormalTok"/>
        </w:rPr>
        <w:t xml:space="preserve"> bi_class, </w:t>
      </w:r>
      <w:r>
        <w:rPr>
          <w:rStyle w:val="AttributeTok"/>
        </w:rPr>
        <w:t xml:space="preserve">geometry =</w:t>
      </w:r>
      <w:r>
        <w:rPr>
          <w:rStyle w:val="NormalTok"/>
        </w:rPr>
        <w:t xml:space="preserve"> geometry),</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bi_scale_fill</w:t>
      </w:r>
      <w:r>
        <w:rPr>
          <w:rStyle w:val="NormalTok"/>
        </w:rPr>
        <w:t xml:space="preserve">(</w:t>
      </w:r>
      <w:r>
        <w:rPr>
          <w:rStyle w:val="AttributeTok"/>
        </w:rPr>
        <w:t xml:space="preserve">pal =</w:t>
      </w:r>
      <w:r>
        <w:rPr>
          <w:rStyle w:val="NormalTok"/>
        </w:rPr>
        <w:t xml:space="preserve"> </w:t>
      </w:r>
      <w:r>
        <w:rPr>
          <w:rStyle w:val="StringTok"/>
        </w:rPr>
        <w:t xml:space="preserve">"GrPink"</w:t>
      </w:r>
      <w:r>
        <w:rPr>
          <w:rStyle w:val="NormalTok"/>
        </w:rPr>
        <w:t xml:space="preserve">, </w:t>
      </w:r>
      <w:r>
        <w:rPr>
          <w:rStyle w:val="AttributeTok"/>
        </w:rPr>
        <w:t xml:space="preserve">dim =</w:t>
      </w:r>
      <w:r>
        <w:rPr>
          <w:rStyle w:val="NormalTok"/>
        </w:rPr>
        <w:t xml:space="preserve"> k) </w:t>
      </w:r>
      <w:r>
        <w:rPr>
          <w:rStyle w:val="SpecialCharTok"/>
        </w:rPr>
        <w:t xml:space="preserve">+</w:t>
      </w:r>
      <w:r>
        <w:br/>
      </w:r>
      <w:r>
        <w:rPr>
          <w:rStyle w:val="NormalTok"/>
        </w:rPr>
        <w:t xml:space="preserve">  </w:t>
      </w:r>
      <w:r>
        <w:rPr>
          <w:rStyle w:val="FunctionTok"/>
        </w:rPr>
        <w:t xml:space="preserve">bi_theme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bivariate_legend </w:t>
      </w:r>
      <w:r>
        <w:rPr>
          <w:rStyle w:val="OtherTok"/>
        </w:rPr>
        <w:t xml:space="preserve">&lt;-</w:t>
      </w:r>
      <w:r>
        <w:rPr>
          <w:rStyle w:val="NormalTok"/>
        </w:rPr>
        <w:t xml:space="preserve"> </w:t>
      </w:r>
      <w:r>
        <w:rPr>
          <w:rStyle w:val="FunctionTok"/>
        </w:rPr>
        <w:t xml:space="preserve">bi_legend</w:t>
      </w:r>
      <w:r>
        <w:rPr>
          <w:rStyle w:val="NormalTok"/>
        </w:rPr>
        <w:t xml:space="preserve">(</w:t>
      </w:r>
      <w:r>
        <w:br/>
      </w:r>
      <w:r>
        <w:rPr>
          <w:rStyle w:val="NormalTok"/>
        </w:rPr>
        <w:t xml:space="preserve">  </w:t>
      </w:r>
      <w:r>
        <w:rPr>
          <w:rStyle w:val="AttributeTok"/>
        </w:rPr>
        <w:t xml:space="preserve">pal =</w:t>
      </w:r>
      <w:r>
        <w:rPr>
          <w:rStyle w:val="NormalTok"/>
        </w:rPr>
        <w:t xml:space="preserve"> </w:t>
      </w:r>
      <w:r>
        <w:rPr>
          <w:rStyle w:val="StringTok"/>
        </w:rPr>
        <w:t xml:space="preserve">"GrPink"</w:t>
      </w:r>
      <w:r>
        <w:rPr>
          <w:rStyle w:val="NormalTok"/>
        </w:rPr>
        <w:t xml:space="preserve">,</w:t>
      </w:r>
      <w:r>
        <w:br/>
      </w:r>
      <w:r>
        <w:rPr>
          <w:rStyle w:val="NormalTok"/>
        </w:rPr>
        <w:t xml:space="preserve">  </w:t>
      </w:r>
      <w:r>
        <w:rPr>
          <w:rStyle w:val="AttributeTok"/>
        </w:rPr>
        <w:t xml:space="preserve">dim =</w:t>
      </w:r>
      <w:r>
        <w:rPr>
          <w:rStyle w:val="NormalTok"/>
        </w:rPr>
        <w:t xml:space="preserve"> k,</w:t>
      </w:r>
      <w:r>
        <w:br/>
      </w:r>
      <w:r>
        <w:rPr>
          <w:rStyle w:val="NormalTok"/>
        </w:rPr>
        <w:t xml:space="preserve">  </w:t>
      </w:r>
      <w:r>
        <w:rPr>
          <w:rStyle w:val="AttributeTok"/>
        </w:rPr>
        <w:t xml:space="preserve">xlab =</w:t>
      </w:r>
      <w:r>
        <w:rPr>
          <w:rStyle w:val="NormalTok"/>
        </w:rPr>
        <w:t xml:space="preserve"> </w:t>
      </w:r>
      <w:r>
        <w:rPr>
          <w:rStyle w:val="StringTok"/>
        </w:rPr>
        <w:t xml:space="preserve">"Coefficient of variation"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"Rural female poverty"</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8</w:t>
      </w:r>
      <w:r>
        <w:br/>
      </w:r>
      <w:r>
        <w:rPr>
          <w:rStyle w:val="NormalTok"/>
        </w:rPr>
        <w:t xml:space="preserve">)</w:t>
      </w:r>
      <w:r>
        <w:br/>
      </w:r>
      <w:r>
        <w:br/>
      </w:r>
      <w:r>
        <w:rPr>
          <w:rStyle w:val="FunctionTok"/>
        </w:rPr>
        <w:t xml:space="preserve">ggdraw</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(bivariate_map,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scale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(bivariate_legend, </w:t>
      </w:r>
      <w:r>
        <w:rPr>
          <w:rStyle w:val="FloatTok"/>
        </w:rPr>
        <w:t xml:space="preserve">0.75</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 </w:t>
      </w:r>
      <w:r>
        <w:rPr>
          <w:rStyle w:val="FloatTok"/>
        </w:rPr>
        <w:t xml:space="preserve">0.2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2" w:name="fig-mapa-bivariante"/>
          <w:p>
            <w:pPr>
              <w:pStyle w:val="Compact"/>
              <w:jc w:val="center"/>
            </w:pPr>
            <w:r>
              <w:drawing>
                <wp:inline>
                  <wp:extent cx="4267200" cy="2844800"/>
                  <wp:effectExtent b="0" l="0" r="0" t="0"/>
                  <wp:docPr descr="" title="" id="170" name="Picture"/>
                  <a:graphic>
                    <a:graphicData uri="http://schemas.openxmlformats.org/drawingml/2006/picture">
                      <pic:pic>
                        <pic:nvPicPr>
                          <pic:cNvPr descr="chapters/../figures/fig-mapa-bivariante-1.png" id="171" name="Picture"/>
                          <pic:cNvPicPr>
                            <a:picLocks noChangeArrowheads="1" noChangeAspect="1"/>
                          </pic:cNvPicPr>
                        </pic:nvPicPr>
                        <pic:blipFill>
                          <a:blip r:embed="rId169"/>
                          <a:stretch>
                            <a:fillRect/>
                          </a:stretch>
                        </pic:blipFill>
                        <pic:spPr bwMode="auto">
                          <a:xfrm>
                            <a:off x="0" y="0"/>
                            <a:ext cx="4267200" cy="28448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4.9: Mapa bivariante: proporción de pobreza femenina rural y su coeficiente de variación por región</w:t>
            </w:r>
          </w:p>
          <w:bookmarkEnd w:id="172"/>
        </w:tc>
      </w:tr>
    </w:tbl>
    <w:p>
      <w:pPr>
        <w:pStyle w:val="BodyText"/>
      </w:pPr>
      <w:r>
        <w:t xml:space="preserve">En este mapa, cada celda de la leyenda combina un tono de la proporción de pobreza (eje vertical) con un tono del coeficiente de variación (eje horizontal), permitiendo identificar simultáneamente regiones con alta pobreza y alta incertidumbre en la estimación. Este tipo de representación puede ayudar a priorizar una evaluación del diseño y de la precisión en zonas geográficas específicas; por sí solo, sin embargo, no determina automáticamente que deba ampliarse el tamaño muestral.</w:t>
      </w:r>
    </w:p>
    <w:bookmarkEnd w:id="173"/>
    <w:bookmarkEnd w:id="174"/>
    <w:bookmarkEnd w:id="175"/>
    <w:bookmarkStart w:id="218" w:name="cap5"/>
    <w:p>
      <w:pPr>
        <w:pStyle w:val="Heading1"/>
      </w:pPr>
      <w:r>
        <w:t xml:space="preserve">5. Modelos de regresión</w:t>
      </w:r>
    </w:p>
    <w:p>
      <w:pPr>
        <w:pStyle w:val="FirstParagraph"/>
      </w:pPr>
      <w:r>
        <w:t xml:space="preserve">De acuerdo con</w:t>
      </w:r>
      <w:r>
        <w:t xml:space="preserve"> </w:t>
      </w:r>
      <w:r>
        <w:t xml:space="preserve">Chambers y Skinner (2003)</w:t>
      </w:r>
      <w:r>
        <w:t xml:space="preserve"> </w:t>
      </w:r>
      <w:r>
        <w:t xml:space="preserve">y</w:t>
      </w:r>
      <w:r>
        <w:t xml:space="preserve"> </w:t>
      </w:r>
      <w:r>
        <w:t xml:space="preserve">Heeringa et al. (2017)</w:t>
      </w:r>
      <w:r>
        <w:t xml:space="preserve">, los modelos de regresión constituyen una de las herramientas más utilizadas en el análisis de datos provenientes de encuestas, ya que permiten estudiar la relación entre una variable de interés y un conjunto de variables explicativas. A través de estos modelos, es posible evaluar cómo cambian determinadas características de la población según factores demográficos, sociales o económicos observados en la muestra. No obstante, la validez de los resultados obtenidos depende de una adecuada especificación del modelo y de la correcta consideración de las características del diseño muestral de la encuesta.</w:t>
      </w:r>
    </w:p>
    <w:p>
      <w:pPr>
        <w:pStyle w:val="BodyText"/>
      </w:pPr>
      <w:r>
        <w:t xml:space="preserve">En términos generales, los modelos de regresión buscan describir y cuantificar la asociación entre una variable respuesta (dependiente) y una o más variables explicativas (independientes), proporcionando elementos para la interpretación estadística y la formulación de inferencias sobre la población de estudio. No obstante la validez de los resultados obtenidos depende, en gran medida, de una adecuada especificación del modelo y de la correcta consideración de las características del diseño muestral de la encuesta.</w:t>
      </w:r>
    </w:p>
    <w:p>
      <w:pPr>
        <w:pStyle w:val="BodyText"/>
      </w:pPr>
      <w:r>
        <w:t xml:space="preserve">Por ejemplo, es posible analizar el comportamiento del ingreso de los hogares como variable de respuesta, en función de características como el nivel educativo alcanzado y la situación laboral de sus integrantes, consideradas variables explicativas. Utilizando información proveniente de encuestas de hogares, este tipo de modelos permite identificar patrones de asociación, cuantificar el efecto de distintos factores socioeconómicos sobre el ingreso y generar evidencia empírica útil para el diseño, seguimiento y evaluación de políticas públicas.</w:t>
      </w:r>
    </w:p>
    <w:p>
      <w:pPr>
        <w:pStyle w:val="BodyText"/>
      </w:pPr>
      <w:r>
        <w:t xml:space="preserve">Como explica</w:t>
      </w:r>
      <w:r>
        <w:t xml:space="preserve"> </w:t>
      </w:r>
      <w:r>
        <w:t xml:space="preserve">Pfeffermann (2011)</w:t>
      </w:r>
      <w:r>
        <w:t xml:space="preserve">, dado que las encuestas de hogares están sustentadas en diseños de muestreo complejos, los métodos clásicos de regresión, desarrollados bajo supuestos de muestreo aleatorio simple, pueden resultar inapropiados. Ignorar el diseño puede sesgar los coeficientes cuando la selección es informativa o el modelo está mal especificado y, aun cuando los coeficientes no cambien de manera apreciable, puede producir errores estándar y pruebas de hipótesis incorrectos.</w:t>
      </w:r>
    </w:p>
    <w:p>
      <w:pPr>
        <w:pStyle w:val="BodyText"/>
      </w:pPr>
      <w:r>
        <w:t xml:space="preserve">En consecuencia, el análisis de datos provenientes de encuestas exige una atención detallada al diseño de muestreo. La incorporación de los pesos de la encuesta y los ajustes correspondientes a la estratificación y la conglomeración permite obtener inferencias válidas y precisas. Adicionalmente, en algunos casos se han propuesto alternativas simplificadas, como el uso de pesos normalizados o enfoques de ponderación aproximada, que buscan equilibrar la complejidad metodológica con la factibilidad práctica del análisis.</w:t>
      </w:r>
    </w:p>
    <w:p>
      <w:pPr>
        <w:pStyle w:val="BodyText"/>
      </w:pPr>
      <w:r>
        <w:t xml:space="preserve">El estudio de la regresión bajo diseños de muestreo complejos cuenta con una trayectoria bien documentada. Como señaló</w:t>
      </w:r>
      <w:r>
        <w:t xml:space="preserve"> </w:t>
      </w:r>
      <w:r>
        <w:t xml:space="preserve">Kish y Frankel (1974)</w:t>
      </w:r>
      <w:r>
        <w:t xml:space="preserve"> </w:t>
      </w:r>
      <w:r>
        <w:t xml:space="preserve">en sus primeras discusiones, estos diseños afectan las inferencias derivadas de modelos de regresión. Posteriormente,</w:t>
      </w:r>
      <w:r>
        <w:t xml:space="preserve"> </w:t>
      </w:r>
      <w:r>
        <w:t xml:space="preserve">Fuller (1975)</w:t>
      </w:r>
      <w:r>
        <w:t xml:space="preserve"> </w:t>
      </w:r>
      <w:r>
        <w:t xml:space="preserve">desarrolló estimadores de varianza apoyados en técnicas de linealización para modelos de regresión lineal múltiple con ponderación desigual y métodos específicos para diseños estratificados y de dos etapas.</w:t>
      </w:r>
    </w:p>
    <w:p>
      <w:pPr>
        <w:pStyle w:val="BodyText"/>
      </w:pPr>
      <w:r>
        <w:t xml:space="preserve">Más adelante,</w:t>
      </w:r>
      <w:r>
        <w:t xml:space="preserve"> </w:t>
      </w:r>
      <w:r>
        <w:t xml:space="preserve">Shah et al. (1977)</w:t>
      </w:r>
      <w:r>
        <w:t xml:space="preserve"> </w:t>
      </w:r>
      <w:r>
        <w:t xml:space="preserve">y</w:t>
      </w:r>
      <w:r>
        <w:t xml:space="preserve"> </w:t>
      </w:r>
      <w:r>
        <w:t xml:space="preserve">Binder (1983)</w:t>
      </w:r>
      <w:r>
        <w:t xml:space="preserve"> </w:t>
      </w:r>
      <w:r>
        <w:t xml:space="preserve">abordaron el problema de las violaciones a los supuestos clásicos al trabajar con datos de encuestas mediante alternativas de inferencia robusta para los parámetros. En paralelo, las distribuciones muestrales de los estimadores de regresión en poblaciones finitas se incorporaron a procedimientos para estimar varianzas bajo esquemas complejos.</w:t>
      </w:r>
    </w:p>
    <w:p>
      <w:pPr>
        <w:pStyle w:val="BodyText"/>
      </w:pPr>
      <w:r>
        <w:t xml:space="preserve">En los años siguientes,</w:t>
      </w:r>
      <w:r>
        <w:t xml:space="preserve"> </w:t>
      </w:r>
      <w:r>
        <w:t xml:space="preserve">Skinner et al. (1989)</w:t>
      </w:r>
      <w:r>
        <w:t xml:space="preserve"> </w:t>
      </w:r>
      <w:r>
        <w:t xml:space="preserve">y</w:t>
      </w:r>
      <w:r>
        <w:t xml:space="preserve"> </w:t>
      </w:r>
      <w:r>
        <w:t xml:space="preserve">Fuller (2002)</w:t>
      </w:r>
      <w:r>
        <w:t xml:space="preserve"> </w:t>
      </w:r>
      <w:r>
        <w:t xml:space="preserve">ampliaron estos aportes mediante estimadores de varianza para los coeficientes de regresión que incorporan la estratificación y la conglomeración, así como mediante compendios de métodos de estimación aplicables a modelos de regresión en encuestas complejas. La discusión reciente incluye, además, métodos de ponderación</w:t>
      </w:r>
      <w:r>
        <w:t xml:space="preserve"> </w:t>
      </w:r>
      <w:r>
        <w:rPr>
          <w:i/>
          <w:iCs/>
        </w:rPr>
        <w:t xml:space="preserve">q-weighted</w:t>
      </w:r>
      <w:r>
        <w:t xml:space="preserve"> </w:t>
      </w:r>
      <w:r>
        <w:t xml:space="preserve">y evidencia empírica sobre su utilidad.</w:t>
      </w:r>
    </w:p>
    <w:bookmarkStart w:id="176" w:name="formulacion-del-modelo"/>
    <w:p>
      <w:pPr>
        <w:pStyle w:val="Heading2"/>
      </w:pPr>
      <w:r>
        <w:t xml:space="preserve">5.1 Formulación del modelo</w:t>
      </w:r>
    </w:p>
    <w:p>
      <w:pPr>
        <w:pStyle w:val="FirstParagraph"/>
      </w:pPr>
      <w:r>
        <w:t xml:space="preserve">De acuerdo con</w:t>
      </w:r>
      <w:r>
        <w:t xml:space="preserve"> </w:t>
      </w:r>
      <w:r>
        <w:t xml:space="preserve">Chambers y Skinner (2003)</w:t>
      </w:r>
      <w:r>
        <w:t xml:space="preserve"> </w:t>
      </w:r>
      <w:r>
        <w:t xml:space="preserve">y</w:t>
      </w:r>
      <w:r>
        <w:t xml:space="preserve"> </w:t>
      </w:r>
      <w:r>
        <w:t xml:space="preserve">Heeringa et al. (2017)</w:t>
      </w:r>
      <w:r>
        <w:t xml:space="preserve">, los modelos de regresión bajo diseños de muestreo complejos permiten trascender las estadísticas descriptivas y estudiar asociaciones o realizar predicciones; una interpretación causal requiere, además, un diseño de identificación y supuestos causales que no se obtienen únicamente por incorporar el diseño muestral. Su correcta aplicación abre la posibilidad de examinar cómo las características sociodemográficas y económicas se asocian con distintos resultados de interés, aportando evidencia clave para la formulación de políticas públicas.</w:t>
      </w:r>
    </w:p>
    <w:p>
      <w:pPr>
        <w:pStyle w:val="BodyText"/>
      </w:pPr>
      <w:r>
        <w:t xml:space="preserve">Como explican</w:t>
      </w:r>
      <w:r>
        <w:t xml:space="preserve"> </w:t>
      </w:r>
      <w:r>
        <w:t xml:space="preserve">Fox y Weisberg (2019)</w:t>
      </w:r>
      <w:r>
        <w:t xml:space="preserve">, la formulación más básica corresponde al modelo de regresión lineal simple, el cual describe la relación entre una variable respuesta y una única variable explicativa mediante la siguiente expresión:</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r>
            <m:t>ε</m:t>
          </m:r>
        </m:oMath>
      </m:oMathPara>
    </w:p>
    <w:p>
      <w:pPr>
        <w:pStyle w:val="FirstParagraph"/>
      </w:pPr>
      <w:r>
        <w:t xml:space="preserve">En donde</w:t>
      </w:r>
      <w:r>
        <w:t xml:space="preserve"> </w:t>
      </w:r>
      <m:oMath>
        <m:r>
          <m:t>y</m:t>
        </m:r>
      </m:oMath>
      <w:r>
        <w:t xml:space="preserve"> </w:t>
      </w:r>
      <w:r>
        <w:t xml:space="preserve">representa la variable de respuesta (dependiente),</w:t>
      </w:r>
      <w:r>
        <w:t xml:space="preserve"> </w:t>
      </w:r>
      <m:oMath>
        <m:r>
          <m:t>x</m:t>
        </m:r>
      </m:oMath>
      <w:r>
        <w:t xml:space="preserve"> </w:t>
      </w:r>
      <w:r>
        <w:t xml:space="preserve">la variable explicativa (independiente),</w:t>
      </w:r>
      <w:r>
        <w:t xml:space="preserve"> </w:t>
      </w:r>
      <m:oMath>
        <m:sSub>
          <m:e>
            <m:r>
              <m:t>β</m:t>
            </m:r>
          </m:e>
          <m:sub>
            <m:r>
              <m:t>0</m:t>
            </m:r>
          </m:sub>
        </m:sSub>
      </m:oMath>
      <w:r>
        <w:t xml:space="preserve"> </w:t>
      </w:r>
      <w:r>
        <w:t xml:space="preserve">el intercepto del modelo,</w:t>
      </w:r>
      <w:r>
        <w:t xml:space="preserve"> </w:t>
      </w:r>
      <m:oMath>
        <m:sSub>
          <m:e>
            <m:r>
              <m:t>β</m:t>
            </m:r>
          </m:e>
          <m:sub>
            <m:r>
              <m:t>1</m:t>
            </m:r>
          </m:sub>
        </m:sSub>
      </m:oMath>
      <w:r>
        <w:t xml:space="preserve"> </w:t>
      </w:r>
      <w:r>
        <w:t xml:space="preserve">el coeficiente asociado a la variable independiente y</w:t>
      </w:r>
      <w:r>
        <w:t xml:space="preserve"> </w:t>
      </w:r>
      <m:oMath>
        <m:r>
          <m:t>ε</m:t>
        </m:r>
      </m:oMath>
      <w:r>
        <w:t xml:space="preserve"> </w:t>
      </w:r>
      <w:r>
        <w:t xml:space="preserve">el término de error, que recoge la variabilidad no explicada por el modelo y puede interpretarse como la diferencia entre el valor observado y el valor estimado por el modelo, denotado por</w:t>
      </w:r>
      <w:r>
        <w:t xml:space="preserve"> </w:t>
      </w:r>
      <m:oMath>
        <m:sSub>
          <m:e>
            <m:acc>
              <m:accPr>
                <m:chr m:val="̂"/>
              </m:accPr>
              <m:e>
                <m:r>
                  <m:t>y</m:t>
                </m:r>
              </m:e>
            </m:acc>
          </m:e>
          <m:sub>
            <m:r>
              <m:t>k</m:t>
            </m:r>
          </m:sub>
        </m:sSub>
      </m:oMath>
      <w:r>
        <w:t xml:space="preserve">.</w:t>
      </w:r>
    </w:p>
    <w:p>
      <w:pPr>
        <w:pStyle w:val="BodyText"/>
      </w:pPr>
      <w:r>
        <w:t xml:space="preserve">En muchas aplicaciones empíricas, y especialmente en el análisis de encuestas de hogares, el fenómeno de interés depende simultáneamente de múltiples factores. En estos casos se emplean modelos de regresión lineal múltiple, los cuales incorporan varias variables explicativas: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ε</m:t>
          </m:r>
          <m:r>
            <m:rPr>
              <m:sty m:val="p"/>
            </m:rPr>
            <m:t>,</m:t>
          </m:r>
        </m:oMath>
      </m:oMathPara>
    </w:p>
    <w:p>
      <w:pPr>
        <w:pStyle w:val="FirstParagraph"/>
      </w:pPr>
      <w:r>
        <w:t xml:space="preserve">donde cada coeficiente</w:t>
      </w:r>
      <w:r>
        <w:t xml:space="preserve"> </w:t>
      </w:r>
      <m:oMath>
        <m:sSub>
          <m:e>
            <m:r>
              <m:t>β</m:t>
            </m:r>
          </m:e>
          <m:sub>
            <m:r>
              <m:t>j</m:t>
            </m:r>
          </m:sub>
        </m:sSub>
      </m:oMath>
      <w:r>
        <w:t xml:space="preserve"> </w:t>
      </w:r>
      <w:r>
        <w:t xml:space="preserve">cuantifica la asociación entre la variable respuesta y la correspondiente covariable</w:t>
      </w:r>
      <w:r>
        <w:t xml:space="preserve"> </w:t>
      </w:r>
      <m:oMath>
        <m:sSub>
          <m:e>
            <m:r>
              <m:t>x</m:t>
            </m:r>
          </m:e>
          <m:sub>
            <m:r>
              <m:t>j</m:t>
            </m:r>
          </m:sub>
        </m:sSub>
      </m:oMath>
      <w:r>
        <w:t xml:space="preserve">, manteniendo constantes las demás variables incluidas en el modelo. De manera más compacta, el modelo puede expresarse utilizando notación matricial como:</w:t>
      </w:r>
    </w:p>
    <w:p>
      <w:pPr>
        <w:pStyle w:val="BodyText"/>
      </w:pPr>
      <m:oMathPara>
        <m:oMathParaPr>
          <m:jc m:val="center"/>
        </m:oMathParaPr>
        <m:oMath>
          <m:sSub>
            <m:e>
              <m:r>
                <m:t>y</m:t>
              </m:r>
            </m:e>
            <m:sub>
              <m:r>
                <m:t>k</m:t>
              </m:r>
            </m:sub>
          </m:sSub>
          <m:r>
            <m:rPr>
              <m:sty m:val="p"/>
            </m:rPr>
            <m:t>=</m:t>
          </m:r>
          <m:sSub>
            <m:e>
              <m:r>
                <m:rPr>
                  <m:sty m:val="b"/>
                </m:rPr>
                <m:t>x</m:t>
              </m:r>
            </m:e>
            <m:sub>
              <m:r>
                <m:t>k</m:t>
              </m:r>
            </m:sub>
          </m:sSub>
          <m:r>
            <m:rPr>
              <m:sty m:val="b"/>
            </m:rPr>
            <m:t>β</m:t>
          </m:r>
          <m:r>
            <m:rPr>
              <m:sty m:val="p"/>
            </m:rPr>
            <m:t>+</m:t>
          </m:r>
          <m:sSub>
            <m:e>
              <m:r>
                <m:t>ε</m:t>
              </m:r>
            </m:e>
            <m:sub>
              <m:r>
                <m:t>k</m:t>
              </m:r>
            </m:sub>
          </m:sSub>
          <m:r>
            <m:rPr>
              <m:sty m:val="p"/>
            </m:rPr>
            <m:t>,</m:t>
          </m:r>
          <m:r>
            <m:t> </m:t>
          </m:r>
          <m:r>
            <m:t>k</m:t>
          </m:r>
          <m:r>
            <m:rPr>
              <m:sty m:val="p"/>
            </m:rPr>
            <m:t>=</m:t>
          </m:r>
          <m:r>
            <m:t>1</m:t>
          </m:r>
          <m:r>
            <m:rPr>
              <m:sty m:val="p"/>
            </m:rPr>
            <m:t>,</m:t>
          </m:r>
          <m:r>
            <m:rPr>
              <m:sty m:val="p"/>
            </m:rPr>
            <m:t>…</m:t>
          </m:r>
          <m:r>
            <m:rPr>
              <m:sty m:val="p"/>
            </m:rPr>
            <m:t>,</m:t>
          </m:r>
          <m:r>
            <m:t>n</m:t>
          </m:r>
          <m:r>
            <m:rPr>
              <m:sty m:val="p"/>
            </m:rPr>
            <m:t>,</m:t>
          </m:r>
        </m:oMath>
      </m:oMathPara>
    </w:p>
    <w:p>
      <w:pPr>
        <w:pStyle w:val="FirstParagraph"/>
      </w:pPr>
      <w:r>
        <w:t xml:space="preserve">donde</w:t>
      </w:r>
      <w:r>
        <w:t xml:space="preserve"> </w:t>
      </w:r>
      <m:oMath>
        <m:sSub>
          <m:e>
            <m:r>
              <m:rPr>
                <m:sty m:val="b"/>
              </m:rPr>
              <m:t>x</m:t>
            </m:r>
          </m:e>
          <m:sub>
            <m:r>
              <m:t>k</m:t>
            </m:r>
          </m:sub>
        </m:sSub>
        <m:r>
          <m:rPr>
            <m:sty m:val="p"/>
          </m:rPr>
          <m:t>=</m:t>
        </m:r>
        <m:r>
          <m:rPr>
            <m:sty m:val="p"/>
          </m:rPr>
          <m:t>[</m:t>
        </m:r>
        <m:r>
          <m:t>1</m:t>
        </m:r>
        <m:r>
          <m:rPr>
            <m:sty m:val="p"/>
          </m:rPr>
          <m:t>,</m:t>
        </m:r>
        <m:sSub>
          <m:e>
            <m:r>
              <m:t>x</m:t>
            </m:r>
          </m:e>
          <m:sub>
            <m:r>
              <m:t>1</m:t>
            </m:r>
            <m:r>
              <m:t>k</m:t>
            </m:r>
          </m:sub>
        </m:sSub>
        <m:r>
          <m:rPr>
            <m:sty m:val="p"/>
          </m:rPr>
          <m:t>,</m:t>
        </m:r>
        <m:r>
          <m:rPr>
            <m:sty m:val="p"/>
          </m:rPr>
          <m:t>…</m:t>
        </m:r>
        <m:r>
          <m:rPr>
            <m:sty m:val="p"/>
          </m:rPr>
          <m:t>,</m:t>
        </m:r>
        <m:sSub>
          <m:e>
            <m:r>
              <m:t>x</m:t>
            </m:r>
          </m:e>
          <m:sub>
            <m:r>
              <m:t>p</m:t>
            </m:r>
            <m:r>
              <m:t>k</m:t>
            </m:r>
          </m:sub>
        </m:sSub>
        <m:r>
          <m:rPr>
            <m:sty m:val="p"/>
          </m:rPr>
          <m:t>]</m:t>
        </m:r>
      </m:oMath>
      <w:r>
        <w:t xml:space="preserve"> </w:t>
      </w:r>
      <w:r>
        <w:t xml:space="preserve">representa el vector de covariables asociado a la unidad</w:t>
      </w:r>
      <w:r>
        <w:t xml:space="preserve"> </w:t>
      </w:r>
      <m:oMath>
        <m:r>
          <m:t>k</m:t>
        </m:r>
      </m:oMath>
      <w:r>
        <w:t xml:space="preserve">, mientras que</w:t>
      </w:r>
      <w:r>
        <w:t xml:space="preserve"> </w:t>
      </w:r>
      <m:oMath>
        <m:r>
          <m:rPr>
            <m:sty m:val="b"/>
          </m:rPr>
          <m:t>β</m:t>
        </m:r>
        <m:r>
          <m:rPr>
            <m:sty m:val="p"/>
          </m:rPr>
          <m:t>=</m:t>
        </m:r>
        <m:r>
          <m:rPr>
            <m:sty m:val="p"/>
          </m:rPr>
          <m:t>[</m:t>
        </m:r>
        <m:sSub>
          <m:e>
            <m:r>
              <m:t>β</m:t>
            </m:r>
          </m:e>
          <m:sub>
            <m:r>
              <m:t>0</m:t>
            </m:r>
          </m:sub>
        </m:sSub>
        <m:r>
          <m:rPr>
            <m:sty m:val="p"/>
          </m:rPr>
          <m:t>,</m:t>
        </m:r>
        <m:sSub>
          <m:e>
            <m:r>
              <m:t>β</m:t>
            </m:r>
          </m:e>
          <m:sub>
            <m:r>
              <m:t>1</m:t>
            </m:r>
          </m:sub>
        </m:sSub>
        <m:r>
          <m:rPr>
            <m:sty m:val="p"/>
          </m:rPr>
          <m:t>,</m:t>
        </m:r>
        <m:r>
          <m:rPr>
            <m:sty m:val="p"/>
          </m:rPr>
          <m:t>…</m:t>
        </m:r>
        <m:r>
          <m:rPr>
            <m:sty m:val="p"/>
          </m:rPr>
          <m:t>,</m:t>
        </m:r>
        <m:sSub>
          <m:e>
            <m:r>
              <m:t>β</m:t>
            </m:r>
          </m:e>
          <m:sub>
            <m:r>
              <m:t>p</m:t>
            </m:r>
          </m:sub>
        </m:sSub>
        <m:sSup>
          <m:e>
            <m:r>
              <m:rPr>
                <m:sty m:val="p"/>
              </m:rPr>
              <m:t>]</m:t>
            </m:r>
          </m:e>
          <m:sup>
            <m:r>
              <m:rPr>
                <m:sty m:val="p"/>
              </m:rPr>
              <m:t>′</m:t>
            </m:r>
          </m:sup>
        </m:sSup>
      </m:oMath>
      <w:r>
        <w:t xml:space="preserve"> </w:t>
      </w:r>
      <w:r>
        <w:t xml:space="preserve">corresponde al vector de parámetros desconocidos del modelo. En este contexto, el valor esperado de la variable respuesta condicionado al conjunto de covariables puede expresarse como:</w:t>
      </w:r>
    </w:p>
    <w:p>
      <w:pPr>
        <w:pStyle w:val="BodyText"/>
      </w:pPr>
      <m:oMathPara>
        <m:oMathParaPr>
          <m:jc m:val="center"/>
        </m:oMathParaPr>
        <m:oMath>
          <m:r>
            <m:t>E</m:t>
          </m:r>
          <m:r>
            <m:rPr>
              <m:sty m:val="p"/>
            </m:rPr>
            <m:t>(</m:t>
          </m:r>
          <m:r>
            <m:t>y</m:t>
          </m:r>
          <m:r>
            <m:rPr>
              <m:sty m:val="p"/>
            </m:rPr>
            <m:t>∣</m:t>
          </m:r>
          <m:r>
            <m:rPr>
              <m:sty m:val="b"/>
            </m:rPr>
            <m:t>x</m:t>
          </m:r>
          <m:r>
            <m:rPr>
              <m:sty m:val="p"/>
            </m:rPr>
            <m:t>)</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Los modelos de regresión lineal se sustentan en una serie de supuestos teóricos que garantizan la validez de las estimaciones y de las inferencias derivadas del modelo. En primer lugar, se asume que el valor esperado de los residuos condicionado a las covariables es igual a cero, es decir,</w:t>
      </w:r>
      <w:r>
        <w:t xml:space="preserve"> </w:t>
      </w:r>
      <m:oMath>
        <m:r>
          <m:t>E</m:t>
        </m:r>
        <m:r>
          <m:rPr>
            <m:sty m:val="p"/>
          </m:rPr>
          <m:t>(</m:t>
        </m:r>
        <m:sSub>
          <m:e>
            <m:r>
              <m:t>ε</m:t>
            </m:r>
          </m:e>
          <m:sub>
            <m:r>
              <m:t>k</m:t>
            </m:r>
          </m:sub>
        </m:sSub>
        <m:r>
          <m:rPr>
            <m:sty m:val="p"/>
          </m:rPr>
          <m:t>∣</m:t>
        </m:r>
        <m:sSub>
          <m:e>
            <m:r>
              <m:rPr>
                <m:sty m:val="b"/>
              </m:rPr>
              <m:t>x</m:t>
            </m:r>
          </m:e>
          <m:sub>
            <m:r>
              <m:t>k</m:t>
            </m:r>
          </m:sub>
        </m:sSub>
        <m:r>
          <m:rPr>
            <m:sty m:val="p"/>
          </m:rPr>
          <m:t>)</m:t>
        </m:r>
        <m:r>
          <m:rPr>
            <m:sty m:val="p"/>
          </m:rPr>
          <m:t>=</m:t>
        </m:r>
        <m:r>
          <m:t>0</m:t>
        </m:r>
      </m:oMath>
      <w:r>
        <w:t xml:space="preserve">, lo que implica la ausencia de sesgos sistemáticos en la estimación de la variable respuesta. Asimismo, se supone homogeneidad de la varianza de los errores, de modo que la variabilidad residual permanece constante para todos los valores de las covariables, esto es,</w:t>
      </w:r>
      <w:r>
        <w:t xml:space="preserve"> </w:t>
      </w:r>
      <m:oMath>
        <m:r>
          <m:t>V</m:t>
        </m:r>
        <m:r>
          <m:t>a</m:t>
        </m:r>
        <m:r>
          <m:t>r</m:t>
        </m:r>
        <m:r>
          <m:rPr>
            <m:sty m:val="p"/>
          </m:rPr>
          <m:t>(</m:t>
        </m:r>
        <m:sSub>
          <m:e>
            <m:r>
              <m:t>ε</m:t>
            </m:r>
          </m:e>
          <m:sub>
            <m:r>
              <m:t>k</m:t>
            </m:r>
          </m:sub>
        </m:sSub>
        <m:r>
          <m:rPr>
            <m:sty m:val="p"/>
          </m:rPr>
          <m:t>∣</m:t>
        </m:r>
        <m:sSub>
          <m:e>
            <m:r>
              <m:rPr>
                <m:sty m:val="b"/>
              </m:rPr>
              <m:t>x</m:t>
            </m:r>
          </m:e>
          <m:sub>
            <m:r>
              <m:t>k</m:t>
            </m:r>
          </m:sub>
        </m:sSub>
        <m:r>
          <m:rPr>
            <m:sty m:val="p"/>
          </m:rPr>
          <m:t>)</m:t>
        </m:r>
        <m:r>
          <m:rPr>
            <m:sty m:val="p"/>
          </m:rPr>
          <m:t>=</m:t>
        </m:r>
        <m:sSup>
          <m:e>
            <m:r>
              <m:t>σ</m:t>
            </m:r>
          </m:e>
          <m:sup>
            <m:r>
              <m:t>2</m:t>
            </m:r>
          </m:sup>
        </m:sSup>
      </m:oMath>
      <w:r>
        <w:t xml:space="preserve">. Adicionalmente, se considera que los errores siguen una distribución normal con media cero y varianza constante, expresada como</w:t>
      </w:r>
      <w:r>
        <w:t xml:space="preserve"> </w:t>
      </w:r>
      <m:oMath>
        <m:sSub>
          <m:e>
            <m:r>
              <m:t>ε</m:t>
            </m:r>
          </m:e>
          <m:sub>
            <m:r>
              <m:t>k</m:t>
            </m:r>
          </m:sub>
        </m:sSub>
        <m:r>
          <m:rPr>
            <m:sty m:val="p"/>
          </m:rPr>
          <m:t>∣</m:t>
        </m:r>
        <m:sSub>
          <m:e>
            <m:r>
              <m:rPr>
                <m:sty m:val="b"/>
              </m:rPr>
              <m:t>x</m:t>
            </m:r>
          </m:e>
          <m:sub>
            <m:r>
              <m:t>k</m:t>
            </m:r>
          </m:sub>
        </m:sSub>
        <m:r>
          <m:rPr>
            <m:sty m:val="p"/>
          </m:rPr>
          <m:t>∼</m:t>
        </m:r>
        <m:r>
          <m:t>N</m:t>
        </m:r>
        <m:r>
          <m:rPr>
            <m:sty m:val="p"/>
          </m:rPr>
          <m:t>(</m:t>
        </m:r>
        <m:r>
          <m:t>0</m:t>
        </m:r>
        <m:r>
          <m:rPr>
            <m:sty m:val="p"/>
          </m:rPr>
          <m:t>,</m:t>
        </m:r>
        <m:sSup>
          <m:e>
            <m:r>
              <m:t>σ</m:t>
            </m:r>
          </m:e>
          <m:sup>
            <m:r>
              <m:t>2</m:t>
            </m:r>
          </m:sup>
        </m:sSup>
        <m:r>
          <m:rPr>
            <m:sty m:val="p"/>
          </m:rPr>
          <m:t>)</m:t>
        </m:r>
      </m:oMath>
      <w:r>
        <w:t xml:space="preserve">, y que los residuos asociados a distintas observaciones son independientes entre sí, de manera que</w:t>
      </w:r>
      <w:r>
        <w:t xml:space="preserve"> </w:t>
      </w:r>
      <m:oMath>
        <m:r>
          <m:t>C</m:t>
        </m:r>
        <m:r>
          <m:t>o</m:t>
        </m:r>
        <m:r>
          <m:t>v</m:t>
        </m:r>
        <m:r>
          <m:rPr>
            <m:sty m:val="p"/>
          </m:rPr>
          <m:t>(</m:t>
        </m:r>
        <m:sSub>
          <m:e>
            <m:r>
              <m:t>ε</m:t>
            </m:r>
          </m:e>
          <m:sub>
            <m:r>
              <m:t>k</m:t>
            </m:r>
          </m:sub>
        </m:sSub>
        <m:r>
          <m:rPr>
            <m:sty m:val="p"/>
          </m:rPr>
          <m:t>,</m:t>
        </m:r>
        <m:sSub>
          <m:e>
            <m:r>
              <m:t>ε</m:t>
            </m:r>
          </m:e>
          <m:sub>
            <m:r>
              <m:t>j</m:t>
            </m:r>
          </m:sub>
        </m:sSub>
        <m:r>
          <m:rPr>
            <m:sty m:val="p"/>
          </m:rPr>
          <m:t>∣</m:t>
        </m:r>
        <m:sSub>
          <m:e>
            <m:r>
              <m:rPr>
                <m:sty m:val="b"/>
              </m:rPr>
              <m:t>x</m:t>
            </m:r>
          </m:e>
          <m:sub>
            <m:r>
              <m:t>k</m:t>
            </m:r>
          </m:sub>
        </m:sSub>
        <m:r>
          <m:rPr>
            <m:sty m:val="p"/>
          </m:rPr>
          <m:t>,</m:t>
        </m:r>
        <m:sSub>
          <m:e>
            <m:r>
              <m:rPr>
                <m:sty m:val="b"/>
              </m:rPr>
              <m:t>x</m:t>
            </m:r>
          </m:e>
          <m:sub>
            <m:r>
              <m:t>j</m:t>
            </m:r>
          </m:sub>
        </m:sSub>
        <m:r>
          <m:rPr>
            <m:sty m:val="p"/>
          </m:rPr>
          <m:t>)</m:t>
        </m:r>
        <m:r>
          <m:rPr>
            <m:sty m:val="p"/>
          </m:rPr>
          <m:t>=</m:t>
        </m:r>
        <m:r>
          <m:t>0</m:t>
        </m:r>
      </m:oMath>
      <w:r>
        <w:t xml:space="preserve">.</w:t>
      </w:r>
    </w:p>
    <w:p>
      <w:pPr>
        <w:pStyle w:val="BodyText"/>
      </w:pPr>
      <w:r>
        <w:t xml:space="preserve">La validez de los modelos de regresión lineal depende del cumplimiento de algunos supuestos clásicos ampliamente discutidos en la literatura especializada. En conjunto, estos supuestos permiten que los estimadores obtenidos mediante el modelo posean propiedades estadísticas deseables, tales como insesgamiento, eficiencia y consistencia.</w:t>
      </w:r>
    </w:p>
    <w:bookmarkEnd w:id="176"/>
    <w:bookmarkStart w:id="177" w:name="uso-de-los-pesos-de-muestreo"/>
    <w:p>
      <w:pPr>
        <w:pStyle w:val="Heading2"/>
      </w:pPr>
      <w:r>
        <w:t xml:space="preserve">5.2 Uso de los pesos de muestreo</w:t>
      </w:r>
    </w:p>
    <w:p>
      <w:pPr>
        <w:pStyle w:val="FirstParagraph"/>
      </w:pPr>
      <w:r>
        <w:t xml:space="preserve">Cuando se trabaja con datos provenientes de encuestas basadas en diseños muestrales complejos, los supuestos clásicos de los modelos de regresión rara vez se cumplen de manera estricta, puesto que las observaciones no provienen de muestras aleatorias simples e independientes, sino de esquemas de selección que incorporan elementos como estratificación, conglomeración y probabilidades desiguales de selección. Por ejemplo, la presencia de conglomeración puede violar el supuesto de independencia de los errores, ya que individuos pertenecientes a un mismo hogar, segmento o área geográfica tienden a compartir características similares. Del mismo modo, las probabilidades desiguales de selección y los ajustes de ponderación pueden generar heterogeneidad en la varianza de las observaciones, incumpliendo el supuesto de homocedasticidad.</w:t>
      </w:r>
    </w:p>
    <w:p>
      <w:pPr>
        <w:pStyle w:val="BodyText"/>
      </w:pPr>
      <w:r>
        <w:t xml:space="preserve">En este contexto, surge una pregunta fundamental: ¿de qué manera deben incorporarse los pesos muestrales en los modelos de regresión? La respuesta no es sencilla, ya que los pesos de la encuesta reflejan no solo las probabilidades de selección, sino también diversos ajustes asociados a la no respuesta, calibración y correcciones de cobertura. Aunque su utilización permite producir estimaciones representativas de la población, la incorporación directa de ponderaciones en los modelos también puede reducir la eficiencia estadística e incrementar la variabilidad de los estimadores.</w:t>
      </w:r>
    </w:p>
    <w:p>
      <w:pPr>
        <w:pStyle w:val="BodyText"/>
      </w:pPr>
      <w:r>
        <w:t xml:space="preserve">En términos generales,</w:t>
      </w:r>
      <w:r>
        <w:t xml:space="preserve"> </w:t>
      </w:r>
      <w:r>
        <w:t xml:space="preserve">Pfeffermann (2011)</w:t>
      </w:r>
      <w:r>
        <w:t xml:space="preserve"> </w:t>
      </w:r>
      <w:r>
        <w:t xml:space="preserve">distingue dos enfoques principales para abordar este problema. El primero corresponde al enfoque basado en el diseño muestral, cuyo objetivo es obtener inferencias válidas para la población objetivo respetando las características del proceso de selección de la muestra. De acuerdo con</w:t>
      </w:r>
      <w:r>
        <w:t xml:space="preserve"> </w:t>
      </w:r>
      <w:r>
        <w:t xml:space="preserve">Heeringa et al. (2017)</w:t>
      </w:r>
      <w:r>
        <w:t xml:space="preserve">, desde esta perspectiva, los pesos muestrales son esenciales para corregir las probabilidades desiguales de inclusión y producir estimaciones insesgadas de los coeficientes de regresión. Sin embargo, este enfoque no protege frente a posibles errores de especificación del modelo; es decir, aun cuando las estimaciones sean válidas desde el punto de vista del diseño, el modelo puede no representar adecuadamente las relaciones existentes en la población.</w:t>
      </w:r>
    </w:p>
    <w:p>
      <w:pPr>
        <w:pStyle w:val="BodyText"/>
      </w:pPr>
      <w:r>
        <w:t xml:space="preserve">El segundo corresponde al enfoque orientado al modelo, según el cual los pesos no son necesariamente requeridos siempre que el modelo esté correctamente especificado y el mecanismo de muestreo sea no informativo. Bajo este supuesto, las relaciones entre las variables observadas en la muestra coinciden con las de la población, de manera que el diseño muestral no introduce sesgos relevantes en la estimación de los parámetros. Desde esta perspectiva, incorporar ponderaciones podría incluso resultar contraproducente, al aumentar innecesariamente la varianza de los estimadores y, en consecuencia, los errores estándar.</w:t>
      </w:r>
    </w:p>
    <w:p>
      <w:pPr>
        <w:pStyle w:val="BodyText"/>
      </w:pPr>
      <w:r>
        <w:t xml:space="preserve">Según</w:t>
      </w:r>
      <w:r>
        <w:t xml:space="preserve"> </w:t>
      </w:r>
      <w:r>
        <w:t xml:space="preserve">Skinner et al. (1989)</w:t>
      </w:r>
      <w:r>
        <w:t xml:space="preserve"> </w:t>
      </w:r>
      <w:r>
        <w:t xml:space="preserve">y</w:t>
      </w:r>
      <w:r>
        <w:t xml:space="preserve"> </w:t>
      </w:r>
      <w:r>
        <w:t xml:space="preserve">Naciones Unidas (2026)</w:t>
      </w:r>
      <w:r>
        <w:t xml:space="preserve">, la discusión sobre la conveniencia de utilizar ponderaciones en modelos de regresión ha sido ampliamente desarrollada en la literatura especializada. En la práctica, una recomendación metodológica frecuente consiste en estimar los modelos tanto con ponderaciones como sin ellas y comparar posteriormente los resultados obtenidos. Si la inclusión de los pesos produce cambios importantes en los coeficientes estimados o modifica las conclusiones sustantivas del análisis, ello sugiere que el diseño de muestreo es informativo o que el modelo presenta problemas de especificación, por lo que el uso de ponderaciones resulta aconsejable. Por el contrario, si los coeficientes permanecen relativamente estables y las ponderaciones únicamente incrementan los errores estándar, puede considerarse que el modelo captura adecuadamente la estructura de los datos y que el uso de pesos no es estrictamente necesario.</w:t>
      </w:r>
    </w:p>
    <w:p>
      <w:pPr>
        <w:pStyle w:val="BodyText"/>
      </w:pPr>
      <w:r>
        <w:t xml:space="preserve">En términos aplicados, esta decisión suele depender del propósito analítico del estudio. Cuando el objetivo es realizar inferencia descriptiva y producir estimaciones representativas de la población, la utilización de ponderaciones es indispensable. En cambio, en contextos de inferencia analítica orientados al estudio de asociaciones, relaciones causales o contrastes de hipótesis, pueden emplearse tanto modelos ponderados como no ponderados, especialmente cuando el modelo incorpora variables relacionadas con el diseño muestral, como estratos o conglomerados. No obstante, el uso de modelos no ponderados debe justificarse cuidadosamente, dado que implica asumir condiciones más restrictivas sobre el mecanismo de selección de la muestra y la correcta especificación del modelo estadístico.</w:t>
      </w:r>
    </w:p>
    <w:p>
      <w:pPr>
        <w:pStyle w:val="BodyText"/>
      </w:pPr>
      <w:r>
        <w:t xml:space="preserve">En resumen, cuando se opta por ponderar, las ponderaciones corrigen posibles sesgos de sobre o subrepresentación de determinados grupos y contribuyen a obtener estimaciones de varianza más exactas. Dentro del enfoque basado en el diseño, esto permite que los resultados se aproximen a valores insesgados comparables a los que se obtendrían en un censo completo, incluso cuando el modelo no esté formulado de manera óptima. Sin embargo, cuando los pesos presentan gran dispersión, pueden aumentar la varianza de los parámetros estimados y volver inestables las estimaciones, razón por la que en contextos explicativos o analíticos los modelos sin ponderar pueden, en ocasiones, arrojar resultados más consistentes y eficientes.</w:t>
      </w:r>
    </w:p>
    <w:p>
      <w:pPr>
        <w:pStyle w:val="BodyText"/>
      </w:pPr>
      <w:r>
        <w:t xml:space="preserve">En cualquier caso, si el modelo se encuentra mal especificado, ignorar las ponderaciones muestrales puede conducir a estimaciones sesgadas, poco informativas o incluso carentes de validez inferencial. Por esta razón, la selección adecuada de las variables incluidas en el modelo constituye un aspecto fundamental del análisis. Con el fin de abordar estas problemáticas, se han propuesto diversas estrategias de ajuste orientadas a lograr un equilibrio entre ambos objetivos. Entre los procedimientos más utilizados se destacan los siguientes:</w:t>
      </w:r>
    </w:p>
    <w:p>
      <w:pPr>
        <w:numPr>
          <w:ilvl w:val="0"/>
          <w:numId w:val="1004"/>
        </w:numPr>
      </w:pPr>
      <w:r>
        <w:t xml:space="preserve">Pesos tipo Senado: este procedimiento ajusta los pesos de manera que su suma coincida con el tamaño de la muestra, en lugar del tamaño de la población. Esta transformación multiplica todos los pesos por una constante y conserva su dispersión relativa; por tanto, no constituye un recorte de pesos extremos. Las nuevas ponderaciones son</w:t>
      </w:r>
      <w:r>
        <w:t xml:space="preserve"> </w:t>
      </w:r>
      <m:oMath>
        <m:sSubSup>
          <m:e>
            <m:r>
              <m:t>w</m:t>
            </m:r>
          </m:e>
          <m:sub>
            <m:r>
              <m:t>k</m:t>
            </m:r>
          </m:sub>
          <m:sup>
            <m:r>
              <m:t>S</m:t>
            </m:r>
            <m:r>
              <m:t>e</m:t>
            </m:r>
            <m:r>
              <m:t>n</m:t>
            </m:r>
            <m:r>
              <m:t>a</m:t>
            </m:r>
            <m:r>
              <m:t>t</m:t>
            </m:r>
            <m:r>
              <m:t>e</m:t>
            </m:r>
          </m:sup>
        </m:sSubSup>
        <m:r>
          <m:rPr>
            <m:sty m:val="p"/>
          </m:rPr>
          <m:t>=</m:t>
        </m:r>
        <m:sSub>
          <m:e>
            <m:r>
              <m:t>w</m:t>
            </m:r>
          </m:e>
          <m:sub>
            <m:r>
              <m:t>k</m:t>
            </m:r>
          </m:sub>
        </m:sSub>
        <m:r>
          <m:rPr>
            <m:sty m:val="p"/>
          </m:rPr>
          <m:t>×</m:t>
        </m:r>
        <m:f>
          <m:fPr>
            <m:type m:val="bar"/>
          </m:fPr>
          <m:num>
            <m:r>
              <m:t>n</m:t>
            </m:r>
          </m:num>
          <m:den>
            <m:r>
              <m:rPr>
                <m:sty m:val="p"/>
              </m:rPr>
              <m:t>∑</m:t>
            </m:r>
            <m:sSub>
              <m:e>
                <m:r>
                  <m:t>w</m:t>
                </m:r>
              </m:e>
              <m:sub>
                <m:r>
                  <m:t>k</m:t>
                </m:r>
              </m:sub>
            </m:sSub>
          </m:den>
        </m:f>
      </m:oMath>
      <w:r>
        <w:t xml:space="preserve">.</w:t>
      </w:r>
    </w:p>
    <w:p>
      <w:pPr>
        <w:numPr>
          <w:ilvl w:val="0"/>
          <w:numId w:val="1004"/>
        </w:numPr>
      </w:pPr>
      <w:r>
        <w:t xml:space="preserve">Pesos normalizados: en este enfoque los pesos originales se reescalan para que su suma sea igual a uno. Al ser también una multiplicación por una constante común, el reescalamiento no reduce por sí mismo la variabilidad relativa de los pesos ni sustituye la especificación del diseño; su efecto sobre las varianzas depende del método y del software utilizados. Las nuevas ponderaciones son</w:t>
      </w:r>
      <w:r>
        <w:t xml:space="preserve"> </w:t>
      </w:r>
      <m:oMath>
        <m:sSubSup>
          <m:e>
            <m:r>
              <m:t>w</m:t>
            </m:r>
          </m:e>
          <m:sub>
            <m:r>
              <m:t>k</m:t>
            </m:r>
          </m:sub>
          <m:sup>
            <m:r>
              <m:t>N</m:t>
            </m:r>
            <m:r>
              <m:t>o</m:t>
            </m:r>
            <m:r>
              <m:t>r</m:t>
            </m:r>
            <m:r>
              <m:t>m</m:t>
            </m:r>
            <m:r>
              <m:t>a</m:t>
            </m:r>
            <m:r>
              <m:t>l</m:t>
            </m:r>
            <m:r>
              <m:t>i</m:t>
            </m:r>
            <m:r>
              <m:t>z</m:t>
            </m:r>
            <m:r>
              <m:t>e</m:t>
            </m:r>
            <m:r>
              <m:t>d</m:t>
            </m:r>
          </m:sup>
        </m:sSubSup>
        <m:r>
          <m:rPr>
            <m:sty m:val="p"/>
          </m:rPr>
          <m:t>=</m:t>
        </m:r>
        <m:f>
          <m:fPr>
            <m:type m:val="bar"/>
          </m:fPr>
          <m:num>
            <m:sSub>
              <m:e>
                <m:r>
                  <m:t>w</m:t>
                </m:r>
              </m:e>
              <m:sub>
                <m:r>
                  <m:t>k</m:t>
                </m:r>
              </m:sub>
            </m:sSub>
          </m:num>
          <m:den>
            <m:r>
              <m:rPr>
                <m:sty m:val="p"/>
              </m:rPr>
              <m:t>∑</m:t>
            </m:r>
            <m:sSub>
              <m:e>
                <m:r>
                  <m:t>w</m:t>
                </m:r>
              </m:e>
              <m:sub>
                <m:r>
                  <m:t>k</m:t>
                </m:r>
              </m:sub>
            </m:sSub>
          </m:den>
        </m:f>
      </m:oMath>
      <w:r>
        <w:t xml:space="preserve">.</w:t>
      </w:r>
    </w:p>
    <w:p>
      <w:pPr>
        <w:pStyle w:val="FirstParagraph"/>
      </w:pPr>
      <w:r>
        <w:t xml:space="preserve">Es importante destacar que, en ambos métodos, los pesos ajustados se obtienen mediante transformaciones multiplicativas directas de los pesos muestrales originales. Por ello, no deben emplearse para calcular tamaños o totales poblacionales. Asimismo, estos procedimientos no alteran las estimaciones de razones, como medias o proporciones, ya que en tales casos los pesos se cancelan en el cociente. En la práctica, el uso de estos ajustes puede considerarse una solución pragmática en contextos donde no se dispone de software especializado para encuestas. No obstante, cuando se cuenta con herramientas como los paquetes</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w:t>
      </w:r>
      <w:r>
        <w:t xml:space="preserve">en</w:t>
      </w:r>
      <w:r>
        <w:t xml:space="preserve"> </w:t>
      </w:r>
      <w:r>
        <w:rPr>
          <w:rStyle w:val="VerbatimChar"/>
        </w:rPr>
        <w:t xml:space="preserve">R</w:t>
      </w:r>
      <w:r>
        <w:t xml:space="preserve">, descritos en los capítulos anteriores, el reescalamiento deja de ser necesario, pues dichos paquetes realizan el tratamiento adecuado para preservar tanto la representatividad como las propiedades inferenciales del modelo.</w:t>
      </w:r>
    </w:p>
    <w:bookmarkEnd w:id="177"/>
    <w:bookmarkStart w:id="182" w:name="estimacion-de-los-parametros-del-modelo"/>
    <w:p>
      <w:pPr>
        <w:pStyle w:val="Heading2"/>
      </w:pPr>
      <w:r>
        <w:t xml:space="preserve">5.3 Estimación de los parámetros del modelo</w:t>
      </w:r>
    </w:p>
    <w:p>
      <w:pPr>
        <w:pStyle w:val="FirstParagraph"/>
      </w:pPr>
      <w:r>
        <w:t xml:space="preserve">De acuerdo con</w:t>
      </w:r>
      <w:r>
        <w:t xml:space="preserve"> </w:t>
      </w:r>
      <w:r>
        <w:t xml:space="preserve">Molina y Skinner (1992)</w:t>
      </w:r>
      <w:r>
        <w:t xml:space="preserve"> </w:t>
      </w:r>
      <w:r>
        <w:t xml:space="preserve">y</w:t>
      </w:r>
      <w:r>
        <w:t xml:space="preserve"> </w:t>
      </w:r>
      <w:r>
        <w:t xml:space="preserve">Binder (2011)</w:t>
      </w:r>
      <w:r>
        <w:t xml:space="preserve">, en términos del ajuste de modelos de regresión con encuestas de hogares, se han desarrollado metodologías inferenciales avanzadas que integran las fuentes de incertidumbre en un mismo marco analítico, buscando reflejar tanto la estructura del diseño como los supuestos y limitaciones del modelo. Entre las aproximaciones más relevantes se encuentran la pseudo-verosimilitud y la inferencia combinada.</w:t>
      </w:r>
    </w:p>
    <w:p>
      <w:pPr>
        <w:pStyle w:val="BodyText"/>
      </w:pPr>
      <w:r>
        <w:t xml:space="preserve">El método de pseudo-verosimilitud extiende las técnicas tradicionales de máxima verosimilitud para ajustarlas a las particularidades de los diseños muestrales complejos. En este enfoque, la distribución de muestreo definida por el diseño ocupa un rol central, mientras que la distribución del modelo pasa a un segundo plano. Si bien en contextos de modelos bien especificados los estimadores basados en pseudo-verosimilitud tienden a ser insesgados o consistentes, su principal virtud radica en evitar los sesgos que se originarían al ignorar el diseño muestral. En términos prácticos, este método traduce el modelo tradicional en uno que respeta la forma en que los datos fueron obtenidos, garantizando inferencias más sólidas.</w:t>
      </w:r>
    </w:p>
    <w:p>
      <w:pPr>
        <w:pStyle w:val="BodyText"/>
      </w:pPr>
      <w:r>
        <w:t xml:space="preserve">En contraste, la inferencia combinada propone un marco unificado en el que se integran simultáneamente la variabilidad del muestreo y la incertidumbre del modelo. Considerar ambas fuentes permite caracterizar de manera más completa la variabilidad total, pero no garantiza automáticamente estimaciones más precisas ni elimina todo sesgo; esas propiedades dependen del diseño y de la especificación del modelo. De este modo, la inferencia combinada resulta especialmente útil en aplicaciones donde se requiere equilibrar representatividad poblacional y solidez estadística de los modelos ajustados.</w:t>
      </w:r>
    </w:p>
    <w:p>
      <w:pPr>
        <w:pStyle w:val="BodyText"/>
      </w:pPr>
      <w:r>
        <w:t xml:space="preserve">Como explica</w:t>
      </w:r>
      <w:r>
        <w:t xml:space="preserve"> </w:t>
      </w:r>
      <w:r>
        <w:t xml:space="preserve">Wolter (2007)</w:t>
      </w:r>
      <w:r>
        <w:t xml:space="preserve">, cuando se desea estimar los parámetros de un modelo de regresión lineal a partir de una muestra con un diseño complejo, el enfoque estándar cambia. En consecuencia, los estimadores tradicionales, como los obtenidos por máxima verosimilitud o mínimos cuadrados, pueden resultar sesgados y producir errores estándar poco confiables. Frente a esta situación, los métodos de estimación de varianza, como la linealización de Taylor y el bootstrap, son válidos en la medida en que su implementación reproduzca las características pertinentes del diseño.</w:t>
      </w:r>
    </w:p>
    <w:p>
      <w:pPr>
        <w:pStyle w:val="BodyText"/>
      </w:pPr>
      <w:r>
        <w:t xml:space="preserve">Según</w:t>
      </w:r>
      <w:r>
        <w:t xml:space="preserve"> </w:t>
      </w:r>
      <w:r>
        <w:t xml:space="preserve">Fuller (2002)</w:t>
      </w:r>
      <w:r>
        <w:t xml:space="preserve"> </w:t>
      </w:r>
      <w:r>
        <w:t xml:space="preserve">y</w:t>
      </w:r>
      <w:r>
        <w:t xml:space="preserve"> </w:t>
      </w:r>
      <w:r>
        <w:t xml:space="preserve">Chambers y Skinner (2003)</w:t>
      </w:r>
      <w:r>
        <w:t xml:space="preserve">, en el caso de un modelo de regresión lineal simple, la estimación de</w:t>
      </w:r>
      <w:r>
        <w:t xml:space="preserve"> </w:t>
      </w:r>
      <m:oMath>
        <m:sSub>
          <m:e>
            <m:r>
              <m:t>β</m:t>
            </m:r>
          </m:e>
          <m:sub>
            <m:r>
              <m:t>1</m:t>
            </m:r>
          </m:sub>
        </m:sSub>
      </m:oMath>
      <w:r>
        <w:t xml:space="preserve"> </w:t>
      </w:r>
      <w:r>
        <w:t xml:space="preserve">bajo un esquema de muestreo complejo se realiza, mediante un estimador ponderado, que puede expresarse de la siguiente forma:</w:t>
      </w:r>
    </w:p>
    <w:p>
      <w:pPr>
        <w:pStyle w:val="BodyText"/>
      </w:pPr>
      <m:oMathPara>
        <m:oMathParaPr>
          <m:jc m:val="center"/>
        </m:oMathParaPr>
        <m:oMath>
          <m:acc>
            <m:accPr>
              <m:chr m:val="̂"/>
            </m:accPr>
            <m:e>
              <m:sSub>
                <m:e>
                  <m:r>
                    <m:t>β</m:t>
                  </m:r>
                </m:e>
                <m:sub>
                  <m:r>
                    <m:t>1</m:t>
                  </m:r>
                </m:sub>
              </m:sSub>
            </m:e>
          </m:acc>
          <m:r>
            <m:rPr>
              <m:sty m:val="p"/>
            </m:rPr>
            <m:t>=</m:t>
          </m:r>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rPr>
                  <m:sty m:val="p"/>
                </m:rPr>
                <m:t>(</m:t>
              </m:r>
              <m:sSub>
                <m:e>
                  <m:r>
                    <m:t>y</m:t>
                  </m:r>
                </m:e>
                <m:sub>
                  <m:r>
                    <m:t>h</m:t>
                  </m:r>
                  <m:r>
                    <m:t>i</m:t>
                  </m:r>
                  <m:r>
                    <m:t>k</m:t>
                  </m:r>
                </m:sub>
              </m:sSub>
              <m:r>
                <m:rPr>
                  <m:sty m:val="p"/>
                </m:rPr>
                <m:t>−</m:t>
              </m:r>
              <m:acc>
                <m:accPr>
                  <m:chr m:val="̂"/>
                </m:accPr>
                <m:e>
                  <m:acc>
                    <m:accPr>
                      <m:chr m:val="‾"/>
                    </m:accPr>
                    <m:e>
                      <m:r>
                        <m:t>y</m:t>
                      </m:r>
                    </m:e>
                  </m:acc>
                </m:e>
              </m:acc>
              <m:r>
                <m:rPr>
                  <m:sty m:val="p"/>
                </m:rPr>
                <m:t>)</m:t>
              </m:r>
              <m:r>
                <m:rPr>
                  <m:sty m:val="p"/>
                </m:rPr>
                <m:t>(</m:t>
              </m:r>
              <m:sSub>
                <m:e>
                  <m:r>
                    <m:t>x</m:t>
                  </m:r>
                </m:e>
                <m:sub>
                  <m:r>
                    <m:t>h</m:t>
                  </m:r>
                  <m:r>
                    <m:t>i</m:t>
                  </m:r>
                  <m:r>
                    <m:t>k</m:t>
                  </m:r>
                </m:sub>
              </m:sSub>
              <m:r>
                <m:rPr>
                  <m:sty m:val="p"/>
                </m:rPr>
                <m:t>−</m:t>
              </m:r>
              <m:acc>
                <m:accPr>
                  <m:chr m:val="̂"/>
                </m:accPr>
                <m:e>
                  <m:acc>
                    <m:accPr>
                      <m:chr m:val="‾"/>
                    </m:accPr>
                    <m:e>
                      <m:r>
                        <m:t>x</m:t>
                      </m:r>
                    </m:e>
                  </m:acc>
                </m:e>
              </m:acc>
              <m:r>
                <m:rPr>
                  <m:sty m:val="p"/>
                </m:rPr>
                <m:t>)</m:t>
              </m:r>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rPr>
                  <m:sty m:val="p"/>
                </m:rPr>
                <m:t>(</m:t>
              </m:r>
              <m:sSub>
                <m:e>
                  <m:r>
                    <m:t>x</m:t>
                  </m:r>
                </m:e>
                <m:sub>
                  <m:r>
                    <m:t>h</m:t>
                  </m:r>
                  <m:r>
                    <m:t>i</m:t>
                  </m:r>
                  <m:r>
                    <m:t>k</m:t>
                  </m:r>
                </m:sub>
              </m:sSub>
              <m:r>
                <m:rPr>
                  <m:sty m:val="p"/>
                </m:rPr>
                <m:t>−</m:t>
              </m:r>
              <m:acc>
                <m:accPr>
                  <m:chr m:val="̂"/>
                </m:accPr>
                <m:e>
                  <m:acc>
                    <m:accPr>
                      <m:chr m:val="‾"/>
                    </m:accPr>
                    <m:e>
                      <m:r>
                        <m:t>x</m:t>
                      </m:r>
                    </m:e>
                  </m:acc>
                </m:e>
              </m:acc>
              <m:sSup>
                <m:e>
                  <m:r>
                    <m:rPr>
                      <m:sty m:val="p"/>
                    </m:rPr>
                    <m:t>)</m:t>
                  </m:r>
                </m:e>
                <m:sup>
                  <m:r>
                    <m:t>2</m:t>
                  </m:r>
                </m:sup>
              </m:sSup>
            </m:den>
          </m:f>
          <m:r>
            <m:rPr>
              <m:sty m:val="p"/>
            </m:rPr>
            <m:t>=</m:t>
          </m:r>
          <m:f>
            <m:fPr>
              <m:type m:val="bar"/>
            </m:fPr>
            <m:num>
              <m:sSub>
                <m:e>
                  <m:acc>
                    <m:accPr>
                      <m:chr m:val="̂"/>
                    </m:accPr>
                    <m:e>
                      <m:r>
                        <m:t>t</m:t>
                      </m:r>
                    </m:e>
                  </m:acc>
                </m:e>
                <m:sub>
                  <m:r>
                    <m:t>x</m:t>
                  </m:r>
                  <m:r>
                    <m:t>y</m:t>
                  </m:r>
                </m:sub>
              </m:sSub>
            </m:num>
            <m:den>
              <m:sSub>
                <m:e>
                  <m:acc>
                    <m:accPr>
                      <m:chr m:val="̂"/>
                    </m:accPr>
                    <m:e>
                      <m:r>
                        <m:t>t</m:t>
                      </m:r>
                    </m:e>
                  </m:acc>
                </m:e>
                <m:sub>
                  <m:r>
                    <m:t>x</m:t>
                  </m:r>
                  <m:r>
                    <m:t>x</m:t>
                  </m:r>
                </m:sub>
              </m:sSub>
            </m:den>
          </m:f>
        </m:oMath>
      </m:oMathPara>
    </w:p>
    <w:p>
      <w:pPr>
        <w:pStyle w:val="FirstParagraph"/>
      </w:pPr>
      <w:r>
        <w:t xml:space="preserve">En donde</w:t>
      </w:r>
      <w:r>
        <w:t xml:space="preserve"> </w:t>
      </w:r>
      <m:oMath>
        <m:acc>
          <m:accPr>
            <m:chr m:val="̂"/>
          </m:accPr>
          <m:e>
            <m:acc>
              <m:accPr>
                <m:chr m:val="‾"/>
              </m:accPr>
              <m:e>
                <m:r>
                  <m:t>y</m:t>
                </m:r>
              </m:e>
            </m:acc>
          </m:e>
        </m:acc>
        <m:r>
          <m:rPr>
            <m:sty m:val="p"/>
          </m:rPr>
          <m:t>=</m:t>
        </m:r>
        <m:sSub>
          <m:e>
            <m:acc>
              <m:accPr>
                <m:chr m:val="̂"/>
              </m:accPr>
              <m:e>
                <m:r>
                  <m:t>t</m:t>
                </m:r>
              </m:e>
            </m:acc>
          </m:e>
          <m:sub>
            <m:r>
              <m:t>y</m:t>
            </m:r>
          </m:sub>
        </m:sSub>
        <m:r>
          <m:rPr>
            <m:sty m:val="p"/>
          </m:rPr>
          <m:t>/</m:t>
        </m:r>
        <m:acc>
          <m:accPr>
            <m:chr m:val="̂"/>
          </m:accPr>
          <m:e>
            <m:r>
              <m:t>N</m:t>
            </m:r>
          </m:e>
        </m:acc>
      </m:oMath>
      <w:r>
        <w:t xml:space="preserve"> </w:t>
      </w:r>
      <w:r>
        <w:t xml:space="preserve">y</w:t>
      </w:r>
      <w:r>
        <w:t xml:space="preserve"> </w:t>
      </w:r>
      <m:oMath>
        <m:acc>
          <m:accPr>
            <m:chr m:val="̂"/>
          </m:accPr>
          <m:e>
            <m:acc>
              <m:accPr>
                <m:chr m:val="‾"/>
              </m:accPr>
              <m:e>
                <m:r>
                  <m:t>x</m:t>
                </m:r>
              </m:e>
            </m:acc>
          </m:e>
        </m:acc>
        <m:r>
          <m:rPr>
            <m:sty m:val="p"/>
          </m:rPr>
          <m:t>=</m:t>
        </m:r>
        <m:sSub>
          <m:e>
            <m:acc>
              <m:accPr>
                <m:chr m:val="̂"/>
              </m:accPr>
              <m:e>
                <m:r>
                  <m:t>t</m:t>
                </m:r>
              </m:e>
            </m:acc>
          </m:e>
          <m:sub>
            <m:r>
              <m:t>x</m:t>
            </m:r>
          </m:sub>
        </m:sSub>
        <m:r>
          <m:rPr>
            <m:sty m:val="p"/>
          </m:rPr>
          <m:t>/</m:t>
        </m:r>
        <m:acc>
          <m:accPr>
            <m:chr m:val="̂"/>
          </m:accPr>
          <m:e>
            <m:r>
              <m:t>N</m:t>
            </m:r>
          </m:e>
        </m:acc>
      </m:oMath>
      <w:r>
        <w:t xml:space="preserve"> </w:t>
      </w:r>
      <w:r>
        <w:t xml:space="preserve">corresponden a las medias estimadas de las variables de estudio y auxiliar, respectivamente, mientras que</w:t>
      </w:r>
      <w:r>
        <w:t xml:space="preserve"> </w:t>
      </w:r>
      <m:oMath>
        <m:sSub>
          <m:e>
            <m:r>
              <m:t>w</m:t>
            </m:r>
          </m:e>
          <m:sub>
            <m:r>
              <m:t>h</m:t>
            </m:r>
            <m:r>
              <m:t>i</m:t>
            </m:r>
            <m:r>
              <m:t>k</m:t>
            </m:r>
          </m:sub>
        </m:sSub>
      </m:oMath>
      <w:r>
        <w:t xml:space="preserve"> </w:t>
      </w:r>
      <w:r>
        <w:t xml:space="preserve">representa los pesos de muestreo asociados a cada unidad de observación. Esta formulación incorpora explícitamente dichos pesos, lo que permite considerar las probabilidades desiguales de selección y las características propias del diseño muestral. Asimismo, la varianza estimada de</w:t>
      </w:r>
      <w:r>
        <w:t xml:space="preserve"> </w:t>
      </w:r>
      <m:oMath>
        <m:sSub>
          <m:e>
            <m:acc>
              <m:accPr>
                <m:chr m:val="̂"/>
              </m:accPr>
              <m:e>
                <m:r>
                  <m:t>β</m:t>
                </m:r>
              </m:e>
            </m:acc>
          </m:e>
          <m:sub>
            <m:r>
              <m:t>1</m:t>
            </m:r>
          </m:sub>
        </m:sSub>
      </m:oMath>
      <w:r>
        <w:t xml:space="preserve"> </w:t>
      </w:r>
      <w:r>
        <w:t xml:space="preserve">puede aproximarse como:</w:t>
      </w:r>
    </w:p>
    <w:p>
      <w:pPr>
        <w:pStyle w:val="BodyText"/>
      </w:pPr>
      <m:oMathPara>
        <m:oMathParaPr>
          <m:jc m:val="center"/>
        </m:oMathParaPr>
        <m:oMath>
          <m:acc>
            <m:accPr>
              <m:chr m:val="̂"/>
            </m:accPr>
            <m:e>
              <m:r>
                <m:t>V</m:t>
              </m:r>
              <m:r>
                <m:t>a</m:t>
              </m:r>
              <m:r>
                <m:t>r</m:t>
              </m:r>
            </m:e>
          </m:acc>
          <m:d>
            <m:dPr>
              <m:begChr m:val="("/>
              <m:sepChr m:val=""/>
              <m:endChr m:val=")"/>
              <m:grow/>
            </m:dPr>
            <m:e>
              <m:acc>
                <m:accPr>
                  <m:chr m:val="̂"/>
                </m:accPr>
                <m:e>
                  <m:sSub>
                    <m:e>
                      <m:r>
                        <m:t>β</m:t>
                      </m:r>
                    </m:e>
                    <m:sub>
                      <m:r>
                        <m:t>1</m:t>
                      </m:r>
                    </m:sub>
                  </m:sSub>
                </m:e>
              </m:acc>
            </m:e>
          </m:d>
          <m:r>
            <m:rPr>
              <m:sty m:val="p"/>
            </m:rPr>
            <m:t>≈</m:t>
          </m:r>
          <m:f>
            <m:fPr>
              <m:type m:val="bar"/>
            </m:fPr>
            <m:num>
              <m:acc>
                <m:accPr>
                  <m:chr m:val="̂"/>
                </m:accPr>
                <m:e>
                  <m:r>
                    <m:t>V</m:t>
                  </m:r>
                  <m:r>
                    <m:t>a</m:t>
                  </m:r>
                  <m:r>
                    <m:t>r</m:t>
                  </m:r>
                </m:e>
              </m:acc>
              <m:r>
                <m:rPr>
                  <m:sty m:val="p"/>
                </m:rPr>
                <m:t>(</m:t>
              </m:r>
              <m:sSub>
                <m:e>
                  <m:acc>
                    <m:accPr>
                      <m:chr m:val="̂"/>
                    </m:accPr>
                    <m:e>
                      <m:r>
                        <m:t>t</m:t>
                      </m:r>
                    </m:e>
                  </m:acc>
                </m:e>
                <m:sub>
                  <m:r>
                    <m:t>x</m:t>
                  </m:r>
                  <m:r>
                    <m:t>y</m:t>
                  </m:r>
                </m:sub>
              </m:sSub>
              <m:r>
                <m:rPr>
                  <m:sty m:val="p"/>
                </m:rPr>
                <m:t>)</m:t>
              </m:r>
              <m:r>
                <m:rPr>
                  <m:sty m:val="p"/>
                </m:rPr>
                <m:t>+</m:t>
              </m:r>
              <m:sSubSup>
                <m:e>
                  <m:acc>
                    <m:accPr>
                      <m:chr m:val="̂"/>
                    </m:accPr>
                    <m:e>
                      <m:r>
                        <m:t>β</m:t>
                      </m:r>
                    </m:e>
                  </m:acc>
                </m:e>
                <m:sub>
                  <m:r>
                    <m:t>1</m:t>
                  </m:r>
                </m:sub>
                <m:sup>
                  <m:r>
                    <m:t>2</m:t>
                  </m:r>
                </m:sup>
              </m:sSubSup>
              <m:acc>
                <m:accPr>
                  <m:chr m:val="̂"/>
                </m:accPr>
                <m:e>
                  <m:r>
                    <m:t>V</m:t>
                  </m:r>
                  <m:r>
                    <m:t>a</m:t>
                  </m:r>
                  <m:r>
                    <m:t>r</m:t>
                  </m:r>
                </m:e>
              </m:acc>
              <m:r>
                <m:rPr>
                  <m:sty m:val="p"/>
                </m:rPr>
                <m:t>(</m:t>
              </m:r>
              <m:sSub>
                <m:e>
                  <m:acc>
                    <m:accPr>
                      <m:chr m:val="̂"/>
                    </m:accPr>
                    <m:e>
                      <m:r>
                        <m:t>t</m:t>
                      </m:r>
                    </m:e>
                  </m:acc>
                </m:e>
                <m:sub>
                  <m:r>
                    <m:t>x</m:t>
                  </m:r>
                  <m:r>
                    <m:t>x</m:t>
                  </m:r>
                </m:sub>
              </m:sSub>
              <m:r>
                <m:rPr>
                  <m:sty m:val="p"/>
                </m:rPr>
                <m:t>)</m:t>
              </m:r>
              <m:r>
                <m:rPr>
                  <m:sty m:val="p"/>
                </m:rPr>
                <m:t>−</m:t>
              </m:r>
              <m:r>
                <m:t>2</m:t>
              </m:r>
              <m:sSub>
                <m:e>
                  <m:acc>
                    <m:accPr>
                      <m:chr m:val="̂"/>
                    </m:accPr>
                    <m:e>
                      <m:r>
                        <m:t>β</m:t>
                      </m:r>
                    </m:e>
                  </m:acc>
                </m:e>
                <m:sub>
                  <m:r>
                    <m:t>1</m:t>
                  </m:r>
                </m:sub>
              </m:sSub>
              <m:acc>
                <m:accPr>
                  <m:chr m:val="̂"/>
                </m:accPr>
                <m:e>
                  <m:r>
                    <m:t>C</m:t>
                  </m:r>
                  <m:r>
                    <m:t>o</m:t>
                  </m:r>
                  <m:r>
                    <m:t>v</m:t>
                  </m:r>
                </m:e>
              </m:acc>
              <m:r>
                <m:rPr>
                  <m:sty m:val="p"/>
                </m:rPr>
                <m:t>(</m:t>
              </m:r>
              <m:sSub>
                <m:e>
                  <m:acc>
                    <m:accPr>
                      <m:chr m:val="̂"/>
                    </m:accPr>
                    <m:e>
                      <m:r>
                        <m:t>t</m:t>
                      </m:r>
                    </m:e>
                  </m:acc>
                </m:e>
                <m:sub>
                  <m:r>
                    <m:t>x</m:t>
                  </m:r>
                  <m:r>
                    <m:t>y</m:t>
                  </m:r>
                </m:sub>
              </m:sSub>
              <m:r>
                <m:rPr>
                  <m:sty m:val="p"/>
                </m:rPr>
                <m:t>,</m:t>
              </m:r>
              <m:sSub>
                <m:e>
                  <m:acc>
                    <m:accPr>
                      <m:chr m:val="̂"/>
                    </m:accPr>
                    <m:e>
                      <m:r>
                        <m:t>t</m:t>
                      </m:r>
                    </m:e>
                  </m:acc>
                </m:e>
                <m:sub>
                  <m:r>
                    <m:t>x</m:t>
                  </m:r>
                  <m:r>
                    <m:t>x</m:t>
                  </m:r>
                </m:sub>
              </m:sSub>
              <m:r>
                <m:rPr>
                  <m:sty m:val="p"/>
                </m:rPr>
                <m:t>)</m:t>
              </m:r>
            </m:num>
            <m:den>
              <m:r>
                <m:rPr>
                  <m:sty m:val="p"/>
                </m:rPr>
                <m:t>(</m:t>
              </m:r>
              <m:sSub>
                <m:e>
                  <m:acc>
                    <m:accPr>
                      <m:chr m:val="̂"/>
                    </m:accPr>
                    <m:e>
                      <m:r>
                        <m:t>t</m:t>
                      </m:r>
                    </m:e>
                  </m:acc>
                </m:e>
                <m:sub>
                  <m:r>
                    <m:t>x</m:t>
                  </m:r>
                  <m:r>
                    <m:t>x</m:t>
                  </m:r>
                </m:sub>
              </m:sSub>
              <m:sSup>
                <m:e>
                  <m:r>
                    <m:rPr>
                      <m:sty m:val="p"/>
                    </m:rPr>
                    <m:t>)</m:t>
                  </m:r>
                </m:e>
                <m:sup>
                  <m:r>
                    <m:t>2</m:t>
                  </m:r>
                </m:sup>
              </m:sSup>
            </m:den>
          </m:f>
        </m:oMath>
      </m:oMathPara>
    </w:p>
    <w:p>
      <w:pPr>
        <w:pStyle w:val="FirstParagraph"/>
      </w:pPr>
      <w:r>
        <w:t xml:space="preserve">Si</w:t>
      </w:r>
      <w:r>
        <w:t xml:space="preserve"> </w:t>
      </w:r>
      <m:oMath>
        <m:sSub>
          <m:e>
            <m:acc>
              <m:accPr>
                <m:chr m:val="̂"/>
              </m:accPr>
              <m:e>
                <m:r>
                  <m:t>β</m:t>
                </m:r>
              </m:e>
            </m:acc>
          </m:e>
          <m:sub>
            <m:r>
              <m:t>1</m:t>
            </m:r>
          </m:sub>
        </m:sSub>
      </m:oMath>
      <w:r>
        <w:t xml:space="preserve"> </w:t>
      </w:r>
      <w:r>
        <w:t xml:space="preserve">corresponde al estimador de la pendiente en un modelo de regresión lineal simple ponderado, entonces el estimador del intercepto</w:t>
      </w:r>
      <w:r>
        <w:t xml:space="preserve"> </w:t>
      </w:r>
      <m:oMath>
        <m:sSub>
          <m:e>
            <m:acc>
              <m:accPr>
                <m:chr m:val="̂"/>
              </m:accPr>
              <m:e>
                <m:r>
                  <m:t>β</m:t>
                </m:r>
              </m:e>
            </m:acc>
          </m:e>
          <m:sub>
            <m:r>
              <m:t>0</m:t>
            </m:r>
          </m:sub>
        </m:sSub>
      </m:oMath>
      <w:r>
        <w:t xml:space="preserve"> </w:t>
      </w:r>
      <w:r>
        <w:t xml:space="preserve">está dado por</w:t>
      </w:r>
    </w:p>
    <w:p>
      <w:pPr>
        <w:pStyle w:val="BodyText"/>
      </w:pPr>
      <m:oMathPara>
        <m:oMathParaPr>
          <m:jc m:val="center"/>
        </m:oMathParaPr>
        <m:oMath>
          <m:sSub>
            <m:e>
              <m:acc>
                <m:accPr>
                  <m:chr m:val="̂"/>
                </m:accPr>
                <m:e>
                  <m:r>
                    <m:t>β</m:t>
                  </m:r>
                </m:e>
              </m:acc>
            </m:e>
            <m:sub>
              <m:r>
                <m:t>0</m:t>
              </m:r>
            </m:sub>
          </m:sSub>
          <m:r>
            <m:rPr>
              <m:sty m:val="p"/>
            </m:rPr>
            <m:t>=</m:t>
          </m:r>
          <m:acc>
            <m:accPr>
              <m:chr m:val="̂"/>
            </m:accPr>
            <m:e>
              <m:acc>
                <m:accPr>
                  <m:chr m:val="‾"/>
                </m:accPr>
                <m:e>
                  <m:r>
                    <m:t>y</m:t>
                  </m:r>
                </m:e>
              </m:acc>
            </m:e>
          </m:acc>
          <m:r>
            <m:rPr>
              <m:sty m:val="p"/>
            </m:rPr>
            <m:t>−</m:t>
          </m:r>
          <m:sSub>
            <m:e>
              <m:acc>
                <m:accPr>
                  <m:chr m:val="̂"/>
                </m:accPr>
                <m:e>
                  <m:r>
                    <m:t>β</m:t>
                  </m:r>
                </m:e>
              </m:acc>
            </m:e>
            <m:sub>
              <m:r>
                <m:t>1</m:t>
              </m:r>
            </m:sub>
          </m:sSub>
          <m:acc>
            <m:accPr>
              <m:chr m:val="̂"/>
            </m:accPr>
            <m:e>
              <m:acc>
                <m:accPr>
                  <m:chr m:val="‾"/>
                </m:accPr>
                <m:e>
                  <m:r>
                    <m:t>x</m:t>
                  </m:r>
                </m:e>
              </m:acc>
            </m:e>
          </m:acc>
        </m:oMath>
      </m:oMathPara>
    </w:p>
    <w:p>
      <w:pPr>
        <w:pStyle w:val="FirstParagraph"/>
      </w:pPr>
      <w:r>
        <w:t xml:space="preserve">Nótese que la varianza de</w:t>
      </w:r>
      <w:r>
        <w:t xml:space="preserve"> </w:t>
      </w:r>
      <m:oMath>
        <m:sSub>
          <m:e>
            <m:acc>
              <m:accPr>
                <m:chr m:val="̂"/>
              </m:accPr>
              <m:e>
                <m:r>
                  <m:t>β</m:t>
                </m:r>
              </m:e>
            </m:acc>
          </m:e>
          <m:sub>
            <m:r>
              <m:t>0</m:t>
            </m:r>
          </m:sub>
        </m:sSub>
      </m:oMath>
      <w:r>
        <w:t xml:space="preserve"> </w:t>
      </w:r>
      <w:r>
        <w:t xml:space="preserve">depende simultáneamente de los estimadores</w:t>
      </w:r>
      <w:r>
        <w:t xml:space="preserve"> </w:t>
      </w:r>
      <m:oMath>
        <m:acc>
          <m:accPr>
            <m:chr m:val="̂"/>
          </m:accPr>
          <m:e>
            <m:acc>
              <m:accPr>
                <m:chr m:val="‾"/>
              </m:accPr>
              <m:e>
                <m:r>
                  <m:t>y</m:t>
                </m:r>
              </m:e>
            </m:acc>
          </m:e>
        </m:acc>
      </m:oMath>
      <w:r>
        <w:t xml:space="preserve">,</w:t>
      </w:r>
      <w:r>
        <w:t xml:space="preserve"> </w:t>
      </w:r>
      <m:oMath>
        <m:acc>
          <m:accPr>
            <m:chr m:val="̂"/>
          </m:accPr>
          <m:e>
            <m:acc>
              <m:accPr>
                <m:chr m:val="‾"/>
              </m:accPr>
              <m:e>
                <m:r>
                  <m:t>x</m:t>
                </m:r>
              </m:e>
            </m:acc>
          </m:e>
        </m:acc>
      </m:oMath>
      <w:r>
        <w:t xml:space="preserve"> </w:t>
      </w:r>
      <w:r>
        <w:t xml:space="preserve">y</w:t>
      </w:r>
      <w:r>
        <w:t xml:space="preserve"> </w:t>
      </w:r>
      <m:oMath>
        <m:sSub>
          <m:e>
            <m:acc>
              <m:accPr>
                <m:chr m:val="̂"/>
              </m:accPr>
              <m:e>
                <m:r>
                  <m:t>β</m:t>
                </m:r>
              </m:e>
            </m:acc>
          </m:e>
          <m:sub>
            <m:r>
              <m:t>1</m:t>
            </m:r>
          </m:sub>
        </m:sSub>
      </m:oMath>
      <w:r>
        <w:t xml:space="preserve">. Por esta razón, su aproximación puede obtenerse mediante las propiedades de la varianza de combinaciones lineales de estimadores, en conjunto con técnicas de linearización de Taylor. A partir de este procedimiento se deriva la matriz de varianzas y covarianzas de los coeficientes del modelo, de la cual se obtienen tanto los errores estándar como las covarianzas asociadas a las estimaciones de los parámetros.</w:t>
      </w:r>
    </w:p>
    <w:p>
      <w:pPr>
        <w:pStyle w:val="BodyText"/>
      </w:pPr>
      <w:r>
        <w:t xml:space="preserve">De acuerdo con</w:t>
      </w:r>
      <w:r>
        <w:t xml:space="preserve"> </w:t>
      </w:r>
      <w:r>
        <w:t xml:space="preserve">Kish y Frankel (1974)</w:t>
      </w:r>
      <w:r>
        <w:t xml:space="preserve">, en el caso de la regresión múltiple, si</w:t>
      </w:r>
      <w:r>
        <w:t xml:space="preserve"> </w:t>
      </w:r>
      <m:oMath>
        <m:acc>
          <m:accPr>
            <m:chr m:val="̂"/>
          </m:accPr>
          <m:e>
            <m:r>
              <m:rPr>
                <m:sty m:val="b"/>
              </m:rPr>
              <m:t>β</m:t>
            </m:r>
          </m:e>
        </m:acc>
      </m:oMath>
      <w:r>
        <w:t xml:space="preserve"> </w:t>
      </w:r>
      <w:r>
        <w:t xml:space="preserve">representa el estimador de</w:t>
      </w:r>
      <w:r>
        <w:t xml:space="preserve"> </w:t>
      </w:r>
      <m:oMath>
        <m:r>
          <m:rPr>
            <m:sty m:val="b"/>
          </m:rPr>
          <m:t>β</m:t>
        </m:r>
      </m:oMath>
      <w:r>
        <w:t xml:space="preserve">, entonces la varianza de cada coeficiente se estima considerando su interdependencia con los demás parámetros, lo que se refleja en la construcción de una matriz de varianzas-covarianzas que recoge tanto la variabilidad individual como las covarianzas entre todos los estimadores. Este cálculo requiere utilizar totales ponderados de cuadrados y productos cruzados de todas las combinaciones entre la variable dependiente</w:t>
      </w:r>
      <w:r>
        <w:t xml:space="preserve"> </w:t>
      </w:r>
      <m:oMath>
        <m:r>
          <m:t>y</m:t>
        </m:r>
      </m:oMath>
      <w:r>
        <w:t xml:space="preserve"> </w:t>
      </w:r>
      <w:r>
        <w:t xml:space="preserve">y el conjunto de predictores</w:t>
      </w:r>
      <w:r>
        <w:t xml:space="preserve"> </w:t>
      </w:r>
      <m:oMath>
        <m:r>
          <m:rPr>
            <m:sty m:val="b"/>
          </m:rPr>
          <m:t>x</m:t>
        </m:r>
        <m:r>
          <m:rPr>
            <m:sty m:val="p"/>
          </m:rPr>
          <m:t>=</m:t>
        </m:r>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En términos generales:</w:t>
      </w:r>
    </w:p>
    <w:p>
      <w:pPr>
        <w:pStyle w:val="BodyText"/>
      </w:pPr>
      <m:oMathPara>
        <m:oMathParaPr>
          <m:jc m:val="center"/>
        </m:oMathParaPr>
        <m:oMath>
          <m:acc>
            <m:accPr>
              <m:chr m:val="̂"/>
            </m:accPr>
            <m:e>
              <m:r>
                <m:t>V</m:t>
              </m:r>
              <m:r>
                <m:t>a</m:t>
              </m:r>
              <m:r>
                <m:t>r</m:t>
              </m:r>
            </m:e>
          </m:acc>
          <m:r>
            <m:rPr>
              <m:sty m:val="p"/>
            </m:rPr>
            <m:t>(</m:t>
          </m:r>
          <m:acc>
            <m:accPr>
              <m:chr m:val="̂"/>
            </m:accPr>
            <m:e>
              <m:r>
                <m:rPr>
                  <m:sty m:val="b"/>
                </m:rPr>
                <m:t>β</m:t>
              </m:r>
            </m:e>
          </m:acc>
          <m:r>
            <m:rPr>
              <m:sty m:val="p"/>
            </m:rPr>
            <m:t>)</m:t>
          </m:r>
          <m:r>
            <m:rPr>
              <m:sty m:val="p"/>
            </m:rPr>
            <m:t>=</m:t>
          </m:r>
          <m:acc>
            <m:accPr>
              <m:chr m:val="̂"/>
            </m:accPr>
            <m:e>
              <m:r>
                <m:rPr>
                  <m:sty m:val="b"/>
                </m:rPr>
                <m:t>Σ</m:t>
              </m:r>
            </m:e>
          </m:acc>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acc>
                      <m:accPr>
                        <m:chr m:val="̂"/>
                      </m:accPr>
                      <m:e>
                        <m:r>
                          <m:t>V</m:t>
                        </m:r>
                        <m:r>
                          <m:t>a</m:t>
                        </m:r>
                        <m:r>
                          <m:t>r</m:t>
                        </m:r>
                      </m:e>
                    </m:acc>
                    <m:r>
                      <m:rPr>
                        <m:sty m:val="p"/>
                      </m:rPr>
                      <m:t>(</m:t>
                    </m:r>
                    <m:sSub>
                      <m:e>
                        <m:acc>
                          <m:accPr>
                            <m:chr m:val="̂"/>
                          </m:accPr>
                          <m:e>
                            <m:r>
                              <m:t>β</m:t>
                            </m:r>
                          </m:e>
                        </m:acc>
                      </m:e>
                      <m:sub>
                        <m:r>
                          <m:t>0</m:t>
                        </m:r>
                      </m:sub>
                    </m:sSub>
                    <m:r>
                      <m:rPr>
                        <m:sty m:val="p"/>
                      </m:rPr>
                      <m:t>)</m:t>
                    </m:r>
                  </m:e>
                  <m:e>
                    <m:acc>
                      <m:accPr>
                        <m:chr m:val="̂"/>
                      </m:accPr>
                      <m:e>
                        <m:r>
                          <m:t>C</m:t>
                        </m:r>
                        <m:r>
                          <m:t>o</m:t>
                        </m:r>
                        <m:r>
                          <m:t>v</m:t>
                        </m:r>
                      </m:e>
                    </m:acc>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e>
                  <m:e>
                    <m:r>
                      <m:rPr>
                        <m:sty m:val="p"/>
                      </m:rPr>
                      <m:t>⋯</m:t>
                    </m:r>
                  </m:e>
                  <m:e>
                    <m:acc>
                      <m:accPr>
                        <m:chr m:val="̂"/>
                      </m:accPr>
                      <m:e>
                        <m:r>
                          <m:t>C</m:t>
                        </m:r>
                        <m:r>
                          <m:t>o</m:t>
                        </m:r>
                        <m:r>
                          <m:t>v</m:t>
                        </m:r>
                      </m:e>
                    </m:acc>
                    <m:r>
                      <m:rPr>
                        <m:sty m:val="p"/>
                      </m:rPr>
                      <m:t>(</m:t>
                    </m:r>
                    <m:sSub>
                      <m:e>
                        <m:acc>
                          <m:accPr>
                            <m:chr m:val="̂"/>
                          </m:accPr>
                          <m:e>
                            <m:r>
                              <m:t>β</m:t>
                            </m:r>
                          </m:e>
                        </m:acc>
                      </m:e>
                      <m:sub>
                        <m:r>
                          <m:t>0</m:t>
                        </m:r>
                      </m:sub>
                    </m:sSub>
                    <m:r>
                      <m:rPr>
                        <m:sty m:val="p"/>
                      </m:rPr>
                      <m:t>,</m:t>
                    </m:r>
                    <m:sSub>
                      <m:e>
                        <m:acc>
                          <m:accPr>
                            <m:chr m:val="̂"/>
                          </m:accPr>
                          <m:e>
                            <m:r>
                              <m:t>β</m:t>
                            </m:r>
                          </m:e>
                        </m:acc>
                      </m:e>
                      <m:sub>
                        <m:r>
                          <m:t>p</m:t>
                        </m:r>
                      </m:sub>
                    </m:sSub>
                    <m:r>
                      <m:rPr>
                        <m:sty m:val="p"/>
                      </m:rPr>
                      <m:t>)</m:t>
                    </m:r>
                  </m:e>
                </m:mr>
                <m:mr>
                  <m:e>
                    <m:acc>
                      <m:accPr>
                        <m:chr m:val="̂"/>
                      </m:accPr>
                      <m:e>
                        <m:r>
                          <m:t>C</m:t>
                        </m:r>
                        <m:r>
                          <m:t>o</m:t>
                        </m:r>
                        <m:r>
                          <m:t>v</m:t>
                        </m:r>
                      </m:e>
                    </m:acc>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e>
                  <m:e>
                    <m:acc>
                      <m:accPr>
                        <m:chr m:val="̂"/>
                      </m:accPr>
                      <m:e>
                        <m:r>
                          <m:t>V</m:t>
                        </m:r>
                        <m:r>
                          <m:t>a</m:t>
                        </m:r>
                        <m:r>
                          <m:t>r</m:t>
                        </m:r>
                      </m:e>
                    </m:acc>
                    <m:r>
                      <m:rPr>
                        <m:sty m:val="p"/>
                      </m:rPr>
                      <m:t>(</m:t>
                    </m:r>
                    <m:sSub>
                      <m:e>
                        <m:acc>
                          <m:accPr>
                            <m:chr m:val="̂"/>
                          </m:accPr>
                          <m:e>
                            <m:r>
                              <m:t>β</m:t>
                            </m:r>
                          </m:e>
                        </m:acc>
                      </m:e>
                      <m:sub>
                        <m:r>
                          <m:t>1</m:t>
                        </m:r>
                      </m:sub>
                    </m:sSub>
                    <m:r>
                      <m:rPr>
                        <m:sty m:val="p"/>
                      </m:rPr>
                      <m:t>)</m:t>
                    </m:r>
                  </m:e>
                  <m:e>
                    <m:r>
                      <m:rPr>
                        <m:sty m:val="p"/>
                      </m:rPr>
                      <m:t>⋯</m:t>
                    </m:r>
                  </m:e>
                  <m:e>
                    <m:acc>
                      <m:accPr>
                        <m:chr m:val="̂"/>
                      </m:accPr>
                      <m:e>
                        <m:r>
                          <m:t>C</m:t>
                        </m:r>
                        <m:r>
                          <m:t>o</m:t>
                        </m:r>
                        <m:r>
                          <m:t>v</m:t>
                        </m:r>
                      </m:e>
                    </m:acc>
                    <m:r>
                      <m:rPr>
                        <m:sty m:val="p"/>
                      </m:rPr>
                      <m:t>(</m:t>
                    </m:r>
                    <m:sSub>
                      <m:e>
                        <m:acc>
                          <m:accPr>
                            <m:chr m:val="̂"/>
                          </m:accPr>
                          <m:e>
                            <m:r>
                              <m:t>β</m:t>
                            </m:r>
                          </m:e>
                        </m:acc>
                      </m:e>
                      <m:sub>
                        <m:r>
                          <m:t>1</m:t>
                        </m:r>
                      </m:sub>
                    </m:sSub>
                    <m:r>
                      <m:rPr>
                        <m:sty m:val="p"/>
                      </m:rPr>
                      <m:t>,</m:t>
                    </m:r>
                    <m:sSub>
                      <m:e>
                        <m:acc>
                          <m:accPr>
                            <m:chr m:val="̂"/>
                          </m:accPr>
                          <m:e>
                            <m:r>
                              <m:t>β</m:t>
                            </m:r>
                          </m:e>
                        </m:acc>
                      </m:e>
                      <m:sub>
                        <m:r>
                          <m:t>p</m:t>
                        </m:r>
                      </m:sub>
                    </m:sSub>
                    <m:r>
                      <m:rPr>
                        <m:sty m:val="p"/>
                      </m:rPr>
                      <m:t>)</m:t>
                    </m:r>
                  </m:e>
                </m:mr>
                <m:mr>
                  <m:e>
                    <m:r>
                      <m:rPr>
                        <m:sty m:val="p"/>
                      </m:rPr>
                      <m:t>⋮</m:t>
                    </m:r>
                  </m:e>
                  <m:e>
                    <m:r>
                      <m:rPr>
                        <m:sty m:val="p"/>
                      </m:rPr>
                      <m:t>⋮</m:t>
                    </m:r>
                  </m:e>
                  <m:e>
                    <m:r>
                      <m:rPr>
                        <m:sty m:val="p"/>
                      </m:rPr>
                      <m:t>⋱</m:t>
                    </m:r>
                  </m:e>
                  <m:e>
                    <m:r>
                      <m:rPr>
                        <m:sty m:val="p"/>
                      </m:rPr>
                      <m:t>⋮</m:t>
                    </m:r>
                  </m:e>
                </m:mr>
                <m:mr>
                  <m:e>
                    <m:acc>
                      <m:accPr>
                        <m:chr m:val="̂"/>
                      </m:accPr>
                      <m:e>
                        <m:r>
                          <m:t>C</m:t>
                        </m:r>
                        <m:r>
                          <m:t>o</m:t>
                        </m:r>
                        <m:r>
                          <m:t>v</m:t>
                        </m:r>
                      </m:e>
                    </m:acc>
                    <m:r>
                      <m:rPr>
                        <m:sty m:val="p"/>
                      </m:rPr>
                      <m:t>(</m:t>
                    </m:r>
                    <m:sSub>
                      <m:e>
                        <m:acc>
                          <m:accPr>
                            <m:chr m:val="̂"/>
                          </m:accPr>
                          <m:e>
                            <m:r>
                              <m:t>β</m:t>
                            </m:r>
                          </m:e>
                        </m:acc>
                      </m:e>
                      <m:sub>
                        <m:r>
                          <m:t>0</m:t>
                        </m:r>
                      </m:sub>
                    </m:sSub>
                    <m:r>
                      <m:rPr>
                        <m:sty m:val="p"/>
                      </m:rPr>
                      <m:t>,</m:t>
                    </m:r>
                    <m:sSub>
                      <m:e>
                        <m:acc>
                          <m:accPr>
                            <m:chr m:val="̂"/>
                          </m:accPr>
                          <m:e>
                            <m:r>
                              <m:t>β</m:t>
                            </m:r>
                          </m:e>
                        </m:acc>
                      </m:e>
                      <m:sub>
                        <m:r>
                          <m:t>p</m:t>
                        </m:r>
                      </m:sub>
                    </m:sSub>
                    <m:r>
                      <m:rPr>
                        <m:sty m:val="p"/>
                      </m:rPr>
                      <m:t>)</m:t>
                    </m:r>
                  </m:e>
                  <m:e>
                    <m:acc>
                      <m:accPr>
                        <m:chr m:val="̂"/>
                      </m:accPr>
                      <m:e>
                        <m:r>
                          <m:t>C</m:t>
                        </m:r>
                        <m:r>
                          <m:t>o</m:t>
                        </m:r>
                        <m:r>
                          <m:t>v</m:t>
                        </m:r>
                      </m:e>
                    </m:acc>
                    <m:r>
                      <m:rPr>
                        <m:sty m:val="p"/>
                      </m:rPr>
                      <m:t>(</m:t>
                    </m:r>
                    <m:sSub>
                      <m:e>
                        <m:acc>
                          <m:accPr>
                            <m:chr m:val="̂"/>
                          </m:accPr>
                          <m:e>
                            <m:r>
                              <m:t>β</m:t>
                            </m:r>
                          </m:e>
                        </m:acc>
                      </m:e>
                      <m:sub>
                        <m:r>
                          <m:t>1</m:t>
                        </m:r>
                      </m:sub>
                    </m:sSub>
                    <m:r>
                      <m:rPr>
                        <m:sty m:val="p"/>
                      </m:rPr>
                      <m:t>,</m:t>
                    </m:r>
                    <m:sSub>
                      <m:e>
                        <m:acc>
                          <m:accPr>
                            <m:chr m:val="̂"/>
                          </m:accPr>
                          <m:e>
                            <m:r>
                              <m:t>β</m:t>
                            </m:r>
                          </m:e>
                        </m:acc>
                      </m:e>
                      <m:sub>
                        <m:r>
                          <m:t>p</m:t>
                        </m:r>
                      </m:sub>
                    </m:sSub>
                    <m:r>
                      <m:rPr>
                        <m:sty m:val="p"/>
                      </m:rPr>
                      <m:t>)</m:t>
                    </m:r>
                  </m:e>
                  <m:e>
                    <m:r>
                      <m:rPr>
                        <m:sty m:val="p"/>
                      </m:rPr>
                      <m:t>⋯</m:t>
                    </m:r>
                  </m:e>
                  <m:e>
                    <m:acc>
                      <m:accPr>
                        <m:chr m:val="̂"/>
                      </m:accPr>
                      <m:e>
                        <m:r>
                          <m:t>V</m:t>
                        </m:r>
                        <m:r>
                          <m:t>a</m:t>
                        </m:r>
                        <m:r>
                          <m:t>r</m:t>
                        </m:r>
                      </m:e>
                    </m:acc>
                    <m:r>
                      <m:rPr>
                        <m:sty m:val="p"/>
                      </m:rPr>
                      <m:t>(</m:t>
                    </m:r>
                    <m:sSub>
                      <m:e>
                        <m:acc>
                          <m:accPr>
                            <m:chr m:val="̂"/>
                          </m:accPr>
                          <m:e>
                            <m:r>
                              <m:t>β</m:t>
                            </m:r>
                          </m:e>
                        </m:acc>
                      </m:e>
                      <m:sub>
                        <m:r>
                          <m:t>p</m:t>
                        </m:r>
                      </m:sub>
                    </m:sSub>
                    <m:r>
                      <m:rPr>
                        <m:sty m:val="p"/>
                      </m:rPr>
                      <m:t>)</m:t>
                    </m:r>
                  </m:e>
                </m:mr>
              </m:m>
            </m:e>
          </m:d>
        </m:oMath>
      </m:oMathPara>
    </w:p>
    <w:p>
      <w:pPr>
        <w:pStyle w:val="FirstParagraph"/>
      </w:pPr>
      <w:r>
        <w:t xml:space="preserve">En este capítulo se mostrará cómo implementar estos modelos en</w:t>
      </w:r>
      <w:r>
        <w:t xml:space="preserve"> </w:t>
      </w:r>
      <w:r>
        <w:rPr>
          <w:rStyle w:val="VerbatimChar"/>
        </w:rPr>
        <w:t xml:space="preserve">R</w:t>
      </w:r>
      <w:r>
        <w:t xml:space="preserve"> </w:t>
      </w:r>
      <w:r>
        <w:t xml:space="preserve">mediante las librerías</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junto con</w:t>
      </w:r>
      <w:r>
        <w:t xml:space="preserve"> </w:t>
      </w:r>
      <w:r>
        <w:rPr>
          <w:rStyle w:val="VerbatimChar"/>
        </w:rPr>
        <w:t xml:space="preserve">tidyverse</w:t>
      </w:r>
      <w:r>
        <w:t xml:space="preserve"> </w:t>
      </w:r>
      <w:r>
        <w:t xml:space="preserve">para organizar el flujo de trabajo. Se abordará la especificación del diseño muestral, la estimación de modelos lineales y logísticos, así como la obtención de errores estándar y pruebas de hipótesis ajustadas al diseño, integrando los fundamentos teóricos con ejemplos prácticos reproducibles. Para ejemplificar los conceptos desarrollados hasta este punto, se empleará la misma base de datos utilizada a lo largo del libro. El proceso inicia con la carga de las librerías, los datos y la definición del diseño de muestreo:</w:t>
      </w:r>
    </w:p>
    <w:p>
      <w:pPr>
        <w:pStyle w:val="SourceCode"/>
      </w:pP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rPr>
          <w:rStyle w:val="FunctionTok"/>
        </w:rPr>
        <w:t xml:space="preserve">library</w:t>
      </w:r>
      <w:r>
        <w:rPr>
          <w:rStyle w:val="NormalTok"/>
        </w:rPr>
        <w:t xml:space="preserve">(tidyverse)</w:t>
      </w:r>
      <w:r>
        <w:br/>
      </w:r>
      <w:r>
        <w:br/>
      </w:r>
      <w:r>
        <w:rPr>
          <w:rStyle w:val="FunctionTok"/>
        </w:rPr>
        <w:t xml:space="preserve">data</w:t>
      </w:r>
      <w:r>
        <w:rPr>
          <w:rStyle w:val="NormalTok"/>
        </w:rPr>
        <w:t xml:space="preserve">(BigCity, </w:t>
      </w:r>
      <w:r>
        <w:rPr>
          <w:rStyle w:val="AttributeTok"/>
        </w:rPr>
        <w:t xml:space="preserve">package =</w:t>
      </w:r>
      <w:r>
        <w:rPr>
          <w:rStyle w:val="NormalTok"/>
        </w:rPr>
        <w:t xml:space="preserve"> </w:t>
      </w:r>
      <w:r>
        <w:rPr>
          <w:rStyle w:val="StringTok"/>
        </w:rPr>
        <w:t xml:space="preserve">"TeachingSampling"</w:t>
      </w:r>
      <w:r>
        <w:rPr>
          <w:rStyle w:val="NormalTok"/>
        </w:rPr>
        <w:t xml:space="preserve">)</w:t>
      </w:r>
      <w:r>
        <w:br/>
      </w:r>
      <w:r>
        <w:rPr>
          <w:rStyle w:val="NormalTok"/>
        </w:rPr>
        <w:t xml:space="preserve">survey_data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r>
        <w:br/>
      </w:r>
      <w:r>
        <w:br/>
      </w:r>
      <w:r>
        <w:rPr>
          <w:rStyle w:val="NormalTok"/>
        </w:rPr>
        <w:t xml:space="preserve">survey_design </w:t>
      </w:r>
      <w:r>
        <w:rPr>
          <w:rStyle w:val="OtherTok"/>
        </w:rPr>
        <w:t xml:space="preserve">&lt;-</w:t>
      </w:r>
      <w:r>
        <w:rPr>
          <w:rStyle w:val="NormalTok"/>
        </w:rPr>
        <w:t xml:space="preserve"> survey_data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  )</w:t>
      </w:r>
    </w:p>
    <w:p>
      <w:pPr>
        <w:pStyle w:val="FirstParagraph"/>
      </w:pPr>
      <w:r>
        <w:t xml:space="preserve">En los ejemplos desarrollados a lo largo de este capítulo se emplearán los mismos subgrupos considerados en los capítulos anteriores.</w:t>
      </w:r>
    </w:p>
    <w:p>
      <w:pPr>
        <w:pStyle w:val="SourceCode"/>
      </w:pPr>
      <w:r>
        <w:rPr>
          <w:rStyle w:val="NormalTok"/>
        </w:rPr>
        <w:t xml:space="preserve">urban_subset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"Urban"</w:t>
      </w:r>
      <w:r>
        <w:rPr>
          <w:rStyle w:val="NormalTok"/>
        </w:rPr>
        <w:t xml:space="preserve">)</w:t>
      </w:r>
      <w:r>
        <w:br/>
      </w:r>
      <w:r>
        <w:br/>
      </w:r>
      <w:r>
        <w:rPr>
          <w:rStyle w:val="NormalTok"/>
        </w:rPr>
        <w:t xml:space="preserve">rural_subset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"Rural"</w:t>
      </w:r>
      <w:r>
        <w:rPr>
          <w:rStyle w:val="NormalTok"/>
        </w:rPr>
        <w:t xml:space="preserve">)</w:t>
      </w:r>
      <w:r>
        <w:br/>
      </w:r>
      <w:r>
        <w:br/>
      </w:r>
      <w:r>
        <w:rPr>
          <w:rStyle w:val="NormalTok"/>
        </w:rPr>
        <w:t xml:space="preserve">female_subset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w:t>
      </w:r>
      <w:r>
        <w:br/>
      </w:r>
      <w:r>
        <w:br/>
      </w:r>
      <w:r>
        <w:rPr>
          <w:rStyle w:val="NormalTok"/>
        </w:rPr>
        <w:t xml:space="preserve">male_subset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w:t>
      </w:r>
    </w:p>
    <w:p>
      <w:pPr>
        <w:pStyle w:val="FirstParagraph"/>
      </w:pPr>
      <w:r>
        <w:t xml:space="preserve">Con el objetivo de ajustar un modelo de regresión entre las variables ingreso y gasto, resulta conveniente explorar previamente la relación existente entre ambas variables. Para ello, se construye un diagrama de dispersión mediante</w:t>
      </w:r>
      <w:r>
        <w:t xml:space="preserve"> </w:t>
      </w:r>
      <w:r>
        <w:rPr>
          <w:rStyle w:val="VerbatimChar"/>
        </w:rPr>
        <w:t xml:space="preserve">ggplot2</w:t>
      </w:r>
      <w:r>
        <w:t xml:space="preserve">, el cual permite evaluar visualmente la forma y la intensidad de la asociación. El resultado se presenta en la</w:t>
      </w:r>
      <w:r>
        <w:t xml:space="preserve"> </w:t>
      </w:r>
      <w:hyperlink w:anchor="fig-scatter-muestra-sinP">
        <w:r>
          <w:rPr>
            <w:rStyle w:val="Hyperlink"/>
          </w:rPr>
          <w:t xml:space="preserve">figura 5.1</w:t>
        </w:r>
      </w:hyperlink>
      <w:r>
        <w:t xml:space="preserve">.</w:t>
      </w:r>
    </w:p>
    <w:p>
      <w:pPr>
        <w:pStyle w:val="SourceCode"/>
      </w:pPr>
      <w:r>
        <w:rPr>
          <w:rStyle w:val="NormalTok"/>
        </w:rPr>
        <w:t xml:space="preserve">unweighted_plot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Income)</w:t>
      </w:r>
      <w:r>
        <w:br/>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br/>
      </w:r>
      <w:r>
        <w:rPr>
          <w:rStyle w:val="NormalTok"/>
        </w:rPr>
        <w:t xml:space="preserve">unweighted_plot</w:t>
      </w:r>
    </w:p>
    <w:tbl>
      <w:tblPr>
        <w:tblStyle w:val="Table"/>
        <w:tblW w:type="pct" w:w="5000"/>
        <w:tblLayout w:type="fixed"/>
        <w:tblLook w:firstRow="0" w:lastRow="0" w:firstColumn="0" w:lastColumn="0" w:noHBand="0" w:noVBand="0" w:val="0000"/>
      </w:tblPr>
      <w:tblGrid>
        <w:gridCol w:w="7920"/>
      </w:tblGrid>
      <w:tr>
        <w:tc>
          <w:tcPr/>
          <w:bookmarkStart w:id="181" w:name="fig-scatter-muestra-sinP"/>
          <w:p>
            <w:pPr>
              <w:pStyle w:val="Compact"/>
              <w:jc w:val="center"/>
            </w:pPr>
            <w:r>
              <w:drawing>
                <wp:inline>
                  <wp:extent cx="3467100" cy="2311400"/>
                  <wp:effectExtent b="0" l="0" r="0" t="0"/>
                  <wp:docPr descr="" title="" id="179" name="Picture"/>
                  <a:graphic>
                    <a:graphicData uri="http://schemas.openxmlformats.org/drawingml/2006/picture">
                      <pic:pic>
                        <pic:nvPicPr>
                          <pic:cNvPr descr="chapters/../figures/fig-scatter-muestra-sinP-1.png" id="180" name="Picture"/>
                          <pic:cNvPicPr>
                            <a:picLocks noChangeArrowheads="1" noChangeAspect="1"/>
                          </pic:cNvPicPr>
                        </pic:nvPicPr>
                        <pic:blipFill>
                          <a:blip r:embed="rId178"/>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5.1: Diagrama de dispersión entre gasto e ingreso en la muestra (sin ponderar)</w:t>
            </w:r>
          </w:p>
          <w:bookmarkEnd w:id="181"/>
        </w:tc>
      </w:tr>
    </w:tbl>
    <w:p>
      <w:pPr>
        <w:pStyle w:val="BodyText"/>
      </w:pPr>
      <w:r>
        <w:t xml:space="preserve">Los datos muestrales conservan una relación aproximadamente lineal entre ingreso y gasto, aunque se observa una mayor dispersión en los valores correspondientes a hogares con niveles de gasto más elevados. Una vez completada la exploración gráfica de los datos, se procede al ajuste de los modelos de regresión lineal.</w:t>
      </w:r>
    </w:p>
    <w:p>
      <w:pPr>
        <w:pStyle w:val="BodyText"/>
      </w:pPr>
      <w:r>
        <w:t xml:space="preserve">Para ajustar modelos incorporando los factores de expansión se usa la función</w:t>
      </w:r>
      <w:r>
        <w:t xml:space="preserve"> </w:t>
      </w:r>
      <w:r>
        <w:rPr>
          <w:rStyle w:val="VerbatimChar"/>
        </w:rPr>
        <w:t xml:space="preserve">svyglm</w:t>
      </w:r>
      <w:r>
        <w:t xml:space="preserve"> </w:t>
      </w:r>
      <w:r>
        <w:t xml:space="preserve">de la librería</w:t>
      </w:r>
      <w:r>
        <w:t xml:space="preserve"> </w:t>
      </w:r>
      <w:r>
        <w:rPr>
          <w:rStyle w:val="VerbatimChar"/>
        </w:rPr>
        <w:t xml:space="preserve">survey</w:t>
      </w:r>
      <w:r>
        <w:t xml:space="preserve">, que permite estimar modelos lineales incorporando explícitamente las características del diseño muestral. En este caso, la expresión</w:t>
      </w:r>
      <w:r>
        <w:t xml:space="preserve"> </w:t>
      </w:r>
      <w:r>
        <w:rPr>
          <w:rStyle w:val="VerbatimChar"/>
        </w:rPr>
        <w:t xml:space="preserve">Income ~ Expenditure</w:t>
      </w:r>
      <w:r>
        <w:t xml:space="preserve"> </w:t>
      </w:r>
      <w:r>
        <w:t xml:space="preserve">especifica que la variable</w:t>
      </w:r>
      <w:r>
        <w:t xml:space="preserve"> </w:t>
      </w:r>
      <w:r>
        <w:rPr>
          <w:rStyle w:val="VerbatimChar"/>
        </w:rPr>
        <w:t xml:space="preserve">Income</w:t>
      </w:r>
      <w:r>
        <w:t xml:space="preserve"> </w:t>
      </w:r>
      <w:r>
        <w:t xml:space="preserve">se modela en función de la variable</w:t>
      </w:r>
      <w:r>
        <w:t xml:space="preserve"> </w:t>
      </w:r>
      <w:r>
        <w:rPr>
          <w:rStyle w:val="VerbatimChar"/>
        </w:rPr>
        <w:t xml:space="preserve">Expenditure</w:t>
      </w:r>
      <w:r>
        <w:t xml:space="preserve">; es decir, se ajusta una regresión lineal simple en la que el gasto actúa como variable explicativa del ingreso. El argumento</w:t>
      </w:r>
      <w:r>
        <w:t xml:space="preserve"> </w:t>
      </w:r>
      <w:r>
        <w:rPr>
          <w:rStyle w:val="VerbatimChar"/>
        </w:rPr>
        <w:t xml:space="preserve">design = survey_design</w:t>
      </w:r>
      <w:r>
        <w:t xml:space="preserve"> </w:t>
      </w:r>
      <w:r>
        <w:t xml:space="preserve">indica que el modelo debe utilizar el objeto de diseño muestral previamente definido, mientras que</w:t>
      </w:r>
      <w:r>
        <w:t xml:space="preserve"> </w:t>
      </w:r>
      <w:r>
        <w:rPr>
          <w:rStyle w:val="VerbatimChar"/>
        </w:rPr>
        <w:t xml:space="preserve">family = stats::gaussian()</w:t>
      </w:r>
      <w:r>
        <w:t xml:space="preserve"> </w:t>
      </w:r>
      <w:r>
        <w:t xml:space="preserve">especifica que se ajusta un modelo lineal con distribución normal, equivalente a una regresión lineal clásica.</w:t>
      </w:r>
    </w:p>
    <w:p>
      <w:pPr>
        <w:pStyle w:val="SourceCode"/>
      </w:pPr>
      <w:r>
        <w:rPr>
          <w:rStyle w:val="NormalTok"/>
        </w:rPr>
        <w:t xml:space="preserve">fit_svy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Income </w:t>
      </w:r>
      <w:r>
        <w:rPr>
          <w:rStyle w:val="SpecialCharTok"/>
        </w:rPr>
        <w:t xml:space="preserve">~</w:t>
      </w:r>
      <w:r>
        <w:rPr>
          <w:rStyle w:val="NormalTok"/>
        </w:rPr>
        <w:t xml:space="preserve"> Expenditure </w:t>
      </w:r>
      <w:r>
        <w:rPr>
          <w:rStyle w:val="SpecialCharTok"/>
        </w:rPr>
        <w:t xml:space="preserve">+</w:t>
      </w:r>
      <w:r>
        <w:rPr>
          <w:rStyle w:val="NormalTok"/>
        </w:rPr>
        <w:t xml:space="preserve"> Zone </w:t>
      </w:r>
      <w:r>
        <w:rPr>
          <w:rStyle w:val="SpecialCharTok"/>
        </w:rPr>
        <w:t xml:space="preserve">+</w:t>
      </w:r>
      <w:r>
        <w:rPr>
          <w:rStyle w:val="NormalTok"/>
        </w:rPr>
        <w:t xml:space="preserve"> Sex,</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  </w:t>
      </w:r>
      <w:r>
        <w:rPr>
          <w:rStyle w:val="AttributeTok"/>
        </w:rPr>
        <w:t xml:space="preserve">family =</w:t>
      </w:r>
      <w:r>
        <w:rPr>
          <w:rStyle w:val="NormalTok"/>
        </w:rPr>
        <w:t xml:space="preserve"> stats</w:t>
      </w:r>
      <w:r>
        <w:rPr>
          <w:rStyle w:val="SpecialCharTok"/>
        </w:rPr>
        <w:t xml:space="preserve">::</w:t>
      </w:r>
      <w:r>
        <w:rPr>
          <w:rStyle w:val="FunctionTok"/>
        </w:rPr>
        <w:t xml:space="preserve">gaussian</w:t>
      </w:r>
      <w:r>
        <w:rPr>
          <w:rStyle w:val="NormalTok"/>
        </w:rPr>
        <w:t xml:space="preserve">()</w:t>
      </w:r>
      <w:r>
        <w:br/>
      </w:r>
      <w:r>
        <w:rPr>
          <w:rStyle w:val="NormalTok"/>
        </w:rPr>
        <w:t xml:space="preserve">)</w:t>
      </w:r>
      <w:r>
        <w:br/>
      </w:r>
      <w:r>
        <w:br/>
      </w:r>
      <w:r>
        <w:rPr>
          <w:rStyle w:val="NormalTok"/>
        </w:rPr>
        <w:t xml:space="preserve">fit_svy</w:t>
      </w:r>
    </w:p>
    <w:p>
      <w:pPr>
        <w:pStyle w:val="SourceCode"/>
      </w:pPr>
      <w:r>
        <w:rPr>
          <w:rStyle w:val="VerbatimChar"/>
        </w:rPr>
        <w:t xml:space="preserve">Stratified 1 - level Cluster Sampling design (with replacement)</w:t>
      </w:r>
      <w:r>
        <w:br/>
      </w:r>
      <w:r>
        <w:rPr>
          <w:rStyle w:val="VerbatimChar"/>
        </w:rPr>
        <w:t xml:space="preserve">With (238) clusters.</w:t>
      </w:r>
      <w:r>
        <w:br/>
      </w:r>
      <w:r>
        <w:rPr>
          <w:rStyle w:val="VerbatimChar"/>
        </w:rPr>
        <w:t xml:space="preserve">Called via srvyr</w:t>
      </w:r>
      <w:r>
        <w:br/>
      </w:r>
      <w:r>
        <w:rPr>
          <w:rStyle w:val="VerbatimChar"/>
        </w:rPr>
        <w:t xml:space="preserve">Sampling variables:</w:t>
      </w:r>
      <w:r>
        <w:br/>
      </w:r>
      <w:r>
        <w:rPr>
          <w:rStyle w:val="VerbatimChar"/>
        </w:rPr>
        <w:t xml:space="preserve">  - ids: PSU </w:t>
      </w:r>
      <w:r>
        <w:br/>
      </w:r>
      <w:r>
        <w:rPr>
          <w:rStyle w:val="VerbatimChar"/>
        </w:rPr>
        <w:t xml:space="preserve">  - strata: Stratum </w:t>
      </w:r>
      <w:r>
        <w:br/>
      </w:r>
      <w:r>
        <w:rPr>
          <w:rStyle w:val="VerbatimChar"/>
        </w:rPr>
        <w:t xml:space="preserve">  - weights: wk </w:t>
      </w:r>
      <w:r>
        <w:br/>
      </w:r>
      <w:r>
        <w:br/>
      </w:r>
      <w:r>
        <w:rPr>
          <w:rStyle w:val="VerbatimChar"/>
        </w:rPr>
        <w:t xml:space="preserve">Call:  svyglm(formula = Income ~ Expenditure + Zone + Sex, design = survey_design, </w:t>
      </w:r>
      <w:r>
        <w:br/>
      </w:r>
      <w:r>
        <w:rPr>
          <w:rStyle w:val="VerbatimChar"/>
        </w:rPr>
        <w:t xml:space="preserve">    family = stats::gaussian())</w:t>
      </w:r>
      <w:r>
        <w:br/>
      </w:r>
      <w:r>
        <w:br/>
      </w:r>
      <w:r>
        <w:rPr>
          <w:rStyle w:val="VerbatimChar"/>
        </w:rPr>
        <w:t xml:space="preserve">Coefficients:</w:t>
      </w:r>
      <w:r>
        <w:br/>
      </w:r>
      <w:r>
        <w:rPr>
          <w:rStyle w:val="VerbatimChar"/>
        </w:rPr>
        <w:t xml:space="preserve">(Intercept)  Expenditure    ZoneUrban      SexMale  </w:t>
      </w:r>
      <w:r>
        <w:br/>
      </w:r>
      <w:r>
        <w:rPr>
          <w:rStyle w:val="VerbatimChar"/>
        </w:rPr>
        <w:t xml:space="preserve">      73.58         1.22        66.65        20.64  </w:t>
      </w:r>
      <w:r>
        <w:br/>
      </w:r>
      <w:r>
        <w:br/>
      </w:r>
      <w:r>
        <w:rPr>
          <w:rStyle w:val="VerbatimChar"/>
        </w:rPr>
        <w:t xml:space="preserve">Degrees of Freedom: 2604 Total (i.e. Null);  116 Residual</w:t>
      </w:r>
      <w:r>
        <w:br/>
      </w:r>
      <w:r>
        <w:rPr>
          <w:rStyle w:val="VerbatimChar"/>
        </w:rPr>
        <w:t xml:space="preserve">Null Deviance:      635000000 </w:t>
      </w:r>
      <w:r>
        <w:br/>
      </w:r>
      <w:r>
        <w:rPr>
          <w:rStyle w:val="VerbatimChar"/>
        </w:rPr>
        <w:t xml:space="preserve">Residual Deviance: 309000000    AIC: 38300</w:t>
      </w:r>
    </w:p>
    <w:p>
      <w:pPr>
        <w:pStyle w:val="FirstParagraph"/>
      </w:pPr>
      <w:r>
        <w:t xml:space="preserve">La salida anterior corresponde al ajuste de un modelo de regresión lineal en el que la variable</w:t>
      </w:r>
      <w:r>
        <w:t xml:space="preserve"> </w:t>
      </w:r>
      <w:r>
        <w:rPr>
          <w:rStyle w:val="VerbatimChar"/>
        </w:rPr>
        <w:t xml:space="preserve">Income</w:t>
      </w:r>
      <w:r>
        <w:t xml:space="preserve"> </w:t>
      </w:r>
      <w:r>
        <w:t xml:space="preserve">se explica a partir de las variables</w:t>
      </w:r>
      <w:r>
        <w:t xml:space="preserve"> </w:t>
      </w:r>
      <w:r>
        <w:rPr>
          <w:rStyle w:val="VerbatimChar"/>
        </w:rPr>
        <w:t xml:space="preserve">Expenditure</w:t>
      </w:r>
      <w:r>
        <w:t xml:space="preserve">,</w:t>
      </w:r>
      <w:r>
        <w:t xml:space="preserve"> </w:t>
      </w:r>
      <w:r>
        <w:rPr>
          <w:rStyle w:val="VerbatimChar"/>
        </w:rPr>
        <w:t xml:space="preserve">Zone</w:t>
      </w:r>
      <w:r>
        <w:t xml:space="preserve"> </w:t>
      </w:r>
      <w:r>
        <w:t xml:space="preserve">y</w:t>
      </w:r>
      <w:r>
        <w:t xml:space="preserve"> </w:t>
      </w:r>
      <w:r>
        <w:rPr>
          <w:rStyle w:val="VerbatimChar"/>
        </w:rPr>
        <w:t xml:space="preserve">Sex</w:t>
      </w:r>
      <w:r>
        <w:t xml:space="preserve">. Los resultados indican la existencia de una relación positiva entre ingreso y gasto, de modo que, manteniendo constantes las demás variables, el ingreso esperado aumenta en aproximadamente 1.22 unidades por cada unidad adicional de gasto.</w:t>
      </w:r>
    </w:p>
    <w:p>
      <w:pPr>
        <w:pStyle w:val="BodyText"/>
      </w:pPr>
      <w:r>
        <w:t xml:space="preserve">Asimismo, se evidencian diferencias sistemáticas asociadas a las características sociodemográficas incluidas en el modelo: residir en zona urbana se asocia con un incremento promedio de 66.65 unidades en el ingreso respecto de la categoría de referencia, mientras que ser hombre se asocia con un aumento de 20.64 unidades en comparación con la categoría base del sexo. El intercepto estimado, igual a 73.58, representa el nivel esperado de ingreso para la categoría de referencia del modelo (zona rural y sexo femenino) cuando el gasto es igual a cero.</w:t>
      </w:r>
    </w:p>
    <w:bookmarkEnd w:id="182"/>
    <w:bookmarkStart w:id="208" w:name="diagnostico-del-modelo"/>
    <w:p>
      <w:pPr>
        <w:pStyle w:val="Heading2"/>
      </w:pPr>
      <w:r>
        <w:t xml:space="preserve">5.4 Diagnóstico del modelo</w:t>
      </w:r>
    </w:p>
    <w:p>
      <w:pPr>
        <w:pStyle w:val="FirstParagraph"/>
      </w:pPr>
      <w:r>
        <w:t xml:space="preserve">De acuerdo con</w:t>
      </w:r>
      <w:r>
        <w:t xml:space="preserve"> </w:t>
      </w:r>
      <w:r>
        <w:t xml:space="preserve">Li y Valliant (2015)</w:t>
      </w:r>
      <w:r>
        <w:t xml:space="preserve"> </w:t>
      </w:r>
      <w:r>
        <w:t xml:space="preserve">y</w:t>
      </w:r>
      <w:r>
        <w:t xml:space="preserve"> </w:t>
      </w:r>
      <w:r>
        <w:t xml:space="preserve">Fox y Weisberg (2019)</w:t>
      </w:r>
      <w:r>
        <w:t xml:space="preserve">, en el análisis de encuestas de hogares, la evaluación de un modelo estadístico constituye un aspecto importante que contribuye a valorar la validez de las inferencias. Un modelo adecuadamente especificado no depende únicamente de la selección de las covariables, sino también del examen de los supuestos que sustentan la consistencia y confiabilidad de los resultados.</w:t>
      </w:r>
    </w:p>
    <w:p>
      <w:pPr>
        <w:pStyle w:val="BodyText"/>
      </w:pPr>
      <w:r>
        <w:t xml:space="preserve">En el caso de los modelos de regresión lineal aplicados a encuestas complejas, resulta necesario examinar distintos aspectos relacionados con la calidad del ajuste y el comportamiento de los errores. Como se indicó anteriormente, entre ellos se encuentran la capacidad explicativa del modelo, la normalidad y homogeneidad de la varianza de los residuos, la independencia entre errores y la posible presencia de observaciones influyentes o valores atípicos que puedan afectar las estimaciones.</w:t>
      </w:r>
    </w:p>
    <w:p>
      <w:pPr>
        <w:pStyle w:val="BodyText"/>
      </w:pPr>
      <w:r>
        <w:t xml:space="preserve">Estas verificaciones adquieren particular importancia en el contexto de diseños muestrales complejos, donde características como la estratificación, la conglomeración y el uso de factores de expansión pueden intensificar problemas asociados con la heterocedasticidad, la dependencia entre observaciones o la sensibilidad a valores extremos. Por esta razón, el diagnóstico del modelo no debe limitarse a los supuestos clásicos de la regresión, sino incorporar también las particularidades derivadas del diseño de la encuesta. La aplicación sistemática de estos procedimientos permite evaluar la solidez del modelo, fortalecer la confianza en las inferencias y asegurar que los resultados obtenidos sean representativos y útiles tanto para la investigación social aplicada como para el análisis de políticas públicas.</w:t>
      </w:r>
    </w:p>
    <w:bookmarkStart w:id="183" w:name="coeficiente-de-determinacion"/>
    <w:p>
      <w:pPr>
        <w:pStyle w:val="Heading3"/>
      </w:pPr>
      <w:r>
        <w:t xml:space="preserve">5.4.1 Coeficiente de determinación</w:t>
      </w:r>
    </w:p>
    <w:p>
      <w:pPr>
        <w:pStyle w:val="FirstParagraph"/>
      </w:pPr>
      <w:r>
        <w:t xml:space="preserve">Como explican</w:t>
      </w:r>
      <w:r>
        <w:t xml:space="preserve"> </w:t>
      </w:r>
      <w:r>
        <w:t xml:space="preserve">Fox y Weisberg (2019)</w:t>
      </w:r>
      <w:r>
        <w:t xml:space="preserve">, una de las medidas más utilizadas para evaluar el ajuste de un modelo de regresión es el coeficiente de determinación, denotado por</w:t>
      </w:r>
      <w:r>
        <w:t xml:space="preserve"> </w:t>
      </w:r>
      <m:oMath>
        <m:sSup>
          <m:e>
            <m:r>
              <m:t>R</m:t>
            </m:r>
          </m:e>
          <m:sup>
            <m:r>
              <m:t>2</m:t>
            </m:r>
          </m:sup>
        </m:sSup>
      </m:oMath>
      <w:r>
        <w:t xml:space="preserve">; no debe confundirse con el coeficiente de correlación múltiple</w:t>
      </w:r>
      <w:r>
        <w:t xml:space="preserve"> </w:t>
      </w:r>
      <m:oMath>
        <m:r>
          <m:t>R</m:t>
        </m:r>
      </m:oMath>
      <w:r>
        <w:t xml:space="preserve">, aunque en el modelo lineal con intercepto se relacionan mediante</w:t>
      </w:r>
      <w:r>
        <w:t xml:space="preserve"> </w:t>
      </w:r>
      <m:oMath>
        <m:sSup>
          <m:e>
            <m:r>
              <m:t>R</m:t>
            </m:r>
          </m:e>
          <m:sup>
            <m:r>
              <m:t>2</m:t>
            </m:r>
          </m:sup>
        </m:sSup>
      </m:oMath>
      <w:r>
        <w:t xml:space="preserve">. Este indicador cuantifica la proporción de la variabilidad de la variable dependiente que es explicada por el modelo. Sus valores oscilan entre cero y uno: cuanto más cercano se encuentre a la unidad, mayor será la capacidad explicativa del modelo; en contraste, valores próximos a cero indican un bajo nivel de explicación de la variabilidad observada. La magnitud del</w:t>
      </w:r>
      <w:r>
        <w:t xml:space="preserve"> </w:t>
      </w:r>
      <m:oMath>
        <m:sSup>
          <m:e>
            <m:r>
              <m:t>R</m:t>
            </m:r>
          </m:e>
          <m:sup>
            <m:r>
              <m:t>2</m:t>
            </m:r>
          </m:sup>
        </m:sSup>
      </m:oMath>
      <w:r>
        <w:t xml:space="preserve"> </w:t>
      </w:r>
      <w:r>
        <w:t xml:space="preserve">no debe evaluarse en términos absolutos, sino considerando el fenómeno estudiado y el tipo de información disponible.</w:t>
      </w:r>
    </w:p>
    <w:p>
      <w:pPr>
        <w:pStyle w:val="BodyText"/>
      </w:pPr>
      <w:r>
        <w:t xml:space="preserve">El coeficiente se calcula a partir de las sumas de cuadrados totales y de error, como</w:t>
      </w:r>
      <w:r>
        <w:t xml:space="preserve"> </w:t>
      </w:r>
      <m:oMath>
        <m:sSup>
          <m:e>
            <m:r>
              <m:t>R</m:t>
            </m:r>
          </m:e>
          <m:sup>
            <m:r>
              <m:t>2</m:t>
            </m:r>
          </m:sup>
        </m:sSup>
        <m:r>
          <m:rPr>
            <m:sty m:val="p"/>
          </m:rPr>
          <m:t>=</m:t>
        </m:r>
        <m:r>
          <m:t>1</m:t>
        </m:r>
        <m:r>
          <m:rPr>
            <m:sty m:val="p"/>
          </m:rPr>
          <m:t>−</m:t>
        </m:r>
        <m:f>
          <m:fPr>
            <m:type m:val="bar"/>
          </m:fPr>
          <m:num>
            <m:r>
              <m:t>S</m:t>
            </m:r>
            <m:r>
              <m:t>S</m:t>
            </m:r>
            <m:r>
              <m:t>E</m:t>
            </m:r>
          </m:num>
          <m:den>
            <m:r>
              <m:t>S</m:t>
            </m:r>
            <m:r>
              <m:t>S</m:t>
            </m:r>
            <m:r>
              <m:t>T</m:t>
            </m:r>
          </m:den>
        </m:f>
      </m:oMath>
      <w:r>
        <w:t xml:space="preserve">; en donde</w:t>
      </w:r>
      <w:r>
        <w:t xml:space="preserve"> </w:t>
      </w:r>
      <m:oMath>
        <m:r>
          <m:t>S</m:t>
        </m:r>
        <m:r>
          <m:t>S</m:t>
        </m:r>
        <m:r>
          <m:t>T</m:t>
        </m:r>
      </m:oMath>
      <w:r>
        <w:t xml:space="preserve"> </w:t>
      </w:r>
      <w:r>
        <w:t xml:space="preserve">representa la suma de cuadrados totales y</w:t>
      </w:r>
      <w:r>
        <w:t xml:space="preserve"> </w:t>
      </w:r>
      <m:oMath>
        <m:r>
          <m:t>S</m:t>
        </m:r>
        <m:r>
          <m:t>S</m:t>
        </m:r>
        <m:r>
          <m:t>E</m:t>
        </m:r>
      </m:oMath>
      <w:r>
        <w:t xml:space="preserve"> </w:t>
      </w:r>
      <w:r>
        <w:t xml:space="preserve">la suma de cuadrados del error.</w:t>
      </w:r>
    </w:p>
    <w:p>
      <w:pPr>
        <w:pStyle w:val="BodyText"/>
      </w:pPr>
      <w:r>
        <w:t xml:space="preserve">Según</w:t>
      </w:r>
      <w:r>
        <w:t xml:space="preserve"> </w:t>
      </w:r>
      <w:r>
        <w:t xml:space="preserve">Heeringa et al. (2017)</w:t>
      </w:r>
      <w:r>
        <w:t xml:space="preserve">, en encuestas con diseños de muestreo complejos, esta medida debe ajustarse para incorporar la estructura del diseño y los pesos muestrales. El estimador ponderado del coeficiente de determinación se define como:</w:t>
      </w:r>
    </w:p>
    <w:p>
      <w:pPr>
        <w:pStyle w:val="BodyText"/>
      </w:pPr>
      <m:oMathPara>
        <m:oMathParaPr>
          <m:jc m:val="center"/>
        </m:oMathParaPr>
        <m:oMath>
          <m:sSup>
            <m:e>
              <m:acc>
                <m:accPr>
                  <m:chr m:val="̂"/>
                </m:accPr>
                <m:e>
                  <m:r>
                    <m:t>R</m:t>
                  </m:r>
                </m:e>
              </m:acc>
            </m:e>
            <m:sup>
              <m:r>
                <m:t>2</m:t>
              </m:r>
            </m:sup>
          </m:sSup>
          <m:r>
            <m:rPr>
              <m:sty m:val="p"/>
            </m:rPr>
            <m:t>=</m:t>
          </m:r>
          <m:r>
            <m:t>1</m:t>
          </m:r>
          <m:r>
            <m:rPr>
              <m:sty m:val="p"/>
            </m:rPr>
            <m:t>−</m:t>
          </m:r>
          <m:f>
            <m:fPr>
              <m:type m:val="bar"/>
            </m:fPr>
            <m:num>
              <m:acc>
                <m:accPr>
                  <m:chr m:val="̂"/>
                </m:accPr>
                <m:e>
                  <m:r>
                    <m:t>S</m:t>
                  </m:r>
                  <m:r>
                    <m:t>S</m:t>
                  </m:r>
                  <m:r>
                    <m:t>E</m:t>
                  </m:r>
                </m:e>
              </m:acc>
            </m:num>
            <m:den>
              <m:acc>
                <m:accPr>
                  <m:chr m:val="̂"/>
                </m:accPr>
                <m:e>
                  <m:r>
                    <m:t>S</m:t>
                  </m:r>
                  <m:r>
                    <m:t>S</m:t>
                  </m:r>
                  <m:r>
                    <m:t>T</m:t>
                  </m:r>
                </m:e>
              </m:acc>
            </m:den>
          </m:f>
        </m:oMath>
      </m:oMathPara>
    </w:p>
    <w:p>
      <w:pPr>
        <w:pStyle w:val="FirstParagraph"/>
      </w:pPr>
      <w:r>
        <w:t xml:space="preserve">donde</w:t>
      </w:r>
      <w:r>
        <w:t xml:space="preserve"> </w:t>
      </w:r>
      <m:oMath>
        <m:acc>
          <m:accPr>
            <m:chr m:val="̂"/>
          </m:accPr>
          <m:e>
            <m:r>
              <m:t>S</m:t>
            </m:r>
            <m:r>
              <m:t>S</m:t>
            </m:r>
            <m:r>
              <m:t>E</m:t>
            </m:r>
          </m:e>
        </m:acc>
      </m:oMath>
      <w:r>
        <w:t xml:space="preserve"> </w:t>
      </w:r>
      <w:r>
        <w:t xml:space="preserve">es la suma ponderada de errores al cuadrado, calculada como</w:t>
      </w:r>
      <w:r>
        <w:t xml:space="preserve"> </w:t>
      </w:r>
      <m:oMath>
        <m:acc>
          <m:accPr>
            <m:chr m:val="̂"/>
          </m:accPr>
          <m:e>
            <m:r>
              <m:t>S</m:t>
            </m:r>
            <m:r>
              <m:t>S</m:t>
            </m:r>
            <m:r>
              <m:t>E</m:t>
            </m:r>
          </m:e>
        </m:acc>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rPr>
            <m:sty m:val="p"/>
          </m:rPr>
          <m:t>(</m:t>
        </m:r>
        <m:sSub>
          <m:e>
            <m:r>
              <m:t>y</m:t>
            </m:r>
          </m:e>
          <m:sub>
            <m:r>
              <m:t>h</m:t>
            </m:r>
            <m:r>
              <m:t>i</m:t>
            </m:r>
            <m:r>
              <m:t>k</m:t>
            </m:r>
          </m:sub>
        </m:sSub>
        <m:r>
          <m:rPr>
            <m:sty m:val="p"/>
          </m:rPr>
          <m:t>−</m:t>
        </m:r>
        <m:sSub>
          <m:e>
            <m:r>
              <m:t>x</m:t>
            </m:r>
          </m:e>
          <m:sub>
            <m:r>
              <m:t>h</m:t>
            </m:r>
            <m:r>
              <m:t>i</m:t>
            </m:r>
            <m:r>
              <m:t>k</m:t>
            </m:r>
          </m:sub>
        </m:sSub>
        <m:acc>
          <m:accPr>
            <m:chr m:val="̂"/>
          </m:accPr>
          <m:e>
            <m:r>
              <m:rPr>
                <m:sty m:val="b"/>
              </m:rPr>
              <m:t>β</m:t>
            </m:r>
          </m:e>
        </m:acc>
        <m:sSup>
          <m:e>
            <m:r>
              <m:rPr>
                <m:sty m:val="p"/>
              </m:rPr>
              <m:t>)</m:t>
            </m:r>
          </m:e>
          <m:sup>
            <m:r>
              <m:t>2</m:t>
            </m:r>
          </m:sup>
        </m:sSup>
      </m:oMath>
      <w:r>
        <w:t xml:space="preserve">; mientras que</w:t>
      </w:r>
      <w:r>
        <w:t xml:space="preserve"> </w:t>
      </w:r>
      <m:oMath>
        <m:acc>
          <m:accPr>
            <m:chr m:val="̂"/>
          </m:accPr>
          <m:e>
            <m:r>
              <m:t>S</m:t>
            </m:r>
            <m:r>
              <m:t>S</m:t>
            </m:r>
            <m:r>
              <m:t>T</m:t>
            </m:r>
          </m:e>
        </m:acc>
      </m:oMath>
      <w:r>
        <w:t xml:space="preserve"> </w:t>
      </w:r>
      <w:r>
        <w:t xml:space="preserve">representa la suma total ponderada de cuadrados, definida por</w:t>
      </w:r>
      <w:r>
        <w:t xml:space="preserve"> </w:t>
      </w:r>
      <m:oMath>
        <m:acc>
          <m:accPr>
            <m:chr m:val="̂"/>
          </m:accPr>
          <m:e>
            <m:r>
              <m:t>S</m:t>
            </m:r>
            <m:r>
              <m:t>S</m:t>
            </m:r>
            <m:r>
              <m:t>T</m:t>
            </m:r>
          </m:e>
        </m:acc>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r>
          <m:rPr>
            <m:sty m:val="p"/>
          </m:rPr>
          <m:t>(</m:t>
        </m:r>
        <m:sSub>
          <m:e>
            <m:r>
              <m:t>y</m:t>
            </m:r>
          </m:e>
          <m:sub>
            <m:r>
              <m:t>h</m:t>
            </m:r>
            <m:r>
              <m:t>i</m:t>
            </m:r>
            <m:r>
              <m:t>k</m:t>
            </m:r>
          </m:sub>
        </m:sSub>
        <m:r>
          <m:rPr>
            <m:sty m:val="p"/>
          </m:rPr>
          <m:t>−</m:t>
        </m:r>
        <m:acc>
          <m:accPr>
            <m:chr m:val="̂"/>
          </m:accPr>
          <m:e>
            <m:acc>
              <m:accPr>
                <m:chr m:val="‾"/>
              </m:accPr>
              <m:e>
                <m:r>
                  <m:t>y</m:t>
                </m:r>
              </m:e>
            </m:acc>
          </m:e>
        </m:acc>
        <m:sSup>
          <m:e>
            <m:r>
              <m:rPr>
                <m:sty m:val="p"/>
              </m:rPr>
              <m:t>)</m:t>
            </m:r>
          </m:e>
          <m:sup>
            <m:r>
              <m:t>2</m:t>
            </m:r>
          </m:sup>
        </m:sSup>
      </m:oMath>
      <w:r>
        <w:t xml:space="preserve">.</w:t>
      </w:r>
    </w:p>
    <w:p>
      <w:pPr>
        <w:pStyle w:val="BodyText"/>
      </w:pPr>
      <w:r>
        <w:t xml:space="preserve">De acuerdo con</w:t>
      </w:r>
      <w:r>
        <w:t xml:space="preserve"> </w:t>
      </w:r>
      <w:r>
        <w:t xml:space="preserve">Pfeffermann (2011)</w:t>
      </w:r>
      <w:r>
        <w:t xml:space="preserve">, dado que</w:t>
      </w:r>
      <w:r>
        <w:t xml:space="preserve"> </w:t>
      </w:r>
      <m:oMath>
        <m:sSup>
          <m:e>
            <m:r>
              <m:t>R</m:t>
            </m:r>
          </m:e>
          <m:sup>
            <m:r>
              <m:t>2</m:t>
            </m:r>
          </m:sup>
        </m:sSup>
      </m:oMath>
      <w:r>
        <w:t xml:space="preserve"> </w:t>
      </w:r>
      <w:r>
        <w:t xml:space="preserve">tiende a incrementarse conforme se incorporan más variables al modelo, conviene complementar su interpretación con el coeficiente de determinación ajustado (</w:t>
      </w:r>
      <m:oMath>
        <m:sSubSup>
          <m:e>
            <m:r>
              <m:t>R</m:t>
            </m:r>
          </m:e>
          <m:sub>
            <m:r>
              <m:t>a</m:t>
            </m:r>
            <m:r>
              <m:t>d</m:t>
            </m:r>
            <m:r>
              <m:t>j</m:t>
            </m:r>
          </m:sub>
          <m:sup>
            <m:r>
              <m:t>2</m:t>
            </m:r>
          </m:sup>
        </m:sSubSup>
      </m:oMath>
      <w:r>
        <w:t xml:space="preserve">), el cual introduce una penalización en función del número de covariables incluidas y del tamaño muestral. Este coeficiente se define como</w:t>
      </w:r>
      <w:r>
        <w:t xml:space="preserve"> </w:t>
      </w:r>
      <m:oMath>
        <m:sSubSup>
          <m:e>
            <m:acc>
              <m:accPr>
                <m:chr m:val="̂"/>
              </m:accPr>
              <m:e>
                <m:r>
                  <m:t>R</m:t>
                </m:r>
              </m:e>
            </m:acc>
          </m:e>
          <m:sub>
            <m:r>
              <m:t>a</m:t>
            </m:r>
            <m:r>
              <m:t>d</m:t>
            </m:r>
            <m:r>
              <m:t>j</m:t>
            </m:r>
          </m:sub>
          <m:sup>
            <m:r>
              <m:t>2</m:t>
            </m:r>
          </m:sup>
        </m:sSubSup>
        <m:r>
          <m:rPr>
            <m:sty m:val="p"/>
          </m:rPr>
          <m:t>=</m:t>
        </m:r>
        <m:r>
          <m:t>1</m:t>
        </m:r>
        <m:r>
          <m:rPr>
            <m:sty m:val="p"/>
          </m:rPr>
          <m:t>−</m:t>
        </m:r>
        <m:f>
          <m:fPr>
            <m:type m:val="bar"/>
          </m:fPr>
          <m:num>
            <m:r>
              <m:rPr>
                <m:sty m:val="p"/>
              </m:rPr>
              <m:t>(</m:t>
            </m:r>
            <m:r>
              <m:t>n</m:t>
            </m:r>
            <m:r>
              <m:rPr>
                <m:sty m:val="p"/>
              </m:rPr>
              <m:t>−</m:t>
            </m:r>
            <m:r>
              <m:t>1</m:t>
            </m:r>
            <m:r>
              <m:rPr>
                <m:sty m:val="p"/>
              </m:rPr>
              <m:t>)</m:t>
            </m:r>
          </m:num>
          <m:den>
            <m:r>
              <m:rPr>
                <m:sty m:val="p"/>
              </m:rPr>
              <m:t>(</m:t>
            </m:r>
            <m:r>
              <m:t>n</m:t>
            </m:r>
            <m:r>
              <m:rPr>
                <m:sty m:val="p"/>
              </m:rPr>
              <m:t>−</m:t>
            </m:r>
            <m:r>
              <m:t>p</m:t>
            </m:r>
            <m:r>
              <m:rPr>
                <m:sty m:val="p"/>
              </m:rPr>
              <m:t>)</m:t>
            </m:r>
          </m:den>
        </m:f>
        <m:r>
          <m:rPr>
            <m:sty m:val="p"/>
          </m:rPr>
          <m:t>(</m:t>
        </m:r>
        <m:r>
          <m:t>1</m:t>
        </m:r>
        <m:r>
          <m:rPr>
            <m:sty m:val="p"/>
          </m:rPr>
          <m:t>−</m:t>
        </m:r>
        <m:sSup>
          <m:e>
            <m:acc>
              <m:accPr>
                <m:chr m:val="̂"/>
              </m:accPr>
              <m:e>
                <m:r>
                  <m:t>R</m:t>
                </m:r>
              </m:e>
            </m:acc>
          </m:e>
          <m:sup>
            <m:r>
              <m:t>2</m:t>
            </m:r>
          </m:sup>
        </m:sSup>
        <m:r>
          <m:rPr>
            <m:sty m:val="p"/>
          </m:rPr>
          <m:t>)</m:t>
        </m:r>
      </m:oMath>
      <w:r>
        <w:t xml:space="preserve">, donde</w:t>
      </w:r>
      <w:r>
        <w:t xml:space="preserve"> </w:t>
      </w:r>
      <m:oMath>
        <m:r>
          <m:t>n</m:t>
        </m:r>
      </m:oMath>
      <w:r>
        <w:t xml:space="preserve"> </w:t>
      </w:r>
      <w:r>
        <w:t xml:space="preserve">corresponde al número de observaciones,</w:t>
      </w:r>
      <w:r>
        <w:t xml:space="preserve"> </w:t>
      </w:r>
      <m:oMath>
        <m:r>
          <m:t>p</m:t>
        </m:r>
      </m:oMath>
      <w:r>
        <w:t xml:space="preserve"> </w:t>
      </w:r>
      <w:r>
        <w:t xml:space="preserve">representa el número de parámetros estimados y</w:t>
      </w:r>
      <w:r>
        <w:t xml:space="preserve"> </w:t>
      </w:r>
      <m:oMath>
        <m:sSup>
          <m:e>
            <m:acc>
              <m:accPr>
                <m:chr m:val="̂"/>
              </m:accPr>
              <m:e>
                <m:r>
                  <m:t>R</m:t>
                </m:r>
              </m:e>
            </m:acc>
          </m:e>
          <m:sup>
            <m:r>
              <m:t>2</m:t>
            </m:r>
          </m:sup>
        </m:sSup>
      </m:oMath>
      <w:r>
        <w:t xml:space="preserve"> </w:t>
      </w:r>
      <w:r>
        <w:t xml:space="preserve">denota el coeficiente de determinación ponderado definido previamente.</w:t>
      </w:r>
    </w:p>
    <w:p>
      <w:pPr>
        <w:pStyle w:val="BodyText"/>
      </w:pPr>
      <w:r>
        <w:t xml:space="preserve">De esta manera, el ajuste permite evaluar la capacidad explicativa del modelo controlando el efecto derivado de la incorporación de nuevas variables. Este ajuste facilita una comparación más equitativa entre modelos con distinto número de predictores y resulta particularmente útil en el análisis de encuestas, donde la complejidad del diseño y el uso de ponderaciones pueden influir notablemente en la magnitud del</w:t>
      </w:r>
      <w:r>
        <w:t xml:space="preserve"> </w:t>
      </w:r>
      <m:oMath>
        <m:sSup>
          <m:e>
            <m:r>
              <m:t>R</m:t>
            </m:r>
          </m:e>
          <m:sup>
            <m:r>
              <m:t>2</m:t>
            </m:r>
          </m:sup>
        </m:sSup>
      </m:oMath>
      <w:r>
        <w:t xml:space="preserve">.</w:t>
      </w:r>
    </w:p>
    <w:p>
      <w:pPr>
        <w:pStyle w:val="BodyText"/>
      </w:pPr>
      <w:r>
        <w:t xml:space="preserve">En</w:t>
      </w:r>
      <w:r>
        <w:t xml:space="preserve"> </w:t>
      </w:r>
      <w:r>
        <w:rPr>
          <w:rStyle w:val="VerbatimChar"/>
        </w:rPr>
        <w:t xml:space="preserve">R</w:t>
      </w:r>
      <w:r>
        <w:t xml:space="preserve">, el coeficiente de determinación</w:t>
      </w:r>
      <w:r>
        <w:t xml:space="preserve"> </w:t>
      </w:r>
      <m:oMath>
        <m:sSup>
          <m:e>
            <m:r>
              <m:t>R</m:t>
            </m:r>
          </m:e>
          <m:sup>
            <m:r>
              <m:t>2</m:t>
            </m:r>
          </m:sup>
        </m:sSup>
      </m:oMath>
      <w:r>
        <w:t xml:space="preserve"> </w:t>
      </w:r>
      <w:r>
        <w:t xml:space="preserve">puede estimarse a partir de los modelos ajustados previamente. Para ello, se ajusta inicialmente un modelo nulo (incluyendo únicamente el intercepto), el cual permite calcular la suma total ponderada de cuadrados (</w:t>
      </w:r>
      <m:oMath>
        <m:acc>
          <m:accPr>
            <m:chr m:val="̂"/>
          </m:accPr>
          <m:e>
            <m:r>
              <m:t>S</m:t>
            </m:r>
            <m:r>
              <m:t>S</m:t>
            </m:r>
            <m:r>
              <m:t>T</m:t>
            </m:r>
          </m:e>
        </m:acc>
      </m:oMath>
      <w:r>
        <w:t xml:space="preserve">).</w:t>
      </w:r>
    </w:p>
    <w:p>
      <w:pPr>
        <w:pStyle w:val="SourceCode"/>
      </w:pPr>
      <w:r>
        <w:rPr>
          <w:rStyle w:val="NormalTok"/>
        </w:rPr>
        <w:t xml:space="preserve">null_model </w:t>
      </w:r>
      <w:r>
        <w:rPr>
          <w:rStyle w:val="OtherTok"/>
        </w:rPr>
        <w:t xml:space="preserve">&lt;-</w:t>
      </w:r>
      <w:r>
        <w:rPr>
          <w:rStyle w:val="NormalTok"/>
        </w:rPr>
        <w:t xml:space="preserve"> </w:t>
      </w:r>
      <w:r>
        <w:rPr>
          <w:rStyle w:val="FunctionTok"/>
        </w:rPr>
        <w:t xml:space="preserve">svyglm</w:t>
      </w:r>
      <w:r>
        <w:rPr>
          <w:rStyle w:val="NormalTok"/>
        </w:rPr>
        <w:t xml:space="preserve">(Income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design =</w:t>
      </w:r>
      <w:r>
        <w:rPr>
          <w:rStyle w:val="NormalTok"/>
        </w:rPr>
        <w:t xml:space="preserve"> survey_design)</w:t>
      </w:r>
      <w:r>
        <w:br/>
      </w:r>
      <w:r>
        <w:br/>
      </w:r>
      <w:r>
        <w:rPr>
          <w:rStyle w:val="NormalTok"/>
        </w:rPr>
        <w:t xml:space="preserve">s1 </w:t>
      </w:r>
      <w:r>
        <w:rPr>
          <w:rStyle w:val="OtherTok"/>
        </w:rPr>
        <w:t xml:space="preserve">&lt;-</w:t>
      </w:r>
      <w:r>
        <w:rPr>
          <w:rStyle w:val="NormalTok"/>
        </w:rPr>
        <w:t xml:space="preserve"> </w:t>
      </w:r>
      <w:r>
        <w:rPr>
          <w:rStyle w:val="FunctionTok"/>
        </w:rPr>
        <w:t xml:space="preserve">summary</w:t>
      </w:r>
      <w:r>
        <w:rPr>
          <w:rStyle w:val="NormalTok"/>
        </w:rPr>
        <w:t xml:space="preserve">(fit_svy)</w:t>
      </w:r>
      <w:r>
        <w:br/>
      </w:r>
      <w:r>
        <w:rPr>
          <w:rStyle w:val="NormalTok"/>
        </w:rPr>
        <w:t xml:space="preserve">s0 </w:t>
      </w:r>
      <w:r>
        <w:rPr>
          <w:rStyle w:val="OtherTok"/>
        </w:rPr>
        <w:t xml:space="preserve">&lt;-</w:t>
      </w:r>
      <w:r>
        <w:rPr>
          <w:rStyle w:val="NormalTok"/>
        </w:rPr>
        <w:t xml:space="preserve"> </w:t>
      </w:r>
      <w:r>
        <w:rPr>
          <w:rStyle w:val="FunctionTok"/>
        </w:rPr>
        <w:t xml:space="preserve">summary</w:t>
      </w:r>
      <w:r>
        <w:rPr>
          <w:rStyle w:val="NormalTok"/>
        </w:rPr>
        <w:t xml:space="preserve">(null_model)</w:t>
      </w:r>
      <w:r>
        <w:br/>
      </w:r>
      <w:r>
        <w:br/>
      </w:r>
      <w:r>
        <w:rPr>
          <w:rStyle w:val="NormalTok"/>
        </w:rPr>
        <w:t xml:space="preserve">wsst </w:t>
      </w:r>
      <w:r>
        <w:rPr>
          <w:rStyle w:val="OtherTok"/>
        </w:rPr>
        <w:t xml:space="preserve">&lt;-</w:t>
      </w:r>
      <w:r>
        <w:rPr>
          <w:rStyle w:val="NormalTok"/>
        </w:rPr>
        <w:t xml:space="preserve"> s0</w:t>
      </w:r>
      <w:r>
        <w:rPr>
          <w:rStyle w:val="SpecialCharTok"/>
        </w:rPr>
        <w:t xml:space="preserve">$</w:t>
      </w:r>
      <w:r>
        <w:rPr>
          <w:rStyle w:val="NormalTok"/>
        </w:rPr>
        <w:t xml:space="preserve">dispersion[</w:t>
      </w:r>
      <w:r>
        <w:rPr>
          <w:rStyle w:val="DecValTok"/>
        </w:rPr>
        <w:t xml:space="preserve">1</w:t>
      </w:r>
      <w:r>
        <w:rPr>
          <w:rStyle w:val="NormalTok"/>
        </w:rPr>
        <w:t xml:space="preserve">]</w:t>
      </w:r>
      <w:r>
        <w:br/>
      </w:r>
      <w:r>
        <w:rPr>
          <w:rStyle w:val="NormalTok"/>
        </w:rPr>
        <w:t xml:space="preserve">wsse </w:t>
      </w:r>
      <w:r>
        <w:rPr>
          <w:rStyle w:val="OtherTok"/>
        </w:rPr>
        <w:t xml:space="preserve">&lt;-</w:t>
      </w:r>
      <w:r>
        <w:rPr>
          <w:rStyle w:val="NormalTok"/>
        </w:rPr>
        <w:t xml:space="preserve"> s1</w:t>
      </w:r>
      <w:r>
        <w:rPr>
          <w:rStyle w:val="SpecialCharTok"/>
        </w:rPr>
        <w:t xml:space="preserve">$</w:t>
      </w:r>
      <w:r>
        <w:rPr>
          <w:rStyle w:val="NormalTok"/>
        </w:rPr>
        <w:t xml:space="preserve">dispersion[</w:t>
      </w:r>
      <w:r>
        <w:rPr>
          <w:rStyle w:val="DecValTok"/>
        </w:rPr>
        <w:t xml:space="preserve">1</w:t>
      </w:r>
      <w:r>
        <w:rPr>
          <w:rStyle w:val="NormalTok"/>
        </w:rPr>
        <w:t xml:space="preserve">]</w:t>
      </w:r>
    </w:p>
    <w:p>
      <w:pPr>
        <w:pStyle w:val="FirstParagraph"/>
      </w:pPr>
      <w:r>
        <w:t xml:space="preserve">La estimación del coeficiente de determinación y su contraparte ajustada se obtiene a partir del siguiente cálculo:</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(survey_design)</w:t>
      </w:r>
      <w:r>
        <w:br/>
      </w:r>
      <w:r>
        <w:rPr>
          <w:rStyle w:val="NormalTok"/>
        </w:rPr>
        <w:t xml:space="preserve">p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(fit_svy))</w:t>
      </w:r>
      <w:r>
        <w:br/>
      </w:r>
      <w:r>
        <w:rPr>
          <w:rStyle w:val="NormalTok"/>
        </w:rPr>
        <w:t xml:space="preserve">r2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wsse </w:t>
      </w:r>
      <w:r>
        <w:rPr>
          <w:rStyle w:val="SpecialCharTok"/>
        </w:rPr>
        <w:t xml:space="preserve">/</w:t>
      </w:r>
      <w:r>
        <w:rPr>
          <w:rStyle w:val="NormalTok"/>
        </w:rPr>
        <w:t xml:space="preserve"> wsst</w:t>
      </w:r>
      <w:r>
        <w:br/>
      </w:r>
      <w:r>
        <w:rPr>
          <w:rStyle w:val="NormalTok"/>
        </w:rPr>
        <w:t xml:space="preserve">r2_adj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r2)</w:t>
      </w:r>
      <w:r>
        <w:br/>
      </w:r>
      <w:r>
        <w:br/>
      </w:r>
      <w:r>
        <w:rPr>
          <w:rStyle w:val="NormalTok"/>
        </w:rPr>
        <w:t xml:space="preserve">r2</w:t>
      </w:r>
    </w:p>
    <w:p>
      <w:pPr>
        <w:pStyle w:val="SourceCode"/>
      </w:pPr>
      <w:r>
        <w:rPr>
          <w:rStyle w:val="VerbatimChar"/>
        </w:rPr>
        <w:t xml:space="preserve">[1] 0.5138</w:t>
      </w:r>
    </w:p>
    <w:p>
      <w:pPr>
        <w:pStyle w:val="SourceCode"/>
      </w:pPr>
      <w:r>
        <w:rPr>
          <w:rStyle w:val="NormalTok"/>
        </w:rPr>
        <w:t xml:space="preserve">r2_adj</w:t>
      </w:r>
    </w:p>
    <w:p>
      <w:pPr>
        <w:pStyle w:val="SourceCode"/>
      </w:pPr>
      <w:r>
        <w:rPr>
          <w:rStyle w:val="VerbatimChar"/>
        </w:rPr>
        <w:t xml:space="preserve">[1] 0.5133</w:t>
      </w:r>
    </w:p>
    <w:bookmarkEnd w:id="183"/>
    <w:bookmarkStart w:id="192" w:name="residuales"/>
    <w:p>
      <w:pPr>
        <w:pStyle w:val="Heading3"/>
      </w:pPr>
      <w:r>
        <w:t xml:space="preserve">5.4.2 Residuales</w:t>
      </w:r>
    </w:p>
    <w:p>
      <w:pPr>
        <w:pStyle w:val="FirstParagraph"/>
      </w:pPr>
      <w:r>
        <w:t xml:space="preserve">De acuerdo con</w:t>
      </w:r>
      <w:r>
        <w:t xml:space="preserve"> </w:t>
      </w:r>
      <w:r>
        <w:t xml:space="preserve">Li y Valliant (2015)</w:t>
      </w:r>
      <w:r>
        <w:t xml:space="preserve"> </w:t>
      </w:r>
      <w:r>
        <w:t xml:space="preserve">y</w:t>
      </w:r>
      <w:r>
        <w:t xml:space="preserve"> </w:t>
      </w:r>
      <w:r>
        <w:t xml:space="preserve">Fox y Weisberg (2019)</w:t>
      </w:r>
      <w:r>
        <w:t xml:space="preserve">, en el diagnóstico de modelos, el análisis de los residuales es una de las herramientas más relevantes. Si el modelo está correctamente especificado, los residuales actúan como una aproximación de los errores no observados y permiten evaluar, de forma indirecta, si los supuestos del modelo se cumplen razonablemente en los datos. Su revisión sistemática permite identificar posibles desviaciones en la especificación, lo que ayuda a determinar si el ajuste es adecuado o si, por el contrario, es necesario reconsiderar la forma funcional del modelo o el método de estimación utilizado.</w:t>
      </w:r>
    </w:p>
    <w:p>
      <w:pPr>
        <w:pStyle w:val="BodyText"/>
      </w:pPr>
      <w:r>
        <w:t xml:space="preserve">Según</w:t>
      </w:r>
      <w:r>
        <w:t xml:space="preserve"> </w:t>
      </w:r>
      <w:r>
        <w:t xml:space="preserve">Heeringa et al. (2017)</w:t>
      </w:r>
      <w:r>
        <w:t xml:space="preserve">, en encuestas con diseños de muestreo complejos, los residuales de Pearson constituyen una herramienta habitual para evaluar las discrepancias entre los valores observados y los valores esperados bajo el modelo ajustado. Estos se definen como:</w:t>
      </w:r>
    </w:p>
    <w:p>
      <w:pPr>
        <w:pStyle w:val="BodyText"/>
      </w:pPr>
      <m:oMathPara>
        <m:oMathParaPr>
          <m:jc m:val="center"/>
        </m:oMathParaPr>
        <m:oMath>
          <m:sSub>
            <m:e>
              <m:r>
                <m:t>r</m:t>
              </m:r>
            </m:e>
            <m:sub>
              <m:r>
                <m:t>k</m:t>
              </m:r>
            </m:sub>
          </m:sSub>
          <m:r>
            <m:rPr>
              <m:sty m:val="p"/>
            </m:rPr>
            <m:t>=</m:t>
          </m:r>
          <m:f>
            <m:fPr>
              <m:type m:val="bar"/>
            </m:fPr>
            <m:num>
              <m:sSub>
                <m:e>
                  <m:r>
                    <m:t>y</m:t>
                  </m:r>
                </m:e>
                <m:sub>
                  <m:r>
                    <m:t>k</m:t>
                  </m:r>
                </m:sub>
              </m:sSub>
              <m:r>
                <m:rPr>
                  <m:sty m:val="p"/>
                </m:rPr>
                <m:t>−</m:t>
              </m:r>
              <m:sSub>
                <m:e>
                  <m:r>
                    <m:t>μ</m:t>
                  </m:r>
                </m:e>
                <m:sub>
                  <m:r>
                    <m:t>k</m:t>
                  </m:r>
                </m:sub>
              </m:sSub>
            </m:num>
            <m:den>
              <m:rad>
                <m:radPr>
                  <m:degHide m:val="on"/>
                </m:radPr>
                <m:deg/>
                <m:e>
                  <m:acc>
                    <m:accPr>
                      <m:chr m:val="̂"/>
                    </m:accPr>
                    <m:e>
                      <m:r>
                        <m:t>V</m:t>
                      </m:r>
                      <m:r>
                        <m:t>a</m:t>
                      </m:r>
                      <m:r>
                        <m:t>r</m:t>
                      </m:r>
                    </m:e>
                  </m:acc>
                  <m:r>
                    <m:rPr>
                      <m:sty m:val="p"/>
                    </m:rPr>
                    <m:t>(</m:t>
                  </m:r>
                  <m:sSub>
                    <m:e>
                      <m:r>
                        <m:t>μ</m:t>
                      </m:r>
                    </m:e>
                    <m:sub>
                      <m:r>
                        <m:t>k</m:t>
                      </m:r>
                    </m:sub>
                  </m:sSub>
                  <m:r>
                    <m:rPr>
                      <m:sty m:val="p"/>
                    </m:rPr>
                    <m:t>)</m:t>
                  </m:r>
                  <m:r>
                    <m:rPr>
                      <m:sty m:val="p"/>
                    </m:rPr>
                    <m:t>/</m:t>
                  </m:r>
                  <m:sSub>
                    <m:e>
                      <m:r>
                        <m:t>w</m:t>
                      </m:r>
                    </m:e>
                    <m:sub>
                      <m:r>
                        <m:t>k</m:t>
                      </m:r>
                    </m:sub>
                  </m:sSub>
                </m:e>
              </m:rad>
            </m:den>
          </m:f>
          <m:r>
            <m:rPr>
              <m:sty m:val="p"/>
            </m:rPr>
            <m:t>,</m:t>
          </m:r>
        </m:oMath>
      </m:oMathPara>
    </w:p>
    <w:p>
      <w:pPr>
        <w:pStyle w:val="FirstParagraph"/>
      </w:pPr>
      <w:r>
        <w:t xml:space="preserve">donde</w:t>
      </w:r>
      <w:r>
        <w:t xml:space="preserve"> </w:t>
      </w:r>
      <m:oMath>
        <m:sSub>
          <m:e>
            <m:acc>
              <m:accPr>
                <m:chr m:val="̂"/>
              </m:accPr>
              <m:e>
                <m:r>
                  <m:t>μ</m:t>
                </m:r>
              </m:e>
            </m:acc>
          </m:e>
          <m:sub>
            <m:r>
              <m:t>k</m:t>
            </m:r>
          </m:sub>
        </m:sSub>
        <m:r>
          <m:rPr>
            <m:sty m:val="p"/>
          </m:rPr>
          <m:t>=</m:t>
        </m:r>
        <m:sSubSup>
          <m:e>
            <m:r>
              <m:rPr>
                <m:sty m:val="b"/>
              </m:rPr>
              <m:t>x</m:t>
            </m:r>
          </m:e>
          <m:sub>
            <m:r>
              <m:t>k</m:t>
            </m:r>
          </m:sub>
          <m:sup>
            <m:r>
              <m:rPr>
                <m:sty m:val="p"/>
              </m:rPr>
              <m:t>⊤</m:t>
            </m:r>
          </m:sup>
        </m:sSubSup>
        <m:acc>
          <m:accPr>
            <m:chr m:val="̂"/>
          </m:accPr>
          <m:e>
            <m:r>
              <m:rPr>
                <m:sty m:val="b"/>
              </m:rPr>
              <m:t>β</m:t>
            </m:r>
          </m:e>
        </m:acc>
      </m:oMath>
      <w:r>
        <w:t xml:space="preserve"> </w:t>
      </w:r>
      <w:r>
        <w:t xml:space="preserve">representa el valor esperado de</w:t>
      </w:r>
      <w:r>
        <w:t xml:space="preserve"> </w:t>
      </w:r>
      <m:oMath>
        <m:sSub>
          <m:e>
            <m:r>
              <m:t>y</m:t>
            </m:r>
          </m:e>
          <m:sub>
            <m:r>
              <m:t>k</m:t>
            </m:r>
          </m:sub>
        </m:sSub>
      </m:oMath>
      <w:r>
        <w:t xml:space="preserve"> </w:t>
      </w:r>
      <w:r>
        <w:t xml:space="preserve">bajo el modelo ajustado,</w:t>
      </w:r>
      <w:r>
        <w:t xml:space="preserve"> </w:t>
      </w:r>
      <m:oMath>
        <m:sSub>
          <m:e>
            <m:r>
              <m:t>w</m:t>
            </m:r>
          </m:e>
          <m:sub>
            <m:r>
              <m:t>k</m:t>
            </m:r>
          </m:sub>
        </m:sSub>
      </m:oMath>
      <w:r>
        <w:t xml:space="preserve"> </w:t>
      </w:r>
      <w:r>
        <w:t xml:space="preserve">corresponde al peso muestral asociado a la unidad</w:t>
      </w:r>
      <w:r>
        <w:t xml:space="preserve"> </w:t>
      </w:r>
      <m:oMath>
        <m:r>
          <m:t>k</m:t>
        </m:r>
      </m:oMath>
      <w:r>
        <w:t xml:space="preserve">, y</w:t>
      </w:r>
      <w:r>
        <w:t xml:space="preserve"> </w:t>
      </w:r>
      <m:oMath>
        <m:acc>
          <m:accPr>
            <m:chr m:val="̂"/>
          </m:accPr>
          <m:e>
            <m:r>
              <m:t>V</m:t>
            </m:r>
            <m:r>
              <m:t>a</m:t>
            </m:r>
            <m:r>
              <m:t>r</m:t>
            </m:r>
          </m:e>
        </m:acc>
        <m:r>
          <m:rPr>
            <m:sty m:val="p"/>
          </m:rPr>
          <m:t>(</m:t>
        </m:r>
        <m:sSub>
          <m:e>
            <m:acc>
              <m:accPr>
                <m:chr m:val="̂"/>
              </m:accPr>
              <m:e>
                <m:r>
                  <m:t>μ</m:t>
                </m:r>
              </m:e>
            </m:acc>
          </m:e>
          <m:sub>
            <m:r>
              <m:t>k</m:t>
            </m:r>
          </m:sub>
        </m:sSub>
        <m:r>
          <m:rPr>
            <m:sty m:val="p"/>
          </m:rPr>
          <m:t>)</m:t>
        </m:r>
      </m:oMath>
      <w:r>
        <w:t xml:space="preserve"> </w:t>
      </w:r>
      <w:r>
        <w:t xml:space="preserve">denota la varianza estimada bajo la familia del modelo.</w:t>
      </w:r>
    </w:p>
    <w:p>
      <w:pPr>
        <w:pStyle w:val="BodyText"/>
      </w:pPr>
      <w:r>
        <w:t xml:space="preserve">Los residuales de Pearson también se utilizan para evaluar aspectos clave del ajuste del modelo, en particular la normalidad y la homogeneidad de la varianza de los errores. De forma complementaria, el gráfico de residuos frente a valores ajustados constituye una herramienta diagnóstica especialmente informativa, ya que su inspección visual permite detectar posibles patrones sistemáticos que sugieran incumplimientos de los supuestos de independencia o heterocedasticidad.</w:t>
      </w:r>
    </w:p>
    <w:p>
      <w:pPr>
        <w:pStyle w:val="BodyText"/>
      </w:pPr>
      <w:r>
        <w:t xml:space="preserve">La normalidad de los errores puede examinarse como diagnóstico, aunque no es un requisito estricto para la estimación de los coeficientes y su importancia inferencial depende del método de varianza y del tamaño de la muestra. Para ello, una herramienta estándar es el gráfico cuantil-cuantil (QQ-plot), el cual compara los cuantiles de los residuos observados con los cuantiles teóricos de una distribución normal con la misma media y varianza. Una alineación aproximada de los puntos sobre la recta de 45° indica que el supuesto de normalidad resulta razonable dentro del contexto del modelo.</w:t>
      </w:r>
    </w:p>
    <w:p>
      <w:pPr>
        <w:pStyle w:val="BodyText"/>
      </w:pPr>
      <w:r>
        <w:t xml:space="preserve">De acuerdo con</w:t>
      </w:r>
      <w:r>
        <w:t xml:space="preserve"> </w:t>
      </w:r>
      <w:r>
        <w:t xml:space="preserve">Valliant (2024)</w:t>
      </w:r>
      <w:r>
        <w:t xml:space="preserve">, a continuación, estos diagnósticos se aplican a los modelos previamente ajustados. Para ello, se utiliza el paquete</w:t>
      </w:r>
      <w:r>
        <w:t xml:space="preserve"> </w:t>
      </w:r>
      <w:r>
        <w:rPr>
          <w:rStyle w:val="VerbatimChar"/>
        </w:rPr>
        <w:t xml:space="preserve">svydiags</w:t>
      </w:r>
      <w:r>
        <w:t xml:space="preserve">, una extensión del paquete</w:t>
      </w:r>
      <w:r>
        <w:t xml:space="preserve"> </w:t>
      </w:r>
      <w:r>
        <w:rPr>
          <w:rStyle w:val="VerbatimChar"/>
        </w:rPr>
        <w:t xml:space="preserve">survey</w:t>
      </w:r>
      <w:r>
        <w:t xml:space="preserve"> </w:t>
      </w:r>
      <w:r>
        <w:t xml:space="preserve">para el diagnóstico de modelos estimados bajo diseños muestrales complejos. Este paquete permite obtener los residuales estandarizados de manera directa, facilitando la evaluación de los supuestos del modelo en este tipo de contextos:</w:t>
      </w:r>
    </w:p>
    <w:p>
      <w:pPr>
        <w:pStyle w:val="SourceCode"/>
      </w:pPr>
      <w:r>
        <w:rPr>
          <w:rStyle w:val="FunctionTok"/>
        </w:rPr>
        <w:t xml:space="preserve">library</w:t>
      </w:r>
      <w:r>
        <w:rPr>
          <w:rStyle w:val="NormalTok"/>
        </w:rPr>
        <w:t xml:space="preserve">(svydiags)</w:t>
      </w:r>
      <w:r>
        <w:br/>
      </w:r>
      <w:r>
        <w:rPr>
          <w:rStyle w:val="NormalTok"/>
        </w:rPr>
        <w:t xml:space="preserve">stdresids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svystdres</w:t>
      </w:r>
      <w:r>
        <w:rPr>
          <w:rStyle w:val="NormalTok"/>
        </w:rPr>
        <w:t xml:space="preserve">(fit_svy)</w:t>
      </w:r>
      <w:r>
        <w:rPr>
          <w:rStyle w:val="SpecialCharTok"/>
        </w:rPr>
        <w:t xml:space="preserve">$</w:t>
      </w:r>
      <w:r>
        <w:rPr>
          <w:rStyle w:val="NormalTok"/>
        </w:rPr>
        <w:t xml:space="preserve">stdresids)</w:t>
      </w:r>
      <w:r>
        <w:br/>
      </w:r>
      <w:r>
        <w:rPr>
          <w:rStyle w:val="NormalTok"/>
        </w:rPr>
        <w:t xml:space="preserve">survey_design</w:t>
      </w:r>
      <w:r>
        <w:rPr>
          <w:rStyle w:val="SpecialCharTok"/>
        </w:rPr>
        <w:t xml:space="preserve">$</w:t>
      </w:r>
      <w:r>
        <w:rPr>
          <w:rStyle w:val="NormalTok"/>
        </w:rPr>
        <w:t xml:space="preserve">variables </w:t>
      </w:r>
      <w:r>
        <w:rPr>
          <w:rStyle w:val="OtherTok"/>
        </w:rPr>
        <w:t xml:space="preserve">&lt;-</w:t>
      </w:r>
      <w:r>
        <w:rPr>
          <w:rStyle w:val="NormalTok"/>
        </w:rPr>
        <w:t xml:space="preserve"> survey_design</w:t>
      </w:r>
      <w:r>
        <w:rPr>
          <w:rStyle w:val="SpecialCharTok"/>
        </w:rPr>
        <w:t xml:space="preserve">$</w:t>
      </w:r>
      <w:r>
        <w:rPr>
          <w:rStyle w:val="NormalTok"/>
        </w:rPr>
        <w:t xml:space="preserve">variables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stdresids =</w:t>
      </w:r>
      <w:r>
        <w:rPr>
          <w:rStyle w:val="NormalTok"/>
        </w:rPr>
        <w:t xml:space="preserve"> stdresids)</w:t>
      </w:r>
    </w:p>
    <w:p>
      <w:pPr>
        <w:pStyle w:val="FirstParagraph"/>
      </w:pPr>
      <w:r>
        <w:t xml:space="preserve">El análisis de normalidad puede complementarse con el histograma de los residuales estandarizados, presentado en la</w:t>
      </w:r>
      <w:r>
        <w:t xml:space="preserve"> </w:t>
      </w:r>
      <w:hyperlink w:anchor="fig-hist-residuales">
        <w:r>
          <w:rPr>
            <w:rStyle w:val="Hyperlink"/>
          </w:rPr>
          <w:t xml:space="preserve">figura 5.2</w:t>
        </w:r>
      </w:hyperlink>
      <w:r>
        <w:t xml:space="preserve">. El histograma sugiere una desviación respecto a la curva normal teórica (en rojo), pero la inspección gráfica por sí sola no constituye una prueba formal ni demuestra que el modelo sea inválido. La distribución de los residuos (representada en azul) muestra un pico mucho más agudo y estrecho que la curva normal, además de una asimetría positiva marcada con una cola extendida hacia la derecha. Esta discrepancia motiva examinar transformaciones de la variable dependiente o familias más flexibles, además de evaluar la especificación de la media.</w:t>
      </w:r>
    </w:p>
    <w:p>
      <w:pPr>
        <w:pStyle w:val="SourceCode"/>
      </w:pP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survey_design</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stdresids)</w:t>
      </w:r>
      <w:r>
        <w:br/>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..density..),</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dnorm,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7" w:name="fig-hist-residuales"/>
          <w:p>
            <w:pPr>
              <w:pStyle w:val="Compact"/>
              <w:jc w:val="center"/>
            </w:pPr>
            <w:r>
              <w:drawing>
                <wp:inline>
                  <wp:extent cx="3467100" cy="2311400"/>
                  <wp:effectExtent b="0" l="0" r="0" t="0"/>
                  <wp:docPr descr="" title="" id="185" name="Picture"/>
                  <a:graphic>
                    <a:graphicData uri="http://schemas.openxmlformats.org/drawingml/2006/picture">
                      <pic:pic>
                        <pic:nvPicPr>
                          <pic:cNvPr descr="chapters/../figures/fig-hist-residuales-1.png" id="186" name="Picture"/>
                          <pic:cNvPicPr>
                            <a:picLocks noChangeArrowheads="1" noChangeAspect="1"/>
                          </pic:cNvPicPr>
                        </pic:nvPicPr>
                        <pic:blipFill>
                          <a:blip r:embed="rId184"/>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5.2: Histograma de residuales estandarizados con curva de densidad estimada y distribución normal teórica</w:t>
            </w:r>
          </w:p>
          <w:bookmarkEnd w:id="187"/>
        </w:tc>
      </w:tr>
    </w:tbl>
    <w:p>
      <w:pPr>
        <w:pStyle w:val="BodyText"/>
      </w:pPr>
      <w:r>
        <w:t xml:space="preserve">Según</w:t>
      </w:r>
      <w:r>
        <w:t xml:space="preserve"> </w:t>
      </w:r>
      <w:r>
        <w:t xml:space="preserve">Chambers y Skinner (2003)</w:t>
      </w:r>
      <w:r>
        <w:t xml:space="preserve">, la homocedasticidad de los errores (varianza constante) constituye uno de los supuestos centrales en los modelos de regresión. Su incumplimiento afecta la eficiencia de los estimadores y las varianzas basadas exclusivamente en el modelo; las varianzas robustas ajustadas al diseño ofrecen protección adicional, aunque no corrigen una especificación incorrecta de la media. Dado que los residuos representan las discrepancias entre los valores observados y los valores ajustados por el modelo, su análisis en función de los valores predichos o de las covariables constituye una herramienta diagnóstica fundamental. Bajo un modelo adecuadamente especificado, se espera que los residuos se distribuyan de forma aleatoria alrededor de cero, sin patrones estructurados; en cambio, la aparición de formas sistemáticas (como estructuras en embudo o curvaturas) sugiere la presencia de heterocedasticidad (varianza no constante) o posibles relaciones funcionales no captadas por la especificación del modelo.</w:t>
      </w:r>
    </w:p>
    <w:p>
      <w:pPr>
        <w:pStyle w:val="BodyText"/>
      </w:pPr>
      <w:r>
        <w:t xml:space="preserve">Para evaluar este supuesto, se analizan gráficamente los residuos en función de los valores estimados</w:t>
      </w:r>
      <w:r>
        <w:t xml:space="preserve"> </w:t>
      </w:r>
      <m:oMath>
        <m:sSub>
          <m:e>
            <m:acc>
              <m:accPr>
                <m:chr m:val="̂"/>
              </m:accPr>
              <m:e>
                <m:r>
                  <m:t>μ</m:t>
                </m:r>
              </m:e>
            </m:acc>
          </m:e>
          <m:sub>
            <m:r>
              <m:t>k</m:t>
            </m:r>
          </m:sub>
        </m:sSub>
      </m:oMath>
      <w:r>
        <w:t xml:space="preserve"> </w:t>
      </w:r>
      <w:r>
        <w:t xml:space="preserve">o de covariables específicas del modelo. La aparición de patrones sistemáticos en estos gráficos constituye evidencia de heterocedasticidad o de posibles problemas de especificación funcional. En particular, para evaluar la homocedasticidad respecto de las covariables incluidas en el modelo, se construyen gráficos de residuos frente a cada una de ellas y se combinan con</w:t>
      </w:r>
      <w:r>
        <w:t xml:space="preserve"> </w:t>
      </w:r>
      <w:r>
        <w:rPr>
          <w:rStyle w:val="VerbatimChar"/>
        </w:rPr>
        <w:t xml:space="preserve">patchwork</w:t>
      </w:r>
      <w:r>
        <w:t xml:space="preserve">.</w:t>
      </w:r>
    </w:p>
    <w:p>
      <w:pPr>
        <w:pStyle w:val="SourceCode"/>
      </w:pPr>
      <w:r>
        <w:rPr>
          <w:rStyle w:val="FunctionTok"/>
        </w:rPr>
        <w:t xml:space="preserve">library</w:t>
      </w:r>
      <w:r>
        <w:rPr>
          <w:rStyle w:val="NormalTok"/>
        </w:rPr>
        <w:t xml:space="preserve">(patchwork)</w:t>
      </w:r>
      <w:r>
        <w:br/>
      </w:r>
      <w:r>
        <w:br/>
      </w:r>
      <w:r>
        <w:rPr>
          <w:rStyle w:val="NormalTok"/>
        </w:rPr>
        <w:t xml:space="preserve">g1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survey_design</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stdresids)</w:t>
      </w:r>
      <w:r>
        <w:br/>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w:t>
      </w:r>
      <w:r>
        <w:br/>
      </w:r>
      <w:r>
        <w:br/>
      </w:r>
      <w:r>
        <w:rPr>
          <w:rStyle w:val="NormalTok"/>
        </w:rPr>
        <w:t xml:space="preserve">g2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survey_design</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Zone, </w:t>
      </w:r>
      <w:r>
        <w:rPr>
          <w:rStyle w:val="AttributeTok"/>
        </w:rPr>
        <w:t xml:space="preserve">y =</w:t>
      </w:r>
      <w:r>
        <w:rPr>
          <w:rStyle w:val="NormalTok"/>
        </w:rPr>
        <w:t xml:space="preserve"> stdresids)</w:t>
      </w:r>
      <w:r>
        <w:br/>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w:t>
      </w:r>
      <w:r>
        <w:br/>
      </w:r>
      <w:r>
        <w:br/>
      </w:r>
      <w:r>
        <w:rPr>
          <w:rStyle w:val="NormalTok"/>
        </w:rPr>
        <w:t xml:space="preserve">g3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survey_design</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AttributeTok"/>
        </w:rPr>
        <w:t xml:space="preserve">y =</w:t>
      </w:r>
      <w:r>
        <w:rPr>
          <w:rStyle w:val="NormalTok"/>
        </w:rPr>
        <w:t xml:space="preserve"> stdresids)</w:t>
      </w:r>
      <w:r>
        <w:br/>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w:t>
      </w:r>
      <w:r>
        <w:br/>
      </w:r>
      <w:r>
        <w:br/>
      </w:r>
      <w:r>
        <w:rPr>
          <w:rStyle w:val="NormalTok"/>
        </w:rPr>
        <w:t xml:space="preserve">(g1 </w:t>
      </w:r>
      <w:r>
        <w:rPr>
          <w:rStyle w:val="SpecialCharTok"/>
        </w:rPr>
        <w:t xml:space="preserve">|</w:t>
      </w:r>
      <w:r>
        <w:rPr>
          <w:rStyle w:val="NormalTok"/>
        </w:rPr>
        <w:t xml:space="preserve"> g2 </w:t>
      </w:r>
      <w:r>
        <w:rPr>
          <w:rStyle w:val="SpecialCharTok"/>
        </w:rPr>
        <w:t xml:space="preserve">|</w:t>
      </w:r>
      <w:r>
        <w:rPr>
          <w:rStyle w:val="NormalTok"/>
        </w:rPr>
        <w:t xml:space="preserve"> g3)</w:t>
      </w:r>
    </w:p>
    <w:tbl>
      <w:tblPr>
        <w:tblStyle w:val="Table"/>
        <w:tblW w:type="pct" w:w="5000"/>
        <w:tblLayout w:type="fixed"/>
        <w:tblLook w:firstRow="0" w:lastRow="0" w:firstColumn="0" w:lastColumn="0" w:noHBand="0" w:noVBand="0" w:val="0000"/>
      </w:tblPr>
      <w:tblGrid>
        <w:gridCol w:w="7920"/>
      </w:tblGrid>
      <w:tr>
        <w:tc>
          <w:tcPr/>
          <w:bookmarkStart w:id="191" w:name="fig-residuales-covariables"/>
          <w:p>
            <w:pPr>
              <w:pStyle w:val="Compact"/>
              <w:jc w:val="center"/>
            </w:pPr>
            <w:r>
              <w:drawing>
                <wp:inline>
                  <wp:extent cx="4267200" cy="2844800"/>
                  <wp:effectExtent b="0" l="0" r="0" t="0"/>
                  <wp:docPr descr="" title="" id="189" name="Picture"/>
                  <a:graphic>
                    <a:graphicData uri="http://schemas.openxmlformats.org/drawingml/2006/picture">
                      <pic:pic>
                        <pic:nvPicPr>
                          <pic:cNvPr descr="chapters/../figures/fig-residuales-covariables-1.png" id="190" name="Picture"/>
                          <pic:cNvPicPr>
                            <a:picLocks noChangeArrowheads="1" noChangeAspect="1"/>
                          </pic:cNvPicPr>
                        </pic:nvPicPr>
                        <pic:blipFill>
                          <a:blip r:embed="rId188"/>
                          <a:stretch>
                            <a:fillRect/>
                          </a:stretch>
                        </pic:blipFill>
                        <pic:spPr bwMode="auto">
                          <a:xfrm>
                            <a:off x="0" y="0"/>
                            <a:ext cx="4267200" cy="28448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5.3: Gráficos de residuales estandarizados frente a cada covariable del modelo</w:t>
            </w:r>
          </w:p>
          <w:bookmarkEnd w:id="191"/>
        </w:tc>
      </w:tr>
    </w:tbl>
    <w:p>
      <w:pPr>
        <w:pStyle w:val="BodyText"/>
      </w:pPr>
      <w:r>
        <w:t xml:space="preserve">La</w:t>
      </w:r>
      <w:r>
        <w:t xml:space="preserve"> </w:t>
      </w:r>
      <w:hyperlink w:anchor="fig-residuales-covariables">
        <w:r>
          <w:rPr>
            <w:rStyle w:val="Hyperlink"/>
          </w:rPr>
          <w:t xml:space="preserve">figura 5.3</w:t>
        </w:r>
      </w:hyperlink>
      <w:r>
        <w:t xml:space="preserve"> </w:t>
      </w:r>
      <w:r>
        <w:t xml:space="preserve">presenta los gráficos de dispersión de los residuos estandarizados frente a las covariables del modelo. En conjunto, estos resultados sugieren posibles limitaciones en la especificación funcional. En particular, para</w:t>
      </w:r>
      <w:r>
        <w:t xml:space="preserve"> </w:t>
      </w:r>
      <w:r>
        <w:rPr>
          <w:rStyle w:val="VerbatimChar"/>
        </w:rPr>
        <w:t xml:space="preserve">Expenditure</w:t>
      </w:r>
      <w:r>
        <w:t xml:space="preserve"> </w:t>
      </w:r>
      <w:r>
        <w:t xml:space="preserve">se observa una ligera curvatura en la tendencia de los residuos, lo que podría indicar la presencia de una relación no lineal no completamente capturada por el modelo. Por su parte, en los gráficos asociados a</w:t>
      </w:r>
      <w:r>
        <w:t xml:space="preserve"> </w:t>
      </w:r>
      <w:r>
        <w:rPr>
          <w:rStyle w:val="VerbatimChar"/>
        </w:rPr>
        <w:t xml:space="preserve">Zone</w:t>
      </w:r>
      <w:r>
        <w:t xml:space="preserve"> </w:t>
      </w:r>
      <w:r>
        <w:t xml:space="preserve">y</w:t>
      </w:r>
      <w:r>
        <w:t xml:space="preserve"> </w:t>
      </w:r>
      <w:r>
        <w:rPr>
          <w:rStyle w:val="VerbatimChar"/>
        </w:rPr>
        <w:t xml:space="preserve">Sex</w:t>
      </w:r>
      <w:r>
        <w:t xml:space="preserve"> </w:t>
      </w:r>
      <w:r>
        <w:t xml:space="preserve">se aprecia una dispersión desigual de los residuos entre categorías, lo que sugiere diferencias en la variabilidad condicional o en el ajuste de la media entre grupos.</w:t>
      </w:r>
    </w:p>
    <w:bookmarkEnd w:id="192"/>
    <w:bookmarkStart w:id="207" w:name="observaciones-influyentes"/>
    <w:p>
      <w:pPr>
        <w:pStyle w:val="Heading3"/>
      </w:pPr>
      <w:r>
        <w:t xml:space="preserve">5.4.3 Observaciones influyentes</w:t>
      </w:r>
    </w:p>
    <w:p>
      <w:pPr>
        <w:pStyle w:val="FirstParagraph"/>
      </w:pPr>
      <w:r>
        <w:t xml:space="preserve">En el análisis diagnóstico, la identificación de observaciones influyentes es una técnica de especial importancia. Estas son unidades muestrales cuyo impacto sobre el ajuste del modelo resulta desproporcionado respecto al resto de la muestra. Conviene subrayar que una observación influyente no necesariamente corresponde a un valor atípico: mientras un atípico puede estar alejado del patrón general de los datos sin afectar sustancialmente el ajuste, una observación influyente puede alterar de manera significativa las estimaciones de los parámetros, incluso si no luce inusual.</w:t>
      </w:r>
    </w:p>
    <w:p>
      <w:pPr>
        <w:pStyle w:val="BodyText"/>
      </w:pPr>
      <w:r>
        <w:t xml:space="preserve">Según</w:t>
      </w:r>
      <w:r>
        <w:t xml:space="preserve"> </w:t>
      </w:r>
      <w:r>
        <w:t xml:space="preserve">Heeringa et al. (2017, 213)</w:t>
      </w:r>
      <w:r>
        <w:t xml:space="preserve">, la distancia de Cook mide el impacto que tendría la eliminación de la observación</w:t>
      </w:r>
      <w:r>
        <w:t xml:space="preserve"> </w:t>
      </w:r>
      <m:oMath>
        <m:r>
          <m:t>k</m:t>
        </m:r>
      </m:oMath>
      <w:r>
        <w:t xml:space="preserve"> </w:t>
      </w:r>
      <w:r>
        <w:t xml:space="preserve">sobre el ajuste global del modelo, al combinar simultáneamente la magnitud del residuo, la varianza estimada del modelo y su apalancamiento (</w:t>
      </w:r>
      <w:r>
        <w:rPr>
          <w:i/>
          <w:iCs/>
        </w:rPr>
        <w:t xml:space="preserve">leverage</w:t>
      </w:r>
      <w:r>
        <w:t xml:space="preserve">). En el contexto de encuestas con diseños muestrales complejos, la distancia de Cook suele denotarse como</w:t>
      </w:r>
      <w:r>
        <w:t xml:space="preserve"> </w:t>
      </w:r>
      <m:oMath>
        <m:sSub>
          <m:e>
            <m:r>
              <m:t>c</m:t>
            </m:r>
          </m:e>
          <m:sub>
            <m:r>
              <m:t>k</m:t>
            </m:r>
          </m:sub>
        </m:sSub>
      </m:oMath>
      <w:r>
        <w:t xml:space="preserve"> </w:t>
      </w:r>
      <w:r>
        <w:t xml:space="preserve">y su expresión incorpora explícitamente los pesos muestrales. Para evaluar la magnitud de este estadístico, se utiliza una aproximación basada en su comparación con una distribución</w:t>
      </w:r>
      <w:r>
        <w:t xml:space="preserve"> </w:t>
      </w:r>
      <m:oMath>
        <m:r>
          <m:t>F</m:t>
        </m:r>
      </m:oMath>
      <w:r>
        <w:t xml:space="preserve">, mediante la expresión:</w:t>
      </w:r>
    </w:p>
    <w:p>
      <w:pPr>
        <w:pStyle w:val="BodyText"/>
      </w:pPr>
      <m:oMathPara>
        <m:oMathParaPr>
          <m:jc m:val="center"/>
        </m:oMathParaPr>
        <m:oMath>
          <m:f>
            <m:fPr>
              <m:type m:val="bar"/>
            </m:fPr>
            <m:num>
              <m:r>
                <m:rPr>
                  <m:sty m:val="p"/>
                </m:rPr>
                <m:t>(</m:t>
              </m:r>
              <m:r>
                <m:t>d</m:t>
              </m:r>
              <m:r>
                <m:t>f</m:t>
              </m:r>
              <m:r>
                <m:rPr>
                  <m:sty m:val="p"/>
                </m:rPr>
                <m:t>−</m:t>
              </m:r>
              <m:r>
                <m:t>p</m:t>
              </m:r>
              <m:r>
                <m:rPr>
                  <m:sty m:val="p"/>
                </m:rPr>
                <m:t>+</m:t>
              </m:r>
              <m:r>
                <m:t>1</m:t>
              </m:r>
              <m:r>
                <m:rPr>
                  <m:sty m:val="p"/>
                </m:rPr>
                <m:t>)</m:t>
              </m:r>
              <m:r>
                <m:t> </m:t>
              </m:r>
              <m:sSub>
                <m:e>
                  <m:r>
                    <m:t>c</m:t>
                  </m:r>
                </m:e>
                <m:sub>
                  <m:r>
                    <m:t>k</m:t>
                  </m:r>
                </m:sub>
              </m:sSub>
            </m:num>
            <m:den>
              <m:r>
                <m:t>d</m:t>
              </m:r>
              <m:r>
                <m:t>f</m:t>
              </m:r>
            </m:den>
          </m:f>
          <m:r>
            <m:rPr>
              <m:sty m:val="p"/>
            </m:rPr>
            <m:t>∼</m:t>
          </m:r>
          <m:sSub>
            <m:e>
              <m:r>
                <m:t>F</m:t>
              </m:r>
            </m:e>
            <m:sub>
              <m:r>
                <m:rPr>
                  <m:sty m:val="p"/>
                </m:rPr>
                <m:t>(</m:t>
              </m:r>
              <m:r>
                <m:t>p</m:t>
              </m:r>
              <m:r>
                <m:rPr>
                  <m:sty m:val="p"/>
                </m:rPr>
                <m:t>,</m:t>
              </m:r>
              <m:r>
                <m:t> </m:t>
              </m:r>
              <m:r>
                <m:t>d</m:t>
              </m:r>
              <m:r>
                <m:t>f</m:t>
              </m:r>
              <m:r>
                <m:rPr>
                  <m:sty m:val="p"/>
                </m:rPr>
                <m:t>−</m:t>
              </m:r>
              <m:r>
                <m:t>p</m:t>
              </m:r>
              <m:r>
                <m:rPr>
                  <m:sty m:val="p"/>
                </m:rPr>
                <m:t>)</m:t>
              </m:r>
            </m:sub>
          </m:sSub>
          <m:r>
            <m:rPr>
              <m:sty m:val="p"/>
            </m:rPr>
            <m:t>,</m:t>
          </m:r>
        </m:oMath>
      </m:oMathPara>
    </w:p>
    <w:p>
      <w:pPr>
        <w:pStyle w:val="FirstParagraph"/>
      </w:pPr>
      <w:r>
        <w:t xml:space="preserve">Donde</w:t>
      </w:r>
      <w:r>
        <w:t xml:space="preserve"> </w:t>
      </w:r>
      <m:oMath>
        <m:r>
          <m:t>p</m:t>
        </m:r>
      </m:oMath>
      <w:r>
        <w:t xml:space="preserve"> </w:t>
      </w:r>
      <w:r>
        <w:t xml:space="preserve">denota los parámetros del modelo y</w:t>
      </w:r>
      <w:r>
        <w:t xml:space="preserve"> </w:t>
      </w:r>
      <m:oMath>
        <m:r>
          <m:t>d</m:t>
        </m:r>
        <m:r>
          <m:t>f</m:t>
        </m:r>
      </m:oMath>
      <w:r>
        <w:t xml:space="preserve"> </w:t>
      </w:r>
      <w:r>
        <w:t xml:space="preserve">representa los grados de libertad asociados al diseño muestral. En la práctica, una observación puede considerarse influyente si su distancia de Cook supera valores de referencia aproximados entre 2 y 3.</w:t>
      </w:r>
    </w:p>
    <w:p>
      <w:pPr>
        <w:pStyle w:val="BodyText"/>
      </w:pPr>
      <w:r>
        <w:t xml:space="preserve">En</w:t>
      </w:r>
      <w:r>
        <w:t xml:space="preserve"> </w:t>
      </w:r>
      <w:r>
        <w:rPr>
          <w:rStyle w:val="VerbatimChar"/>
        </w:rPr>
        <w:t xml:space="preserve">R</w:t>
      </w:r>
      <w:r>
        <w:t xml:space="preserve">, se evalúa la presencia de observaciones influyentes mediante la distancia de Cook, estimada con la función</w:t>
      </w:r>
      <w:r>
        <w:t xml:space="preserve"> </w:t>
      </w:r>
      <w:r>
        <w:rPr>
          <w:rStyle w:val="VerbatimChar"/>
        </w:rPr>
        <w:t xml:space="preserve">svyCooksD</w:t>
      </w:r>
      <w:r>
        <w:t xml:space="preserve"> </w:t>
      </w:r>
      <w:r>
        <w:t xml:space="preserve">del paquete</w:t>
      </w:r>
      <w:r>
        <w:t xml:space="preserve"> </w:t>
      </w:r>
      <w:r>
        <w:rPr>
          <w:rStyle w:val="VerbatimChar"/>
        </w:rPr>
        <w:t xml:space="preserve">svydiags</w:t>
      </w:r>
      <w:r>
        <w:t xml:space="preserve">. Los resultados obtenidos se presentan en la</w:t>
      </w:r>
      <w:r>
        <w:t xml:space="preserve"> </w:t>
      </w:r>
      <w:hyperlink w:anchor="fig-cook">
        <w:r>
          <w:rPr>
            <w:rStyle w:val="Hyperlink"/>
          </w:rPr>
          <w:t xml:space="preserve">figura 5.4</w:t>
        </w:r>
      </w:hyperlink>
      <w:r>
        <w:t xml:space="preserve">, en donde se observa que ninguna de las distancias de Cook supera el umbral de referencia de 3, por lo que, bajo este criterio diagnóstico, no se identifican observaciones con influencia práctica elevada sobre el ajuste; el término «significativa» no corresponde aquí a una prueba de hipótesis.</w:t>
      </w:r>
    </w:p>
    <w:p>
      <w:pPr>
        <w:pStyle w:val="SourceCode"/>
      </w:pPr>
      <w:r>
        <w:rPr>
          <w:rStyle w:val="NormalTok"/>
        </w:rPr>
        <w:t xml:space="preserve">cook_values </w:t>
      </w:r>
      <w:r>
        <w:rPr>
          <w:rStyle w:val="OtherTok"/>
        </w:rPr>
        <w:t xml:space="preserve">&lt;-</w:t>
      </w:r>
      <w:r>
        <w:rPr>
          <w:rStyle w:val="NormalTok"/>
        </w:rPr>
        <w:t xml:space="preserve"> </w:t>
      </w:r>
      <w:r>
        <w:rPr>
          <w:rStyle w:val="FunctionTok"/>
        </w:rPr>
        <w:t xml:space="preserve">svyCooksD</w:t>
      </w:r>
      <w:r>
        <w:rPr>
          <w:rStyle w:val="NormalTok"/>
        </w:rPr>
        <w:t xml:space="preserve">(fit_svy, </w:t>
      </w:r>
      <w:r>
        <w:rPr>
          <w:rStyle w:val="AttributeTok"/>
        </w:rPr>
        <w:t xml:space="preserve">doplot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6" w:name="fig-cook"/>
          <w:p>
            <w:pPr>
              <w:pStyle w:val="Compact"/>
              <w:jc w:val="center"/>
            </w:pPr>
            <w:r>
              <w:drawing>
                <wp:inline>
                  <wp:extent cx="3467100" cy="2311400"/>
                  <wp:effectExtent b="0" l="0" r="0" t="0"/>
                  <wp:docPr descr="" title="" id="194" name="Picture"/>
                  <a:graphic>
                    <a:graphicData uri="http://schemas.openxmlformats.org/drawingml/2006/picture">
                      <pic:pic>
                        <pic:nvPicPr>
                          <pic:cNvPr descr="chapters/../figures/fig-cook-1.png" id="195" name="Picture"/>
                          <pic:cNvPicPr>
                            <a:picLocks noChangeArrowheads="1" noChangeAspect="1"/>
                          </pic:cNvPicPr>
                        </pic:nvPicPr>
                        <pic:blipFill>
                          <a:blip r:embed="rId19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5.4: Distancia de Cook para cada observación de la muestra</w:t>
            </w:r>
          </w:p>
          <w:bookmarkEnd w:id="196"/>
        </w:tc>
      </w:tr>
    </w:tbl>
    <w:p>
      <w:pPr>
        <w:pStyle w:val="BodyText"/>
      </w:pPr>
      <w:r>
        <w:t xml:space="preserve">Otro estadístico que mide el grado de influencia de una observación es el DFBETA, denotado como</w:t>
      </w:r>
      <w:r>
        <w:t xml:space="preserve"> </w:t>
      </w:r>
      <m:oMath>
        <m:sSub>
          <m:e>
            <m:r>
              <m:t>D</m:t>
            </m:r>
          </m:e>
          <m:sub>
            <m:r>
              <m:t>f</m:t>
            </m:r>
          </m:sub>
        </m:sSub>
        <m:sSub>
          <m:e>
            <m:r>
              <m:rPr>
                <m:nor/>
                <m:sty m:val="p"/>
              </m:rPr>
              <m:t>Beta</m:t>
            </m:r>
          </m:e>
          <m:sub>
            <m:r>
              <m:rPr>
                <m:sty m:val="p"/>
              </m:rPr>
              <m:t>(</m:t>
            </m:r>
            <m:r>
              <m:t>k</m:t>
            </m:r>
            <m:r>
              <m:rPr>
                <m:sty m:val="p"/>
              </m:rPr>
              <m:t>)</m:t>
            </m:r>
            <m:r>
              <m:t>j</m:t>
            </m:r>
          </m:sub>
        </m:sSub>
      </m:oMath>
      <w:r>
        <w:t xml:space="preserve">, que mide el cambio que experimenta el coeficiente de regresión</w:t>
      </w:r>
      <w:r>
        <w:t xml:space="preserve"> </w:t>
      </w:r>
      <m:oMath>
        <m:sSub>
          <m:e>
            <m:acc>
              <m:accPr>
                <m:chr m:val="̂"/>
              </m:accPr>
              <m:e>
                <m:r>
                  <m:t>β</m:t>
                </m:r>
              </m:e>
            </m:acc>
          </m:e>
          <m:sub>
            <m:r>
              <m:t>j</m:t>
            </m:r>
          </m:sub>
        </m:sSub>
      </m:oMath>
      <w:r>
        <w:t xml:space="preserve"> </w:t>
      </w:r>
      <w:r>
        <w:t xml:space="preserve">cuando la observación</w:t>
      </w:r>
      <w:r>
        <w:t xml:space="preserve"> </w:t>
      </w:r>
      <m:oMath>
        <m:r>
          <m:t>k</m:t>
        </m:r>
      </m:oMath>
      <w:r>
        <w:t xml:space="preserve"> </w:t>
      </w:r>
      <w:r>
        <w:t xml:space="preserve">es eliminada del proceso de estimación. En consecuencia, esta medida evalúa la influencia individual de cada observación sobre los parámetros del modelo, identificando aquellas unidades cuya presencia altera de manera importante las estimaciones obtenidas. Valores elevados de</w:t>
      </w:r>
      <w:r>
        <w:t xml:space="preserve"> </w:t>
      </w:r>
      <m:oMath>
        <m:sSub>
          <m:e>
            <m:r>
              <m:t>D</m:t>
            </m:r>
          </m:e>
          <m:sub>
            <m:r>
              <m:t>f</m:t>
            </m:r>
          </m:sub>
        </m:sSub>
        <m:sSub>
          <m:e>
            <m:r>
              <m:rPr>
                <m:nor/>
                <m:sty m:val="p"/>
              </m:rPr>
              <m:t>Beta</m:t>
            </m:r>
          </m:e>
          <m:sub>
            <m:r>
              <m:rPr>
                <m:sty m:val="p"/>
              </m:rPr>
              <m:t>(</m:t>
            </m:r>
            <m:r>
              <m:t>k</m:t>
            </m:r>
            <m:r>
              <m:rPr>
                <m:sty m:val="p"/>
              </m:rPr>
              <m:t>)</m:t>
            </m:r>
            <m:r>
              <m:t>j</m:t>
            </m:r>
          </m:sub>
        </m:sSub>
      </m:oMath>
      <w:r>
        <w:t xml:space="preserve"> </w:t>
      </w:r>
      <w:r>
        <w:t xml:space="preserve">indican que la observación ejerce una influencia considerable sobre el coeficiente correspondiente, lo que puede afectar la estabilidad e interpretación del modelo.</w:t>
      </w:r>
    </w:p>
    <w:p>
      <w:pPr>
        <w:pStyle w:val="BodyText"/>
      </w:pPr>
      <w:r>
        <w:t xml:space="preserve">Como criterio práctico de diagnóstico,</w:t>
      </w:r>
      <w:r>
        <w:t xml:space="preserve"> </w:t>
      </w:r>
      <w:r>
        <w:t xml:space="preserve">Li y Valliant (2015)</w:t>
      </w:r>
      <w:r>
        <w:t xml:space="preserve"> </w:t>
      </w:r>
      <w:r>
        <w:t xml:space="preserve">señalan que una observación suele considerarse influyente sobre el coeficiente</w:t>
      </w:r>
      <w:r>
        <w:t xml:space="preserve"> </w:t>
      </w:r>
      <m:oMath>
        <m:sSub>
          <m:e>
            <m:acc>
              <m:accPr>
                <m:chr m:val="̂"/>
              </m:accPr>
              <m:e>
                <m:r>
                  <m:t>β</m:t>
                </m:r>
              </m:e>
            </m:acc>
          </m:e>
          <m:sub>
            <m:r>
              <m:t>j</m:t>
            </m:r>
          </m:sub>
        </m:sSub>
      </m:oMath>
      <w:r>
        <w:t xml:space="preserve"> </w:t>
      </w:r>
      <w:r>
        <w:t xml:space="preserve">cuando</w:t>
      </w:r>
    </w:p>
    <w:p>
      <w:pPr>
        <w:pStyle w:val="BodyText"/>
      </w:pPr>
      <m:oMathPara>
        <m:oMathParaPr>
          <m:jc m:val="center"/>
        </m:oMathParaPr>
        <m:oMath>
          <m:d>
            <m:dPr>
              <m:begChr m:val="|"/>
              <m:sepChr m:val=""/>
              <m:endChr m:val="|"/>
              <m:grow/>
            </m:dPr>
            <m:e>
              <m:sSub>
                <m:e>
                  <m:r>
                    <m:t>D</m:t>
                  </m:r>
                </m:e>
                <m:sub>
                  <m:r>
                    <m:t>f</m:t>
                  </m:r>
                </m:sub>
              </m:sSub>
              <m:sSub>
                <m:e>
                  <m:r>
                    <m:rPr>
                      <m:nor/>
                      <m:sty m:val="p"/>
                    </m:rPr>
                    <m:t>Beta</m:t>
                  </m:r>
                </m:e>
                <m:sub>
                  <m:r>
                    <m:rPr>
                      <m:sty m:val="p"/>
                    </m:rPr>
                    <m:t>(</m:t>
                  </m:r>
                  <m:r>
                    <m:t>k</m:t>
                  </m:r>
                  <m:r>
                    <m:rPr>
                      <m:sty m:val="p"/>
                    </m:rPr>
                    <m:t>)</m:t>
                  </m:r>
                  <m:r>
                    <m:t>j</m:t>
                  </m:r>
                </m:sub>
              </m:sSub>
            </m:e>
          </m:d>
          <m:r>
            <m:rPr>
              <m:sty m:val="p"/>
            </m:rPr>
            <m:t>≥</m:t>
          </m:r>
          <m:f>
            <m:fPr>
              <m:type m:val="bar"/>
            </m:fPr>
            <m:num>
              <m:r>
                <m:t>z</m:t>
              </m:r>
            </m:num>
            <m:den>
              <m:rad>
                <m:radPr>
                  <m:degHide m:val="on"/>
                </m:radPr>
                <m:deg/>
                <m:e>
                  <m:sSub>
                    <m:e>
                      <m:r>
                        <m:t>n</m:t>
                      </m:r>
                    </m:e>
                    <m:sub>
                      <m:r>
                        <m:t>I</m:t>
                      </m:r>
                    </m:sub>
                  </m:sSub>
                  <m:r>
                    <m:rPr>
                      <m:sty m:val="p"/>
                    </m:rPr>
                    <m:t>×</m:t>
                  </m:r>
                  <m:r>
                    <m:t>D</m:t>
                  </m:r>
                  <m:r>
                    <m:t>E</m:t>
                  </m:r>
                  <m:r>
                    <m:t>F</m:t>
                  </m:r>
                  <m:r>
                    <m:t>F</m:t>
                  </m:r>
                </m:e>
              </m:rad>
            </m:den>
          </m:f>
          <m:r>
            <m:rPr>
              <m:sty m:val="p"/>
            </m:rPr>
            <m:t>,</m:t>
          </m:r>
        </m:oMath>
      </m:oMathPara>
    </w:p>
    <w:p>
      <w:pPr>
        <w:pStyle w:val="FirstParagraph"/>
      </w:pPr>
      <w:r>
        <w:t xml:space="preserve">Donde</w:t>
      </w:r>
      <w:r>
        <w:t xml:space="preserve"> </w:t>
      </w:r>
      <m:oMath>
        <m:r>
          <m:t>z</m:t>
        </m:r>
      </m:oMath>
      <w:r>
        <w:t xml:space="preserve"> </w:t>
      </w:r>
      <w:r>
        <w:t xml:space="preserve">toma comúnmente valores de 2 o 3,</w:t>
      </w:r>
      <w:r>
        <w:t xml:space="preserve"> </w:t>
      </w:r>
      <m:oMath>
        <m:sSub>
          <m:e>
            <m:r>
              <m:t>n</m:t>
            </m:r>
          </m:e>
          <m:sub>
            <m:r>
              <m:t>I</m:t>
            </m:r>
          </m:sub>
        </m:sSub>
      </m:oMath>
      <w:r>
        <w:t xml:space="preserve"> </w:t>
      </w:r>
      <w:r>
        <w:t xml:space="preserve">representa el número de UPMs seleccionadas en la muestra de la primera etapa y</w:t>
      </w:r>
      <w:r>
        <w:t xml:space="preserve"> </w:t>
      </w:r>
      <m:oMath>
        <m:r>
          <m:t>D</m:t>
        </m:r>
        <m:r>
          <m:t>E</m:t>
        </m:r>
        <m:r>
          <m:t>F</m:t>
        </m:r>
        <m:r>
          <m:t>F</m:t>
        </m:r>
      </m:oMath>
      <w:r>
        <w:t xml:space="preserve"> </w:t>
      </w:r>
      <w:r>
        <w:t xml:space="preserve">corresponde al efecto de diseño. A continuación, se evalúa la influencia de las observaciones sobre los coeficientes del modelo de ejemplo mediante la función</w:t>
      </w:r>
      <w:r>
        <w:t xml:space="preserve"> </w:t>
      </w:r>
      <w:r>
        <w:rPr>
          <w:rStyle w:val="VerbatimChar"/>
        </w:rPr>
        <w:t xml:space="preserve">svydfbetas</w:t>
      </w:r>
      <w:r>
        <w:t xml:space="preserve">. Los resultados correspondientes a las primeras diez observaciones se presentan en la</w:t>
      </w:r>
      <w:r>
        <w:t xml:space="preserve"> </w:t>
      </w:r>
      <w:hyperlink w:anchor="tbl-dfbetas-primeros">
        <w:r>
          <w:rPr>
            <w:rStyle w:val="Hyperlink"/>
          </w:rPr>
          <w:t xml:space="preserve">tabla 5.1</w:t>
        </w:r>
      </w:hyperlink>
      <w:r>
        <w:t xml:space="preserve">.</w:t>
      </w:r>
    </w:p>
    <w:p>
      <w:pPr>
        <w:pStyle w:val="SourceCode"/>
      </w:pPr>
      <w:r>
        <w:rPr>
          <w:rStyle w:val="NormalTok"/>
        </w:rPr>
        <w:t xml:space="preserve">d_dfbetas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w:t>
      </w:r>
      <w:r>
        <w:rPr>
          <w:rStyle w:val="FunctionTok"/>
        </w:rPr>
        <w:t xml:space="preserve">svydfbetas</w:t>
      </w:r>
      <w:r>
        <w:rPr>
          <w:rStyle w:val="NormalTok"/>
        </w:rPr>
        <w:t xml:space="preserve">(fit_svy)</w:t>
      </w:r>
      <w:r>
        <w:rPr>
          <w:rStyle w:val="SpecialCharTok"/>
        </w:rPr>
        <w:t xml:space="preserve">$</w:t>
      </w:r>
      <w:r>
        <w:rPr>
          <w:rStyle w:val="NormalTok"/>
        </w:rPr>
        <w:t xml:space="preserve">Dfbetas))</w:t>
      </w:r>
      <w:r>
        <w:br/>
      </w:r>
      <w:r>
        <w:rPr>
          <w:rStyle w:val="FunctionTok"/>
        </w:rPr>
        <w:t xml:space="preserve">colnames</w:t>
      </w:r>
      <w:r>
        <w:rPr>
          <w:rStyle w:val="NormalTok"/>
        </w:rPr>
        <w:t xml:space="preserve">(d_dfbetas)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"Beta_"</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d_dfbetas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w:t>
      </w:r>
    </w:p>
    <w:p>
      <w:pPr>
        <w:pStyle w:val="SourceCode"/>
      </w:pPr>
      <w:r>
        <w:rPr>
          <w:rStyle w:val="NormalTok"/>
        </w:rPr>
        <w:t xml:space="preserve">d_dfbetas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w:t>
      </w:r>
      <w:r>
        <w:rPr>
          <w:rStyle w:val="FunctionTok"/>
        </w:rPr>
        <w:t xml:space="preserve">svydfbetas</w:t>
      </w:r>
      <w:r>
        <w:rPr>
          <w:rStyle w:val="NormalTok"/>
        </w:rPr>
        <w:t xml:space="preserve">(fit_svy)</w:t>
      </w:r>
      <w:r>
        <w:rPr>
          <w:rStyle w:val="SpecialCharTok"/>
        </w:rPr>
        <w:t xml:space="preserve">$</w:t>
      </w:r>
      <w:r>
        <w:rPr>
          <w:rStyle w:val="NormalTok"/>
        </w:rPr>
        <w:t xml:space="preserve">Dfbetas))</w:t>
      </w:r>
      <w:r>
        <w:br/>
      </w:r>
      <w:r>
        <w:rPr>
          <w:rStyle w:val="FunctionTok"/>
        </w:rPr>
        <w:t xml:space="preserve">colnames</w:t>
      </w:r>
      <w:r>
        <w:rPr>
          <w:rStyle w:val="NormalTok"/>
        </w:rPr>
        <w:t xml:space="preserve">(d_dfbetas)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"Beta_"</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d_dfbetas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dfbetas-primeros"/>
          <w:p>
            <w:pPr>
              <w:jc w:val="center"/>
            </w:pPr>
            <w:pPr>
              <w:jc w:val="left"/>
              <w:spacing w:before="200"/>
              <w:pStyle w:val="ImageCaption"/>
            </w:pPr>
            <w:r>
              <w:t xml:space="preserve">Tabla 5.1: Valores DfBetas para las primeras diez observaciones de la muestra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Beta_1</w:t>
                  </w:r>
                </w:p>
              </w:tc>
              <w:tc>
                <w:tcPr/>
                <w:p>
                  <w:pPr>
                    <w:pStyle w:val="Compact"/>
                    <w:jc w:val="right"/>
                    <w:jc w:val="center"/>
                  </w:pPr>
                  <w:r>
                    <w:t xml:space="preserve">Beta_2</w:t>
                  </w:r>
                </w:p>
              </w:tc>
              <w:tc>
                <w:tcPr/>
                <w:p>
                  <w:pPr>
                    <w:pStyle w:val="Compact"/>
                    <w:jc w:val="right"/>
                    <w:jc w:val="center"/>
                  </w:pPr>
                  <w:r>
                    <w:t xml:space="preserve">Beta_3</w:t>
                  </w:r>
                </w:p>
              </w:tc>
              <w:tc>
                <w:tcPr/>
                <w:p>
                  <w:pPr>
                    <w:pStyle w:val="Compact"/>
                    <w:jc w:val="right"/>
                    <w:jc w:val="center"/>
                  </w:pPr>
                  <w:r>
                    <w:t xml:space="preserve">Beta_4</w:t>
                  </w:r>
                </w:p>
              </w:tc>
            </w:tr>
            <w:tr>
              <w:tc>
                <w:tcPr/>
                <w:p>
                  <w:pPr>
                    <w:pStyle w:val="Compact"/>
                    <w:jc w:val="right"/>
                    <w:jc w:val="center"/>
                  </w:pPr>
                  <w:r>
                    <w:t xml:space="preserve">-0.0003</w:t>
                  </w:r>
                </w:p>
              </w:tc>
              <w:tc>
                <w:tcPr/>
                <w:p>
                  <w:pPr>
                    <w:pStyle w:val="Compact"/>
                    <w:jc w:val="right"/>
                    <w:jc w:val="center"/>
                  </w:pPr>
                  <w:r>
                    <w:t xml:space="preserve">-0.0001</w:t>
                  </w:r>
                </w:p>
              </w:tc>
              <w:tc>
                <w:tcPr/>
                <w:p>
                  <w:pPr>
                    <w:pStyle w:val="Compact"/>
                    <w:jc w:val="right"/>
                    <w:jc w:val="center"/>
                  </w:pPr>
                  <w:r>
                    <w:t xml:space="preserve">0.0013</w:t>
                  </w:r>
                </w:p>
              </w:tc>
              <w:tc>
                <w:tcPr/>
                <w:p>
                  <w:pPr>
                    <w:pStyle w:val="Compact"/>
                    <w:jc w:val="right"/>
                    <w:jc w:val="center"/>
                  </w:pPr>
                  <w:r>
                    <w:t xml:space="preserve">-0.0033</w:t>
                  </w:r>
                </w:p>
              </w:tc>
            </w:tr>
            <w:tr>
              <w:tc>
                <w:tcPr/>
                <w:p>
                  <w:pPr>
                    <w:pStyle w:val="Compact"/>
                    <w:jc w:val="right"/>
                    <w:jc w:val="center"/>
                  </w:pPr>
                  <w:r>
                    <w:t xml:space="preserve">-0.0009</w:t>
                  </w:r>
                </w:p>
              </w:tc>
              <w:tc>
                <w:tcPr/>
                <w:p>
                  <w:pPr>
                    <w:pStyle w:val="Compact"/>
                    <w:jc w:val="right"/>
                    <w:jc w:val="center"/>
                  </w:pPr>
                  <w:r>
                    <w:t xml:space="preserve">-0.0001</w:t>
                  </w:r>
                </w:p>
              </w:tc>
              <w:tc>
                <w:tcPr/>
                <w:p>
                  <w:pPr>
                    <w:pStyle w:val="Compact"/>
                    <w:jc w:val="right"/>
                    <w:jc w:val="center"/>
                  </w:pPr>
                  <w:r>
                    <w:t xml:space="preserve">0.0010</w:t>
                  </w:r>
                </w:p>
              </w:tc>
              <w:tc>
                <w:tcPr/>
                <w:p>
                  <w:pPr>
                    <w:pStyle w:val="Compact"/>
                    <w:jc w:val="right"/>
                    <w:jc w:val="center"/>
                  </w:pPr>
                  <w:r>
                    <w:t xml:space="preserve">0.0024</w:t>
                  </w:r>
                </w:p>
              </w:tc>
            </w:tr>
            <w:tr>
              <w:tc>
                <w:tcPr/>
                <w:p>
                  <w:pPr>
                    <w:pStyle w:val="Compact"/>
                    <w:jc w:val="right"/>
                    <w:jc w:val="center"/>
                  </w:pPr>
                  <w:r>
                    <w:t xml:space="preserve">-0.0009</w:t>
                  </w:r>
                </w:p>
              </w:tc>
              <w:tc>
                <w:tcPr/>
                <w:p>
                  <w:pPr>
                    <w:pStyle w:val="Compact"/>
                    <w:jc w:val="right"/>
                    <w:jc w:val="center"/>
                  </w:pPr>
                  <w:r>
                    <w:t xml:space="preserve">-0.0001</w:t>
                  </w:r>
                </w:p>
              </w:tc>
              <w:tc>
                <w:tcPr/>
                <w:p>
                  <w:pPr>
                    <w:pStyle w:val="Compact"/>
                    <w:jc w:val="right"/>
                    <w:jc w:val="center"/>
                  </w:pPr>
                  <w:r>
                    <w:t xml:space="preserve">0.0010</w:t>
                  </w:r>
                </w:p>
              </w:tc>
              <w:tc>
                <w:tcPr/>
                <w:p>
                  <w:pPr>
                    <w:pStyle w:val="Compact"/>
                    <w:jc w:val="right"/>
                    <w:jc w:val="center"/>
                  </w:pPr>
                  <w:r>
                    <w:t xml:space="preserve">0.0024</w:t>
                  </w:r>
                </w:p>
              </w:tc>
            </w:tr>
            <w:tr>
              <w:tc>
                <w:tcPr/>
                <w:p>
                  <w:pPr>
                    <w:pStyle w:val="Compact"/>
                    <w:jc w:val="right"/>
                    <w:jc w:val="center"/>
                  </w:pPr>
                  <w:r>
                    <w:t xml:space="preserve">-0.0003</w:t>
                  </w:r>
                </w:p>
              </w:tc>
              <w:tc>
                <w:tcPr/>
                <w:p>
                  <w:pPr>
                    <w:pStyle w:val="Compact"/>
                    <w:jc w:val="right"/>
                    <w:jc w:val="center"/>
                  </w:pPr>
                  <w:r>
                    <w:t xml:space="preserve">-0.0001</w:t>
                  </w:r>
                </w:p>
              </w:tc>
              <w:tc>
                <w:tcPr/>
                <w:p>
                  <w:pPr>
                    <w:pStyle w:val="Compact"/>
                    <w:jc w:val="right"/>
                    <w:jc w:val="center"/>
                  </w:pPr>
                  <w:r>
                    <w:t xml:space="preserve">0.0013</w:t>
                  </w:r>
                </w:p>
              </w:tc>
              <w:tc>
                <w:tcPr/>
                <w:p>
                  <w:pPr>
                    <w:pStyle w:val="Compact"/>
                    <w:jc w:val="right"/>
                    <w:jc w:val="center"/>
                  </w:pPr>
                  <w:r>
                    <w:t xml:space="preserve">-0.0033</w:t>
                  </w:r>
                </w:p>
              </w:tc>
            </w:tr>
            <w:tr>
              <w:tc>
                <w:tcPr/>
                <w:p>
                  <w:pPr>
                    <w:pStyle w:val="Compact"/>
                    <w:jc w:val="right"/>
                    <w:jc w:val="center"/>
                  </w:pPr>
                  <w:r>
                    <w:t xml:space="preserve">-0.0009</w:t>
                  </w:r>
                </w:p>
              </w:tc>
              <w:tc>
                <w:tcPr/>
                <w:p>
                  <w:pPr>
                    <w:pStyle w:val="Compact"/>
                    <w:jc w:val="right"/>
                    <w:jc w:val="center"/>
                  </w:pPr>
                  <w:r>
                    <w:t xml:space="preserve">-0.0001</w:t>
                  </w:r>
                </w:p>
              </w:tc>
              <w:tc>
                <w:tcPr/>
                <w:p>
                  <w:pPr>
                    <w:pStyle w:val="Compact"/>
                    <w:jc w:val="right"/>
                    <w:jc w:val="center"/>
                  </w:pPr>
                  <w:r>
                    <w:t xml:space="preserve">0.0010</w:t>
                  </w:r>
                </w:p>
              </w:tc>
              <w:tc>
                <w:tcPr/>
                <w:p>
                  <w:pPr>
                    <w:pStyle w:val="Compact"/>
                    <w:jc w:val="right"/>
                    <w:jc w:val="center"/>
                  </w:pPr>
                  <w:r>
                    <w:t xml:space="preserve">0.0024</w:t>
                  </w:r>
                </w:p>
              </w:tc>
            </w:tr>
            <w:tr>
              <w:tc>
                <w:tcPr/>
                <w:p>
                  <w:pPr>
                    <w:pStyle w:val="Compact"/>
                    <w:jc w:val="right"/>
                    <w:jc w:val="center"/>
                  </w:pPr>
                  <w:r>
                    <w:t xml:space="preserve">0.0025</w:t>
                  </w:r>
                </w:p>
              </w:tc>
              <w:tc>
                <w:tcPr/>
                <w:p>
                  <w:pPr>
                    <w:pStyle w:val="Compact"/>
                    <w:jc w:val="right"/>
                    <w:jc w:val="center"/>
                  </w:pPr>
                  <w:r>
                    <w:t xml:space="preserve">0.0005</w:t>
                  </w:r>
                </w:p>
              </w:tc>
              <w:tc>
                <w:tcPr/>
                <w:p>
                  <w:pPr>
                    <w:pStyle w:val="Compact"/>
                    <w:jc w:val="right"/>
                    <w:jc w:val="center"/>
                  </w:pPr>
                  <w:r>
                    <w:t xml:space="preserve">-0.0034</w:t>
                  </w:r>
                </w:p>
              </w:tc>
              <w:tc>
                <w:tcPr/>
                <w:p>
                  <w:pPr>
                    <w:pStyle w:val="Compact"/>
                    <w:jc w:val="right"/>
                    <w:jc w:val="center"/>
                  </w:pPr>
                  <w:r>
                    <w:t xml:space="preserve">-0.0076</w:t>
                  </w:r>
                </w:p>
              </w:tc>
            </w:tr>
            <w:tr>
              <w:tc>
                <w:tcPr/>
                <w:p>
                  <w:pPr>
                    <w:pStyle w:val="Compact"/>
                    <w:jc w:val="right"/>
                    <w:jc w:val="center"/>
                  </w:pPr>
                  <w:r>
                    <w:t xml:space="preserve">0.0025</w:t>
                  </w:r>
                </w:p>
              </w:tc>
              <w:tc>
                <w:tcPr/>
                <w:p>
                  <w:pPr>
                    <w:pStyle w:val="Compact"/>
                    <w:jc w:val="right"/>
                    <w:jc w:val="center"/>
                  </w:pPr>
                  <w:r>
                    <w:t xml:space="preserve">0.0005</w:t>
                  </w:r>
                </w:p>
              </w:tc>
              <w:tc>
                <w:tcPr/>
                <w:p>
                  <w:pPr>
                    <w:pStyle w:val="Compact"/>
                    <w:jc w:val="right"/>
                    <w:jc w:val="center"/>
                  </w:pPr>
                  <w:r>
                    <w:t xml:space="preserve">-0.0034</w:t>
                  </w:r>
                </w:p>
              </w:tc>
              <w:tc>
                <w:tcPr/>
                <w:p>
                  <w:pPr>
                    <w:pStyle w:val="Compact"/>
                    <w:jc w:val="right"/>
                    <w:jc w:val="center"/>
                  </w:pPr>
                  <w:r>
                    <w:t xml:space="preserve">-0.0076</w:t>
                  </w:r>
                </w:p>
              </w:tc>
            </w:tr>
            <w:tr>
              <w:tc>
                <w:tcPr/>
                <w:p>
                  <w:pPr>
                    <w:pStyle w:val="Compact"/>
                    <w:jc w:val="right"/>
                    <w:jc w:val="center"/>
                  </w:pPr>
                  <w:r>
                    <w:t xml:space="preserve">0.0005</w:t>
                  </w:r>
                </w:p>
              </w:tc>
              <w:tc>
                <w:tcPr/>
                <w:p>
                  <w:pPr>
                    <w:pStyle w:val="Compact"/>
                    <w:jc w:val="right"/>
                    <w:jc w:val="center"/>
                  </w:pPr>
                  <w:r>
                    <w:t xml:space="preserve">0.0005</w:t>
                  </w:r>
                </w:p>
              </w:tc>
              <w:tc>
                <w:tcPr/>
                <w:p>
                  <w:pPr>
                    <w:pStyle w:val="Compact"/>
                    <w:jc w:val="right"/>
                    <w:jc w:val="center"/>
                  </w:pPr>
                  <w:r>
                    <w:t xml:space="preserve">-0.0031</w:t>
                  </w:r>
                </w:p>
              </w:tc>
              <w:tc>
                <w:tcPr/>
                <w:p>
                  <w:pPr>
                    <w:pStyle w:val="Compact"/>
                    <w:jc w:val="right"/>
                    <w:jc w:val="center"/>
                  </w:pPr>
                  <w:r>
                    <w:t xml:space="preserve">0.0075</w:t>
                  </w:r>
                </w:p>
              </w:tc>
            </w:tr>
            <w:tr>
              <w:tc>
                <w:tcPr/>
                <w:p>
                  <w:pPr>
                    <w:pStyle w:val="Compact"/>
                    <w:jc w:val="right"/>
                    <w:jc w:val="center"/>
                  </w:pPr>
                  <w:r>
                    <w:t xml:space="preserve">0.0025</w:t>
                  </w:r>
                </w:p>
              </w:tc>
              <w:tc>
                <w:tcPr/>
                <w:p>
                  <w:pPr>
                    <w:pStyle w:val="Compact"/>
                    <w:jc w:val="right"/>
                    <w:jc w:val="center"/>
                  </w:pPr>
                  <w:r>
                    <w:t xml:space="preserve">0.0005</w:t>
                  </w:r>
                </w:p>
              </w:tc>
              <w:tc>
                <w:tcPr/>
                <w:p>
                  <w:pPr>
                    <w:pStyle w:val="Compact"/>
                    <w:jc w:val="right"/>
                    <w:jc w:val="center"/>
                  </w:pPr>
                  <w:r>
                    <w:t xml:space="preserve">-0.0034</w:t>
                  </w:r>
                </w:p>
              </w:tc>
              <w:tc>
                <w:tcPr/>
                <w:p>
                  <w:pPr>
                    <w:pStyle w:val="Compact"/>
                    <w:jc w:val="right"/>
                    <w:jc w:val="center"/>
                  </w:pPr>
                  <w:r>
                    <w:t xml:space="preserve">-0.0076</w:t>
                  </w:r>
                </w:p>
              </w:tc>
            </w:tr>
            <w:tr>
              <w:tc>
                <w:tcPr/>
                <w:p>
                  <w:pPr>
                    <w:pStyle w:val="Compact"/>
                    <w:jc w:val="right"/>
                    <w:jc w:val="center"/>
                  </w:pPr>
                  <w:r>
                    <w:t xml:space="preserve">-0.0007</w:t>
                  </w:r>
                </w:p>
              </w:tc>
              <w:tc>
                <w:tcPr/>
                <w:p>
                  <w:pPr>
                    <w:pStyle w:val="Compact"/>
                    <w:jc w:val="right"/>
                    <w:jc w:val="center"/>
                  </w:pPr>
                  <w:r>
                    <w:t xml:space="preserve">0.0004</w:t>
                  </w:r>
                </w:p>
              </w:tc>
              <w:tc>
                <w:tcPr/>
                <w:p>
                  <w:pPr>
                    <w:pStyle w:val="Compact"/>
                    <w:jc w:val="right"/>
                    <w:jc w:val="center"/>
                  </w:pPr>
                  <w:r>
                    <w:t xml:space="preserve">0.0007</w:t>
                  </w:r>
                </w:p>
              </w:tc>
              <w:tc>
                <w:tcPr/>
                <w:p>
                  <w:pPr>
                    <w:pStyle w:val="Compact"/>
                    <w:jc w:val="right"/>
                    <w:jc w:val="center"/>
                  </w:pPr>
                  <w:r>
                    <w:t xml:space="preserve">-0.0029</w:t>
                  </w:r>
                </w:p>
              </w:tc>
            </w:tr>
          </w:tbl>
          <w:bookmarkEnd w:id="197"/>
          <w:p/>
        </w:tc>
      </w:tr>
    </w:tbl>
    <w:p>
      <w:pPr>
        <w:pStyle w:val="BodyText"/>
      </w:pPr>
      <w:r>
        <w:t xml:space="preserve">Una vez obtenidos los valores de la medida DFBETA para cada observación y coeficiente del modelo, se calcula el correspondiente umbral de influencia a partir de los resultados generados por la función</w:t>
      </w:r>
      <w:r>
        <w:t xml:space="preserve"> </w:t>
      </w:r>
      <w:r>
        <w:rPr>
          <w:rStyle w:val="VerbatimChar"/>
        </w:rPr>
        <w:t xml:space="preserve">svydfbetas</w:t>
      </w:r>
      <w:r>
        <w:t xml:space="preserve">. Con base en este criterio, se construye una variable dicotómica que permite clasificar las observaciones según su nivel de influencia sobre las estimaciones del modelo. Los resultados de esta clasificación se presentan en la</w:t>
      </w:r>
      <w:r>
        <w:t xml:space="preserve"> </w:t>
      </w:r>
      <w:hyperlink w:anchor="tbl-dfbetas-influyentes">
        <w:r>
          <w:rPr>
            <w:rStyle w:val="Hyperlink"/>
          </w:rPr>
          <w:t xml:space="preserve">tabla 5.2</w:t>
        </w:r>
      </w:hyperlink>
      <w:r>
        <w:t xml:space="preserve">.</w:t>
      </w:r>
    </w:p>
    <w:p>
      <w:pPr>
        <w:pStyle w:val="SourceCode"/>
      </w:pPr>
      <w:r>
        <w:rPr>
          <w:rStyle w:val="NormalTok"/>
        </w:rPr>
        <w:t xml:space="preserve">d_dfbetas</w:t>
      </w:r>
      <w:r>
        <w:rPr>
          <w:rStyle w:val="SpecialCharTok"/>
        </w:rPr>
        <w:t xml:space="preserve">$</w:t>
      </w:r>
      <w:r>
        <w:rPr>
          <w:rStyle w:val="NormalTok"/>
        </w:rPr>
        <w:t xml:space="preserve">id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(d_dfbetas)</w:t>
      </w:r>
      <w:r>
        <w:br/>
      </w:r>
      <w:r>
        <w:rPr>
          <w:rStyle w:val="NormalTok"/>
        </w:rPr>
        <w:t xml:space="preserve">d_dfbetas </w:t>
      </w:r>
      <w:r>
        <w:rPr>
          <w:rStyle w:val="OtherTok"/>
        </w:rPr>
        <w:t xml:space="preserve">&lt;-</w:t>
      </w:r>
      <w:r>
        <w:rPr>
          <w:rStyle w:val="NormalTok"/>
        </w:rPr>
        <w:t xml:space="preserve"> reshape2</w:t>
      </w:r>
      <w:r>
        <w:rPr>
          <w:rStyle w:val="SpecialCharTok"/>
        </w:rPr>
        <w:t xml:space="preserve">::</w:t>
      </w:r>
      <w:r>
        <w:rPr>
          <w:rStyle w:val="FunctionTok"/>
        </w:rPr>
        <w:t xml:space="preserve">melt</w:t>
      </w:r>
      <w:r>
        <w:rPr>
          <w:rStyle w:val="NormalTok"/>
        </w:rPr>
        <w:t xml:space="preserve">(d_dfbetas, </w:t>
      </w:r>
      <w:r>
        <w:rPr>
          <w:rStyle w:val="AttributeTok"/>
        </w:rPr>
        <w:t xml:space="preserve">id.vars =</w:t>
      </w:r>
      <w:r>
        <w:rPr>
          <w:rStyle w:val="NormalTok"/>
        </w:rPr>
        <w:t xml:space="preserve"> </w:t>
      </w:r>
      <w:r>
        <w:rPr>
          <w:rStyle w:val="StringTok"/>
        </w:rPr>
        <w:t xml:space="preserve">"id"</w:t>
      </w:r>
      <w:r>
        <w:rPr>
          <w:rStyle w:val="NormalTok"/>
        </w:rPr>
        <w:t xml:space="preserve">)</w:t>
      </w:r>
      <w:r>
        <w:br/>
      </w:r>
      <w:r>
        <w:rPr>
          <w:rStyle w:val="NormalTok"/>
        </w:rPr>
        <w:t xml:space="preserve">cutoff </w:t>
      </w:r>
      <w:r>
        <w:rPr>
          <w:rStyle w:val="OtherTok"/>
        </w:rPr>
        <w:t xml:space="preserve">&lt;-</w:t>
      </w:r>
      <w:r>
        <w:rPr>
          <w:rStyle w:val="NormalTok"/>
        </w:rPr>
        <w:t xml:space="preserve"> </w:t>
      </w:r>
      <w:r>
        <w:rPr>
          <w:rStyle w:val="FunctionTok"/>
        </w:rPr>
        <w:t xml:space="preserve">svydfbetas</w:t>
      </w:r>
      <w:r>
        <w:rPr>
          <w:rStyle w:val="NormalTok"/>
        </w:rPr>
        <w:t xml:space="preserve">(fit_svy)</w:t>
      </w:r>
      <w:r>
        <w:rPr>
          <w:rStyle w:val="SpecialCharTok"/>
        </w:rPr>
        <w:t xml:space="preserve">$</w:t>
      </w:r>
      <w:r>
        <w:rPr>
          <w:rStyle w:val="NormalTok"/>
        </w:rPr>
        <w:t xml:space="preserve">cutoff</w:t>
      </w:r>
      <w:r>
        <w:br/>
      </w:r>
      <w:r>
        <w:rPr>
          <w:rStyle w:val="NormalTok"/>
        </w:rPr>
        <w:t xml:space="preserve">d_dfbetas </w:t>
      </w:r>
      <w:r>
        <w:rPr>
          <w:rStyle w:val="OtherTok"/>
        </w:rPr>
        <w:t xml:space="preserve">&lt;-</w:t>
      </w:r>
      <w:r>
        <w:rPr>
          <w:rStyle w:val="NormalTok"/>
        </w:rPr>
        <w:t xml:space="preserve"> d_dfbetas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criterion =</w:t>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(value) </w:t>
      </w:r>
      <w:r>
        <w:rPr>
          <w:rStyle w:val="SpecialCharTok"/>
        </w:rPr>
        <w:t xml:space="preserve">&gt;</w:t>
      </w:r>
      <w:r>
        <w:rPr>
          <w:rStyle w:val="NormalTok"/>
        </w:rPr>
        <w:t xml:space="preserve"> cutoff,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label_text </w:t>
      </w:r>
      <w:r>
        <w:rPr>
          <w:rStyle w:val="OtherTok"/>
        </w:rPr>
        <w:t xml:space="preserve">&lt;-</w:t>
      </w:r>
      <w:r>
        <w:rPr>
          <w:rStyle w:val="NormalTok"/>
        </w:rPr>
        <w:t xml:space="preserve"> d_dfbetas </w:t>
      </w:r>
      <w:r>
        <w:rPr>
          <w:rStyle w:val="SpecialCharTok"/>
        </w:rPr>
        <w:t xml:space="preserve">%&gt;%</w:t>
      </w:r>
      <w:r>
        <w:br/>
      </w:r>
      <w:r>
        <w:rPr>
          <w:rStyle w:val="NormalTok"/>
        </w:rPr>
        <w:t xml:space="preserve">  </w:t>
      </w:r>
      <w:r>
        <w:rPr>
          <w:rStyle w:val="FunctionTok"/>
        </w:rPr>
        <w:t xml:space="preserve">filter</w:t>
      </w:r>
      <w:r>
        <w:rPr>
          <w:rStyle w:val="NormalTok"/>
        </w:rPr>
        <w:t xml:space="preserve">(criterion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(value)))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w:t>
      </w:r>
      <w:r>
        <w:br/>
      </w:r>
      <w:r>
        <w:br/>
      </w:r>
      <w:r>
        <w:rPr>
          <w:rStyle w:val="NormalTok"/>
        </w:rPr>
        <w:t xml:space="preserve">label_text</w:t>
      </w:r>
    </w:p>
    <w:p>
      <w:pPr>
        <w:pStyle w:val="SourceCode"/>
      </w:pPr>
      <w:r>
        <w:rPr>
          <w:rStyle w:val="NormalTok"/>
        </w:rPr>
        <w:t xml:space="preserve">d_dfbetas</w:t>
      </w:r>
      <w:r>
        <w:rPr>
          <w:rStyle w:val="SpecialCharTok"/>
        </w:rPr>
        <w:t xml:space="preserve">$</w:t>
      </w:r>
      <w:r>
        <w:rPr>
          <w:rStyle w:val="NormalTok"/>
        </w:rPr>
        <w:t xml:space="preserve">id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(d_dfbetas)</w:t>
      </w:r>
      <w:r>
        <w:br/>
      </w:r>
      <w:r>
        <w:rPr>
          <w:rStyle w:val="NormalTok"/>
        </w:rPr>
        <w:t xml:space="preserve">d_dfbetas </w:t>
      </w:r>
      <w:r>
        <w:rPr>
          <w:rStyle w:val="OtherTok"/>
        </w:rPr>
        <w:t xml:space="preserve">&lt;-</w:t>
      </w:r>
      <w:r>
        <w:rPr>
          <w:rStyle w:val="NormalTok"/>
        </w:rPr>
        <w:t xml:space="preserve"> reshape2</w:t>
      </w:r>
      <w:r>
        <w:rPr>
          <w:rStyle w:val="SpecialCharTok"/>
        </w:rPr>
        <w:t xml:space="preserve">::</w:t>
      </w:r>
      <w:r>
        <w:rPr>
          <w:rStyle w:val="FunctionTok"/>
        </w:rPr>
        <w:t xml:space="preserve">melt</w:t>
      </w:r>
      <w:r>
        <w:rPr>
          <w:rStyle w:val="NormalTok"/>
        </w:rPr>
        <w:t xml:space="preserve">(d_dfbetas, </w:t>
      </w:r>
      <w:r>
        <w:rPr>
          <w:rStyle w:val="AttributeTok"/>
        </w:rPr>
        <w:t xml:space="preserve">id.vars =</w:t>
      </w:r>
      <w:r>
        <w:rPr>
          <w:rStyle w:val="NormalTok"/>
        </w:rPr>
        <w:t xml:space="preserve"> </w:t>
      </w:r>
      <w:r>
        <w:rPr>
          <w:rStyle w:val="StringTok"/>
        </w:rPr>
        <w:t xml:space="preserve">"id"</w:t>
      </w:r>
      <w:r>
        <w:rPr>
          <w:rStyle w:val="NormalTok"/>
        </w:rPr>
        <w:t xml:space="preserve">)</w:t>
      </w:r>
      <w:r>
        <w:br/>
      </w:r>
      <w:r>
        <w:rPr>
          <w:rStyle w:val="NormalTok"/>
        </w:rPr>
        <w:t xml:space="preserve">cutoff </w:t>
      </w:r>
      <w:r>
        <w:rPr>
          <w:rStyle w:val="OtherTok"/>
        </w:rPr>
        <w:t xml:space="preserve">&lt;-</w:t>
      </w:r>
      <w:r>
        <w:rPr>
          <w:rStyle w:val="NormalTok"/>
        </w:rPr>
        <w:t xml:space="preserve"> </w:t>
      </w:r>
      <w:r>
        <w:rPr>
          <w:rStyle w:val="FunctionTok"/>
        </w:rPr>
        <w:t xml:space="preserve">svydfbetas</w:t>
      </w:r>
      <w:r>
        <w:rPr>
          <w:rStyle w:val="NormalTok"/>
        </w:rPr>
        <w:t xml:space="preserve">(fit_svy)</w:t>
      </w:r>
      <w:r>
        <w:rPr>
          <w:rStyle w:val="SpecialCharTok"/>
        </w:rPr>
        <w:t xml:space="preserve">$</w:t>
      </w:r>
      <w:r>
        <w:rPr>
          <w:rStyle w:val="NormalTok"/>
        </w:rPr>
        <w:t xml:space="preserve">cutoff</w:t>
      </w:r>
      <w:r>
        <w:br/>
      </w:r>
      <w:r>
        <w:rPr>
          <w:rStyle w:val="NormalTok"/>
        </w:rPr>
        <w:t xml:space="preserve">d_dfbetas </w:t>
      </w:r>
      <w:r>
        <w:rPr>
          <w:rStyle w:val="OtherTok"/>
        </w:rPr>
        <w:t xml:space="preserve">&lt;-</w:t>
      </w:r>
      <w:r>
        <w:rPr>
          <w:rStyle w:val="NormalTok"/>
        </w:rPr>
        <w:t xml:space="preserve"> d_dfbetas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criterion =</w:t>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(value) </w:t>
      </w:r>
      <w:r>
        <w:rPr>
          <w:rStyle w:val="SpecialCharTok"/>
        </w:rPr>
        <w:t xml:space="preserve">&gt;</w:t>
      </w:r>
      <w:r>
        <w:rPr>
          <w:rStyle w:val="NormalTok"/>
        </w:rPr>
        <w:t xml:space="preserve"> cutoff,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label_text </w:t>
      </w:r>
      <w:r>
        <w:rPr>
          <w:rStyle w:val="OtherTok"/>
        </w:rPr>
        <w:t xml:space="preserve">&lt;-</w:t>
      </w:r>
      <w:r>
        <w:rPr>
          <w:rStyle w:val="NormalTok"/>
        </w:rPr>
        <w:t xml:space="preserve"> d_dfbetas </w:t>
      </w:r>
      <w:r>
        <w:rPr>
          <w:rStyle w:val="SpecialCharTok"/>
        </w:rPr>
        <w:t xml:space="preserve">%&gt;%</w:t>
      </w:r>
      <w:r>
        <w:br/>
      </w:r>
      <w:r>
        <w:rPr>
          <w:rStyle w:val="NormalTok"/>
        </w:rPr>
        <w:t xml:space="preserve">  </w:t>
      </w:r>
      <w:r>
        <w:rPr>
          <w:rStyle w:val="FunctionTok"/>
        </w:rPr>
        <w:t xml:space="preserve">filter</w:t>
      </w:r>
      <w:r>
        <w:rPr>
          <w:rStyle w:val="NormalTok"/>
        </w:rPr>
        <w:t xml:space="preserve">(criterion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(value)))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w:t>
      </w:r>
      <w:r>
        <w:br/>
      </w:r>
      <w:r>
        <w:br/>
      </w:r>
      <w:r>
        <w:rPr>
          <w:rStyle w:val="NormalTok"/>
        </w:rPr>
        <w:t xml:space="preserve">label_text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8" w:name="tbl-dfbetas-influyentes"/>
          <w:p>
            <w:pPr>
              <w:jc w:val="center"/>
            </w:pPr>
            <w:pPr>
              <w:jc w:val="left"/>
              <w:spacing w:before="200"/>
              <w:pStyle w:val="ImageCaption"/>
            </w:pPr>
            <w:r>
              <w:t xml:space="preserve">Tabla 5.2: Las diez observaciones más influyentes según el criterio DfBetas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id</w:t>
                  </w:r>
                </w:p>
              </w:tc>
              <w:tc>
                <w:tcPr/>
                <w:p>
                  <w:pPr>
                    <w:pStyle w:val="Compact"/>
                    <w:jc w:val="left"/>
                    <w:jc w:val="center"/>
                  </w:pPr>
                  <w:r>
                    <w:t xml:space="preserve">variable</w:t>
                  </w:r>
                </w:p>
              </w:tc>
              <w:tc>
                <w:tcPr/>
                <w:p>
                  <w:pPr>
                    <w:pStyle w:val="Compact"/>
                    <w:jc w:val="right"/>
                    <w:jc w:val="center"/>
                  </w:pPr>
                  <w:r>
                    <w:t xml:space="preserve">value</w:t>
                  </w:r>
                </w:p>
              </w:tc>
              <w:tc>
                <w:tcPr/>
                <w:p>
                  <w:pPr>
                    <w:pStyle w:val="Compact"/>
                    <w:jc w:val="left"/>
                    <w:jc w:val="center"/>
                  </w:pPr>
                  <w:r>
                    <w:t xml:space="preserve">criterion</w:t>
                  </w:r>
                </w:p>
              </w:tc>
            </w:tr>
            <w:tr>
              <w:tc>
                <w:tcPr/>
                <w:p>
                  <w:pPr>
                    <w:pStyle w:val="Compact"/>
                    <w:jc w:val="right"/>
                    <w:jc w:val="center"/>
                  </w:pPr>
                  <w:r>
                    <w:t xml:space="preserve">889</w:t>
                  </w:r>
                </w:p>
              </w:tc>
              <w:tc>
                <w:tcPr/>
                <w:p>
                  <w:pPr>
                    <w:pStyle w:val="Compact"/>
                    <w:jc w:val="left"/>
                    <w:jc w:val="center"/>
                  </w:pPr>
                  <w:r>
                    <w:t xml:space="preserve">Beta_1</w:t>
                  </w:r>
                </w:p>
              </w:tc>
              <w:tc>
                <w:tcPr/>
                <w:p>
                  <w:pPr>
                    <w:pStyle w:val="Compact"/>
                    <w:jc w:val="right"/>
                    <w:jc w:val="center"/>
                  </w:pPr>
                  <w:r>
                    <w:t xml:space="preserve">0.2837</w:t>
                  </w:r>
                </w:p>
              </w:tc>
              <w:tc>
                <w:tcPr/>
                <w:p>
                  <w:pPr>
                    <w:pStyle w:val="Compact"/>
                    <w:jc w:val="left"/>
                    <w:jc w:val="center"/>
                  </w:pPr>
                  <w:r>
                    <w:t xml:space="preserve">Yes</w:t>
                  </w:r>
                </w:p>
              </w:tc>
            </w:tr>
            <w:tr>
              <w:tc>
                <w:tcPr/>
                <w:p>
                  <w:pPr>
                    <w:pStyle w:val="Compact"/>
                    <w:jc w:val="right"/>
                    <w:jc w:val="center"/>
                  </w:pPr>
                  <w:r>
                    <w:t xml:space="preserve">891</w:t>
                  </w:r>
                </w:p>
              </w:tc>
              <w:tc>
                <w:tcPr/>
                <w:p>
                  <w:pPr>
                    <w:pStyle w:val="Compact"/>
                    <w:jc w:val="left"/>
                    <w:jc w:val="center"/>
                  </w:pPr>
                  <w:r>
                    <w:t xml:space="preserve">Beta_1</w:t>
                  </w:r>
                </w:p>
              </w:tc>
              <w:tc>
                <w:tcPr/>
                <w:p>
                  <w:pPr>
                    <w:pStyle w:val="Compact"/>
                    <w:jc w:val="right"/>
                    <w:jc w:val="center"/>
                  </w:pPr>
                  <w:r>
                    <w:t xml:space="preserve">0.2837</w:t>
                  </w:r>
                </w:p>
              </w:tc>
              <w:tc>
                <w:tcPr/>
                <w:p>
                  <w:pPr>
                    <w:pStyle w:val="Compact"/>
                    <w:jc w:val="left"/>
                    <w:jc w:val="center"/>
                  </w:pPr>
                  <w:r>
                    <w:t xml:space="preserve">Yes</w:t>
                  </w:r>
                </w:p>
              </w:tc>
            </w:tr>
            <w:tr>
              <w:tc>
                <w:tcPr/>
                <w:p>
                  <w:pPr>
                    <w:pStyle w:val="Compact"/>
                    <w:jc w:val="right"/>
                    <w:jc w:val="center"/>
                  </w:pPr>
                  <w:r>
                    <w:t xml:space="preserve">890</w:t>
                  </w:r>
                </w:p>
              </w:tc>
              <w:tc>
                <w:tcPr/>
                <w:p>
                  <w:pPr>
                    <w:pStyle w:val="Compact"/>
                    <w:jc w:val="left"/>
                    <w:jc w:val="center"/>
                  </w:pPr>
                  <w:r>
                    <w:t xml:space="preserve">Beta_2</w:t>
                  </w:r>
                </w:p>
              </w:tc>
              <w:tc>
                <w:tcPr/>
                <w:p>
                  <w:pPr>
                    <w:pStyle w:val="Compact"/>
                    <w:jc w:val="right"/>
                    <w:jc w:val="center"/>
                  </w:pPr>
                  <w:r>
                    <w:t xml:space="preserve">-0.2802</w:t>
                  </w:r>
                </w:p>
              </w:tc>
              <w:tc>
                <w:tcPr/>
                <w:p>
                  <w:pPr>
                    <w:pStyle w:val="Compact"/>
                    <w:jc w:val="left"/>
                    <w:jc w:val="center"/>
                  </w:pPr>
                  <w:r>
                    <w:t xml:space="preserve">Yes</w:t>
                  </w:r>
                </w:p>
              </w:tc>
            </w:tr>
            <w:tr>
              <w:tc>
                <w:tcPr/>
                <w:p>
                  <w:pPr>
                    <w:pStyle w:val="Compact"/>
                    <w:jc w:val="right"/>
                    <w:jc w:val="center"/>
                  </w:pPr>
                  <w:r>
                    <w:t xml:space="preserve">889</w:t>
                  </w:r>
                </w:p>
              </w:tc>
              <w:tc>
                <w:tcPr/>
                <w:p>
                  <w:pPr>
                    <w:pStyle w:val="Compact"/>
                    <w:jc w:val="left"/>
                    <w:jc w:val="center"/>
                  </w:pPr>
                  <w:r>
                    <w:t xml:space="preserve">Beta_2</w:t>
                  </w:r>
                </w:p>
              </w:tc>
              <w:tc>
                <w:tcPr/>
                <w:p>
                  <w:pPr>
                    <w:pStyle w:val="Compact"/>
                    <w:jc w:val="right"/>
                    <w:jc w:val="center"/>
                  </w:pPr>
                  <w:r>
                    <w:t xml:space="preserve">-0.2748</w:t>
                  </w:r>
                </w:p>
              </w:tc>
              <w:tc>
                <w:tcPr/>
                <w:p>
                  <w:pPr>
                    <w:pStyle w:val="Compact"/>
                    <w:jc w:val="left"/>
                    <w:jc w:val="center"/>
                  </w:pPr>
                  <w:r>
                    <w:t xml:space="preserve">Yes</w:t>
                  </w:r>
                </w:p>
              </w:tc>
            </w:tr>
            <w:tr>
              <w:tc>
                <w:tcPr/>
                <w:p>
                  <w:pPr>
                    <w:pStyle w:val="Compact"/>
                    <w:jc w:val="right"/>
                    <w:jc w:val="center"/>
                  </w:pPr>
                  <w:r>
                    <w:t xml:space="preserve">891</w:t>
                  </w:r>
                </w:p>
              </w:tc>
              <w:tc>
                <w:tcPr/>
                <w:p>
                  <w:pPr>
                    <w:pStyle w:val="Compact"/>
                    <w:jc w:val="left"/>
                    <w:jc w:val="center"/>
                  </w:pPr>
                  <w:r>
                    <w:t xml:space="preserve">Beta_2</w:t>
                  </w:r>
                </w:p>
              </w:tc>
              <w:tc>
                <w:tcPr/>
                <w:p>
                  <w:pPr>
                    <w:pStyle w:val="Compact"/>
                    <w:jc w:val="right"/>
                    <w:jc w:val="center"/>
                  </w:pPr>
                  <w:r>
                    <w:t xml:space="preserve">-0.2748</w:t>
                  </w:r>
                </w:p>
              </w:tc>
              <w:tc>
                <w:tcPr/>
                <w:p>
                  <w:pPr>
                    <w:pStyle w:val="Compact"/>
                    <w:jc w:val="left"/>
                    <w:jc w:val="center"/>
                  </w:pPr>
                  <w:r>
                    <w:t xml:space="preserve">Yes</w:t>
                  </w:r>
                </w:p>
              </w:tc>
            </w:tr>
            <w:tr>
              <w:tc>
                <w:tcPr/>
                <w:p>
                  <w:pPr>
                    <w:pStyle w:val="Compact"/>
                    <w:jc w:val="right"/>
                    <w:jc w:val="center"/>
                  </w:pPr>
                  <w:r>
                    <w:t xml:space="preserve">890</w:t>
                  </w:r>
                </w:p>
              </w:tc>
              <w:tc>
                <w:tcPr/>
                <w:p>
                  <w:pPr>
                    <w:pStyle w:val="Compact"/>
                    <w:jc w:val="left"/>
                    <w:jc w:val="center"/>
                  </w:pPr>
                  <w:r>
                    <w:t xml:space="preserve">Beta_1</w:t>
                  </w:r>
                </w:p>
              </w:tc>
              <w:tc>
                <w:tcPr/>
                <w:p>
                  <w:pPr>
                    <w:pStyle w:val="Compact"/>
                    <w:jc w:val="right"/>
                    <w:jc w:val="center"/>
                  </w:pPr>
                  <w:r>
                    <w:t xml:space="preserve">0.2497</w:t>
                  </w:r>
                </w:p>
              </w:tc>
              <w:tc>
                <w:tcPr/>
                <w:p>
                  <w:pPr>
                    <w:pStyle w:val="Compact"/>
                    <w:jc w:val="left"/>
                    <w:jc w:val="center"/>
                  </w:pPr>
                  <w:r>
                    <w:t xml:space="preserve">Yes</w:t>
                  </w:r>
                </w:p>
              </w:tc>
            </w:tr>
            <w:tr>
              <w:tc>
                <w:tcPr/>
                <w:p>
                  <w:pPr>
                    <w:pStyle w:val="Compact"/>
                    <w:jc w:val="right"/>
                    <w:jc w:val="center"/>
                  </w:pPr>
                  <w:r>
                    <w:t xml:space="preserve">890</w:t>
                  </w:r>
                </w:p>
              </w:tc>
              <w:tc>
                <w:tcPr/>
                <w:p>
                  <w:pPr>
                    <w:pStyle w:val="Compact"/>
                    <w:jc w:val="left"/>
                    <w:jc w:val="center"/>
                  </w:pPr>
                  <w:r>
                    <w:t xml:space="preserve">Beta_3</w:t>
                  </w:r>
                </w:p>
              </w:tc>
              <w:tc>
                <w:tcPr/>
                <w:p>
                  <w:pPr>
                    <w:pStyle w:val="Compact"/>
                    <w:jc w:val="right"/>
                    <w:jc w:val="center"/>
                  </w:pPr>
                  <w:r>
                    <w:t xml:space="preserve">0.1612</w:t>
                  </w:r>
                </w:p>
              </w:tc>
              <w:tc>
                <w:tcPr/>
                <w:p>
                  <w:pPr>
                    <w:pStyle w:val="Compact"/>
                    <w:jc w:val="left"/>
                    <w:jc w:val="center"/>
                  </w:pPr>
                  <w:r>
                    <w:t xml:space="preserve">Yes</w:t>
                  </w:r>
                </w:p>
              </w:tc>
            </w:tr>
            <w:tr>
              <w:tc>
                <w:tcPr/>
                <w:p>
                  <w:pPr>
                    <w:pStyle w:val="Compact"/>
                    <w:jc w:val="right"/>
                    <w:jc w:val="center"/>
                  </w:pPr>
                  <w:r>
                    <w:t xml:space="preserve">890</w:t>
                  </w:r>
                </w:p>
              </w:tc>
              <w:tc>
                <w:tcPr/>
                <w:p>
                  <w:pPr>
                    <w:pStyle w:val="Compact"/>
                    <w:jc w:val="left"/>
                    <w:jc w:val="center"/>
                  </w:pPr>
                  <w:r>
                    <w:t xml:space="preserve">Beta_4</w:t>
                  </w:r>
                </w:p>
              </w:tc>
              <w:tc>
                <w:tcPr/>
                <w:p>
                  <w:pPr>
                    <w:pStyle w:val="Compact"/>
                    <w:jc w:val="right"/>
                    <w:jc w:val="center"/>
                  </w:pPr>
                  <w:r>
                    <w:t xml:space="preserve">0.1580</w:t>
                  </w:r>
                </w:p>
              </w:tc>
              <w:tc>
                <w:tcPr/>
                <w:p>
                  <w:pPr>
                    <w:pStyle w:val="Compact"/>
                    <w:jc w:val="left"/>
                    <w:jc w:val="center"/>
                  </w:pPr>
                  <w:r>
                    <w:t xml:space="preserve">Yes</w:t>
                  </w:r>
                </w:p>
              </w:tc>
            </w:tr>
            <w:tr>
              <w:tc>
                <w:tcPr/>
                <w:p>
                  <w:pPr>
                    <w:pStyle w:val="Compact"/>
                    <w:jc w:val="right"/>
                    <w:jc w:val="center"/>
                  </w:pPr>
                  <w:r>
                    <w:t xml:space="preserve">889</w:t>
                  </w:r>
                </w:p>
              </w:tc>
              <w:tc>
                <w:tcPr/>
                <w:p>
                  <w:pPr>
                    <w:pStyle w:val="Compact"/>
                    <w:jc w:val="left"/>
                    <w:jc w:val="center"/>
                  </w:pPr>
                  <w:r>
                    <w:t xml:space="preserve">Beta_3</w:t>
                  </w:r>
                </w:p>
              </w:tc>
              <w:tc>
                <w:tcPr/>
                <w:p>
                  <w:pPr>
                    <w:pStyle w:val="Compact"/>
                    <w:jc w:val="right"/>
                    <w:jc w:val="center"/>
                  </w:pPr>
                  <w:r>
                    <w:t xml:space="preserve">0.1558</w:t>
                  </w:r>
                </w:p>
              </w:tc>
              <w:tc>
                <w:tcPr/>
                <w:p>
                  <w:pPr>
                    <w:pStyle w:val="Compact"/>
                    <w:jc w:val="left"/>
                    <w:jc w:val="center"/>
                  </w:pPr>
                  <w:r>
                    <w:t xml:space="preserve">Yes</w:t>
                  </w:r>
                </w:p>
              </w:tc>
            </w:tr>
            <w:tr>
              <w:tc>
                <w:tcPr/>
                <w:p>
                  <w:pPr>
                    <w:pStyle w:val="Compact"/>
                    <w:jc w:val="right"/>
                    <w:jc w:val="center"/>
                  </w:pPr>
                  <w:r>
                    <w:t xml:space="preserve">891</w:t>
                  </w:r>
                </w:p>
              </w:tc>
              <w:tc>
                <w:tcPr/>
                <w:p>
                  <w:pPr>
                    <w:pStyle w:val="Compact"/>
                    <w:jc w:val="left"/>
                    <w:jc w:val="center"/>
                  </w:pPr>
                  <w:r>
                    <w:t xml:space="preserve">Beta_3</w:t>
                  </w:r>
                </w:p>
              </w:tc>
              <w:tc>
                <w:tcPr/>
                <w:p>
                  <w:pPr>
                    <w:pStyle w:val="Compact"/>
                    <w:jc w:val="right"/>
                    <w:jc w:val="center"/>
                  </w:pPr>
                  <w:r>
                    <w:t xml:space="preserve">0.1558</w:t>
                  </w:r>
                </w:p>
              </w:tc>
              <w:tc>
                <w:tcPr/>
                <w:p>
                  <w:pPr>
                    <w:pStyle w:val="Compact"/>
                    <w:jc w:val="left"/>
                    <w:jc w:val="center"/>
                  </w:pPr>
                  <w:r>
                    <w:t xml:space="preserve">Yes</w:t>
                  </w:r>
                </w:p>
              </w:tc>
            </w:tr>
          </w:tbl>
          <w:bookmarkEnd w:id="198"/>
          <w:p/>
        </w:tc>
      </w:tr>
    </w:tbl>
    <w:p>
      <w:pPr>
        <w:pStyle w:val="BodyText"/>
      </w:pPr>
      <w:r>
        <w:t xml:space="preserve">Los resultados muestran que varias observaciones superan el umbral establecido por el criterio</w:t>
      </w:r>
      <w:r>
        <w:t xml:space="preserve"> </w:t>
      </w:r>
      <m:oMath>
        <m:sSub>
          <m:e>
            <m:r>
              <m:t>D</m:t>
            </m:r>
          </m:e>
          <m:sub>
            <m:r>
              <m:t>f</m:t>
            </m:r>
          </m:sub>
        </m:sSub>
        <m:sSub>
          <m:e>
            <m:r>
              <m:rPr>
                <m:nor/>
                <m:sty m:val="p"/>
              </m:rPr>
              <m:t>Beta</m:t>
            </m:r>
          </m:e>
          <m:sub>
            <m:r>
              <m:rPr>
                <m:sty m:val="p"/>
              </m:rPr>
              <m:t>(</m:t>
            </m:r>
            <m:r>
              <m:t>k</m:t>
            </m:r>
            <m:r>
              <m:rPr>
                <m:sty m:val="p"/>
              </m:rPr>
              <m:t>)</m:t>
            </m:r>
            <m:r>
              <m:t>j</m:t>
            </m:r>
          </m:sub>
        </m:sSub>
      </m:oMath>
      <w:r>
        <w:t xml:space="preserve">, lo que indica que dichas unidades ejercen una influencia importante sobre la estimación de algunos coeficientes del modelo, lo que sugiere la presencia de unidades con alto impacto sobre la estabilidad del ajuste. La</w:t>
      </w:r>
      <w:r>
        <w:t xml:space="preserve"> </w:t>
      </w:r>
      <w:hyperlink w:anchor="fig-dfbetas">
        <w:r>
          <w:rPr>
            <w:rStyle w:val="Hyperlink"/>
          </w:rPr>
          <w:t xml:space="preserve">figura 5.5</w:t>
        </w:r>
      </w:hyperlink>
      <w:r>
        <w:t xml:space="preserve"> </w:t>
      </w:r>
      <w:r>
        <w:t xml:space="preserve">presenta la representación gráfica de los valores de</w:t>
      </w:r>
      <w:r>
        <w:t xml:space="preserve"> </w:t>
      </w:r>
      <m:oMath>
        <m:sSub>
          <m:e>
            <m:r>
              <m:t>D</m:t>
            </m:r>
          </m:e>
          <m:sub>
            <m:r>
              <m:t>f</m:t>
            </m:r>
          </m:sub>
        </m:sSub>
        <m:r>
          <m:rPr>
            <m:nor/>
            <m:sty m:val="p"/>
          </m:rPr>
          <m:t>Beta</m:t>
        </m:r>
      </m:oMath>
      <w:r>
        <w:t xml:space="preserve"> </w:t>
      </w:r>
      <w:r>
        <w:t xml:space="preserve">junto con el umbral de referencia utilizado para identificar observaciones influyentes. En la figura, los puntos resaltados en rojo corresponden a las observaciones que exceden dicho umbral y que, por tanto, requieren una revisión más detallada dentro del proceso de diagnóstico del modelo.</w:t>
      </w:r>
    </w:p>
    <w:p>
      <w:pPr>
        <w:pStyle w:val="SourceCode"/>
      </w:pPr>
      <w:r>
        <w:rPr>
          <w:rStyle w:val="FunctionTok"/>
        </w:rPr>
        <w:t xml:space="preserve">ggplot</w:t>
      </w:r>
      <w:r>
        <w:rPr>
          <w:rStyle w:val="NormalTok"/>
        </w:rPr>
        <w:t xml:space="preserve">(d_dfbetas, </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abs</w:t>
      </w:r>
      <w:r>
        <w:rPr>
          <w:rStyle w:val="NormalTok"/>
        </w:rPr>
        <w:t xml:space="preserve">(value), </w:t>
      </w:r>
      <w:r>
        <w:rPr>
          <w:rStyle w:val="AttributeTok"/>
        </w:rPr>
        <w:t xml:space="preserve">x =</w:t>
      </w:r>
      <w:r>
        <w:rPr>
          <w:rStyle w:val="NormalTok"/>
        </w:rPr>
        <w:t xml:space="preserve"> 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criterion))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label_text,</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id)</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FunctionTok"/>
        </w:rPr>
        <w:t xml:space="preserve">aes</w:t>
      </w:r>
      <w:r>
        <w:rPr>
          <w:rStyle w:val="NormalTok"/>
        </w:rPr>
        <w:t xml:space="preserve">(</w:t>
      </w:r>
      <w:r>
        <w:rPr>
          <w:rStyle w:val="AttributeTok"/>
        </w:rPr>
        <w:t xml:space="preserve">yintercept =</w:t>
      </w:r>
      <w:r>
        <w:rPr>
          <w:rStyle w:val="NormalTok"/>
        </w:rPr>
        <w:t xml:space="preserve"> cutoff))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variable,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"No"</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02" w:name="fig-dfbetas"/>
          <w:p>
            <w:pPr>
              <w:pStyle w:val="Compact"/>
              <w:jc w:val="center"/>
            </w:pPr>
            <w:r>
              <w:drawing>
                <wp:inline>
                  <wp:extent cx="4267200" cy="2844800"/>
                  <wp:effectExtent b="0" l="0" r="0" t="0"/>
                  <wp:docPr descr="" title="" id="200" name="Picture"/>
                  <a:graphic>
                    <a:graphicData uri="http://schemas.openxmlformats.org/drawingml/2006/picture">
                      <pic:pic>
                        <pic:nvPicPr>
                          <pic:cNvPr descr="chapters/../figures/fig-dfbetas-1.png" id="201" name="Picture"/>
                          <pic:cNvPicPr>
                            <a:picLocks noChangeArrowheads="1" noChangeAspect="1"/>
                          </pic:cNvPicPr>
                        </pic:nvPicPr>
                        <pic:blipFill>
                          <a:blip r:embed="rId199"/>
                          <a:stretch>
                            <a:fillRect/>
                          </a:stretch>
                        </pic:blipFill>
                        <pic:spPr bwMode="auto">
                          <a:xfrm>
                            <a:off x="0" y="0"/>
                            <a:ext cx="4267200" cy="28448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5.5: Valores DfBetas por parámetro: observaciones influyentes señaladas en rojo</w:t>
            </w:r>
          </w:p>
          <w:bookmarkEnd w:id="202"/>
        </w:tc>
      </w:tr>
    </w:tbl>
    <w:p>
      <w:pPr>
        <w:pStyle w:val="BodyText"/>
      </w:pPr>
      <w:r>
        <w:t xml:space="preserve">Por último, el estadístico DFFITS, denotado por</w:t>
      </w:r>
      <w:r>
        <w:t xml:space="preserve"> </w:t>
      </w:r>
      <m:oMath>
        <m:sSub>
          <m:e>
            <m:r>
              <m:t>D</m:t>
            </m:r>
          </m:e>
          <m:sub>
            <m:r>
              <m:t>f</m:t>
            </m:r>
          </m:sub>
        </m:sSub>
        <m:sSub>
          <m:e>
            <m:r>
              <m:rPr>
                <m:nor/>
                <m:sty m:val="p"/>
              </m:rPr>
              <m:t>Fits</m:t>
            </m:r>
          </m:e>
          <m:sub>
            <m:r>
              <m:rPr>
                <m:sty m:val="p"/>
              </m:rPr>
              <m:t>(</m:t>
            </m:r>
            <m:r>
              <m:t>k</m:t>
            </m:r>
            <m:r>
              <m:rPr>
                <m:sty m:val="p"/>
              </m:rPr>
              <m:t>)</m:t>
            </m:r>
          </m:sub>
        </m:sSub>
      </m:oMath>
      <w:r>
        <w:t xml:space="preserve">, mide la influencia que ejerce la observación</w:t>
      </w:r>
      <w:r>
        <w:t xml:space="preserve"> </w:t>
      </w:r>
      <m:oMath>
        <m:r>
          <m:t>k</m:t>
        </m:r>
      </m:oMath>
      <w:r>
        <w:t xml:space="preserve"> </w:t>
      </w:r>
      <w:r>
        <w:t xml:space="preserve">sobre los valores ajustados del modelo. En particular, este estadístico evalúa cuánto cambian las predicciones del modelo cuando una observación es eliminada del proceso de estimación. En consecuencia, valores elevados de</w:t>
      </w:r>
      <w:r>
        <w:t xml:space="preserve"> </w:t>
      </w:r>
      <m:oMath>
        <m:sSub>
          <m:e>
            <m:r>
              <m:t>D</m:t>
            </m:r>
          </m:e>
          <m:sub>
            <m:r>
              <m:t>f</m:t>
            </m:r>
          </m:sub>
        </m:sSub>
        <m:sSub>
          <m:e>
            <m:r>
              <m:rPr>
                <m:nor/>
                <m:sty m:val="p"/>
              </m:rPr>
              <m:t>Fits</m:t>
            </m:r>
          </m:e>
          <m:sub>
            <m:r>
              <m:rPr>
                <m:sty m:val="p"/>
              </m:rPr>
              <m:t>(</m:t>
            </m:r>
            <m:r>
              <m:t>k</m:t>
            </m:r>
            <m:r>
              <m:rPr>
                <m:sty m:val="p"/>
              </m:rPr>
              <m:t>)</m:t>
            </m:r>
          </m:sub>
        </m:sSub>
      </m:oMath>
      <w:r>
        <w:t xml:space="preserve"> </w:t>
      </w:r>
      <w:r>
        <w:t xml:space="preserve">indican observaciones con capacidad de alterar de manera importante el ajuste global del modelo y, por tanto, potencialmente influyentes en el proceso de inferencia. Una observación se considera influyente si:</w:t>
      </w:r>
    </w:p>
    <w:p>
      <w:pPr>
        <w:pStyle w:val="BodyText"/>
      </w:pPr>
      <m:oMathPara>
        <m:oMathParaPr>
          <m:jc m:val="center"/>
        </m:oMathParaPr>
        <m:oMath>
          <m:r>
            <m:rPr>
              <m:sty m:val="p"/>
            </m:rPr>
            <m:t>|</m:t>
          </m:r>
          <m:sSub>
            <m:e>
              <m:r>
                <m:t>D</m:t>
              </m:r>
            </m:e>
            <m:sub>
              <m:r>
                <m:t>f</m:t>
              </m:r>
            </m:sub>
          </m:sSub>
          <m:sSub>
            <m:e>
              <m:r>
                <m:rPr>
                  <m:nor/>
                  <m:sty m:val="p"/>
                </m:rPr>
                <m:t>Fits</m:t>
              </m:r>
            </m:e>
            <m:sub>
              <m:r>
                <m:rPr>
                  <m:sty m:val="p"/>
                </m:rPr>
                <m:t>(</m:t>
              </m:r>
              <m:r>
                <m:t>k</m:t>
              </m:r>
              <m:r>
                <m:rPr>
                  <m:sty m:val="p"/>
                </m:rPr>
                <m:t>)</m:t>
              </m:r>
            </m:sub>
          </m:sSub>
          <m:r>
            <m:rPr>
              <m:sty m:val="p"/>
            </m:rPr>
            <m:t>|</m:t>
          </m:r>
          <m:r>
            <m:rPr>
              <m:sty m:val="p"/>
            </m:rPr>
            <m:t>≥</m:t>
          </m:r>
          <m:r>
            <m:t>z</m:t>
          </m:r>
          <m:rad>
            <m:radPr>
              <m:degHide m:val="on"/>
            </m:radPr>
            <m:deg/>
            <m:e>
              <m:f>
                <m:fPr>
                  <m:type m:val="bar"/>
                </m:fPr>
                <m:num>
                  <m:r>
                    <m:t>p</m:t>
                  </m:r>
                </m:num>
                <m:den>
                  <m:r>
                    <m:t>n</m:t>
                  </m:r>
                  <m:r>
                    <m:rPr>
                      <m:sty m:val="p"/>
                    </m:rPr>
                    <m:t>×</m:t>
                  </m:r>
                  <m:r>
                    <m:t>D</m:t>
                  </m:r>
                  <m:r>
                    <m:t>E</m:t>
                  </m:r>
                  <m:r>
                    <m:t>F</m:t>
                  </m:r>
                  <m:r>
                    <m:t>F</m:t>
                  </m:r>
                </m:den>
              </m:f>
            </m:e>
          </m:rad>
        </m:oMath>
      </m:oMathPara>
    </w:p>
    <w:p>
      <w:pPr>
        <w:pStyle w:val="FirstParagraph"/>
      </w:pPr>
      <w:r>
        <w:t xml:space="preserve">Donde</w:t>
      </w:r>
      <w:r>
        <w:t xml:space="preserve"> </w:t>
      </w:r>
      <m:oMath>
        <m:r>
          <m:t>z</m:t>
        </m:r>
      </m:oMath>
      <w:r>
        <w:t xml:space="preserve"> </w:t>
      </w:r>
      <w:r>
        <w:t xml:space="preserve">toma comúnmente valores de 2 o 3, mientras que</w:t>
      </w:r>
      <w:r>
        <w:t xml:space="preserve"> </w:t>
      </w:r>
      <m:oMath>
        <m:r>
          <m:t>n</m:t>
        </m:r>
      </m:oMath>
      <w:r>
        <w:t xml:space="preserve"> </w:t>
      </w:r>
      <w:r>
        <w:t xml:space="preserve">representa el tamaño muestral total de elementos incluidos en la encuesta. En el contexto de encuestas complejas, el uso de umbrales ajustados por efecto de diseño resulta especialmente relevante, ya que incorpora la pérdida de precisión derivada de la estratificación, la conglomeración y la utilización de pesos desiguales.</w:t>
      </w:r>
    </w:p>
    <w:p>
      <w:pPr>
        <w:pStyle w:val="BodyText"/>
      </w:pPr>
      <w:r>
        <w:t xml:space="preserve">En</w:t>
      </w:r>
      <w:r>
        <w:t xml:space="preserve"> </w:t>
      </w:r>
      <w:r>
        <w:rPr>
          <w:rStyle w:val="VerbatimChar"/>
        </w:rPr>
        <w:t xml:space="preserve">R</w:t>
      </w:r>
      <w:r>
        <w:t xml:space="preserve">, el cálculo de este estadístico puede realizarse mediante la función</w:t>
      </w:r>
      <w:r>
        <w:t xml:space="preserve"> </w:t>
      </w:r>
      <w:r>
        <w:rPr>
          <w:rStyle w:val="VerbatimChar"/>
        </w:rPr>
        <w:t xml:space="preserve">svydffits</w:t>
      </w:r>
      <w:r>
        <w:t xml:space="preserve"> </w:t>
      </w:r>
      <w:r>
        <w:t xml:space="preserve">del paquete</w:t>
      </w:r>
      <w:r>
        <w:t xml:space="preserve"> </w:t>
      </w:r>
      <w:r>
        <w:rPr>
          <w:rStyle w:val="VerbatimChar"/>
        </w:rPr>
        <w:t xml:space="preserve">svydiags</w:t>
      </w:r>
      <w:r>
        <w:t xml:space="preserve">, la cual obtiene las medidas de influencia considerando explícitamente la estructura del diseño muestral. Los resultados gráficos correspondientes se presentan en la</w:t>
      </w:r>
      <w:r>
        <w:t xml:space="preserve"> </w:t>
      </w:r>
      <w:hyperlink w:anchor="fig-dffits">
        <w:r>
          <w:rPr>
            <w:rStyle w:val="Hyperlink"/>
          </w:rPr>
          <w:t xml:space="preserve">figura 5.6</w:t>
        </w:r>
      </w:hyperlink>
      <w:r>
        <w:t xml:space="preserve">, en donde se confirma la existencia de algunas observaciones influyentes (señaladas en rojo).</w:t>
      </w:r>
    </w:p>
    <w:p>
      <w:pPr>
        <w:pStyle w:val="SourceCode"/>
      </w:pPr>
      <w:r>
        <w:rPr>
          <w:rStyle w:val="NormalTok"/>
        </w:rPr>
        <w:t xml:space="preserve">d_dffits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dffits =</w:t>
      </w:r>
      <w:r>
        <w:rPr>
          <w:rStyle w:val="NormalTok"/>
        </w:rPr>
        <w:t xml:space="preserve"> </w:t>
      </w:r>
      <w:r>
        <w:rPr>
          <w:rStyle w:val="FunctionTok"/>
        </w:rPr>
        <w:t xml:space="preserve">svydffits</w:t>
      </w:r>
      <w:r>
        <w:rPr>
          <w:rStyle w:val="NormalTok"/>
        </w:rPr>
        <w:t xml:space="preserve">(fit_svy)</w:t>
      </w:r>
      <w:r>
        <w:rPr>
          <w:rStyle w:val="SpecialCharTok"/>
        </w:rPr>
        <w:t xml:space="preserve">$</w:t>
      </w:r>
      <w:r>
        <w:rPr>
          <w:rStyle w:val="NormalTok"/>
        </w:rPr>
        <w:t xml:space="preserve">Dffits,</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w:t>
      </w:r>
      <w:r>
        <w:rPr>
          <w:rStyle w:val="FunctionTok"/>
        </w:rPr>
        <w:t xml:space="preserve">svydffits</w:t>
      </w:r>
      <w:r>
        <w:rPr>
          <w:rStyle w:val="NormalTok"/>
        </w:rPr>
        <w:t xml:space="preserve">(fit_svy)</w:t>
      </w:r>
      <w:r>
        <w:rPr>
          <w:rStyle w:val="SpecialCharTok"/>
        </w:rPr>
        <w:t xml:space="preserve">$</w:t>
      </w:r>
      <w:r>
        <w:rPr>
          <w:rStyle w:val="NormalTok"/>
        </w:rPr>
        <w:t xml:space="preserve">Dffits)</w:t>
      </w:r>
      <w:r>
        <w:br/>
      </w:r>
      <w:r>
        <w:rPr>
          <w:rStyle w:val="NormalTok"/>
        </w:rPr>
        <w:t xml:space="preserve">)</w:t>
      </w:r>
      <w:r>
        <w:br/>
      </w:r>
      <w:r>
        <w:rPr>
          <w:rStyle w:val="NormalTok"/>
        </w:rPr>
        <w:t xml:space="preserve">cutoff </w:t>
      </w:r>
      <w:r>
        <w:rPr>
          <w:rStyle w:val="OtherTok"/>
        </w:rPr>
        <w:t xml:space="preserve">&lt;-</w:t>
      </w:r>
      <w:r>
        <w:rPr>
          <w:rStyle w:val="NormalTok"/>
        </w:rPr>
        <w:t xml:space="preserve"> </w:t>
      </w:r>
      <w:r>
        <w:rPr>
          <w:rStyle w:val="FunctionTok"/>
        </w:rPr>
        <w:t xml:space="preserve">svydffits</w:t>
      </w:r>
      <w:r>
        <w:rPr>
          <w:rStyle w:val="NormalTok"/>
        </w:rPr>
        <w:t xml:space="preserve">(fit_svy)</w:t>
      </w:r>
      <w:r>
        <w:rPr>
          <w:rStyle w:val="SpecialCharTok"/>
        </w:rPr>
        <w:t xml:space="preserve">$</w:t>
      </w:r>
      <w:r>
        <w:rPr>
          <w:rStyle w:val="NormalTok"/>
        </w:rPr>
        <w:t xml:space="preserve">cutoff</w:t>
      </w:r>
      <w:r>
        <w:br/>
      </w:r>
      <w:r>
        <w:rPr>
          <w:rStyle w:val="NormalTok"/>
        </w:rPr>
        <w:t xml:space="preserve">d_dffits </w:t>
      </w:r>
      <w:r>
        <w:rPr>
          <w:rStyle w:val="OtherTok"/>
        </w:rPr>
        <w:t xml:space="preserve">&lt;-</w:t>
      </w:r>
      <w:r>
        <w:rPr>
          <w:rStyle w:val="NormalTok"/>
        </w:rPr>
        <w:t xml:space="preserve"> d_dffits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cutoff_criterion =</w:t>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(dffits) </w:t>
      </w:r>
      <w:r>
        <w:rPr>
          <w:rStyle w:val="SpecialCharTok"/>
        </w:rPr>
        <w:t xml:space="preserve">&gt;</w:t>
      </w:r>
      <w:r>
        <w:rPr>
          <w:rStyle w:val="NormalTok"/>
        </w:rPr>
        <w:t xml:space="preserve"> cutoff,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FunctionTok"/>
        </w:rPr>
        <w:t xml:space="preserve">ggplot</w:t>
      </w:r>
      <w:r>
        <w:rPr>
          <w:rStyle w:val="NormalTok"/>
        </w:rPr>
        <w:t xml:space="preserve">(d_dffits, </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abs</w:t>
      </w:r>
      <w:r>
        <w:rPr>
          <w:rStyle w:val="NormalTok"/>
        </w:rPr>
        <w:t xml:space="preserve">(dffits), </w:t>
      </w:r>
      <w:r>
        <w:rPr>
          <w:rStyle w:val="AttributeTok"/>
        </w:rPr>
        <w:t xml:space="preserve">x =</w:t>
      </w:r>
      <w:r>
        <w:rPr>
          <w:rStyle w:val="NormalTok"/>
        </w:rPr>
        <w:t xml:space="preserve"> 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cutoff_criterion))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cutoff)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"No"</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06" w:name="fig-dffits"/>
          <w:p>
            <w:pPr>
              <w:pStyle w:val="Compact"/>
              <w:jc w:val="center"/>
            </w:pPr>
            <w:r>
              <w:drawing>
                <wp:inline>
                  <wp:extent cx="3467100" cy="2311400"/>
                  <wp:effectExtent b="0" l="0" r="0" t="0"/>
                  <wp:docPr descr="" title="" id="204" name="Picture"/>
                  <a:graphic>
                    <a:graphicData uri="http://schemas.openxmlformats.org/drawingml/2006/picture">
                      <pic:pic>
                        <pic:nvPicPr>
                          <pic:cNvPr descr="chapters/../figures/fig-dffits-1.png" id="205" name="Picture"/>
                          <pic:cNvPicPr>
                            <a:picLocks noChangeArrowheads="1" noChangeAspect="1"/>
                          </pic:cNvPicPr>
                        </pic:nvPicPr>
                        <pic:blipFill>
                          <a:blip r:embed="rId20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5.6: Valores DfFits: observaciones influyentes sobre el ajuste global señaladas en rojo</w:t>
            </w:r>
          </w:p>
          <w:bookmarkEnd w:id="206"/>
        </w:tc>
      </w:tr>
    </w:tbl>
    <w:bookmarkEnd w:id="207"/>
    <w:bookmarkEnd w:id="208"/>
    <w:bookmarkStart w:id="210" w:name="X4ac2e9314d44f825adcf35ffedfb7814dbecf6c"/>
    <w:p>
      <w:pPr>
        <w:pStyle w:val="Heading2"/>
      </w:pPr>
      <w:r>
        <w:t xml:space="preserve">5.5 Inferencia sobre los parámetros del modelo</w:t>
      </w:r>
    </w:p>
    <w:p>
      <w:pPr>
        <w:pStyle w:val="FirstParagraph"/>
      </w:pPr>
      <w:r>
        <w:t xml:space="preserve">Una vez evaluado el ajuste del modelo y examinados —sin asumir que se cumplen automáticamente— los supuestos asociados a los errores, el siguiente paso consiste en determinar la significación estadística de los parámetros estimados. Este análisis permite establecer si las covariables incluidas en el modelo aportan información relevante para explicar la variabilidad de la variable respuesta.</w:t>
      </w:r>
    </w:p>
    <w:p>
      <w:pPr>
        <w:pStyle w:val="BodyText"/>
      </w:pPr>
      <w:r>
        <w:t xml:space="preserve">De acuerdo con</w:t>
      </w:r>
      <w:r>
        <w:t xml:space="preserve"> </w:t>
      </w:r>
      <w:r>
        <w:t xml:space="preserve">Chambers y Skinner (2003)</w:t>
      </w:r>
      <w:r>
        <w:t xml:space="preserve"> </w:t>
      </w:r>
      <w:r>
        <w:t xml:space="preserve">y</w:t>
      </w:r>
      <w:r>
        <w:t xml:space="preserve"> </w:t>
      </w:r>
      <w:r>
        <w:t xml:space="preserve">Heeringa et al. (2017)</w:t>
      </w:r>
      <w:r>
        <w:t xml:space="preserve">, en modelos ajustados con datos provenientes de encuestas complejas, las pruebas de hipótesis sobre los coeficientes de regresión se construyen utilizando estimadores de varianza consistentes con el diseño muestral. Para evaluar el efecto de una covariable asociada al parámetro</w:t>
      </w:r>
      <w:r>
        <w:t xml:space="preserve"> </w:t>
      </w:r>
      <m:oMath>
        <m:sSub>
          <m:e>
            <m:r>
              <m:t>β</m:t>
            </m:r>
          </m:e>
          <m:sub>
            <m:r>
              <m:t>j</m:t>
            </m:r>
          </m:sub>
        </m:sSub>
      </m:oMath>
      <w:r>
        <w:t xml:space="preserve">, se considera usualmente el contraste</w:t>
      </w:r>
    </w:p>
    <w:p>
      <w:pPr>
        <w:pStyle w:val="BodyText"/>
      </w:pPr>
      <m:oMathPara>
        <m:oMathParaPr>
          <m:jc m:val="center"/>
        </m:oMathParaPr>
        <m:oMath>
          <m:sSub>
            <m:e>
              <m:r>
                <m:t>H</m:t>
              </m:r>
            </m:e>
            <m:sub>
              <m:r>
                <m:t>0</m:t>
              </m:r>
            </m:sub>
          </m:sSub>
          <m:r>
            <m:rPr>
              <m:sty m:val="p"/>
            </m:rPr>
            <m:t>:</m:t>
          </m:r>
          <m:sSub>
            <m:e>
              <m:r>
                <m:t>β</m:t>
              </m:r>
            </m:e>
            <m:sub>
              <m:r>
                <m:t>j</m:t>
              </m:r>
            </m:sub>
          </m:sSub>
          <m:r>
            <m:rPr>
              <m:sty m:val="p"/>
            </m:rPr>
            <m:t>=</m:t>
          </m:r>
          <m:r>
            <m:t>0</m:t>
          </m:r>
          <m:r>
            <m:t>  </m:t>
          </m:r>
          <m:r>
            <m:rPr>
              <m:nor/>
              <m:sty m:val="p"/>
            </m:rPr>
            <m:t>frente a</m:t>
          </m:r>
          <m:r>
            <m:t>  </m:t>
          </m:r>
          <m:sSub>
            <m:e>
              <m:r>
                <m:t>H</m:t>
              </m:r>
            </m:e>
            <m:sub>
              <m:r>
                <m:t>1</m:t>
              </m:r>
            </m:sub>
          </m:sSub>
          <m:r>
            <m:rPr>
              <m:sty m:val="p"/>
            </m:rPr>
            <m:t>:</m:t>
          </m:r>
          <m:sSub>
            <m:e>
              <m:r>
                <m:t>β</m:t>
              </m:r>
            </m:e>
            <m:sub>
              <m:r>
                <m:t>j</m:t>
              </m:r>
            </m:sub>
          </m:sSub>
          <m:r>
            <m:rPr>
              <m:sty m:val="p"/>
            </m:rPr>
            <m:t>≠</m:t>
          </m:r>
          <m:r>
            <m:t>0</m:t>
          </m:r>
          <m:r>
            <m:rPr>
              <m:sty m:val="p"/>
            </m:rPr>
            <m:t>.</m:t>
          </m:r>
        </m:oMath>
      </m:oMathPara>
    </w:p>
    <w:p>
      <w:pPr>
        <w:pStyle w:val="FirstParagraph"/>
      </w:pPr>
      <w:r>
        <w:t xml:space="preserve">El estadístico de prueba correspondiente se define como</w:t>
      </w:r>
    </w:p>
    <w:p>
      <w:pPr>
        <w:pStyle w:val="BodyText"/>
      </w:pPr>
      <m:oMathPara>
        <m:oMathParaPr>
          <m:jc m:val="center"/>
        </m:oMathParaPr>
        <m:oMath>
          <m:sSub>
            <m:e>
              <m:r>
                <m:t>t</m:t>
              </m:r>
            </m:e>
            <m:sub>
              <m:r>
                <m:t>j</m:t>
              </m:r>
            </m:sub>
          </m:sSub>
          <m:r>
            <m:rPr>
              <m:sty m:val="p"/>
            </m:rPr>
            <m:t>=</m:t>
          </m:r>
          <m:f>
            <m:fPr>
              <m:type m:val="bar"/>
            </m:fPr>
            <m:num>
              <m:sSub>
                <m:e>
                  <m:acc>
                    <m:accPr>
                      <m:chr m:val="̂"/>
                    </m:accPr>
                    <m:e>
                      <m:r>
                        <m:t>β</m:t>
                      </m:r>
                    </m:e>
                  </m:acc>
                </m:e>
                <m:sub>
                  <m:r>
                    <m:t>j</m:t>
                  </m:r>
                </m:sub>
              </m:sSub>
              <m:r>
                <m:rPr>
                  <m:sty m:val="p"/>
                </m:rPr>
                <m:t>−</m:t>
              </m:r>
              <m:sSub>
                <m:e>
                  <m:r>
                    <m:t>β</m:t>
                  </m:r>
                </m:e>
                <m:sub>
                  <m:r>
                    <m:t>j</m:t>
                  </m:r>
                </m:sub>
              </m:sSub>
            </m:num>
            <m:den>
              <m:rad>
                <m:radPr>
                  <m:degHide m:val="on"/>
                </m:radPr>
                <m:deg/>
                <m:e>
                  <m:acc>
                    <m:accPr>
                      <m:chr m:val="̂"/>
                    </m:accPr>
                    <m:e>
                      <m:r>
                        <m:t>V</m:t>
                      </m:r>
                      <m:r>
                        <m:t>a</m:t>
                      </m:r>
                      <m:r>
                        <m:t>r</m:t>
                      </m:r>
                    </m:e>
                  </m:acc>
                  <m:r>
                    <m:rPr>
                      <m:sty m:val="p"/>
                    </m:rPr>
                    <m:t>(</m:t>
                  </m:r>
                  <m:sSub>
                    <m:e>
                      <m:acc>
                        <m:accPr>
                          <m:chr m:val="̂"/>
                        </m:accPr>
                        <m:e>
                          <m:r>
                            <m:t>β</m:t>
                          </m:r>
                        </m:e>
                      </m:acc>
                    </m:e>
                    <m:sub>
                      <m:r>
                        <m:t>j</m:t>
                      </m:r>
                    </m:sub>
                  </m:sSub>
                  <m:r>
                    <m:rPr>
                      <m:sty m:val="p"/>
                    </m:rPr>
                    <m:t>)</m:t>
                  </m:r>
                </m:e>
              </m:rad>
            </m:den>
          </m:f>
        </m:oMath>
      </m:oMathPara>
    </w:p>
    <w:p>
      <w:pPr>
        <w:pStyle w:val="FirstParagraph"/>
      </w:pPr>
      <w:r>
        <w:t xml:space="preserve">el cual, bajo la hipótesis nula sigue aproximadamente una distribución</w:t>
      </w:r>
      <w:r>
        <w:t xml:space="preserve"> </w:t>
      </w:r>
      <m:oMath>
        <m:r>
          <m:t>t</m:t>
        </m:r>
      </m:oMath>
      <w:r>
        <w:t xml:space="preserve"> </w:t>
      </w:r>
      <w:r>
        <w:t xml:space="preserve">de Student con</w:t>
      </w:r>
      <w:r>
        <w:t xml:space="preserve"> </w:t>
      </w:r>
      <m:oMath>
        <m:r>
          <m:t>d</m:t>
        </m:r>
        <m:r>
          <m:t>f</m:t>
        </m:r>
      </m:oMath>
      <w:r>
        <w:t xml:space="preserve"> </w:t>
      </w:r>
      <w:r>
        <w:t xml:space="preserve">grados de libertad asociados al diseño muestral (usualmente definidos como el número de unidades primarias de muestreo menos el número de estratos). La decisión inferencial se basa en comparar el valor absoluto del estadístico</w:t>
      </w:r>
      <w:r>
        <w:t xml:space="preserve"> </w:t>
      </w:r>
      <m:oMath>
        <m:sSub>
          <m:e>
            <m:r>
              <m:t>t</m:t>
            </m:r>
          </m:e>
          <m:sub>
            <m:r>
              <m:t>j</m:t>
            </m:r>
          </m:sub>
        </m:sSub>
      </m:oMath>
      <w:r>
        <w:t xml:space="preserve"> </w:t>
      </w:r>
      <w:r>
        <w:t xml:space="preserve">con el valor crítico de la distribución de referencia. Cuando el valor observado del estadístico resulta suficientemente grande en magnitud, se rechaza la hipótesis nula y se concluye que la covariable correspondiente presenta una asociación estadísticamente significativa con la variable respuesta.</w:t>
      </w:r>
    </w:p>
    <w:p>
      <w:pPr>
        <w:pStyle w:val="BodyText"/>
      </w:pPr>
      <w:r>
        <w:t xml:space="preserve">Las mismas propiedades distribucionales permiten construir intervalos de confianza para los coeficientes de regresión. Así, un intervalo de confianza al nivel</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para el parámetro</w:t>
      </w:r>
      <w:r>
        <w:t xml:space="preserve"> </w:t>
      </w:r>
      <m:oMath>
        <m:sSub>
          <m:e>
            <m:r>
              <m:t>β</m:t>
            </m:r>
          </m:e>
          <m:sub>
            <m:r>
              <m:t>j</m:t>
            </m:r>
          </m:sub>
        </m:sSub>
      </m:oMath>
      <w:r>
        <w:t xml:space="preserve"> </w:t>
      </w:r>
      <w:r>
        <w:t xml:space="preserve">está dado por</w:t>
      </w:r>
    </w:p>
    <w:p>
      <w:pPr>
        <w:pStyle w:val="BodyText"/>
      </w:pPr>
      <m:oMathPara>
        <m:oMathParaPr>
          <m:jc m:val="center"/>
        </m:oMathParaPr>
        <m:oMath>
          <m:sSub>
            <m:e>
              <m:acc>
                <m:accPr>
                  <m:chr m:val="̂"/>
                </m:accPr>
                <m:e>
                  <m:r>
                    <m:t>β</m:t>
                  </m:r>
                </m:e>
              </m:acc>
            </m:e>
            <m:sub>
              <m:r>
                <m:t>j</m:t>
              </m:r>
            </m:sub>
          </m:sSub>
          <m:r>
            <m:rPr>
              <m:sty m:val="p"/>
            </m:rPr>
            <m:t>±</m:t>
          </m:r>
          <m:sSub>
            <m:e>
              <m:r>
                <m:t>t</m:t>
              </m:r>
            </m:e>
            <m:sub>
              <m:r>
                <m:t>1</m:t>
              </m:r>
              <m:r>
                <m:rPr>
                  <m:sty m:val="p"/>
                </m:rPr>
                <m:t>−</m:t>
              </m:r>
              <m:f>
                <m:fPr>
                  <m:type m:val="bar"/>
                </m:fPr>
                <m:num>
                  <m:r>
                    <m:t>α</m:t>
                  </m:r>
                </m:num>
                <m:den>
                  <m:r>
                    <m:t>2</m:t>
                  </m:r>
                </m:den>
              </m:f>
              <m:r>
                <m:rPr>
                  <m:sty m:val="p"/>
                </m:rPr>
                <m:t>,</m:t>
              </m:r>
              <m:r>
                <m:t> </m:t>
              </m:r>
              <m:r>
                <m:t>d</m:t>
              </m:r>
              <m:r>
                <m:t>f</m:t>
              </m:r>
            </m:sub>
          </m:sSub>
          <m:rad>
            <m:radPr>
              <m:degHide m:val="on"/>
            </m:radPr>
            <m:deg/>
            <m:e>
              <m:acc>
                <m:accPr>
                  <m:chr m:val="̂"/>
                </m:accPr>
                <m:e>
                  <m:r>
                    <m:t>V</m:t>
                  </m:r>
                  <m:r>
                    <m:t>a</m:t>
                  </m:r>
                  <m:r>
                    <m:t>r</m:t>
                  </m:r>
                </m:e>
              </m:acc>
              <m:r>
                <m:rPr>
                  <m:sty m:val="p"/>
                </m:rPr>
                <m:t>(</m:t>
              </m:r>
              <m:sSub>
                <m:e>
                  <m:acc>
                    <m:accPr>
                      <m:chr m:val="̂"/>
                    </m:accPr>
                    <m:e>
                      <m:r>
                        <m:t>β</m:t>
                      </m:r>
                    </m:e>
                  </m:acc>
                </m:e>
                <m:sub>
                  <m:r>
                    <m:t>j</m:t>
                  </m:r>
                </m:sub>
              </m:sSub>
              <m:r>
                <m:rPr>
                  <m:sty m:val="p"/>
                </m:rPr>
                <m:t>)</m:t>
              </m:r>
            </m:e>
          </m:rad>
          <m:r>
            <m:rPr>
              <m:sty m:val="p"/>
            </m:rPr>
            <m:t>,</m:t>
          </m:r>
        </m:oMath>
      </m:oMathPara>
    </w:p>
    <w:p>
      <w:pPr>
        <w:pStyle w:val="FirstParagraph"/>
      </w:pPr>
      <w:r>
        <w:t xml:space="preserve">donde</w:t>
      </w:r>
      <w:r>
        <w:t xml:space="preserve"> </w:t>
      </w:r>
      <m:oMath>
        <m:sSub>
          <m:e>
            <m:r>
              <m:t>t</m:t>
            </m:r>
          </m:e>
          <m:sub>
            <m:r>
              <m:t>1</m:t>
            </m:r>
            <m:r>
              <m:rPr>
                <m:sty m:val="p"/>
              </m:rPr>
              <m:t>−</m:t>
            </m:r>
            <m:f>
              <m:fPr>
                <m:type m:val="bar"/>
              </m:fPr>
              <m:num>
                <m:r>
                  <m:t>α</m:t>
                </m:r>
              </m:num>
              <m:den>
                <m:r>
                  <m:t>2</m:t>
                </m:r>
              </m:den>
            </m:f>
            <m:r>
              <m:rPr>
                <m:sty m:val="p"/>
              </m:rPr>
              <m:t>,</m:t>
            </m:r>
            <m:r>
              <m:t> </m:t>
            </m:r>
            <m:r>
              <m:t>d</m:t>
            </m:r>
            <m:r>
              <m:t>f</m:t>
            </m:r>
          </m:sub>
        </m:sSub>
      </m:oMath>
      <w:r>
        <w:t xml:space="preserve"> </w:t>
      </w:r>
      <w:r>
        <w:t xml:space="preserve">representa el cuantil de orden</w:t>
      </w:r>
      <w:r>
        <w:t xml:space="preserve"> </w:t>
      </w:r>
      <m:oMath>
        <m:r>
          <m:t>1</m:t>
        </m:r>
        <m:r>
          <m:rPr>
            <m:sty m:val="p"/>
          </m:rPr>
          <m:t>−</m:t>
        </m:r>
        <m:r>
          <m:t>α</m:t>
        </m:r>
        <m:r>
          <m:rPr>
            <m:sty m:val="p"/>
          </m:rPr>
          <m:t>/</m:t>
        </m:r>
        <m:r>
          <m:t>2</m:t>
        </m:r>
      </m:oMath>
      <w:r>
        <w:t xml:space="preserve"> </w:t>
      </w:r>
      <w:r>
        <w:t xml:space="preserve">de la distribución</w:t>
      </w:r>
      <w:r>
        <w:t xml:space="preserve"> </w:t>
      </w:r>
      <m:oMath>
        <m:r>
          <m:t>t</m:t>
        </m:r>
      </m:oMath>
      <w:r>
        <w:t xml:space="preserve"> </w:t>
      </w:r>
      <w:r>
        <w:t xml:space="preserve">de Student con</w:t>
      </w:r>
      <w:r>
        <w:t xml:space="preserve"> </w:t>
      </w:r>
      <m:oMath>
        <m:r>
          <m:t>d</m:t>
        </m:r>
        <m:r>
          <m:t>f</m:t>
        </m:r>
      </m:oMath>
      <w:r>
        <w:t xml:space="preserve"> </w:t>
      </w:r>
      <w:r>
        <w:t xml:space="preserve">grados de libertad.</w:t>
      </w:r>
    </w:p>
    <w:p>
      <w:pPr>
        <w:pStyle w:val="BodyText"/>
      </w:pPr>
      <w:r>
        <w:t xml:space="preserve">Para implementar estos procedimientos en</w:t>
      </w:r>
      <w:r>
        <w:t xml:space="preserve"> </w:t>
      </w:r>
      <w:r>
        <w:rPr>
          <w:rStyle w:val="VerbatimChar"/>
        </w:rPr>
        <w:t xml:space="preserve">R</w:t>
      </w:r>
      <w:r>
        <w:t xml:space="preserve">, se utilizan las funciones</w:t>
      </w:r>
      <w:r>
        <w:t xml:space="preserve"> </w:t>
      </w:r>
      <w:r>
        <w:rPr>
          <w:rStyle w:val="VerbatimChar"/>
        </w:rPr>
        <w:t xml:space="preserve">summary.svyglm</w:t>
      </w:r>
      <w:r>
        <w:t xml:space="preserve"> </w:t>
      </w:r>
      <w:r>
        <w:t xml:space="preserve">y</w:t>
      </w:r>
      <w:r>
        <w:t xml:space="preserve"> </w:t>
      </w:r>
      <w:r>
        <w:rPr>
          <w:rStyle w:val="VerbatimChar"/>
        </w:rPr>
        <w:t xml:space="preserve">confint.svyglm</w:t>
      </w:r>
      <w:r>
        <w:t xml:space="preserve">, las cuales permiten obtener, respectivamente, las pruebas de significación basadas en el estadístico</w:t>
      </w:r>
      <w:r>
        <w:t xml:space="preserve"> </w:t>
      </w:r>
      <m:oMath>
        <m:r>
          <m:t>t</m:t>
        </m:r>
      </m:oMath>
      <w:r>
        <w:t xml:space="preserve"> </w:t>
      </w:r>
      <w:r>
        <w:t xml:space="preserve">y los intervalos de confianza de los coeficientes estimados bajo el diseño muestral complejo. Los resultados correspondientes se presentan en la</w:t>
      </w:r>
      <w:r>
        <w:t xml:space="preserve"> </w:t>
      </w:r>
      <w:hyperlink w:anchor="tbl-inferencia-modelo">
        <w:r>
          <w:rPr>
            <w:rStyle w:val="Hyperlink"/>
          </w:rPr>
          <w:t xml:space="preserve">tabla 5.3</w:t>
        </w:r>
      </w:hyperlink>
      <w:r>
        <w:t xml:space="preserve">.</w:t>
      </w:r>
    </w:p>
    <w:p>
      <w:pPr>
        <w:pStyle w:val="SourceCode"/>
      </w:pPr>
      <w:r>
        <w:rPr>
          <w:rStyle w:val="NormalTok"/>
        </w:rPr>
        <w:t xml:space="preserve">summary_table </w:t>
      </w:r>
      <w:r>
        <w:rPr>
          <w:rStyle w:val="OtherTok"/>
        </w:rPr>
        <w:t xml:space="preserve">&lt;-</w:t>
      </w:r>
      <w:r>
        <w:rPr>
          <w:rStyle w:val="NormalTok"/>
        </w:rPr>
        <w:t xml:space="preserve"> </w:t>
      </w:r>
      <w:r>
        <w:rPr>
          <w:rStyle w:val="FunctionTok"/>
        </w:rPr>
        <w:t xml:space="preserve">summary</w:t>
      </w:r>
      <w:r>
        <w:rPr>
          <w:rStyle w:val="NormalTok"/>
        </w:rPr>
        <w:t xml:space="preserve">(fit_svy)</w:t>
      </w:r>
      <w:r>
        <w:rPr>
          <w:rStyle w:val="SpecialCharTok"/>
        </w:rPr>
        <w:t xml:space="preserve">$</w:t>
      </w:r>
      <w:r>
        <w:rPr>
          <w:rStyle w:val="NormalTok"/>
        </w:rPr>
        <w:t xml:space="preserve">coefficients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StringTok"/>
        </w:rPr>
        <w:t xml:space="preserve">"Parameter"</w:t>
      </w:r>
      <w:r>
        <w:rPr>
          <w:rStyle w:val="NormalTok"/>
        </w:rPr>
        <w:t xml:space="preserve">)</w:t>
      </w:r>
      <w:r>
        <w:br/>
      </w:r>
      <w:r>
        <w:br/>
      </w:r>
      <w:r>
        <w:rPr>
          <w:rStyle w:val="NormalTok"/>
        </w:rPr>
        <w:t xml:space="preserve">confidence_table </w:t>
      </w:r>
      <w:r>
        <w:rPr>
          <w:rStyle w:val="OtherTok"/>
        </w:rPr>
        <w:t xml:space="preserve">&lt;-</w:t>
      </w:r>
      <w:r>
        <w:rPr>
          <w:rStyle w:val="NormalTok"/>
        </w:rPr>
        <w:t xml:space="preserve"> </w:t>
      </w:r>
      <w:r>
        <w:rPr>
          <w:rStyle w:val="FunctionTok"/>
        </w:rPr>
        <w:t xml:space="preserve">confint</w:t>
      </w:r>
      <w:r>
        <w:rPr>
          <w:rStyle w:val="NormalTok"/>
        </w:rPr>
        <w:t xml:space="preserve">(fit_svy)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StringTok"/>
        </w:rPr>
        <w:t xml:space="preserve">"Parameter"</w:t>
      </w:r>
      <w:r>
        <w:rPr>
          <w:rStyle w:val="NormalTok"/>
        </w:rPr>
        <w:t xml:space="preserve">)</w:t>
      </w:r>
      <w:r>
        <w:br/>
      </w:r>
      <w:r>
        <w:br/>
      </w:r>
      <w:r>
        <w:rPr>
          <w:rStyle w:val="NormalTok"/>
        </w:rPr>
        <w:t xml:space="preserve">summary_table </w:t>
      </w:r>
      <w:r>
        <w:rPr>
          <w:rStyle w:val="OtherTok"/>
        </w:rPr>
        <w:t xml:space="preserve">&lt;-</w:t>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summary_table,</w:t>
      </w:r>
      <w:r>
        <w:br/>
      </w:r>
      <w:r>
        <w:rPr>
          <w:rStyle w:val="NormalTok"/>
        </w:rPr>
        <w:t xml:space="preserve">  confidence_table,</w:t>
      </w:r>
      <w:r>
        <w:br/>
      </w:r>
      <w:r>
        <w:rPr>
          <w:rStyle w:val="NormalTok"/>
        </w:rPr>
        <w:t xml:space="preserve">  </w:t>
      </w:r>
      <w:r>
        <w:rPr>
          <w:rStyle w:val="AttributeTok"/>
        </w:rPr>
        <w:t xml:space="preserve">by =</w:t>
      </w:r>
      <w:r>
        <w:rPr>
          <w:rStyle w:val="NormalTok"/>
        </w:rPr>
        <w:t xml:space="preserve"> </w:t>
      </w:r>
      <w:r>
        <w:rPr>
          <w:rStyle w:val="StringTok"/>
        </w:rPr>
        <w:t xml:space="preserve">"Parameter"</w:t>
      </w:r>
      <w:r>
        <w:br/>
      </w:r>
      <w:r>
        <w:rPr>
          <w:rStyle w:val="NormalTok"/>
        </w:rPr>
        <w:t xml:space="preserve">)</w:t>
      </w:r>
    </w:p>
    <w:p>
      <w:pPr>
        <w:pStyle w:val="FirstParagraph"/>
      </w:pPr>
      <w:r>
        <w:t xml:space="preserve">Se incorporan explícitamente los límites producidos por</w:t>
      </w:r>
      <w:r>
        <w:t xml:space="preserve"> </w:t>
      </w:r>
      <w:r>
        <w:rPr>
          <w:rStyle w:val="VerbatimChar"/>
        </w:rPr>
        <w:t xml:space="preserve">confint()</w:t>
      </w:r>
      <w:r>
        <w:t xml:space="preserve"> </w:t>
      </w:r>
      <w:r>
        <w:t xml:space="preserve">para que la tabla contenga tanto las pruebas</w:t>
      </w:r>
      <w:r>
        <w:t xml:space="preserve"> </w:t>
      </w:r>
      <m:oMath>
        <m:r>
          <m:t>t</m:t>
        </m:r>
      </m:oMath>
      <w:r>
        <w:t xml:space="preserve"> </w:t>
      </w:r>
      <w:r>
        <w:t xml:space="preserve">como los intervalos de confianza anunciados.</w:t>
      </w:r>
    </w:p>
    <w:p>
      <w:pPr>
        <w:pStyle w:val="SourceCode"/>
      </w:pPr>
      <w:r>
        <w:rPr>
          <w:rStyle w:val="NormalTok"/>
        </w:rPr>
        <w:t xml:space="preserve">summary_table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inferencia-modelo"/>
          <w:p>
            <w:pPr>
              <w:jc w:val="center"/>
            </w:pPr>
            <w:pPr>
              <w:jc w:val="left"/>
              <w:spacing w:before="200"/>
              <w:pStyle w:val="ImageCaption"/>
            </w:pPr>
            <w:r>
              <w:t xml:space="preserve">Tabla 5.3: Pruebas t e intervalos de confianza al 95% para los parámetros del modelo</w:t>
            </w:r>
          </w:p>
          <w:tbl>
            <w:tblPr>
              <w:tblStyle w:val="Table"/>
              <w:tblW w:type="pct" w:w="5000"/>
              <w:tblLayout w:type="fixed"/>
              <w:tblLook w:firstRow="1" w:lastRow="0" w:firstColumn="0" w:lastColumn="0" w:noHBand="0" w:noVBand="0" w:val="0020"/>
            </w:tblPr>
            <w:tblGrid>
              <w:gridCol w:w="1250"/>
              <w:gridCol w:w="937"/>
              <w:gridCol w:w="1146"/>
              <w:gridCol w:w="833"/>
              <w:gridCol w:w="1980"/>
              <w:gridCol w:w="93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t value</w:t>
                  </w:r>
                </w:p>
              </w:tc>
              <w:tc>
                <w:tcPr/>
                <w:p>
                  <w:pPr>
                    <w:pStyle w:val="Compact"/>
                    <w:jc w:val="right"/>
                    <w:jc w:val="center"/>
                  </w:pPr>
                  <w:r>
                    <w:t xml:space="preserve">Pr(&gt;|t|)</w:t>
                  </w:r>
                </w:p>
              </w:tc>
              <w:tc>
                <w:tcPr/>
                <w:p>
                  <w:pPr>
                    <w:pStyle w:val="Compact"/>
                    <w:jc w:val="right"/>
                    <w:jc w:val="center"/>
                  </w:pPr>
                  <w:r>
                    <w:t xml:space="preserve">2.5 %</w:t>
                  </w:r>
                </w:p>
              </w:tc>
              <w:tc>
                <w:tcPr/>
                <w:p>
                  <w:pPr>
                    <w:pStyle w:val="Compact"/>
                    <w:jc w:val="right"/>
                    <w:jc w:val="center"/>
                  </w:pPr>
                  <w:r>
                    <w:t xml:space="preserve">97.5 %</w:t>
                  </w:r>
                </w:p>
              </w:tc>
            </w:tr>
            <w:tr>
              <w:tc>
                <w:tcPr/>
                <w:p>
                  <w:pPr>
                    <w:pStyle w:val="Compact"/>
                    <w:jc w:val="left"/>
                    <w:jc w:val="center"/>
                  </w:pPr>
                  <w:r>
                    <w:t xml:space="preserve">(Intercept)</w:t>
                  </w:r>
                </w:p>
              </w:tc>
              <w:tc>
                <w:tcPr/>
                <w:p>
                  <w:pPr>
                    <w:pStyle w:val="Compact"/>
                    <w:jc w:val="right"/>
                    <w:jc w:val="center"/>
                  </w:pPr>
                  <w:r>
                    <w:t xml:space="preserve">73.580</w:t>
                  </w:r>
                </w:p>
              </w:tc>
              <w:tc>
                <w:tcPr/>
                <w:p>
                  <w:pPr>
                    <w:pStyle w:val="Compact"/>
                    <w:jc w:val="right"/>
                    <w:jc w:val="center"/>
                  </w:pPr>
                  <w:r>
                    <w:t xml:space="preserve">59.4700</w:t>
                  </w:r>
                </w:p>
              </w:tc>
              <w:tc>
                <w:tcPr/>
                <w:p>
                  <w:pPr>
                    <w:pStyle w:val="Compact"/>
                    <w:jc w:val="right"/>
                    <w:jc w:val="center"/>
                  </w:pPr>
                  <w:r>
                    <w:t xml:space="preserve">1.237</w:t>
                  </w:r>
                </w:p>
              </w:tc>
              <w:tc>
                <w:tcPr/>
                <w:p>
                  <w:pPr>
                    <w:pStyle w:val="Compact"/>
                    <w:jc w:val="right"/>
                    <w:jc w:val="center"/>
                  </w:pPr>
                  <w:r>
                    <w:t xml:space="preserve">0.2185</w:t>
                  </w:r>
                </w:p>
              </w:tc>
              <w:tc>
                <w:tcPr/>
                <w:p>
                  <w:pPr>
                    <w:pStyle w:val="Compact"/>
                    <w:jc w:val="right"/>
                    <w:jc w:val="center"/>
                  </w:pPr>
                  <w:r>
                    <w:t xml:space="preserve">-44.2077</w:t>
                  </w:r>
                </w:p>
              </w:tc>
              <w:tc>
                <w:tcPr/>
                <w:p>
                  <w:pPr>
                    <w:pStyle w:val="Compact"/>
                    <w:jc w:val="right"/>
                    <w:jc w:val="center"/>
                  </w:pPr>
                  <w:r>
                    <w:t xml:space="preserve">191.368</w:t>
                  </w:r>
                </w:p>
              </w:tc>
            </w:tr>
            <w:tr>
              <w:tc>
                <w:tcPr/>
                <w:p>
                  <w:pPr>
                    <w:pStyle w:val="Compact"/>
                    <w:jc w:val="left"/>
                    <w:jc w:val="center"/>
                  </w:pPr>
                  <w:r>
                    <w:t xml:space="preserve">Expenditure</w:t>
                  </w:r>
                </w:p>
              </w:tc>
              <w:tc>
                <w:tcPr/>
                <w:p>
                  <w:pPr>
                    <w:pStyle w:val="Compact"/>
                    <w:jc w:val="right"/>
                    <w:jc w:val="center"/>
                  </w:pPr>
                  <w:r>
                    <w:t xml:space="preserve">1.222</w:t>
                  </w:r>
                </w:p>
              </w:tc>
              <w:tc>
                <w:tcPr/>
                <w:p>
                  <w:pPr>
                    <w:pStyle w:val="Compact"/>
                    <w:jc w:val="right"/>
                    <w:jc w:val="center"/>
                  </w:pPr>
                  <w:r>
                    <w:t xml:space="preserve">0.1968</w:t>
                  </w:r>
                </w:p>
              </w:tc>
              <w:tc>
                <w:tcPr/>
                <w:p>
                  <w:pPr>
                    <w:pStyle w:val="Compact"/>
                    <w:jc w:val="right"/>
                    <w:jc w:val="center"/>
                  </w:pPr>
                  <w:r>
                    <w:t xml:space="preserve">6.212</w:t>
                  </w:r>
                </w:p>
              </w:tc>
              <w:tc>
                <w:tcPr/>
                <w:p>
                  <w:pPr>
                    <w:pStyle w:val="Compact"/>
                    <w:jc w:val="right"/>
                    <w:jc w:val="center"/>
                  </w:pPr>
                  <w:r>
                    <w:t xml:space="preserve">0.0000</w:t>
                  </w:r>
                </w:p>
              </w:tc>
              <w:tc>
                <w:tcPr/>
                <w:p>
                  <w:pPr>
                    <w:pStyle w:val="Compact"/>
                    <w:jc w:val="right"/>
                    <w:jc w:val="center"/>
                  </w:pPr>
                  <w:r>
                    <w:t xml:space="preserve">0.8326</w:t>
                  </w:r>
                </w:p>
              </w:tc>
              <w:tc>
                <w:tcPr/>
                <w:p>
                  <w:pPr>
                    <w:pStyle w:val="Compact"/>
                    <w:jc w:val="right"/>
                    <w:jc w:val="center"/>
                  </w:pPr>
                  <w:r>
                    <w:t xml:space="preserve">1.612</w:t>
                  </w:r>
                </w:p>
              </w:tc>
            </w:tr>
            <w:tr>
              <w:tc>
                <w:tcPr/>
                <w:p>
                  <w:pPr>
                    <w:pStyle w:val="Compact"/>
                    <w:jc w:val="left"/>
                    <w:jc w:val="center"/>
                  </w:pPr>
                  <w:r>
                    <w:t xml:space="preserve">ZoneUrban</w:t>
                  </w:r>
                </w:p>
              </w:tc>
              <w:tc>
                <w:tcPr/>
                <w:p>
                  <w:pPr>
                    <w:pStyle w:val="Compact"/>
                    <w:jc w:val="right"/>
                    <w:jc w:val="center"/>
                  </w:pPr>
                  <w:r>
                    <w:t xml:space="preserve">66.652</w:t>
                  </w:r>
                </w:p>
              </w:tc>
              <w:tc>
                <w:tcPr/>
                <w:p>
                  <w:pPr>
                    <w:pStyle w:val="Compact"/>
                    <w:jc w:val="right"/>
                    <w:jc w:val="center"/>
                  </w:pPr>
                  <w:r>
                    <w:t xml:space="preserve">39.6655</w:t>
                  </w:r>
                </w:p>
              </w:tc>
              <w:tc>
                <w:tcPr/>
                <w:p>
                  <w:pPr>
                    <w:pStyle w:val="Compact"/>
                    <w:jc w:val="right"/>
                    <w:jc w:val="center"/>
                  </w:pPr>
                  <w:r>
                    <w:t xml:space="preserve">1.680</w:t>
                  </w:r>
                </w:p>
              </w:tc>
              <w:tc>
                <w:tcPr/>
                <w:p>
                  <w:pPr>
                    <w:pStyle w:val="Compact"/>
                    <w:jc w:val="right"/>
                    <w:jc w:val="center"/>
                  </w:pPr>
                  <w:r>
                    <w:t xml:space="preserve">0.0956</w:t>
                  </w:r>
                </w:p>
              </w:tc>
              <w:tc>
                <w:tcPr/>
                <w:p>
                  <w:pPr>
                    <w:pStyle w:val="Compact"/>
                    <w:jc w:val="right"/>
                    <w:jc w:val="center"/>
                  </w:pPr>
                  <w:r>
                    <w:t xml:space="preserve">-11.9106</w:t>
                  </w:r>
                </w:p>
              </w:tc>
              <w:tc>
                <w:tcPr/>
                <w:p>
                  <w:pPr>
                    <w:pStyle w:val="Compact"/>
                    <w:jc w:val="right"/>
                    <w:jc w:val="center"/>
                  </w:pPr>
                  <w:r>
                    <w:t xml:space="preserve">145.214</w:t>
                  </w:r>
                </w:p>
              </w:tc>
            </w:tr>
            <w:tr>
              <w:tc>
                <w:tcPr/>
                <w:p>
                  <w:pPr>
                    <w:pStyle w:val="Compact"/>
                    <w:jc w:val="left"/>
                    <w:jc w:val="center"/>
                  </w:pPr>
                  <w:r>
                    <w:t xml:space="preserve">SexMale</w:t>
                  </w:r>
                </w:p>
              </w:tc>
              <w:tc>
                <w:tcPr/>
                <w:p>
                  <w:pPr>
                    <w:pStyle w:val="Compact"/>
                    <w:jc w:val="right"/>
                    <w:jc w:val="center"/>
                  </w:pPr>
                  <w:r>
                    <w:t xml:space="preserve">20.644</w:t>
                  </w:r>
                </w:p>
              </w:tc>
              <w:tc>
                <w:tcPr/>
                <w:p>
                  <w:pPr>
                    <w:pStyle w:val="Compact"/>
                    <w:jc w:val="right"/>
                    <w:jc w:val="center"/>
                  </w:pPr>
                  <w:r>
                    <w:t xml:space="preserve">15.6115</w:t>
                  </w:r>
                </w:p>
              </w:tc>
              <w:tc>
                <w:tcPr/>
                <w:p>
                  <w:pPr>
                    <w:pStyle w:val="Compact"/>
                    <w:jc w:val="right"/>
                    <w:jc w:val="center"/>
                  </w:pPr>
                  <w:r>
                    <w:t xml:space="preserve">1.322</w:t>
                  </w:r>
                </w:p>
              </w:tc>
              <w:tc>
                <w:tcPr/>
                <w:p>
                  <w:pPr>
                    <w:pStyle w:val="Compact"/>
                    <w:jc w:val="right"/>
                    <w:jc w:val="center"/>
                  </w:pPr>
                  <w:r>
                    <w:t xml:space="preserve">0.1886</w:t>
                  </w:r>
                </w:p>
              </w:tc>
              <w:tc>
                <w:tcPr/>
                <w:p>
                  <w:pPr>
                    <w:pStyle w:val="Compact"/>
                    <w:jc w:val="right"/>
                    <w:jc w:val="center"/>
                  </w:pPr>
                  <w:r>
                    <w:t xml:space="preserve">-10.2762</w:t>
                  </w:r>
                </w:p>
              </w:tc>
              <w:tc>
                <w:tcPr/>
                <w:p>
                  <w:pPr>
                    <w:pStyle w:val="Compact"/>
                    <w:jc w:val="right"/>
                    <w:jc w:val="center"/>
                  </w:pPr>
                  <w:r>
                    <w:t xml:space="preserve">51.565</w:t>
                  </w:r>
                </w:p>
              </w:tc>
            </w:tr>
          </w:tbl>
          <w:bookmarkEnd w:id="209"/>
          <w:p/>
        </w:tc>
      </w:tr>
    </w:tbl>
    <w:p>
      <w:pPr>
        <w:pStyle w:val="BodyText"/>
      </w:pPr>
      <w:r>
        <w:t xml:space="preserve">Los resultados del modelo indican que la variable</w:t>
      </w:r>
      <w:r>
        <w:t xml:space="preserve"> </w:t>
      </w:r>
      <w:r>
        <w:rPr>
          <w:rStyle w:val="VerbatimChar"/>
        </w:rPr>
        <w:t xml:space="preserve">Expenditure</w:t>
      </w:r>
      <w:r>
        <w:t xml:space="preserve"> </w:t>
      </w:r>
      <w:r>
        <w:t xml:space="preserve">presenta una asociación estadísticamente significativa con la variable de interés (</w:t>
      </w:r>
      <w:r>
        <w:rPr>
          <w:rStyle w:val="VerbatimChar"/>
        </w:rPr>
        <w:t xml:space="preserve">Income</w:t>
      </w:r>
      <w:r>
        <w:t xml:space="preserve">). Este efecto resulta altamente significativo desde el punto de vista estadístico (</w:t>
      </w:r>
      <m:oMath>
        <m:r>
          <m:t>p</m:t>
        </m:r>
        <m:r>
          <m:rPr>
            <m:sty m:val="p"/>
          </m:rPr>
          <m:t>&lt;</m:t>
        </m:r>
        <m:r>
          <m:t>0.001</m:t>
        </m:r>
      </m:oMath>
      <w:r>
        <w:t xml:space="preserve">), lo que proporciona evidencia sólida de una relación lineal positiva entre ambas variables. Por su parte, las variables categóricas</w:t>
      </w:r>
      <w:r>
        <w:t xml:space="preserve"> </w:t>
      </w:r>
      <w:r>
        <w:rPr>
          <w:rStyle w:val="VerbatimChar"/>
        </w:rPr>
        <w:t xml:space="preserve">ZoneUrban</w:t>
      </w:r>
      <w:r>
        <w:t xml:space="preserve"> </w:t>
      </w:r>
      <w:r>
        <w:t xml:space="preserve">y</w:t>
      </w:r>
      <w:r>
        <w:t xml:space="preserve"> </w:t>
      </w:r>
      <w:r>
        <w:rPr>
          <w:rStyle w:val="VerbatimChar"/>
        </w:rPr>
        <w:t xml:space="preserve">SexMale</w:t>
      </w:r>
      <w:r>
        <w:t xml:space="preserve"> </w:t>
      </w:r>
      <w:r>
        <w:t xml:space="preserve">presentan valores-</w:t>
      </w:r>
      <w:r>
        <w:rPr>
          <w:i/>
          <w:iCs/>
        </w:rPr>
        <w:t xml:space="preserve">p</w:t>
      </w:r>
      <w:r>
        <w:t xml:space="preserve"> </w:t>
      </w:r>
      <w:r>
        <w:t xml:space="preserve">de 0.096 y 0.189, respectivamente, por lo que la evidencia no resulta concluyente al nivel convencional del 5%.</w:t>
      </w:r>
    </w:p>
    <w:bookmarkEnd w:id="210"/>
    <w:bookmarkStart w:id="217" w:name="estimacion-y-prediccion"/>
    <w:p>
      <w:pPr>
        <w:pStyle w:val="Heading2"/>
      </w:pPr>
      <w:r>
        <w:t xml:space="preserve">5.6 Estimación y predicción</w:t>
      </w:r>
    </w:p>
    <w:p>
      <w:pPr>
        <w:pStyle w:val="FirstParagraph"/>
      </w:pPr>
      <w:r>
        <w:t xml:space="preserve">Según</w:t>
      </w:r>
      <w:r>
        <w:t xml:space="preserve"> </w:t>
      </w:r>
      <w:r>
        <w:t xml:space="preserve">Heeringa et al. (2017)</w:t>
      </w:r>
      <w:r>
        <w:t xml:space="preserve">, los modelos de regresión cumplen dos objetivos fundamentales. El primero consiste en explicar la variabilidad de la variable respuesta a partir de las covariables disponibles, propósito que ha sido desarrollado a lo largo de este capítulo. El segundo corresponde a la predicción del valor esperado de la variable de interés para nuevas observaciones, tanto dentro como fuera del dominio muestral. La siguiente expresión representa el valor esperado de la variable respuesta</w:t>
      </w:r>
      <w:r>
        <w:t xml:space="preserve"> </w:t>
      </w:r>
      <m:oMath>
        <m:sSub>
          <m:e>
            <m:r>
              <m:t>y</m:t>
            </m:r>
          </m:e>
          <m:sub>
            <m:r>
              <m:t>k</m:t>
            </m:r>
          </m:sub>
        </m:sSub>
      </m:oMath>
      <w:r>
        <w:t xml:space="preserve"> </w:t>
      </w:r>
      <w:r>
        <w:t xml:space="preserve">condicionada al vector de covariables observadas</w:t>
      </w:r>
      <w:r>
        <w:t xml:space="preserve"> </w:t>
      </w:r>
      <m:oMath>
        <m:sSub>
          <m:e>
            <m:r>
              <m:rPr>
                <m:sty m:val="b"/>
              </m:rPr>
              <m:t>x</m:t>
            </m:r>
          </m:e>
          <m:sub>
            <m:r>
              <m:t>k</m:t>
            </m:r>
          </m:sub>
        </m:sSub>
      </m:oMath>
      <w:r>
        <w:t xml:space="preserve">. En otras palabras, el modelo utiliza la información disponible de las variables explicativas para estimar el valor promedio esperado de la variable de interés para la unidad</w:t>
      </w:r>
      <w:r>
        <w:t xml:space="preserve"> </w:t>
      </w:r>
      <m:oMath>
        <m:r>
          <m:t>k</m:t>
        </m:r>
      </m:oMath>
      <w:r>
        <w:t xml:space="preserve">.</w:t>
      </w:r>
    </w:p>
    <w:p>
      <w:pPr>
        <w:pStyle w:val="BodyText"/>
      </w:pPr>
      <m:oMathPara>
        <m:oMathParaPr>
          <m:jc m:val="center"/>
        </m:oMathParaPr>
        <m:oMath>
          <m:sSub>
            <m:e>
              <m:acc>
                <m:accPr>
                  <m:chr m:val="̂"/>
                </m:accPr>
                <m:e>
                  <m:r>
                    <m:t>μ</m:t>
                  </m:r>
                </m:e>
              </m:acc>
            </m:e>
            <m:sub>
              <m:r>
                <m:t>k</m:t>
              </m:r>
            </m:sub>
          </m:sSub>
          <m:r>
            <m:rPr>
              <m:sty m:val="p"/>
            </m:rPr>
            <m:t>=</m:t>
          </m:r>
          <m:acc>
            <m:accPr>
              <m:chr m:val="̂"/>
            </m:accPr>
            <m:e>
              <m:r>
                <m:t>E</m:t>
              </m:r>
            </m:e>
          </m:acc>
          <m:r>
            <m:rPr>
              <m:sty m:val="p"/>
            </m:rPr>
            <m:t>(</m:t>
          </m:r>
          <m:sSub>
            <m:e>
              <m:r>
                <m:t>y</m:t>
              </m:r>
            </m:e>
            <m:sub>
              <m:r>
                <m:t>k</m:t>
              </m:r>
            </m:sub>
          </m:sSub>
          <m:r>
            <m:rPr>
              <m:sty m:val="p"/>
            </m:rPr>
            <m:t>∣</m:t>
          </m:r>
          <m:sSub>
            <m:e>
              <m:r>
                <m:rPr>
                  <m:sty m:val="b"/>
                </m:rPr>
                <m:t>x</m:t>
              </m:r>
            </m:e>
            <m:sub>
              <m:r>
                <m:t>k</m:t>
              </m:r>
            </m:sub>
          </m:sSub>
          <m:r>
            <m:rPr>
              <m:sty m:val="p"/>
            </m:rPr>
            <m:t>)</m:t>
          </m:r>
          <m:r>
            <m:rPr>
              <m:sty m:val="p"/>
            </m:rPr>
            <m:t>=</m:t>
          </m:r>
          <m:sSub>
            <m:e>
              <m:r>
                <m:rPr>
                  <m:sty m:val="b"/>
                </m:rPr>
                <m:t>x</m:t>
              </m:r>
            </m:e>
            <m:sub>
              <m:r>
                <m:t>k</m:t>
              </m:r>
            </m:sub>
          </m:sSub>
          <m:acc>
            <m:accPr>
              <m:chr m:val="̂"/>
            </m:accPr>
            <m:e>
              <m:r>
                <m:rPr>
                  <m:sty m:val="b"/>
                </m:rPr>
                <m:t>β</m:t>
              </m:r>
            </m:e>
          </m:acc>
        </m:oMath>
      </m:oMathPara>
    </w:p>
    <w:p>
      <w:pPr>
        <w:pStyle w:val="FirstParagraph"/>
      </w:pPr>
      <w:r>
        <w:t xml:space="preserve">Asimismo, la varianza asociada a la estimación del valor esperado, definida como</w:t>
      </w:r>
      <w:r>
        <w:t xml:space="preserve"> </w:t>
      </w:r>
      <m:oMath>
        <m:r>
          <m:t>V</m:t>
        </m:r>
        <m:r>
          <m:t>a</m:t>
        </m:r>
        <m:r>
          <m:t>r</m:t>
        </m:r>
        <m:r>
          <m:rPr>
            <m:sty m:val="p"/>
          </m:rPr>
          <m:t>(</m:t>
        </m:r>
        <m:sSub>
          <m:e>
            <m:acc>
              <m:accPr>
                <m:chr m:val="̂"/>
              </m:accPr>
              <m:e>
                <m:r>
                  <m:t>μ</m:t>
                </m:r>
              </m:e>
            </m:acc>
          </m:e>
          <m:sub>
            <m:r>
              <m:t>k</m:t>
            </m:r>
          </m:sub>
        </m:sSub>
        <m:r>
          <m:rPr>
            <m:sty m:val="p"/>
          </m:rPr>
          <m:t>)</m:t>
        </m:r>
        <m:r>
          <m:rPr>
            <m:sty m:val="p"/>
          </m:rPr>
          <m:t>=</m:t>
        </m:r>
        <m:r>
          <m:t>V</m:t>
        </m:r>
        <m:r>
          <m:t>a</m:t>
        </m:r>
        <m:r>
          <m:t>r</m:t>
        </m:r>
        <m:r>
          <m:rPr>
            <m:sty m:val="p"/>
          </m:rPr>
          <m:t>(</m:t>
        </m:r>
        <m:sSub>
          <m:e>
            <m:r>
              <m:rPr>
                <m:sty m:val="b"/>
              </m:rPr>
              <m:t>x</m:t>
            </m:r>
          </m:e>
          <m:sub>
            <m:r>
              <m:t>k</m:t>
            </m:r>
          </m:sub>
        </m:sSub>
        <m:acc>
          <m:accPr>
            <m:chr m:val="̂"/>
          </m:accPr>
          <m:e>
            <m:r>
              <m:rPr>
                <m:sty m:val="b"/>
              </m:rPr>
              <m:t>β</m:t>
            </m:r>
          </m:e>
        </m:acc>
        <m:r>
          <m:rPr>
            <m:sty m:val="p"/>
          </m:rPr>
          <m:t>)</m:t>
        </m:r>
      </m:oMath>
      <w:r>
        <w:t xml:space="preserve">, puede estimarse mediante la siguiente expresión:</w:t>
      </w:r>
    </w:p>
    <w:p>
      <w:pPr>
        <w:pStyle w:val="BodyText"/>
      </w:pPr>
      <m:oMathPara>
        <m:oMathParaPr>
          <m:jc m:val="center"/>
        </m:oMathParaPr>
        <m:oMath>
          <m:acc>
            <m:accPr>
              <m:chr m:val="̂"/>
            </m:accPr>
            <m:e>
              <m:r>
                <m:t>V</m:t>
              </m:r>
              <m:r>
                <m:t>a</m:t>
              </m:r>
              <m:r>
                <m:t>r</m:t>
              </m:r>
            </m:e>
          </m:acc>
          <m:r>
            <m:rPr>
              <m:sty m:val="p"/>
            </m:rPr>
            <m:t>(</m:t>
          </m:r>
          <m:sSub>
            <m:e>
              <m:acc>
                <m:accPr>
                  <m:chr m:val="̂"/>
                </m:accPr>
                <m:e>
                  <m:r>
                    <m:t>μ</m:t>
                  </m:r>
                </m:e>
              </m:acc>
            </m:e>
            <m:sub>
              <m:r>
                <m:t>k</m:t>
              </m:r>
            </m:sub>
          </m:sSub>
          <m:r>
            <m:rPr>
              <m:sty m:val="p"/>
            </m:rPr>
            <m:t>)</m:t>
          </m:r>
          <m:r>
            <m:rPr>
              <m:sty m:val="p"/>
            </m:rPr>
            <m:t>=</m:t>
          </m:r>
          <m:sSubSup>
            <m:e>
              <m:r>
                <m:rPr>
                  <m:sty m:val="b"/>
                </m:rPr>
                <m:t>x</m:t>
              </m:r>
            </m:e>
            <m:sub>
              <m:r>
                <m:t>k</m:t>
              </m:r>
            </m:sub>
            <m:sup>
              <m:r>
                <m:rPr>
                  <m:sty m:val="p"/>
                </m:rPr>
                <m:t>′</m:t>
              </m:r>
            </m:sup>
          </m:sSubSup>
          <m:r>
            <m:t> </m:t>
          </m:r>
          <m:acc>
            <m:accPr>
              <m:chr m:val="̂"/>
            </m:accPr>
            <m:e>
              <m:r>
                <m:rPr>
                  <m:sty m:val="b"/>
                </m:rPr>
                <m:t>Σ</m:t>
              </m:r>
            </m:e>
          </m:acc>
          <m:r>
            <m:t> </m:t>
          </m:r>
          <m:sSub>
            <m:e>
              <m:r>
                <m:rPr>
                  <m:sty m:val="b"/>
                </m:rPr>
                <m:t>x</m:t>
              </m:r>
            </m:e>
            <m:sub>
              <m:r>
                <m:t>k</m:t>
              </m:r>
            </m:sub>
          </m:sSub>
        </m:oMath>
      </m:oMathPara>
    </w:p>
    <w:p>
      <w:pPr>
        <w:pStyle w:val="FirstParagraph"/>
      </w:pPr>
      <w:r>
        <w:t xml:space="preserve">Como explican</w:t>
      </w:r>
      <w:r>
        <w:t xml:space="preserve"> </w:t>
      </w:r>
      <w:r>
        <w:t xml:space="preserve">Fox y Weisberg (2019)</w:t>
      </w:r>
      <w:r>
        <w:t xml:space="preserve">, en donde</w:t>
      </w:r>
      <w:r>
        <w:t xml:space="preserve"> </w:t>
      </w:r>
      <m:oMath>
        <m:acc>
          <m:accPr>
            <m:chr m:val="̂"/>
          </m:accPr>
          <m:e>
            <m:r>
              <m:rPr>
                <m:sty m:val="b"/>
              </m:rPr>
              <m:t>Σ</m:t>
            </m:r>
          </m:e>
        </m:acc>
        <m:r>
          <m:rPr>
            <m:sty m:val="p"/>
          </m:rPr>
          <m:t>=</m:t>
        </m:r>
        <m:acc>
          <m:accPr>
            <m:chr m:val="̂"/>
          </m:accPr>
          <m:e>
            <m:r>
              <m:t>V</m:t>
            </m:r>
            <m:r>
              <m:t>a</m:t>
            </m:r>
            <m:r>
              <m:t>r</m:t>
            </m:r>
          </m:e>
        </m:acc>
        <m:r>
          <m:rPr>
            <m:sty m:val="p"/>
          </m:rPr>
          <m:t>(</m:t>
        </m:r>
        <m:acc>
          <m:accPr>
            <m:chr m:val="̂"/>
          </m:accPr>
          <m:e>
            <m:r>
              <m:rPr>
                <m:sty m:val="b"/>
              </m:rPr>
              <m:t>β</m:t>
            </m:r>
          </m:e>
        </m:acc>
        <m:r>
          <m:rPr>
            <m:sty m:val="p"/>
          </m:rPr>
          <m:t>)</m:t>
        </m:r>
      </m:oMath>
      <w:r>
        <w:t xml:space="preserve"> </w:t>
      </w:r>
      <w:r>
        <w:t xml:space="preserve">corresponde a la matriz de varianzas y covarianzas estimada de los parámetros del modelo de regresión. Esta expresión cuantifica únicamente la incertidumbre del valor medio estimado debida a los coeficientes; un intervalo de predicción para una nueva respuesta debe incorporar además la variabilidad residual. En consecuencia, aquellas unidades cuyos valores de las covariables estén asociados a regiones con mayor incertidumbre en la estimación de los coeficientes presentarán varianzas más elevadas. Por tanto, la precisión de las estimaciones depende directamente de la precisión con la que se estimen los coeficientes del modelo de regresión. Continuando con el modelo del ejemplo, recordemos que los coeficientes estimados del modelo se presentan en la</w:t>
      </w:r>
      <w:r>
        <w:t xml:space="preserve"> </w:t>
      </w:r>
      <w:hyperlink w:anchor="tbl-coeficientes-modelo">
        <w:r>
          <w:rPr>
            <w:rStyle w:val="Hyperlink"/>
          </w:rPr>
          <w:t xml:space="preserve">tabla 5.4</w:t>
        </w:r>
      </w:hyperlink>
      <w:r>
        <w:t xml:space="preserve">:</w:t>
      </w:r>
    </w:p>
    <w:p>
      <w:pPr>
        <w:pStyle w:val="BodyText"/>
      </w:pPr>
      <w:r>
        <w:t xml:space="preserve">De acuerdo con</w:t>
      </w:r>
      <w:r>
        <w:t xml:space="preserve"> </w:t>
      </w:r>
      <w:r>
        <w:t xml:space="preserve">Robinson et al. (2026)</w:t>
      </w:r>
      <w:r>
        <w:t xml:space="preserve">, los coeficientes del modelo se convierten, mediante</w:t>
      </w:r>
      <w:r>
        <w:t xml:space="preserve"> </w:t>
      </w:r>
      <w:r>
        <w:rPr>
          <w:rStyle w:val="VerbatimChar"/>
        </w:rPr>
        <w:t xml:space="preserve">broom::tidy()</w:t>
      </w:r>
      <w:r>
        <w:t xml:space="preserve">, a una tabla ordenada, lo que facilita presentar estimaciones, errores estándar y pruebas en una estructura rectangular.</w:t>
      </w:r>
    </w:p>
    <w:p>
      <w:pPr>
        <w:pStyle w:val="SourceCode"/>
      </w:pPr>
      <w:r>
        <w:rPr>
          <w:rStyle w:val="NormalTok"/>
        </w:rPr>
        <w:t xml:space="preserve">fit_svy </w:t>
      </w:r>
      <w:r>
        <w:rPr>
          <w:rStyle w:val="SpecialCharTok"/>
        </w:rPr>
        <w:t xml:space="preserve">%&gt;%</w:t>
      </w:r>
      <w:r>
        <w:br/>
      </w:r>
      <w:r>
        <w:rPr>
          <w:rStyle w:val="NormalTok"/>
        </w:rPr>
        <w:t xml:space="preserve">  broom</w:t>
      </w:r>
      <w:r>
        <w:rPr>
          <w:rStyle w:val="SpecialCharTok"/>
        </w:rPr>
        <w:t xml:space="preserve">::</w:t>
      </w:r>
      <w:r>
        <w:rPr>
          <w:rStyle w:val="FunctionTok"/>
        </w:rPr>
        <w:t xml:space="preserve">tidy</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1" w:name="tbl-coeficientes-modelo"/>
          <w:p>
            <w:pPr>
              <w:jc w:val="center"/>
            </w:pPr>
            <w:pPr>
              <w:jc w:val="left"/>
              <w:spacing w:before="200"/>
              <w:pStyle w:val="ImageCaption"/>
            </w:pPr>
            <w:r>
              <w:t xml:space="preserve">Tabla 5.4: Coeficientes estimados del modelo de regresión con diseño muestral complejo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73.580</w:t>
                  </w:r>
                </w:p>
              </w:tc>
              <w:tc>
                <w:tcPr/>
                <w:p>
                  <w:pPr>
                    <w:pStyle w:val="Compact"/>
                    <w:jc w:val="right"/>
                    <w:jc w:val="center"/>
                  </w:pPr>
                  <w:r>
                    <w:t xml:space="preserve">59.4700</w:t>
                  </w:r>
                </w:p>
              </w:tc>
              <w:tc>
                <w:tcPr/>
                <w:p>
                  <w:pPr>
                    <w:pStyle w:val="Compact"/>
                    <w:jc w:val="right"/>
                    <w:jc w:val="center"/>
                  </w:pPr>
                  <w:r>
                    <w:t xml:space="preserve">1.237</w:t>
                  </w:r>
                </w:p>
              </w:tc>
              <w:tc>
                <w:tcPr/>
                <w:p>
                  <w:pPr>
                    <w:pStyle w:val="Compact"/>
                    <w:jc w:val="right"/>
                    <w:jc w:val="center"/>
                  </w:pPr>
                  <w:r>
                    <w:t xml:space="preserve">0.2185</w:t>
                  </w:r>
                </w:p>
              </w:tc>
            </w:tr>
            <w:tr>
              <w:tc>
                <w:tcPr/>
                <w:p>
                  <w:pPr>
                    <w:pStyle w:val="Compact"/>
                    <w:jc w:val="left"/>
                    <w:jc w:val="center"/>
                  </w:pPr>
                  <w:r>
                    <w:t xml:space="preserve">Expenditure</w:t>
                  </w:r>
                </w:p>
              </w:tc>
              <w:tc>
                <w:tcPr/>
                <w:p>
                  <w:pPr>
                    <w:pStyle w:val="Compact"/>
                    <w:jc w:val="right"/>
                    <w:jc w:val="center"/>
                  </w:pPr>
                  <w:r>
                    <w:t xml:space="preserve">1.222</w:t>
                  </w:r>
                </w:p>
              </w:tc>
              <w:tc>
                <w:tcPr/>
                <w:p>
                  <w:pPr>
                    <w:pStyle w:val="Compact"/>
                    <w:jc w:val="right"/>
                    <w:jc w:val="center"/>
                  </w:pPr>
                  <w:r>
                    <w:t xml:space="preserve">0.1968</w:t>
                  </w:r>
                </w:p>
              </w:tc>
              <w:tc>
                <w:tcPr/>
                <w:p>
                  <w:pPr>
                    <w:pStyle w:val="Compact"/>
                    <w:jc w:val="right"/>
                    <w:jc w:val="center"/>
                  </w:pPr>
                  <w:r>
                    <w:t xml:space="preserve">6.212</w:t>
                  </w:r>
                </w:p>
              </w:tc>
              <w:tc>
                <w:tcPr/>
                <w:p>
                  <w:pPr>
                    <w:pStyle w:val="Compact"/>
                    <w:jc w:val="right"/>
                    <w:jc w:val="center"/>
                  </w:pPr>
                  <w:r>
                    <w:t xml:space="preserve">0.0000</w:t>
                  </w:r>
                </w:p>
              </w:tc>
            </w:tr>
            <w:tr>
              <w:tc>
                <w:tcPr/>
                <w:p>
                  <w:pPr>
                    <w:pStyle w:val="Compact"/>
                    <w:jc w:val="left"/>
                    <w:jc w:val="center"/>
                  </w:pPr>
                  <w:r>
                    <w:t xml:space="preserve">ZoneUrban</w:t>
                  </w:r>
                </w:p>
              </w:tc>
              <w:tc>
                <w:tcPr/>
                <w:p>
                  <w:pPr>
                    <w:pStyle w:val="Compact"/>
                    <w:jc w:val="right"/>
                    <w:jc w:val="center"/>
                  </w:pPr>
                  <w:r>
                    <w:t xml:space="preserve">66.652</w:t>
                  </w:r>
                </w:p>
              </w:tc>
              <w:tc>
                <w:tcPr/>
                <w:p>
                  <w:pPr>
                    <w:pStyle w:val="Compact"/>
                    <w:jc w:val="right"/>
                    <w:jc w:val="center"/>
                  </w:pPr>
                  <w:r>
                    <w:t xml:space="preserve">39.6655</w:t>
                  </w:r>
                </w:p>
              </w:tc>
              <w:tc>
                <w:tcPr/>
                <w:p>
                  <w:pPr>
                    <w:pStyle w:val="Compact"/>
                    <w:jc w:val="right"/>
                    <w:jc w:val="center"/>
                  </w:pPr>
                  <w:r>
                    <w:t xml:space="preserve">1.680</w:t>
                  </w:r>
                </w:p>
              </w:tc>
              <w:tc>
                <w:tcPr/>
                <w:p>
                  <w:pPr>
                    <w:pStyle w:val="Compact"/>
                    <w:jc w:val="right"/>
                    <w:jc w:val="center"/>
                  </w:pPr>
                  <w:r>
                    <w:t xml:space="preserve">0.0956</w:t>
                  </w:r>
                </w:p>
              </w:tc>
            </w:tr>
            <w:tr>
              <w:tc>
                <w:tcPr/>
                <w:p>
                  <w:pPr>
                    <w:pStyle w:val="Compact"/>
                    <w:jc w:val="left"/>
                    <w:jc w:val="center"/>
                  </w:pPr>
                  <w:r>
                    <w:t xml:space="preserve">SexMale</w:t>
                  </w:r>
                </w:p>
              </w:tc>
              <w:tc>
                <w:tcPr/>
                <w:p>
                  <w:pPr>
                    <w:pStyle w:val="Compact"/>
                    <w:jc w:val="right"/>
                    <w:jc w:val="center"/>
                  </w:pPr>
                  <w:r>
                    <w:t xml:space="preserve">20.644</w:t>
                  </w:r>
                </w:p>
              </w:tc>
              <w:tc>
                <w:tcPr/>
                <w:p>
                  <w:pPr>
                    <w:pStyle w:val="Compact"/>
                    <w:jc w:val="right"/>
                    <w:jc w:val="center"/>
                  </w:pPr>
                  <w:r>
                    <w:t xml:space="preserve">15.6115</w:t>
                  </w:r>
                </w:p>
              </w:tc>
              <w:tc>
                <w:tcPr/>
                <w:p>
                  <w:pPr>
                    <w:pStyle w:val="Compact"/>
                    <w:jc w:val="right"/>
                    <w:jc w:val="center"/>
                  </w:pPr>
                  <w:r>
                    <w:t xml:space="preserve">1.322</w:t>
                  </w:r>
                </w:p>
              </w:tc>
              <w:tc>
                <w:tcPr/>
                <w:p>
                  <w:pPr>
                    <w:pStyle w:val="Compact"/>
                    <w:jc w:val="right"/>
                    <w:jc w:val="center"/>
                  </w:pPr>
                  <w:r>
                    <w:t xml:space="preserve">0.1886</w:t>
                  </w:r>
                </w:p>
              </w:tc>
            </w:tr>
          </w:tbl>
          <w:bookmarkEnd w:id="211"/>
          <w:p/>
        </w:tc>
      </w:tr>
    </w:tbl>
    <w:p>
      <w:pPr>
        <w:pStyle w:val="BodyText"/>
      </w:pPr>
      <w:r>
        <w:t xml:space="preserve">A partir de los coeficientes estimados del modelo, la estimación del valor esperado de la variable respuesta para la unidad</w:t>
      </w:r>
      <w:r>
        <w:t xml:space="preserve"> </w:t>
      </w:r>
      <m:oMath>
        <m:r>
          <m:t>k</m:t>
        </m:r>
      </m:oMath>
      <w:r>
        <w:t xml:space="preserve"> </w:t>
      </w:r>
      <w:r>
        <w:t xml:space="preserve">puede expresarse como:</w:t>
      </w:r>
    </w:p>
    <w:p>
      <w:pPr>
        <w:pStyle w:val="BodyText"/>
      </w:pPr>
      <m:oMathPara>
        <m:oMathParaPr>
          <m:jc m:val="center"/>
        </m:oMathParaPr>
        <m:oMath>
          <m:acc>
            <m:accPr>
              <m:chr m:val="̂"/>
            </m:accPr>
            <m:e>
              <m:r>
                <m:t>E</m:t>
              </m:r>
            </m:e>
          </m:acc>
          <m:r>
            <m:rPr>
              <m:sty m:val="p"/>
            </m:rPr>
            <m:t>(</m:t>
          </m:r>
          <m:sSub>
            <m:e>
              <m:r>
                <m:t>y</m:t>
              </m:r>
            </m:e>
            <m:sub>
              <m:r>
                <m:t>k</m:t>
              </m:r>
            </m:sub>
          </m:sSub>
          <m:r>
            <m:rPr>
              <m:sty m:val="p"/>
            </m:rPr>
            <m:t>∣</m:t>
          </m:r>
          <m:sSub>
            <m:e>
              <m:r>
                <m:rPr>
                  <m:sty m:val="b"/>
                </m:rPr>
                <m:t>x</m:t>
              </m:r>
            </m:e>
            <m:sub>
              <m:r>
                <m:t>k</m:t>
              </m:r>
            </m:sub>
          </m:sSub>
          <m:r>
            <m:rPr>
              <m:sty m:val="p"/>
            </m:rPr>
            <m:t>)</m:t>
          </m:r>
          <m:r>
            <m:rPr>
              <m:sty m:val="p"/>
            </m:rPr>
            <m:t>=</m:t>
          </m:r>
          <m:r>
            <m:t>73.58</m:t>
          </m:r>
          <m:r>
            <m:rPr>
              <m:sty m:val="p"/>
            </m:rPr>
            <m:t>+</m:t>
          </m:r>
          <m:r>
            <m:t>1.22</m:t>
          </m:r>
          <m:r>
            <m:rPr>
              <m:sty m:val="p"/>
            </m:rPr>
            <m:t>×</m:t>
          </m:r>
          <m:sSub>
            <m:e>
              <m:r>
                <m:t>x</m:t>
              </m:r>
            </m:e>
            <m:sub>
              <m:r>
                <m:t>1</m:t>
              </m:r>
              <m:r>
                <m:t>k</m:t>
              </m:r>
            </m:sub>
          </m:sSub>
          <m:r>
            <m:rPr>
              <m:sty m:val="p"/>
            </m:rPr>
            <m:t>+</m:t>
          </m:r>
          <m:r>
            <m:t>66.65</m:t>
          </m:r>
          <m:r>
            <m:rPr>
              <m:sty m:val="p"/>
            </m:rPr>
            <m:t>×</m:t>
          </m:r>
          <m:sSub>
            <m:e>
              <m:r>
                <m:t>x</m:t>
              </m:r>
            </m:e>
            <m:sub>
              <m:r>
                <m:t>2</m:t>
              </m:r>
              <m:r>
                <m:t>k</m:t>
              </m:r>
            </m:sub>
          </m:sSub>
          <m:r>
            <m:rPr>
              <m:sty m:val="p"/>
            </m:rPr>
            <m:t>+</m:t>
          </m:r>
          <m:r>
            <m:t>20.64</m:t>
          </m:r>
          <m:r>
            <m:rPr>
              <m:sty m:val="p"/>
            </m:rPr>
            <m:t>×</m:t>
          </m:r>
          <m:sSub>
            <m:e>
              <m:r>
                <m:t>x</m:t>
              </m:r>
            </m:e>
            <m:sub>
              <m:r>
                <m:t>3</m:t>
              </m:r>
              <m:r>
                <m:t>k</m:t>
              </m:r>
            </m:sub>
          </m:sSub>
        </m:oMath>
      </m:oMathPara>
    </w:p>
    <w:p>
      <w:pPr>
        <w:pStyle w:val="FirstParagraph"/>
      </w:pPr>
      <w:r>
        <w:t xml:space="preserve">En la expresión anterior se unifica el subíndice</w:t>
      </w:r>
      <w:r>
        <w:t xml:space="preserve"> </w:t>
      </w:r>
      <m:oMath>
        <m:r>
          <m:t>k</m:t>
        </m:r>
      </m:oMath>
      <w:r>
        <w:t xml:space="preserve"> </w:t>
      </w:r>
      <w:r>
        <w:t xml:space="preserve">para que coincida con la unidad definida en la formulación del modelo.</w:t>
      </w:r>
    </w:p>
    <w:p>
      <w:pPr>
        <w:pStyle w:val="BodyText"/>
      </w:pPr>
      <w:r>
        <w:t xml:space="preserve">El siguiente código calcula las predicciones del modelo de regresión para las observaciones incluidas en la muestra, utilizando la matriz de diseño y el vector de coeficientes estimados:</w:t>
      </w:r>
    </w:p>
    <w:p>
      <w:pPr>
        <w:pStyle w:val="SourceCode"/>
      </w:pPr>
      <w:r>
        <w:rPr>
          <w:rStyle w:val="NormalTok"/>
        </w:rPr>
        <w:t xml:space="preserve">x_obs </w:t>
      </w:r>
      <w:r>
        <w:rPr>
          <w:rStyle w:val="OtherTok"/>
        </w:rPr>
        <w:t xml:space="preserve">&lt;-</w:t>
      </w:r>
      <w:r>
        <w:rPr>
          <w:rStyle w:val="NormalTok"/>
        </w:rPr>
        <w:t xml:space="preserve"> </w:t>
      </w:r>
      <w:r>
        <w:rPr>
          <w:rStyle w:val="FunctionTok"/>
        </w:rPr>
        <w:t xml:space="preserve">model.matrix</w:t>
      </w:r>
      <w:r>
        <w:rPr>
          <w:rStyle w:val="NormalTok"/>
        </w:rPr>
        <w:t xml:space="preserve">(fit_svy) </w:t>
      </w:r>
      <w:r>
        <w:rPr>
          <w:rStyle w:val="SpecialCharTok"/>
        </w:rPr>
        <w:t xml:space="preserve">%&gt;%</w:t>
      </w:r>
      <w:r>
        <w:br/>
      </w:r>
      <w:r>
        <w:rPr>
          <w:rStyle w:val="NormalTok"/>
        </w:rPr>
        <w:t xml:space="preserve">  </w:t>
      </w:r>
      <w:r>
        <w:rPr>
          <w:rStyle w:val="FunctionTok"/>
        </w:rPr>
        <w:t xml:space="preserve">data.frame</w:t>
      </w:r>
      <w:r>
        <w:rPr>
          <w:rStyle w:val="NormalTok"/>
        </w:rPr>
        <w:t xml:space="preserve">()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NormalTok"/>
        </w:rPr>
        <w:t xml:space="preserve">hat_beta </w:t>
      </w:r>
      <w:r>
        <w:rPr>
          <w:rStyle w:val="OtherTok"/>
        </w:rPr>
        <w:t xml:space="preserve">&lt;-</w:t>
      </w:r>
      <w:r>
        <w:rPr>
          <w:rStyle w:val="NormalTok"/>
        </w:rPr>
        <w:t xml:space="preserve"> </w:t>
      </w:r>
      <w:r>
        <w:rPr>
          <w:rStyle w:val="FunctionTok"/>
        </w:rPr>
        <w:t xml:space="preserve">coef</w:t>
      </w:r>
      <w:r>
        <w:rPr>
          <w:rStyle w:val="NormalTok"/>
        </w:rPr>
        <w:t xml:space="preserve">(fit_svy)</w:t>
      </w:r>
      <w:r>
        <w:br/>
      </w:r>
      <w:r>
        <w:rPr>
          <w:rStyle w:val="NormalTok"/>
        </w:rPr>
        <w:t xml:space="preserve">hat_mu </w:t>
      </w:r>
      <w:r>
        <w:rPr>
          <w:rStyle w:val="OtherTok"/>
        </w:rPr>
        <w:t xml:space="preserve">&lt;-</w:t>
      </w:r>
      <w:r>
        <w:rPr>
          <w:rStyle w:val="NormalTok"/>
        </w:rPr>
        <w:t xml:space="preserve"> </w:t>
      </w:r>
      <w:r>
        <w:rPr>
          <w:rStyle w:val="FunctionTok"/>
        </w:rPr>
        <w:t xml:space="preserve">as.numeric</w:t>
      </w:r>
      <w:r>
        <w:rPr>
          <w:rStyle w:val="NormalTok"/>
        </w:rPr>
        <w:t xml:space="preserve">(x_obs </w:t>
      </w:r>
      <w:r>
        <w:rPr>
          <w:rStyle w:val="SpecialCharTok"/>
        </w:rPr>
        <w:t xml:space="preserve">%*%</w:t>
      </w:r>
      <w:r>
        <w:rPr>
          <w:rStyle w:val="NormalTok"/>
        </w:rPr>
        <w:t xml:space="preserve"> hat_beta)</w:t>
      </w:r>
      <w:r>
        <w:br/>
      </w:r>
      <w:r>
        <w:rPr>
          <w:rStyle w:val="NormalTok"/>
        </w:rPr>
        <w:t xml:space="preserve">hat_mu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p>
    <w:p>
      <w:pPr>
        <w:pStyle w:val="SourceCode"/>
      </w:pPr>
      <w:r>
        <w:rPr>
          <w:rStyle w:val="VerbatimChar"/>
        </w:rPr>
        <w:t xml:space="preserve"> [1] 517.6 496.9 496.9 517.6 496.9 553.1 553.1 573.7 553.1 184.8</w:t>
      </w:r>
    </w:p>
    <w:p>
      <w:pPr>
        <w:pStyle w:val="FirstParagraph"/>
      </w:pPr>
      <w:r>
        <w:t xml:space="preserve">En primer lugar, la instrucción</w:t>
      </w:r>
      <w:r>
        <w:t xml:space="preserve"> </w:t>
      </w:r>
      <w:r>
        <w:rPr>
          <w:rStyle w:val="VerbatimChar"/>
        </w:rPr>
        <w:t xml:space="preserve">model.matrix(fit_svy)</w:t>
      </w:r>
      <w:r>
        <w:t xml:space="preserve"> </w:t>
      </w:r>
      <w:r>
        <w:t xml:space="preserve">construye la matriz de diseño asociada al modelo ajustado, incorporando automáticamente las variables explicativas. A continuación,</w:t>
      </w:r>
      <w:r>
        <w:t xml:space="preserve"> </w:t>
      </w:r>
      <w:r>
        <w:rPr>
          <w:rStyle w:val="VerbatimChar"/>
        </w:rPr>
        <w:t xml:space="preserve">coef(fit_svy)</w:t>
      </w:r>
      <w:r>
        <w:t xml:space="preserve"> </w:t>
      </w:r>
      <w:r>
        <w:t xml:space="preserve">extrae explícitamente el vector de coeficientes estimados, evitando depender de la coincidencia parcial de nombres mediante</w:t>
      </w:r>
      <w:r>
        <w:t xml:space="preserve"> </w:t>
      </w:r>
      <w:r>
        <w:rPr>
          <w:rStyle w:val="VerbatimChar"/>
        </w:rPr>
        <w:t xml:space="preserve">fit_svy$coe</w:t>
      </w:r>
      <w:r>
        <w:t xml:space="preserve">. Posteriormente, se obtienen las estimaciones mediante el producto matricial</w:t>
      </w:r>
      <w:r>
        <w:t xml:space="preserve"> </w:t>
      </w:r>
      <w:r>
        <w:rPr>
          <w:rStyle w:val="VerbatimChar"/>
        </w:rPr>
        <w:t xml:space="preserve">x_obs %*% hat_beta</w:t>
      </w:r>
      <w:r>
        <w:t xml:space="preserve">. Finalmente, la función</w:t>
      </w:r>
      <w:r>
        <w:t xml:space="preserve"> </w:t>
      </w:r>
      <w:r>
        <w:rPr>
          <w:rStyle w:val="VerbatimChar"/>
        </w:rPr>
        <w:t xml:space="preserve">head(10)</w:t>
      </w:r>
      <w:r>
        <w:t xml:space="preserve"> </w:t>
      </w:r>
      <w:r>
        <w:t xml:space="preserve">permite visualizar las primeras diez estimaciones obtenidas.</w:t>
      </w:r>
    </w:p>
    <w:p>
      <w:pPr>
        <w:pStyle w:val="BodyText"/>
      </w:pPr>
      <w:r>
        <w:t xml:space="preserve">Para calcular la varianza de las estimaciones se requiere la matriz de varianzas y covarianzas de los parámetros del modelo. Los elementos de la diagonal principal corresponden a las varianzas de los parámetros estimados, mientras que los elementos fuera de la diagonal representan las covarianzas entre pares de coeficientes. La matriz estimada de varianzas y covarianzas se presenta en la</w:t>
      </w:r>
      <w:r>
        <w:t xml:space="preserve"> </w:t>
      </w:r>
      <w:hyperlink w:anchor="tbl-vcov-modelo">
        <w:r>
          <w:rPr>
            <w:rStyle w:val="Hyperlink"/>
          </w:rPr>
          <w:t xml:space="preserve">tabla 5.5</w:t>
        </w:r>
      </w:hyperlink>
      <w:r>
        <w:t xml:space="preserve">:</w:t>
      </w:r>
    </w:p>
    <w:p>
      <w:pPr>
        <w:pStyle w:val="SourceCode"/>
      </w:pPr>
      <w:r>
        <w:rPr>
          <w:rStyle w:val="FunctionTok"/>
        </w:rPr>
        <w:t xml:space="preserve">vcov</w:t>
      </w:r>
      <w:r>
        <w:rPr>
          <w:rStyle w:val="NormalTok"/>
        </w:rPr>
        <w:t xml:space="preserve">(fit_svy)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StringTok"/>
        </w:rPr>
        <w:t xml:space="preserve">"Parameter"</w:t>
      </w:r>
      <w:r>
        <w:rPr>
          <w:rStyle w:val="NormalTok"/>
        </w:rPr>
        <w:t xml:space="preserve">)</w:t>
      </w:r>
    </w:p>
    <w:p>
      <w:pPr>
        <w:pStyle w:val="SourceCode"/>
      </w:pPr>
      <w:r>
        <w:rPr>
          <w:rStyle w:val="FunctionTok"/>
        </w:rPr>
        <w:t xml:space="preserve">vcov</w:t>
      </w:r>
      <w:r>
        <w:rPr>
          <w:rStyle w:val="NormalTok"/>
        </w:rPr>
        <w:t xml:space="preserve">(fit_svy)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StringTok"/>
        </w:rPr>
        <w:t xml:space="preserve">"Parameter"</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2" w:name="tbl-vcov-modelo"/>
          <w:p>
            <w:pPr>
              <w:jc w:val="center"/>
            </w:pPr>
            <w:pPr>
              <w:jc w:val="left"/>
              <w:spacing w:before="200"/>
              <w:pStyle w:val="ImageCaption"/>
            </w:pPr>
            <w:r>
              <w:t xml:space="preserve">Tabla 5.5: Matriz de varianzas y covarianzas de los coeficientes del modelo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right"/>
                    <w:jc w:val="center"/>
                  </w:pPr>
                  <w:r>
                    <w:t xml:space="preserve">(Intercept)</w:t>
                  </w:r>
                </w:p>
              </w:tc>
              <w:tc>
                <w:tcPr/>
                <w:p>
                  <w:pPr>
                    <w:pStyle w:val="Compact"/>
                    <w:jc w:val="right"/>
                    <w:jc w:val="center"/>
                  </w:pPr>
                  <w:r>
                    <w:t xml:space="preserve">Expenditure</w:t>
                  </w:r>
                </w:p>
              </w:tc>
              <w:tc>
                <w:tcPr/>
                <w:p>
                  <w:pPr>
                    <w:pStyle w:val="Compact"/>
                    <w:jc w:val="right"/>
                    <w:jc w:val="center"/>
                  </w:pPr>
                  <w:r>
                    <w:t xml:space="preserve">ZoneUrban</w:t>
                  </w:r>
                </w:p>
              </w:tc>
              <w:tc>
                <w:tcPr/>
                <w:p>
                  <w:pPr>
                    <w:pStyle w:val="Compact"/>
                    <w:jc w:val="right"/>
                    <w:jc w:val="center"/>
                  </w:pPr>
                  <w:r>
                    <w:t xml:space="preserve">SexMale</w:t>
                  </w:r>
                </w:p>
              </w:tc>
            </w:tr>
            <w:tr>
              <w:tc>
                <w:tcPr/>
                <w:p>
                  <w:pPr>
                    <w:pStyle w:val="Compact"/>
                    <w:jc w:val="left"/>
                    <w:jc w:val="center"/>
                  </w:pPr>
                  <w:r>
                    <w:t xml:space="preserve">(Intercept)</w:t>
                  </w:r>
                </w:p>
              </w:tc>
              <w:tc>
                <w:tcPr/>
                <w:p>
                  <w:pPr>
                    <w:pStyle w:val="Compact"/>
                    <w:jc w:val="right"/>
                    <w:jc w:val="center"/>
                  </w:pPr>
                  <w:r>
                    <w:t xml:space="preserve">3536.68</w:t>
                  </w:r>
                </w:p>
              </w:tc>
              <w:tc>
                <w:tcPr/>
                <w:p>
                  <w:pPr>
                    <w:pStyle w:val="Compact"/>
                    <w:jc w:val="right"/>
                    <w:jc w:val="center"/>
                  </w:pPr>
                  <w:r>
                    <w:t xml:space="preserve">-10.5505</w:t>
                  </w:r>
                </w:p>
              </w:tc>
              <w:tc>
                <w:tcPr/>
                <w:p>
                  <w:pPr>
                    <w:pStyle w:val="Compact"/>
                    <w:jc w:val="right"/>
                    <w:jc w:val="center"/>
                  </w:pPr>
                  <w:r>
                    <w:t xml:space="preserve">123.689</w:t>
                  </w:r>
                </w:p>
              </w:tc>
              <w:tc>
                <w:tcPr/>
                <w:p>
                  <w:pPr>
                    <w:pStyle w:val="Compact"/>
                    <w:jc w:val="right"/>
                    <w:jc w:val="center"/>
                  </w:pPr>
                  <w:r>
                    <w:t xml:space="preserve">326.1346</w:t>
                  </w:r>
                </w:p>
              </w:tc>
            </w:tr>
            <w:tr>
              <w:tc>
                <w:tcPr/>
                <w:p>
                  <w:pPr>
                    <w:pStyle w:val="Compact"/>
                    <w:jc w:val="left"/>
                    <w:jc w:val="center"/>
                  </w:pPr>
                  <w:r>
                    <w:t xml:space="preserve">Expenditure</w:t>
                  </w:r>
                </w:p>
              </w:tc>
              <w:tc>
                <w:tcPr/>
                <w:p>
                  <w:pPr>
                    <w:pStyle w:val="Compact"/>
                    <w:jc w:val="right"/>
                    <w:jc w:val="center"/>
                  </w:pPr>
                  <w:r>
                    <w:t xml:space="preserve">-10.55</w:t>
                  </w:r>
                </w:p>
              </w:tc>
              <w:tc>
                <w:tcPr/>
                <w:p>
                  <w:pPr>
                    <w:pStyle w:val="Compact"/>
                    <w:jc w:val="right"/>
                    <w:jc w:val="center"/>
                  </w:pPr>
                  <w:r>
                    <w:t xml:space="preserve">0.0387</w:t>
                  </w:r>
                </w:p>
              </w:tc>
              <w:tc>
                <w:tcPr/>
                <w:p>
                  <w:pPr>
                    <w:pStyle w:val="Compact"/>
                    <w:jc w:val="right"/>
                    <w:jc w:val="center"/>
                  </w:pPr>
                  <w:r>
                    <w:t xml:space="preserve">-3.295</w:t>
                  </w:r>
                </w:p>
              </w:tc>
              <w:tc>
                <w:tcPr/>
                <w:p>
                  <w:pPr>
                    <w:pStyle w:val="Compact"/>
                    <w:jc w:val="right"/>
                    <w:jc w:val="center"/>
                  </w:pPr>
                  <w:r>
                    <w:t xml:space="preserve">-0.5704</w:t>
                  </w:r>
                </w:p>
              </w:tc>
            </w:tr>
            <w:tr>
              <w:tc>
                <w:tcPr/>
                <w:p>
                  <w:pPr>
                    <w:pStyle w:val="Compact"/>
                    <w:jc w:val="left"/>
                    <w:jc w:val="center"/>
                  </w:pPr>
                  <w:r>
                    <w:t xml:space="preserve">ZoneUrban</w:t>
                  </w:r>
                </w:p>
              </w:tc>
              <w:tc>
                <w:tcPr/>
                <w:p>
                  <w:pPr>
                    <w:pStyle w:val="Compact"/>
                    <w:jc w:val="right"/>
                    <w:jc w:val="center"/>
                  </w:pPr>
                  <w:r>
                    <w:t xml:space="preserve">123.69</w:t>
                  </w:r>
                </w:p>
              </w:tc>
              <w:tc>
                <w:tcPr/>
                <w:p>
                  <w:pPr>
                    <w:pStyle w:val="Compact"/>
                    <w:jc w:val="right"/>
                    <w:jc w:val="center"/>
                  </w:pPr>
                  <w:r>
                    <w:t xml:space="preserve">-3.2949</w:t>
                  </w:r>
                </w:p>
              </w:tc>
              <w:tc>
                <w:tcPr/>
                <w:p>
                  <w:pPr>
                    <w:pStyle w:val="Compact"/>
                    <w:jc w:val="right"/>
                    <w:jc w:val="center"/>
                  </w:pPr>
                  <w:r>
                    <w:t xml:space="preserve">1573.353</w:t>
                  </w:r>
                </w:p>
              </w:tc>
              <w:tc>
                <w:tcPr/>
                <w:p>
                  <w:pPr>
                    <w:pStyle w:val="Compact"/>
                    <w:jc w:val="right"/>
                    <w:jc w:val="center"/>
                  </w:pPr>
                  <w:r>
                    <w:t xml:space="preserve">-121.4459</w:t>
                  </w:r>
                </w:p>
              </w:tc>
            </w:tr>
            <w:tr>
              <w:tc>
                <w:tcPr/>
                <w:p>
                  <w:pPr>
                    <w:pStyle w:val="Compact"/>
                    <w:jc w:val="left"/>
                    <w:jc w:val="center"/>
                  </w:pPr>
                  <w:r>
                    <w:t xml:space="preserve">SexMale</w:t>
                  </w:r>
                </w:p>
              </w:tc>
              <w:tc>
                <w:tcPr/>
                <w:p>
                  <w:pPr>
                    <w:pStyle w:val="Compact"/>
                    <w:jc w:val="right"/>
                    <w:jc w:val="center"/>
                  </w:pPr>
                  <w:r>
                    <w:t xml:space="preserve">326.13</w:t>
                  </w:r>
                </w:p>
              </w:tc>
              <w:tc>
                <w:tcPr/>
                <w:p>
                  <w:pPr>
                    <w:pStyle w:val="Compact"/>
                    <w:jc w:val="right"/>
                    <w:jc w:val="center"/>
                  </w:pPr>
                  <w:r>
                    <w:t xml:space="preserve">-0.5704</w:t>
                  </w:r>
                </w:p>
              </w:tc>
              <w:tc>
                <w:tcPr/>
                <w:p>
                  <w:pPr>
                    <w:pStyle w:val="Compact"/>
                    <w:jc w:val="right"/>
                    <w:jc w:val="center"/>
                  </w:pPr>
                  <w:r>
                    <w:t xml:space="preserve">-121.446</w:t>
                  </w:r>
                </w:p>
              </w:tc>
              <w:tc>
                <w:tcPr/>
                <w:p>
                  <w:pPr>
                    <w:pStyle w:val="Compact"/>
                    <w:jc w:val="right"/>
                    <w:jc w:val="center"/>
                  </w:pPr>
                  <w:r>
                    <w:t xml:space="preserve">243.7178</w:t>
                  </w:r>
                </w:p>
              </w:tc>
            </w:tr>
          </w:tbl>
          <w:bookmarkEnd w:id="212"/>
          <w:p/>
        </w:tc>
      </w:tr>
    </w:tbl>
    <w:p>
      <w:pPr>
        <w:pStyle w:val="BodyText"/>
      </w:pPr>
      <w:r>
        <w:t xml:space="preserve">En términos computacionales, esto implica combinar el vector de covariables de cada observación con la matriz</w:t>
      </w:r>
      <w:r>
        <w:t xml:space="preserve"> </w:t>
      </w:r>
      <m:oMath>
        <m:acc>
          <m:accPr>
            <m:chr m:val="̂"/>
          </m:accPr>
          <m:e>
            <m:r>
              <m:rPr>
                <m:sty m:val="b"/>
              </m:rPr>
              <m:t>Σ</m:t>
            </m:r>
          </m:e>
        </m:acc>
      </m:oMath>
      <w:r>
        <w:t xml:space="preserve"> </w:t>
      </w:r>
      <w:r>
        <w:t xml:space="preserve">para obtener la precisión de las predicciones individuales. El siguiente código calcula la varianza asociada a las predicciones obtenidas a partir del modelo de regresión:</w:t>
      </w:r>
    </w:p>
    <w:p>
      <w:pPr>
        <w:pStyle w:val="SourceCode"/>
      </w:pPr>
      <w:r>
        <w:rPr>
          <w:rStyle w:val="NormalTok"/>
        </w:rPr>
        <w:t xml:space="preserve">cov_beta </w:t>
      </w:r>
      <w:r>
        <w:rPr>
          <w:rStyle w:val="OtherTok"/>
        </w:rPr>
        <w:t xml:space="preserve">&lt;-</w:t>
      </w:r>
      <w:r>
        <w:rPr>
          <w:rStyle w:val="NormalTok"/>
        </w:rPr>
        <w:t xml:space="preserve"> </w:t>
      </w:r>
      <w:r>
        <w:rPr>
          <w:rStyle w:val="FunctionTok"/>
        </w:rPr>
        <w:t xml:space="preserve">vcov</w:t>
      </w:r>
      <w:r>
        <w:rPr>
          <w:rStyle w:val="NormalTok"/>
        </w:rPr>
        <w:t xml:space="preserve">(fit_svy)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NormalTok"/>
        </w:rPr>
        <w:t xml:space="preserve">mu_variance </w:t>
      </w:r>
      <w:r>
        <w:rPr>
          <w:rStyle w:val="OtherTok"/>
        </w:rPr>
        <w:t xml:space="preserve">&lt;-</w:t>
      </w:r>
      <w:r>
        <w:rPr>
          <w:rStyle w:val="NormalTok"/>
        </w:rPr>
        <w:t xml:space="preserve"> </w:t>
      </w:r>
      <w:r>
        <w:rPr>
          <w:rStyle w:val="FunctionTok"/>
        </w:rPr>
        <w:t xml:space="preserve">diag</w:t>
      </w:r>
      <w:r>
        <w:rPr>
          <w:rStyle w:val="NormalTok"/>
        </w:rPr>
        <w:t xml:space="preserve">(x_obs </w:t>
      </w:r>
      <w:r>
        <w:rPr>
          <w:rStyle w:val="SpecialCharTok"/>
        </w:rPr>
        <w:t xml:space="preserve">%*%</w:t>
      </w:r>
      <w:r>
        <w:rPr>
          <w:rStyle w:val="NormalTok"/>
        </w:rPr>
        <w:t xml:space="preserve"> cov_beta </w:t>
      </w:r>
      <w:r>
        <w:rPr>
          <w:rStyle w:val="SpecialCharTok"/>
        </w:rPr>
        <w:t xml:space="preserve">%*%</w:t>
      </w:r>
      <w:r>
        <w:rPr>
          <w:rStyle w:val="NormalTok"/>
        </w:rPr>
        <w:t xml:space="preserve"> </w:t>
      </w:r>
      <w:r>
        <w:rPr>
          <w:rStyle w:val="FunctionTok"/>
        </w:rPr>
        <w:t xml:space="preserve">t</w:t>
      </w:r>
      <w:r>
        <w:rPr>
          <w:rStyle w:val="NormalTok"/>
        </w:rPr>
        <w:t xml:space="preserve">(x_obs))</w:t>
      </w:r>
      <w:r>
        <w:br/>
      </w:r>
      <w:r>
        <w:rPr>
          <w:rStyle w:val="NormalTok"/>
        </w:rPr>
        <w:t xml:space="preserve">mu_variance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p>
    <w:p>
      <w:pPr>
        <w:pStyle w:val="SourceCode"/>
      </w:pPr>
      <w:r>
        <w:rPr>
          <w:rStyle w:val="VerbatimChar"/>
        </w:rPr>
        <w:t xml:space="preserve">   1    2    3    4    5    6    7    8    9   10 </w:t>
      </w:r>
      <w:r>
        <w:br/>
      </w:r>
      <w:r>
        <w:rPr>
          <w:rStyle w:val="VerbatimChar"/>
        </w:rPr>
        <w:t xml:space="preserve">1375  874  874 1375  874 1218 1218 1667 1218 2998 </w:t>
      </w:r>
    </w:p>
    <w:p>
      <w:pPr>
        <w:pStyle w:val="FirstParagraph"/>
      </w:pPr>
      <w:r>
        <w:t xml:space="preserve">Se utiliza</w:t>
      </w:r>
      <w:r>
        <w:t xml:space="preserve"> </w:t>
      </w:r>
      <w:r>
        <w:rPr>
          <w:rStyle w:val="VerbatimChar"/>
        </w:rPr>
        <w:t xml:space="preserve">diag()</w:t>
      </w:r>
      <w:r>
        <w:t xml:space="preserve"> </w:t>
      </w:r>
      <w:r>
        <w:t xml:space="preserve">porque cada varianza corresponde a un elemento de la diagonal de</w:t>
      </w:r>
      <w:r>
        <w:t xml:space="preserve"> </w:t>
      </w:r>
      <m:oMath>
        <m:r>
          <m:rPr>
            <m:sty m:val="b"/>
          </m:rPr>
          <m:t>X</m:t>
        </m:r>
        <m:acc>
          <m:accPr>
            <m:chr m:val="̂"/>
          </m:accPr>
          <m:e>
            <m:r>
              <m:rPr>
                <m:sty m:val="b"/>
              </m:rPr>
              <m:t>Σ</m:t>
            </m:r>
          </m:e>
        </m:acc>
        <m:sSup>
          <m:e>
            <m:r>
              <m:rPr>
                <m:sty m:val="b"/>
              </m:rPr>
              <m:t>X</m:t>
            </m:r>
          </m:e>
          <m:sup>
            <m:r>
              <m:rPr>
                <m:sty m:val="p"/>
              </m:rPr>
              <m:t>⊤</m:t>
            </m:r>
          </m:sup>
        </m:sSup>
      </m:oMath>
      <w:r>
        <w:t xml:space="preserve">; convertir toda la matriz con</w:t>
      </w:r>
      <w:r>
        <w:t xml:space="preserve"> </w:t>
      </w:r>
      <w:r>
        <w:rPr>
          <w:rStyle w:val="VerbatimChar"/>
        </w:rPr>
        <w:t xml:space="preserve">as.numeric()</w:t>
      </w:r>
      <w:r>
        <w:t xml:space="preserve"> </w:t>
      </w:r>
      <w:r>
        <w:t xml:space="preserve">produciría también las covarianzas entre observaciones y no el vector de varianzas individuales.</w:t>
      </w:r>
    </w:p>
    <w:p>
      <w:pPr>
        <w:pStyle w:val="BodyText"/>
      </w:pPr>
      <w:r>
        <w:t xml:space="preserve">El intervalo de confianza, que proporciona un rango de valores plausibles para el valor esperado de la variable respuesta condicionado a las covariables observadas, se obtiene mediante:</w:t>
      </w:r>
    </w:p>
    <w:p>
      <w:pPr>
        <w:pStyle w:val="BodyText"/>
      </w:pPr>
      <m:oMathPara>
        <m:oMathParaPr>
          <m:jc m:val="center"/>
        </m:oMathParaPr>
        <m:oMath>
          <m:sSub>
            <m:e>
              <m:r>
                <m:rPr>
                  <m:sty m:val="b"/>
                </m:rPr>
                <m:t>x</m:t>
              </m:r>
            </m:e>
            <m:sub>
              <m:r>
                <m:t>k</m:t>
              </m:r>
            </m:sub>
          </m:sSub>
          <m:acc>
            <m:accPr>
              <m:chr m:val="̂"/>
            </m:accPr>
            <m:e>
              <m:r>
                <m:t>β</m:t>
              </m:r>
            </m:e>
          </m:acc>
          <m:r>
            <m:rPr>
              <m:sty m:val="p"/>
            </m:rPr>
            <m:t>±</m:t>
          </m:r>
          <m:sSub>
            <m:e>
              <m:r>
                <m:t>t</m:t>
              </m:r>
            </m:e>
            <m:sub>
              <m:d>
                <m:dPr>
                  <m:begChr m:val="("/>
                  <m:sepChr m:val=""/>
                  <m:endChr m:val=")"/>
                  <m:grow/>
                </m:dPr>
                <m:e>
                  <m:r>
                    <m:t>1</m:t>
                  </m:r>
                  <m:r>
                    <m:rPr>
                      <m:sty m:val="p"/>
                    </m:rPr>
                    <m:t>−</m:t>
                  </m:r>
                  <m:f>
                    <m:fPr>
                      <m:type m:val="bar"/>
                    </m:fPr>
                    <m:num>
                      <m:r>
                        <m:t>α</m:t>
                      </m:r>
                    </m:num>
                    <m:den>
                      <m:r>
                        <m:t>2</m:t>
                      </m:r>
                    </m:den>
                  </m:f>
                  <m:r>
                    <m:rPr>
                      <m:sty m:val="p"/>
                    </m:rPr>
                    <m:t>,</m:t>
                  </m:r>
                  <m:r>
                    <m:t>d</m:t>
                  </m:r>
                  <m:r>
                    <m:t>f</m:t>
                  </m:r>
                </m:e>
              </m:d>
            </m:sub>
          </m:sSub>
          <m:rad>
            <m:radPr>
              <m:degHide m:val="on"/>
            </m:radPr>
            <m:deg/>
            <m:e>
              <m:sSubSup>
                <m:e>
                  <m:r>
                    <m:rPr>
                      <m:sty m:val="b"/>
                    </m:rPr>
                    <m:t>x</m:t>
                  </m:r>
                </m:e>
                <m:sub>
                  <m:r>
                    <m:t>k</m:t>
                  </m:r>
                </m:sub>
                <m:sup>
                  <m:r>
                    <m:rPr>
                      <m:sty m:val="p"/>
                    </m:rPr>
                    <m:t>′</m:t>
                  </m:r>
                </m:sup>
              </m:sSubSup>
              <m:r>
                <m:t> </m:t>
              </m:r>
              <m:acc>
                <m:accPr>
                  <m:chr m:val="̂"/>
                </m:accPr>
                <m:e>
                  <m:r>
                    <m:rPr>
                      <m:sty m:val="b"/>
                    </m:rPr>
                    <m:t>Σ</m:t>
                  </m:r>
                </m:e>
              </m:acc>
              <m:r>
                <m:t> </m:t>
              </m:r>
              <m:sSub>
                <m:e>
                  <m:r>
                    <m:rPr>
                      <m:sty m:val="b"/>
                    </m:rPr>
                    <m:t>x</m:t>
                  </m:r>
                </m:e>
                <m:sub>
                  <m:r>
                    <m:t>k</m:t>
                  </m:r>
                </m:sub>
              </m:sSub>
            </m:e>
          </m:rad>
        </m:oMath>
      </m:oMathPara>
    </w:p>
    <w:p>
      <w:pPr>
        <w:pStyle w:val="FirstParagraph"/>
      </w:pPr>
      <w:r>
        <w:t xml:space="preserve">De acuerdo con</w:t>
      </w:r>
      <w:r>
        <w:t xml:space="preserve"> </w:t>
      </w:r>
      <w:r>
        <w:t xml:space="preserve">Lumley et al. (2026)</w:t>
      </w:r>
      <w:r>
        <w:t xml:space="preserve">, en</w:t>
      </w:r>
      <w:r>
        <w:t xml:space="preserve"> </w:t>
      </w:r>
      <w:r>
        <w:rPr>
          <w:rStyle w:val="VerbatimChar"/>
        </w:rPr>
        <w:t xml:space="preserve">R</w:t>
      </w:r>
      <w:r>
        <w:t xml:space="preserve">, la función</w:t>
      </w:r>
      <w:r>
        <w:t xml:space="preserve"> </w:t>
      </w:r>
      <w:r>
        <w:rPr>
          <w:rStyle w:val="VerbatimChar"/>
        </w:rPr>
        <w:t xml:space="preserve">predict(fit_svy, type = "link")</w:t>
      </w:r>
      <w:r>
        <w:t xml:space="preserve"> </w:t>
      </w:r>
      <w:r>
        <w:t xml:space="preserve">genera estimaciones del valor medio en la escala del predictor lineal. El argumento</w:t>
      </w:r>
      <w:r>
        <w:t xml:space="preserve"> </w:t>
      </w:r>
      <w:r>
        <w:rPr>
          <w:rStyle w:val="VerbatimChar"/>
        </w:rPr>
        <w:t xml:space="preserve">type = "link"</w:t>
      </w:r>
      <w:r>
        <w:t xml:space="preserve"> </w:t>
      </w:r>
      <w:r>
        <w:t xml:space="preserve">indica que las estimaciones se obtienen en la escala del predictor lineal, es decir, utilizando directamente la combinación lineal de las covariables y los coeficientes estimados. Posteriormente, la función</w:t>
      </w:r>
      <w:r>
        <w:t xml:space="preserve"> </w:t>
      </w:r>
      <w:r>
        <w:rPr>
          <w:rStyle w:val="VerbatimChar"/>
        </w:rPr>
        <w:t xml:space="preserve">confint()</w:t>
      </w:r>
      <w:r>
        <w:t xml:space="preserve"> </w:t>
      </w:r>
      <w:r>
        <w:t xml:space="preserve">calcula los intervalos de confianza asociados a dichas estimaciones.</w:t>
      </w:r>
    </w:p>
    <w:p>
      <w:pPr>
        <w:pStyle w:val="SourceCode"/>
      </w:pPr>
      <w:r>
        <w:rPr>
          <w:rStyle w:val="NormalTok"/>
        </w:rPr>
        <w:t xml:space="preserve">hat_mu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predict</w:t>
      </w:r>
      <w:r>
        <w:rPr>
          <w:rStyle w:val="NormalTok"/>
        </w:rPr>
        <w:t xml:space="preserve">(fit_svy,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mu_ci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confint</w:t>
      </w:r>
      <w:r>
        <w:rPr>
          <w:rStyle w:val="NormalTok"/>
        </w:rPr>
        <w:t xml:space="preserve">(</w:t>
      </w:r>
      <w:r>
        <w:rPr>
          <w:rStyle w:val="FunctionTok"/>
        </w:rPr>
        <w:t xml:space="preserve">predict</w:t>
      </w:r>
      <w:r>
        <w:rPr>
          <w:rStyle w:val="NormalTok"/>
        </w:rPr>
        <w:t xml:space="preserve">(fit_svy,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FunctionTok"/>
        </w:rPr>
        <w:t xml:space="preserve">colnames</w:t>
      </w:r>
      <w:r>
        <w:rPr>
          <w:rStyle w:val="NormalTok"/>
        </w:rPr>
        <w:t xml:space="preserve">(mu_ci)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"lower_limit"</w:t>
      </w:r>
      <w:r>
        <w:rPr>
          <w:rStyle w:val="NormalTok"/>
        </w:rPr>
        <w:t xml:space="preserve">, </w:t>
      </w:r>
      <w:r>
        <w:rPr>
          <w:rStyle w:val="StringTok"/>
        </w:rPr>
        <w:t xml:space="preserve">"upper_limit"</w:t>
      </w:r>
      <w:r>
        <w:rPr>
          <w:rStyle w:val="NormalTok"/>
        </w:rPr>
        <w:t xml:space="preserve">)</w:t>
      </w:r>
    </w:p>
    <w:p>
      <w:pPr>
        <w:pStyle w:val="FirstParagraph"/>
      </w:pPr>
      <w:r>
        <w:t xml:space="preserve">Las estimaciones obtenidas a partir del modelo, junto con sus respectivos intervalos de confianza, pueden visualizarse gráficamente en la</w:t>
      </w:r>
      <w:r>
        <w:t xml:space="preserve"> </w:t>
      </w:r>
      <w:hyperlink w:anchor="fig-pred-intervalos">
        <w:r>
          <w:rPr>
            <w:rStyle w:val="Hyperlink"/>
          </w:rPr>
          <w:t xml:space="preserve">figura 5.7</w:t>
        </w:r>
      </w:hyperlink>
      <w:r>
        <w:t xml:space="preserve">.</w:t>
      </w:r>
    </w:p>
    <w:p>
      <w:pPr>
        <w:pStyle w:val="SourceCode"/>
      </w:pPr>
      <w:r>
        <w:rPr>
          <w:rStyle w:val="NormalTok"/>
        </w:rPr>
        <w:t xml:space="preserve">pred </w:t>
      </w:r>
      <w:r>
        <w:rPr>
          <w:rStyle w:val="OtherTok"/>
        </w:rPr>
        <w:t xml:space="preserve">&lt;-</w:t>
      </w:r>
      <w:r>
        <w:rPr>
          <w:rStyle w:val="NormalTok"/>
        </w:rPr>
        <w:t xml:space="preserve"> </w:t>
      </w:r>
      <w:r>
        <w:rPr>
          <w:rStyle w:val="FunctionTok"/>
        </w:rPr>
        <w:t xml:space="preserve">cbind</w:t>
      </w:r>
      <w:r>
        <w:rPr>
          <w:rStyle w:val="NormalTok"/>
        </w:rPr>
        <w:t xml:space="preserve">(hat_mu, mu_ci)</w:t>
      </w:r>
      <w:r>
        <w:br/>
      </w:r>
      <w:r>
        <w:rPr>
          <w:rStyle w:val="NormalTok"/>
        </w:rPr>
        <w:t xml:space="preserve">pred</w:t>
      </w:r>
      <w:r>
        <w:rPr>
          <w:rStyle w:val="SpecialCharTok"/>
        </w:rPr>
        <w:t xml:space="preserve">$</w:t>
      </w:r>
      <w:r>
        <w:rPr>
          <w:rStyle w:val="NormalTok"/>
        </w:rPr>
        <w:t xml:space="preserve">Expenditure </w:t>
      </w:r>
      <w:r>
        <w:rPr>
          <w:rStyle w:val="OtherTok"/>
        </w:rPr>
        <w:t xml:space="preserve">&lt;-</w:t>
      </w:r>
      <w:r>
        <w:rPr>
          <w:rStyle w:val="NormalTok"/>
        </w:rPr>
        <w:t xml:space="preserve"> survey_data</w:t>
      </w:r>
      <w:r>
        <w:rPr>
          <w:rStyle w:val="SpecialCharTok"/>
        </w:rPr>
        <w:t xml:space="preserve">$</w:t>
      </w:r>
      <w:r>
        <w:rPr>
          <w:rStyle w:val="NormalTok"/>
        </w:rPr>
        <w:t xml:space="preserve">Expenditure</w:t>
      </w:r>
      <w:r>
        <w:br/>
      </w:r>
      <w:r>
        <w:rPr>
          <w:rStyle w:val="NormalTok"/>
        </w:rPr>
        <w:t xml:space="preserve">pd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FunctionTok"/>
        </w:rPr>
        <w:t xml:space="preserve">ggplot</w:t>
      </w:r>
      <w:r>
        <w:rPr>
          <w:rStyle w:val="NormalTok"/>
        </w:rPr>
        <w:t xml:space="preserve">(</w:t>
      </w:r>
      <w:r>
        <w:br/>
      </w:r>
      <w:r>
        <w:rPr>
          <w:rStyle w:val="NormalTok"/>
        </w:rPr>
        <w:t xml:space="preserve">  pred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L),</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link)</w:t>
      </w:r>
      <w:r>
        <w:br/>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lower_limit, </w:t>
      </w:r>
      <w:r>
        <w:rPr>
          <w:rStyle w:val="AttributeTok"/>
        </w:rPr>
        <w:t xml:space="preserve">ymax =</w:t>
      </w:r>
      <w:r>
        <w:rPr>
          <w:rStyle w:val="NormalTok"/>
        </w:rPr>
        <w:t xml:space="preserve"> upper_limit),</w:t>
      </w:r>
      <w:r>
        <w:br/>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position =</w:t>
      </w:r>
      <w:r>
        <w:rPr>
          <w:rStyle w:val="NormalTok"/>
        </w:rPr>
        <w:t xml:space="preserve"> pd) </w:t>
      </w:r>
      <w:r>
        <w:rPr>
          <w:rStyle w:val="SpecialCharTok"/>
        </w:rPr>
        <w:t xml:space="preserve">+</w:t>
      </w:r>
      <w:r>
        <w:br/>
      </w:r>
      <w:r>
        <w:rPr>
          <w:rStyle w:val="NormalTok"/>
        </w:rPr>
        <w:t xml:space="preserve">  </w:t>
      </w:r>
      <w:r>
        <w:rPr>
          <w:rStyle w:val="FunctionTok"/>
        </w:rPr>
        <w:t xml:space="preserve">theme_bw</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6" w:name="fig-pred-intervalos"/>
          <w:p>
            <w:pPr>
              <w:pStyle w:val="Compact"/>
              <w:jc w:val="center"/>
            </w:pPr>
            <w:r>
              <w:drawing>
                <wp:inline>
                  <wp:extent cx="3467100" cy="2311400"/>
                  <wp:effectExtent b="0" l="0" r="0" t="0"/>
                  <wp:docPr descr="" title="" id="214" name="Picture"/>
                  <a:graphic>
                    <a:graphicData uri="http://schemas.openxmlformats.org/drawingml/2006/picture">
                      <pic:pic>
                        <pic:nvPicPr>
                          <pic:cNvPr descr="chapters/../figures/fig-pred-intervalos-1.png" id="215" name="Picture"/>
                          <pic:cNvPicPr>
                            <a:picLocks noChangeArrowheads="1" noChangeAspect="1"/>
                          </pic:cNvPicPr>
                        </pic:nvPicPr>
                        <pic:blipFill>
                          <a:blip r:embed="rId21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5.7: Predicciones puntuales e intervalos de confianza para las primeras 100 observaciones de la muestra</w:t>
            </w:r>
          </w:p>
          <w:bookmarkEnd w:id="216"/>
        </w:tc>
      </w:tr>
    </w:tbl>
    <w:p>
      <w:pPr>
        <w:pStyle w:val="BodyText"/>
      </w:pPr>
      <w:r>
        <w:t xml:space="preserve">Cuando el interés está en realizar predicciones para valores de las covariables que se encuentran fuera del rango observado en la muestra, la extrapolación puede aumentar la incertidumbre y depender fuertemente de la forma funcional supuesta. Además, para predecir una respuesta individual —dentro o fuera del rango observado— debe incorporarse la variabilidad inherente al término aleatorio de la regresión. Por esta razón, la varianza de predicción incluye un componente adicional asociado al error residual del modelo:</w:t>
      </w:r>
    </w:p>
    <w:p>
      <w:pPr>
        <w:pStyle w:val="BodyText"/>
      </w:pPr>
      <m:oMathPara>
        <m:oMathParaPr>
          <m:jc m:val="center"/>
        </m:oMathParaPr>
        <m:oMath>
          <m:acc>
            <m:accPr>
              <m:chr m:val="̂"/>
            </m:accPr>
            <m:e>
              <m:r>
                <m:t>V</m:t>
              </m:r>
              <m:r>
                <m:t>a</m:t>
              </m:r>
              <m:r>
                <m:t>r</m:t>
              </m:r>
            </m:e>
          </m:acc>
          <m:d>
            <m:dPr>
              <m:begChr m:val="("/>
              <m:sepChr m:val=""/>
              <m:endChr m:val=")"/>
              <m:grow/>
            </m:dPr>
            <m:e>
              <m:sSub>
                <m:e>
                  <m:r>
                    <m:t>y</m:t>
                  </m:r>
                </m:e>
                <m:sub>
                  <m:r>
                    <m:t>k</m:t>
                  </m:r>
                  <m:r>
                    <m:rPr>
                      <m:sty m:val="p"/>
                    </m:rPr>
                    <m:t>,</m:t>
                  </m:r>
                  <m:r>
                    <m:rPr>
                      <m:sty m:val="p"/>
                    </m:rPr>
                    <m:t>n</m:t>
                  </m:r>
                  <m:r>
                    <m:rPr>
                      <m:sty m:val="p"/>
                    </m:rPr>
                    <m:t>u</m:t>
                  </m:r>
                  <m:r>
                    <m:rPr>
                      <m:sty m:val="p"/>
                    </m:rPr>
                    <m:t>e</m:t>
                  </m:r>
                  <m:r>
                    <m:rPr>
                      <m:sty m:val="p"/>
                    </m:rPr>
                    <m:t>v</m:t>
                  </m:r>
                  <m:r>
                    <m:rPr>
                      <m:sty m:val="p"/>
                    </m:rPr>
                    <m:t>o</m:t>
                  </m:r>
                </m:sub>
              </m:sSub>
              <m:r>
                <m:rPr>
                  <m:sty m:val="p"/>
                </m:rPr>
                <m:t>−</m:t>
              </m:r>
              <m:sSub>
                <m:e>
                  <m:acc>
                    <m:accPr>
                      <m:chr m:val="̂"/>
                    </m:accPr>
                    <m:e>
                      <m:r>
                        <m:t>μ</m:t>
                      </m:r>
                    </m:e>
                  </m:acc>
                </m:e>
                <m:sub>
                  <m:r>
                    <m:t>k</m:t>
                  </m:r>
                  <m:r>
                    <m:rPr>
                      <m:sty m:val="p"/>
                    </m:rPr>
                    <m:t>,</m:t>
                  </m:r>
                  <m:r>
                    <m:rPr>
                      <m:sty m:val="p"/>
                    </m:rPr>
                    <m:t>n</m:t>
                  </m:r>
                  <m:r>
                    <m:rPr>
                      <m:sty m:val="p"/>
                    </m:rPr>
                    <m:t>u</m:t>
                  </m:r>
                  <m:r>
                    <m:rPr>
                      <m:sty m:val="p"/>
                    </m:rPr>
                    <m:t>e</m:t>
                  </m:r>
                  <m:r>
                    <m:rPr>
                      <m:sty m:val="p"/>
                    </m:rPr>
                    <m:t>v</m:t>
                  </m:r>
                  <m:r>
                    <m:rPr>
                      <m:sty m:val="p"/>
                    </m:rPr>
                    <m:t>o</m:t>
                  </m:r>
                </m:sub>
              </m:sSub>
            </m:e>
          </m:d>
          <m:r>
            <m:rPr>
              <m:sty m:val="p"/>
            </m:rPr>
            <m:t>=</m:t>
          </m:r>
          <m:sSubSup>
            <m:e>
              <m:r>
                <m:rPr>
                  <m:sty m:val="b"/>
                </m:rPr>
                <m:t>x</m:t>
              </m:r>
            </m:e>
            <m:sub>
              <m:r>
                <m:t>k</m:t>
              </m:r>
            </m:sub>
            <m:sup>
              <m:r>
                <m:rPr>
                  <m:sty m:val="p"/>
                </m:rPr>
                <m:t>′</m:t>
              </m:r>
            </m:sup>
          </m:sSubSup>
          <m:r>
            <m:t> </m:t>
          </m:r>
          <m:acc>
            <m:accPr>
              <m:chr m:val="̂"/>
            </m:accPr>
            <m:e>
              <m:r>
                <m:rPr>
                  <m:sty m:val="b"/>
                </m:rPr>
                <m:t>Σ</m:t>
              </m:r>
            </m:e>
          </m:acc>
          <m:r>
            <m:t> </m:t>
          </m:r>
          <m:sSub>
            <m:e>
              <m:r>
                <m:rPr>
                  <m:sty m:val="b"/>
                </m:rPr>
                <m:t>x</m:t>
              </m:r>
            </m:e>
            <m:sub>
              <m:r>
                <m:t>k</m:t>
              </m:r>
            </m:sub>
          </m:sSub>
          <m:r>
            <m:rPr>
              <m:sty m:val="p"/>
            </m:rPr>
            <m:t>+</m:t>
          </m:r>
          <m:sSubSup>
            <m:e>
              <m:acc>
                <m:accPr>
                  <m:chr m:val="̂"/>
                </m:accPr>
                <m:e>
                  <m:r>
                    <m:t>σ</m:t>
                  </m:r>
                </m:e>
              </m:acc>
            </m:e>
            <m:sub>
              <m:r>
                <m:t>y</m:t>
              </m:r>
              <m:r>
                <m:t>x</m:t>
              </m:r>
            </m:sub>
            <m:sup>
              <m:r>
                <m:t>2</m:t>
              </m:r>
            </m:sup>
          </m:sSubSup>
        </m:oMath>
      </m:oMathPara>
    </w:p>
    <w:p>
      <w:pPr>
        <w:pStyle w:val="FirstParagraph"/>
      </w:pPr>
      <w:r>
        <w:t xml:space="preserve">En esta expresión, el término</w:t>
      </w:r>
      <w:r>
        <w:t xml:space="preserve"> </w:t>
      </w:r>
      <m:oMath>
        <m:sSubSup>
          <m:e>
            <m:acc>
              <m:accPr>
                <m:chr m:val="̂"/>
              </m:accPr>
              <m:e>
                <m:r>
                  <m:t>σ</m:t>
                </m:r>
              </m:e>
            </m:acc>
          </m:e>
          <m:sub>
            <m:r>
              <m:t>y</m:t>
            </m:r>
            <m:r>
              <m:t>x</m:t>
            </m:r>
          </m:sub>
          <m:sup>
            <m:r>
              <m:t>2</m:t>
            </m:r>
          </m:sup>
        </m:sSubSup>
      </m:oMath>
      <w:r>
        <w:t xml:space="preserve"> </w:t>
      </w:r>
      <w:r>
        <w:t xml:space="preserve">corresponde a la varianza residual estimada, es decir, la parte de la variabilidad de la variable respuesta que no es explicada por las covariables incluidas en el modelo. La incorporación de este segundo componente es fundamental cuando se desea predecir sobre unidades no observadas, ya que reconoce explícitamente la existencia de variabilidad individual alrededor de la media estimada.</w:t>
      </w:r>
    </w:p>
    <w:p>
      <w:pPr>
        <w:pStyle w:val="BodyText"/>
      </w:pPr>
      <w:r>
        <w:t xml:space="preserve">En consecuencia, los intervalos de predicción suelen ser más amplios que los intervalos de confianza para la media, reflejando una mayor incertidumbre asociada a la predicción de valores individuales. De esta manera, el intervalo de predicción para una nueva observación puede expresarse como:</w:t>
      </w:r>
    </w:p>
    <w:p>
      <w:pPr>
        <w:pStyle w:val="BodyText"/>
      </w:pPr>
      <m:oMathPara>
        <m:oMathParaPr>
          <m:jc m:val="center"/>
        </m:oMathParaPr>
        <m:oMath>
          <m:sSub>
            <m:e>
              <m:r>
                <m:rPr>
                  <m:sty m:val="b"/>
                </m:rPr>
                <m:t>x</m:t>
              </m:r>
            </m:e>
            <m:sub>
              <m:r>
                <m:t>k</m:t>
              </m:r>
            </m:sub>
          </m:sSub>
          <m:acc>
            <m:accPr>
              <m:chr m:val="̂"/>
            </m:accPr>
            <m:e>
              <m:r>
                <m:rPr>
                  <m:sty m:val="b"/>
                </m:rPr>
                <m:t>β</m:t>
              </m:r>
            </m:e>
          </m:acc>
          <m:r>
            <m:rPr>
              <m:sty m:val="p"/>
            </m:rPr>
            <m:t>±</m:t>
          </m:r>
          <m:sSub>
            <m:e>
              <m:r>
                <m:t>t</m:t>
              </m:r>
            </m:e>
            <m:sub>
              <m:d>
                <m:dPr>
                  <m:begChr m:val="("/>
                  <m:sepChr m:val=""/>
                  <m:endChr m:val=")"/>
                  <m:grow/>
                </m:dPr>
                <m:e>
                  <m:r>
                    <m:t>1</m:t>
                  </m:r>
                  <m:r>
                    <m:rPr>
                      <m:sty m:val="p"/>
                    </m:rPr>
                    <m:t>−</m:t>
                  </m:r>
                  <m:f>
                    <m:fPr>
                      <m:type m:val="bar"/>
                    </m:fPr>
                    <m:num>
                      <m:r>
                        <m:t>α</m:t>
                      </m:r>
                    </m:num>
                    <m:den>
                      <m:r>
                        <m:t>2</m:t>
                      </m:r>
                    </m:den>
                  </m:f>
                  <m:r>
                    <m:rPr>
                      <m:sty m:val="p"/>
                    </m:rPr>
                    <m:t>,</m:t>
                  </m:r>
                  <m:r>
                    <m:t>d</m:t>
                  </m:r>
                  <m:r>
                    <m:t>f</m:t>
                  </m:r>
                </m:e>
              </m:d>
            </m:sub>
          </m:sSub>
          <m:rad>
            <m:radPr>
              <m:degHide m:val="on"/>
            </m:radPr>
            <m:deg/>
            <m:e>
              <m:sSubSup>
                <m:e>
                  <m:r>
                    <m:rPr>
                      <m:sty m:val="b"/>
                    </m:rPr>
                    <m:t>x</m:t>
                  </m:r>
                </m:e>
                <m:sub>
                  <m:r>
                    <m:t>k</m:t>
                  </m:r>
                </m:sub>
                <m:sup>
                  <m:r>
                    <m:rPr>
                      <m:sty m:val="p"/>
                    </m:rPr>
                    <m:t>⊤</m:t>
                  </m:r>
                </m:sup>
              </m:sSubSup>
              <m:sSub>
                <m:e>
                  <m:acc>
                    <m:accPr>
                      <m:chr m:val="̂"/>
                    </m:accPr>
                    <m:e>
                      <m:r>
                        <m:rPr>
                          <m:sty m:val="b"/>
                        </m:rPr>
                        <m:t>Σ</m:t>
                      </m:r>
                    </m:e>
                  </m:acc>
                </m:e>
                <m:sub>
                  <m:acc>
                    <m:accPr>
                      <m:chr m:val="̂"/>
                    </m:accPr>
                    <m:e>
                      <m:r>
                        <m:rPr>
                          <m:sty m:val="b"/>
                        </m:rPr>
                        <m:t>β</m:t>
                      </m:r>
                    </m:e>
                  </m:acc>
                </m:sub>
              </m:sSub>
              <m:sSub>
                <m:e>
                  <m:r>
                    <m:rPr>
                      <m:sty m:val="b"/>
                    </m:rPr>
                    <m:t>x</m:t>
                  </m:r>
                </m:e>
                <m:sub>
                  <m:r>
                    <m:t>k</m:t>
                  </m:r>
                </m:sub>
              </m:sSub>
              <m:r>
                <m:rPr>
                  <m:sty m:val="p"/>
                </m:rPr>
                <m:t>+</m:t>
              </m:r>
              <m:sSubSup>
                <m:e>
                  <m:acc>
                    <m:accPr>
                      <m:chr m:val="̂"/>
                    </m:accPr>
                    <m:e>
                      <m:r>
                        <m:t>σ</m:t>
                      </m:r>
                    </m:e>
                  </m:acc>
                </m:e>
                <m:sub>
                  <m:r>
                    <m:t>y</m:t>
                  </m:r>
                  <m:r>
                    <m:t>x</m:t>
                  </m:r>
                </m:sub>
                <m:sup>
                  <m:r>
                    <m:t>2</m:t>
                  </m:r>
                </m:sup>
              </m:sSubSup>
            </m:e>
          </m:rad>
        </m:oMath>
      </m:oMathPara>
    </w:p>
    <w:p>
      <w:pPr>
        <w:pStyle w:val="FirstParagraph"/>
      </w:pPr>
      <w:r>
        <w:t xml:space="preserve">Supóngase, por ejemplo, que se desea obtener la predicción del modelo para una nueva observación correspondiente a un individuo de sexo masculino (</w:t>
      </w:r>
      <w:r>
        <w:rPr>
          <w:rStyle w:val="VerbatimChar"/>
        </w:rPr>
        <w:t xml:space="preserve">Male</w:t>
      </w:r>
      <w:r>
        <w:t xml:space="preserve">), residente en zona urbana (</w:t>
      </w:r>
      <w:r>
        <w:rPr>
          <w:rStyle w:val="VerbatimChar"/>
        </w:rPr>
        <w:t xml:space="preserve">Urban</w:t>
      </w:r>
      <w:r>
        <w:t xml:space="preserve">) y con un nivel de gasto (</w:t>
      </w:r>
      <w:r>
        <w:rPr>
          <w:rStyle w:val="VerbatimChar"/>
        </w:rPr>
        <w:t xml:space="preserve">Expenditure</w:t>
      </w:r>
      <w:r>
        <w:t xml:space="preserve">) igual a 1600. Este perfil puede definirse en</w:t>
      </w:r>
      <w:r>
        <w:t xml:space="preserve"> </w:t>
      </w:r>
      <w:r>
        <w:rPr>
          <w:rStyle w:val="VerbatimChar"/>
        </w:rPr>
        <w:t xml:space="preserve">R</w:t>
      </w:r>
      <w:r>
        <w:t xml:space="preserve"> </w:t>
      </w:r>
      <w:r>
        <w:t xml:space="preserve">mediante el siguiente conjunto de datos:</w:t>
      </w:r>
    </w:p>
    <w:p>
      <w:pPr>
        <w:pStyle w:val="SourceCode"/>
      </w:pPr>
      <w:r>
        <w:rPr>
          <w:rStyle w:val="NormalTok"/>
        </w:rPr>
        <w:t xml:space="preserve">new_data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Expenditure =</w:t>
      </w:r>
      <w:r>
        <w:rPr>
          <w:rStyle w:val="NormalTok"/>
        </w:rPr>
        <w:t xml:space="preserve"> </w:t>
      </w:r>
      <w:r>
        <w:rPr>
          <w:rStyle w:val="DecValTok"/>
        </w:rPr>
        <w:t xml:space="preserve">1600</w:t>
      </w:r>
      <w:r>
        <w:rPr>
          <w:rStyle w:val="NormalTok"/>
        </w:rPr>
        <w:t xml:space="preserve">,</w:t>
      </w:r>
      <w:r>
        <w:br/>
      </w:r>
      <w:r>
        <w:rPr>
          <w:rStyle w:val="NormalTok"/>
        </w:rPr>
        <w:t xml:space="preserve">  </w:t>
      </w:r>
      <w:r>
        <w:rPr>
          <w:rStyle w:val="AttributeTok"/>
        </w:rPr>
        <w:t xml:space="preserve">Sex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Zone =</w:t>
      </w:r>
      <w:r>
        <w:rPr>
          <w:rStyle w:val="NormalTok"/>
        </w:rPr>
        <w:t xml:space="preserve"> </w:t>
      </w:r>
      <w:r>
        <w:rPr>
          <w:rStyle w:val="StringTok"/>
        </w:rPr>
        <w:t xml:space="preserve">"Urban"</w:t>
      </w:r>
      <w:r>
        <w:br/>
      </w:r>
      <w:r>
        <w:rPr>
          <w:rStyle w:val="NormalTok"/>
        </w:rPr>
        <w:t xml:space="preserve">)</w:t>
      </w:r>
      <w:r>
        <w:br/>
      </w:r>
      <w:r>
        <w:br/>
      </w:r>
      <w:r>
        <w:rPr>
          <w:rStyle w:val="FunctionTok"/>
        </w:rPr>
        <w:t xml:space="preserve">predict</w:t>
      </w:r>
      <w:r>
        <w:rPr>
          <w:rStyle w:val="NormalTok"/>
        </w:rPr>
        <w:t xml:space="preserve">(fit_svy, </w:t>
      </w:r>
      <w:r>
        <w:rPr>
          <w:rStyle w:val="AttributeTok"/>
        </w:rPr>
        <w:t xml:space="preserve">newdata =</w:t>
      </w:r>
      <w:r>
        <w:rPr>
          <w:rStyle w:val="NormalTok"/>
        </w:rPr>
        <w:t xml:space="preserve"> new_data, </w:t>
      </w:r>
      <w:r>
        <w:rPr>
          <w:rStyle w:val="AttributeTok"/>
        </w:rPr>
        <w:t xml:space="preserve">type =</w:t>
      </w:r>
      <w:r>
        <w:rPr>
          <w:rStyle w:val="NormalTok"/>
        </w:rPr>
        <w:t xml:space="preserve"> </w:t>
      </w:r>
      <w:r>
        <w:rPr>
          <w:rStyle w:val="StringTok"/>
        </w:rPr>
        <w:t xml:space="preserve">"link"</w:t>
      </w:r>
      <w:r>
        <w:rPr>
          <w:rStyle w:val="NormalTok"/>
        </w:rPr>
        <w:t xml:space="preserve">)</w:t>
      </w:r>
    </w:p>
    <w:p>
      <w:pPr>
        <w:pStyle w:val="SourceCode"/>
      </w:pPr>
      <w:r>
        <w:rPr>
          <w:rStyle w:val="VerbatimChar"/>
        </w:rPr>
        <w:t xml:space="preserve">  link  SE</w:t>
      </w:r>
      <w:r>
        <w:br/>
      </w:r>
      <w:r>
        <w:rPr>
          <w:rStyle w:val="VerbatimChar"/>
        </w:rPr>
        <w:t xml:space="preserve">1 2117 243</w:t>
      </w:r>
    </w:p>
    <w:p>
      <w:pPr>
        <w:pStyle w:val="SourceCode"/>
      </w:pPr>
      <w:r>
        <w:rPr>
          <w:rStyle w:val="FunctionTok"/>
        </w:rPr>
        <w:t xml:space="preserve">confint</w:t>
      </w:r>
      <w:r>
        <w:rPr>
          <w:rStyle w:val="NormalTok"/>
        </w:rPr>
        <w:t xml:space="preserve">(</w:t>
      </w:r>
      <w:r>
        <w:rPr>
          <w:rStyle w:val="FunctionTok"/>
        </w:rPr>
        <w:t xml:space="preserve">predict</w:t>
      </w:r>
      <w:r>
        <w:rPr>
          <w:rStyle w:val="NormalTok"/>
        </w:rPr>
        <w:t xml:space="preserve">(fit_svy, </w:t>
      </w:r>
      <w:r>
        <w:rPr>
          <w:rStyle w:val="AttributeTok"/>
        </w:rPr>
        <w:t xml:space="preserve">newdata =</w:t>
      </w:r>
      <w:r>
        <w:rPr>
          <w:rStyle w:val="NormalTok"/>
        </w:rPr>
        <w:t xml:space="preserve"> new_data))</w:t>
      </w:r>
    </w:p>
    <w:p>
      <w:pPr>
        <w:pStyle w:val="SourceCode"/>
      </w:pPr>
      <w:r>
        <w:rPr>
          <w:rStyle w:val="VerbatimChar"/>
        </w:rPr>
        <w:t xml:space="preserve">  2.5 % 97.5 %</w:t>
      </w:r>
      <w:r>
        <w:br/>
      </w:r>
      <w:r>
        <w:rPr>
          <w:rStyle w:val="VerbatimChar"/>
        </w:rPr>
        <w:t xml:space="preserve">1  1641   2593</w:t>
      </w:r>
    </w:p>
    <w:p>
      <w:pPr>
        <w:pStyle w:val="FirstParagraph"/>
      </w:pPr>
      <w:r>
        <w:t xml:space="preserve">En primer lugar, el objeto</w:t>
      </w:r>
      <w:r>
        <w:t xml:space="preserve"> </w:t>
      </w:r>
      <w:r>
        <w:rPr>
          <w:rStyle w:val="VerbatimChar"/>
        </w:rPr>
        <w:t xml:space="preserve">new_data</w:t>
      </w:r>
      <w:r>
        <w:t xml:space="preserve"> </w:t>
      </w:r>
      <w:r>
        <w:t xml:space="preserve">especifica los valores de las covariables incluidas en el modelo. Posteriormente, la función</w:t>
      </w:r>
      <w:r>
        <w:t xml:space="preserve"> </w:t>
      </w:r>
      <w:r>
        <w:rPr>
          <w:rStyle w:val="VerbatimChar"/>
        </w:rPr>
        <w:t xml:space="preserve">predict()</w:t>
      </w:r>
      <w:r>
        <w:t xml:space="preserve"> </w:t>
      </w:r>
      <w:r>
        <w:t xml:space="preserve">calcula la predicción puntual asociada a dicha observación. El argumento</w:t>
      </w:r>
      <w:r>
        <w:t xml:space="preserve"> </w:t>
      </w:r>
      <w:r>
        <w:rPr>
          <w:rStyle w:val="VerbatimChar"/>
        </w:rPr>
        <w:t xml:space="preserve">newdata = new_data</w:t>
      </w:r>
      <w:r>
        <w:t xml:space="preserve"> </w:t>
      </w:r>
      <w:r>
        <w:t xml:space="preserve">indica que la predicción debe realizarse utilizando la nueva información suministrada, mientras que</w:t>
      </w:r>
      <w:r>
        <w:t xml:space="preserve"> </w:t>
      </w:r>
      <w:r>
        <w:rPr>
          <w:rStyle w:val="VerbatimChar"/>
        </w:rPr>
        <w:t xml:space="preserve">type = "link"</w:t>
      </w:r>
      <w:r>
        <w:t xml:space="preserve"> </w:t>
      </w:r>
      <w:r>
        <w:t xml:space="preserve">solicita el resultado en la escala del predictor lineal. Finalmente,</w:t>
      </w:r>
      <w:r>
        <w:t xml:space="preserve"> </w:t>
      </w:r>
      <w:r>
        <w:rPr>
          <w:rStyle w:val="VerbatimChar"/>
        </w:rPr>
        <w:t xml:space="preserve">confint()</w:t>
      </w:r>
      <w:r>
        <w:t xml:space="preserve"> </w:t>
      </w:r>
      <w:r>
        <w:t xml:space="preserve">aplicado al resultado de</w:t>
      </w:r>
      <w:r>
        <w:t xml:space="preserve"> </w:t>
      </w:r>
      <w:r>
        <w:rPr>
          <w:rStyle w:val="VerbatimChar"/>
        </w:rPr>
        <w:t xml:space="preserve">predict.svyglm()</w:t>
      </w:r>
      <w:r>
        <w:t xml:space="preserve"> </w:t>
      </w:r>
      <w:r>
        <w:t xml:space="preserve">produce un intervalo de confianza para el valor medio estimado; no incorpora automáticamente el término residual requerido para un intervalo de predicción individual.</w:t>
      </w:r>
    </w:p>
    <w:bookmarkEnd w:id="217"/>
    <w:bookmarkEnd w:id="218"/>
    <w:bookmarkStart w:id="240" w:name="cap6"/>
    <w:p>
      <w:pPr>
        <w:pStyle w:val="Heading1"/>
      </w:pPr>
      <w:r>
        <w:t xml:space="preserve">6. Modelos lineales generalizados</w:t>
      </w:r>
    </w:p>
    <w:p>
      <w:pPr>
        <w:pStyle w:val="FirstParagraph"/>
      </w:pPr>
      <w:r>
        <w:t xml:space="preserve">Nelder y Wedderburn (1972)</w:t>
      </w:r>
      <w:r>
        <w:t xml:space="preserve"> </w:t>
      </w:r>
      <w:r>
        <w:t xml:space="preserve">introdujeron los modelos lineales generalizados como un marco capaz de integrar diversos métodos estadísticos ampliamente utilizados, como la regresión logística, los modelos log-lineales para datos de conteo y ciertos modelos avanzados de regresión para variables continuas. Posteriormente,</w:t>
      </w:r>
      <w:r>
        <w:t xml:space="preserve"> </w:t>
      </w:r>
      <w:r>
        <w:t xml:space="preserve">McCullagh y Nelder (1989)</w:t>
      </w:r>
      <w:r>
        <w:t xml:space="preserve"> </w:t>
      </w:r>
      <w:r>
        <w:t xml:space="preserve">sistematizaron esta formulación, que permitió extender las herramientas de regresión más allá de los escenarios en los que la variable respuesta sigue una distribución normal. Cuando la variable de interés no es continua o los supuestos del modelo lineal clásico no se satisfacen, los modelos lineales generalizados constituyen una alternativa adecuada para modelar las relaciones de interés.</w:t>
      </w:r>
    </w:p>
    <w:p>
      <w:pPr>
        <w:pStyle w:val="BodyText"/>
      </w:pPr>
      <w:r>
        <w:t xml:space="preserve">La necesidad de esta generalización surge porque los modelos lineales clásicos asumen, entre otras cosas, normalidad y homogeneidad de varianza en la variable respuesta, condiciones que rara vez se cumplen cuando se analizan variables categóricas, proporciones o conteos. En este tipo de situaciones, los modelos lineales generalizados ofrecen un marco flexible para modelar adecuadamente la relación entre las variables mediante la selección de una distribución de probabilidad apropiada para la respuesta y una función de enlace que conecte la media de dicha distribución con el predictor lineal.</w:t>
      </w:r>
    </w:p>
    <w:p>
      <w:pPr>
        <w:pStyle w:val="BodyText"/>
      </w:pPr>
      <w:r>
        <w:t xml:space="preserve">Para ilustrar los modelos presentados en este capítulo se utilizan la base de datos</w:t>
      </w:r>
      <w:r>
        <w:t xml:space="preserve"> </w:t>
      </w:r>
      <w:r>
        <w:rPr>
          <w:rStyle w:val="VerbatimChar"/>
        </w:rPr>
        <w:t xml:space="preserve">survey_data</w:t>
      </w:r>
      <w:r>
        <w:t xml:space="preserve"> </w:t>
      </w:r>
      <w:r>
        <w:t xml:space="preserve">y la población</w:t>
      </w:r>
      <w:r>
        <w:t xml:space="preserve"> </w:t>
      </w:r>
      <w:r>
        <w:rPr>
          <w:rStyle w:val="VerbatimChar"/>
        </w:rPr>
        <w:t xml:space="preserve">BigCity</w:t>
      </w:r>
      <w:r>
        <w:t xml:space="preserve">, siguiendo la misma estructura utilizada en capítulos anteriores. Después de cargar</w:t>
      </w:r>
      <w:r>
        <w:t xml:space="preserve"> </w:t>
      </w:r>
      <w:r>
        <w:rPr>
          <w:rStyle w:val="VerbatimChar"/>
        </w:rPr>
        <w:t xml:space="preserve">tidyverse</w:t>
      </w:r>
      <w:r>
        <w:t xml:space="preserve">,</w:t>
      </w:r>
      <w:r>
        <w:t xml:space="preserve"> </w:t>
      </w:r>
      <w:r>
        <w:rPr>
          <w:rStyle w:val="VerbatimChar"/>
        </w:rPr>
        <w:t xml:space="preserve">survey</w:t>
      </w:r>
      <w:r>
        <w:t xml:space="preserve">,</w:t>
      </w:r>
      <w:r>
        <w:t xml:space="preserve"> </w:t>
      </w:r>
      <w:r>
        <w:rPr>
          <w:rStyle w:val="VerbatimChar"/>
        </w:rPr>
        <w:t xml:space="preserve">srvyr</w:t>
      </w:r>
      <w:r>
        <w:t xml:space="preserve">,</w:t>
      </w:r>
      <w:r>
        <w:t xml:space="preserve"> </w:t>
      </w:r>
      <w:r>
        <w:rPr>
          <w:rStyle w:val="VerbatimChar"/>
        </w:rPr>
        <w:t xml:space="preserve">broom</w:t>
      </w:r>
      <w:r>
        <w:t xml:space="preserve"> </w:t>
      </w:r>
      <w:r>
        <w:t xml:space="preserve">y</w:t>
      </w:r>
      <w:r>
        <w:t xml:space="preserve"> </w:t>
      </w:r>
      <w:r>
        <w:rPr>
          <w:rStyle w:val="VerbatimChar"/>
        </w:rPr>
        <w:t xml:space="preserve">jtools</w:t>
      </w:r>
      <w:r>
        <w:t xml:space="preserve">, el siguiente bloque de código crea dos nuevas variables categóricas (</w:t>
      </w:r>
      <w:r>
        <w:rPr>
          <w:rStyle w:val="VerbatimChar"/>
        </w:rPr>
        <w:t xml:space="preserve">poor</w:t>
      </w:r>
      <w:r>
        <w:t xml:space="preserve"> </w:t>
      </w:r>
      <w:r>
        <w:t xml:space="preserve">y</w:t>
      </w:r>
      <w:r>
        <w:t xml:space="preserve"> </w:t>
      </w:r>
      <w:r>
        <w:rPr>
          <w:rStyle w:val="VerbatimChar"/>
        </w:rPr>
        <w:t xml:space="preserve">unemployed</w:t>
      </w:r>
      <w:r>
        <w:t xml:space="preserve">) a partir de las variables originales</w:t>
      </w:r>
      <w:r>
        <w:t xml:space="preserve"> </w:t>
      </w:r>
      <w:r>
        <w:rPr>
          <w:rStyle w:val="VerbatimChar"/>
        </w:rPr>
        <w:t xml:space="preserve">Poverty</w:t>
      </w:r>
      <w:r>
        <w:t xml:space="preserve"> </w:t>
      </w:r>
      <w:r>
        <w:t xml:space="preserve">y</w:t>
      </w:r>
      <w:r>
        <w:t xml:space="preserve"> </w:t>
      </w:r>
      <w:r>
        <w:rPr>
          <w:rStyle w:val="VerbatimChar"/>
        </w:rPr>
        <w:t xml:space="preserve">Employment</w:t>
      </w:r>
      <w:r>
        <w:t xml:space="preserve">, respectivamente.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4</w:t>
      </w:r>
      <w:r>
        <w:rPr>
          <w:rStyle w:val="NormalTok"/>
        </w:rPr>
        <w:t xml:space="preserv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(jtools)</w:t>
      </w:r>
      <w:r>
        <w:br/>
      </w:r>
      <w:r>
        <w:br/>
      </w:r>
      <w:r>
        <w:rPr>
          <w:rStyle w:val="NormalTok"/>
        </w:rPr>
        <w:t xml:space="preserve">survey_data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r>
        <w:br/>
      </w:r>
      <w:r>
        <w:rPr>
          <w:rStyle w:val="FunctionTok"/>
        </w:rPr>
        <w:t xml:space="preserve">data</w:t>
      </w:r>
      <w:r>
        <w:rPr>
          <w:rStyle w:val="NormalTok"/>
        </w:rPr>
        <w:t xml:space="preserve">(</w:t>
      </w:r>
      <w:r>
        <w:rPr>
          <w:rStyle w:val="StringTok"/>
        </w:rPr>
        <w:t xml:space="preserve">"BigCity"</w:t>
      </w:r>
      <w:r>
        <w:rPr>
          <w:rStyle w:val="NormalTok"/>
        </w:rPr>
        <w:t xml:space="preserve">, </w:t>
      </w:r>
      <w:r>
        <w:rPr>
          <w:rStyle w:val="AttributeTok"/>
        </w:rPr>
        <w:t xml:space="preserve">package =</w:t>
      </w:r>
      <w:r>
        <w:rPr>
          <w:rStyle w:val="NormalTok"/>
        </w:rPr>
        <w:t xml:space="preserve"> </w:t>
      </w:r>
      <w:r>
        <w:rPr>
          <w:rStyle w:val="StringTok"/>
        </w:rPr>
        <w:t xml:space="preserve">"TeachingSampling"</w:t>
      </w:r>
      <w:r>
        <w:rPr>
          <w:rStyle w:val="NormalTok"/>
        </w:rPr>
        <w:t xml:space="preserve">)</w:t>
      </w:r>
      <w:r>
        <w:br/>
      </w:r>
      <w:r>
        <w:br/>
      </w:r>
      <w:r>
        <w:rPr>
          <w:rStyle w:val="NormalTok"/>
        </w:rPr>
        <w:t xml:space="preserve">survey_design </w:t>
      </w:r>
      <w:r>
        <w:rPr>
          <w:rStyle w:val="OtherTok"/>
        </w:rPr>
        <w:t xml:space="preserve">&lt;-</w:t>
      </w:r>
      <w:r>
        <w:rPr>
          <w:rStyle w:val="NormalTok"/>
        </w:rPr>
        <w:t xml:space="preserve"> survey_data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survey_design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poor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ifelse</w:t>
      </w:r>
      <w:r>
        <w:rPr>
          <w:rStyle w:val="NormalTok"/>
        </w:rPr>
        <w:t xml:space="preserve">(Poverty </w:t>
      </w:r>
      <w:r>
        <w:rPr>
          <w:rStyle w:val="SpecialCharTok"/>
        </w:rPr>
        <w:t xml:space="preserve">!=</w:t>
      </w:r>
      <w:r>
        <w:rPr>
          <w:rStyle w:val="NormalTok"/>
        </w:rPr>
        <w:t xml:space="preserve"> </w:t>
      </w:r>
      <w:r>
        <w:rPr>
          <w:rStyle w:val="StringTok"/>
        </w:rPr>
        <w:t xml:space="preserve">"NotPoor"</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"Not poor"</w:t>
      </w:r>
      <w:r>
        <w:rPr>
          <w:rStyle w:val="NormalTok"/>
        </w:rPr>
        <w:t xml:space="preserve">, </w:t>
      </w:r>
      <w:r>
        <w:rPr>
          <w:rStyle w:val="StringTok"/>
        </w:rPr>
        <w:t xml:space="preserve">"Poor"</w:t>
      </w:r>
      <w:r>
        <w:rPr>
          <w:rStyle w:val="NormalTok"/>
        </w:rPr>
        <w:t xml:space="preserve">)</w:t>
      </w:r>
      <w:r>
        <w:br/>
      </w:r>
      <w:r>
        <w:rPr>
          <w:rStyle w:val="NormalTok"/>
        </w:rPr>
        <w:t xml:space="preserve">    ),</w:t>
      </w:r>
      <w:r>
        <w:br/>
      </w:r>
      <w:r>
        <w:rPr>
          <w:rStyle w:val="NormalTok"/>
        </w:rPr>
        <w:t xml:space="preserve">    </w:t>
      </w:r>
      <w:r>
        <w:rPr>
          <w:rStyle w:val="AttributeTok"/>
        </w:rPr>
        <w:t xml:space="preserve">unemployed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(Employment </w:t>
      </w:r>
      <w:r>
        <w:rPr>
          <w:rStyle w:val="SpecialCharTok"/>
        </w:rPr>
        <w:t xml:space="preserve">==</w:t>
      </w:r>
      <w:r>
        <w:rPr>
          <w:rStyle w:val="NormalTok"/>
        </w:rPr>
        <w:t xml:space="preserve"> </w:t>
      </w:r>
      <w:r>
        <w:rPr>
          <w:rStyle w:val="StringTok"/>
        </w:rPr>
        <w:t xml:space="preserve">"Unemployed"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"Not unemployed"</w:t>
      </w:r>
      <w:r>
        <w:rPr>
          <w:rStyle w:val="NormalTok"/>
        </w:rPr>
        <w:t xml:space="preserve">, </w:t>
      </w:r>
      <w:r>
        <w:rPr>
          <w:rStyle w:val="StringTok"/>
        </w:rPr>
        <w:t xml:space="preserve">"Unemployed"</w:t>
      </w:r>
      <w:r>
        <w:rPr>
          <w:rStyle w:val="NormalTok"/>
        </w:rPr>
        <w:t xml:space="preserve">)</w:t>
      </w:r>
      <w:r>
        <w:br/>
      </w:r>
      <w:r>
        <w:rPr>
          <w:rStyle w:val="NormalTok"/>
        </w:rPr>
        <w:t xml:space="preserve">    )</w:t>
      </w:r>
      <w:r>
        <w:br/>
      </w:r>
      <w:r>
        <w:rPr>
          <w:rStyle w:val="NormalTok"/>
        </w:rPr>
        <w:t xml:space="preserve">  )</w:t>
      </w:r>
    </w:p>
    <w:bookmarkStart w:id="229" w:name="sec-logistica"/>
    <w:p>
      <w:pPr>
        <w:pStyle w:val="Heading2"/>
      </w:pPr>
      <w:r>
        <w:t xml:space="preserve">6.1 Modelo de regresión logística</w:t>
      </w:r>
    </w:p>
    <w:p>
      <w:pPr>
        <w:pStyle w:val="FirstParagraph"/>
      </w:pPr>
      <w:r>
        <w:t xml:space="preserve">De acuerdo con</w:t>
      </w:r>
      <w:r>
        <w:t xml:space="preserve"> </w:t>
      </w:r>
      <w:r>
        <w:t xml:space="preserve">McCullagh y Nelder (1989)</w:t>
      </w:r>
      <w:r>
        <w:t xml:space="preserve"> </w:t>
      </w:r>
      <w:r>
        <w:t xml:space="preserve">y</w:t>
      </w:r>
      <w:r>
        <w:t xml:space="preserve"> </w:t>
      </w:r>
      <w:r>
        <w:t xml:space="preserve">Agresti (2019)</w:t>
      </w:r>
      <w:r>
        <w:t xml:space="preserve">, cuando la variable de interés es dicotómica, tomando valores de cero o uno, el modelo lineal clásico no resulta adecuado debido a que puede generar predicciones fuera del intervalo</w:t>
      </w:r>
      <w:r>
        <w:t xml:space="preserve"> </w:t>
      </w:r>
      <m:oMath>
        <m:r>
          <m:rPr>
            <m:sty m:val="p"/>
          </m:rPr>
          <m:t>(</m:t>
        </m:r>
        <m:r>
          <m:t>0</m:t>
        </m:r>
        <m:r>
          <m:rPr>
            <m:sty m:val="p"/>
          </m:rPr>
          <m:t>,</m:t>
        </m:r>
        <m:r>
          <m:t>1</m:t>
        </m:r>
        <m:r>
          <m:rPr>
            <m:sty m:val="p"/>
          </m:rPr>
          <m:t>)</m:t>
        </m:r>
      </m:oMath>
      <w:r>
        <w:t xml:space="preserve"> </w:t>
      </w:r>
      <w:r>
        <w:t xml:space="preserve">y porque la varianza de la respuesta depende de su media. Para abordar estas limitaciones, el modelo de regresión logística constituye uno de los modelos lineales generalizados más utilizados para analizar variables binarias. En el contexto de encuestas de hogares, la regresión logística puede emplearse para analizar la asociación entre una condición de interés, como la pobreza, y características sociodemográficas de los individuos o los hogares.</w:t>
      </w:r>
    </w:p>
    <w:p>
      <w:pPr>
        <w:pStyle w:val="BodyText"/>
      </w:pPr>
      <w:r>
        <w:t xml:space="preserve">Considere, una variable dicotómica</w:t>
      </w:r>
      <w:r>
        <w:t xml:space="preserve"> </w:t>
      </w:r>
      <m:oMath>
        <m:sSub>
          <m:e>
            <m:r>
              <m:t>Y</m:t>
            </m:r>
          </m:e>
          <m:sub>
            <m:r>
              <m:t>k</m:t>
            </m:r>
          </m:sub>
        </m:sSub>
        <m:r>
          <m:rPr>
            <m:sty m:val="p"/>
          </m:rPr>
          <m:t>∈</m:t>
        </m:r>
        <m:r>
          <m:rPr>
            <m:sty m:val="p"/>
          </m:rPr>
          <m:t>{</m:t>
        </m:r>
        <m:r>
          <m:t>0</m:t>
        </m:r>
        <m:r>
          <m:rPr>
            <m:sty m:val="p"/>
          </m:rPr>
          <m:t>,</m:t>
        </m:r>
        <m:r>
          <m:t>1</m:t>
        </m:r>
        <m:r>
          <m:rPr>
            <m:sty m:val="p"/>
          </m:rPr>
          <m:t>}</m:t>
        </m:r>
      </m:oMath>
      <w:r>
        <w:t xml:space="preserve">, cuya esperanza es</w:t>
      </w:r>
      <w:r>
        <w:t xml:space="preserve"> </w:t>
      </w:r>
      <m:oMath>
        <m:sSub>
          <m:e>
            <m:r>
              <m:t>θ</m:t>
            </m:r>
          </m:e>
          <m:sub>
            <m:r>
              <m:t>k</m:t>
            </m:r>
          </m:sub>
        </m:sSub>
        <m:r>
          <m:rPr>
            <m:sty m:val="p"/>
          </m:rPr>
          <m:t>=</m:t>
        </m:r>
        <m:r>
          <m:t>P</m:t>
        </m:r>
        <m:r>
          <m:t>r</m:t>
        </m:r>
        <m:r>
          <m:rPr>
            <m:sty m:val="p"/>
          </m:rPr>
          <m:t>(</m:t>
        </m:r>
        <m:sSub>
          <m:e>
            <m:r>
              <m:t>Y</m:t>
            </m:r>
          </m:e>
          <m:sub>
            <m:r>
              <m:t>k</m:t>
            </m:r>
          </m:sub>
        </m:sSub>
        <m:r>
          <m:rPr>
            <m:sty m:val="p"/>
          </m:rPr>
          <m:t>=</m:t>
        </m:r>
        <m:r>
          <m:t>1</m:t>
        </m:r>
        <m:r>
          <m:rPr>
            <m:sty m:val="p"/>
          </m:rPr>
          <m:t>)</m:t>
        </m:r>
      </m:oMath>
      <w:r>
        <w:t xml:space="preserve">. El modelo de regresión logística relaciona dicha probabilidad con un conjunto de variables explicativas mediante la función de enlace logit, definida como</w:t>
      </w:r>
    </w:p>
    <w:p>
      <w:pPr>
        <w:pStyle w:val="BodyText"/>
      </w:pPr>
      <m:oMathPara>
        <m:oMathParaPr>
          <m:jc m:val="center"/>
        </m:oMathParaPr>
        <m:oMath>
          <m:r>
            <m:rPr>
              <m:sty m:val="p"/>
            </m:rPr>
            <m:t>log</m:t>
          </m:r>
          <m:d>
            <m:dPr>
              <m:begChr m:val="("/>
              <m:sepChr m:val=""/>
              <m:endChr m:val=")"/>
              <m:grow/>
            </m:dPr>
            <m:e>
              <m:f>
                <m:fPr>
                  <m:type m:val="bar"/>
                </m:fPr>
                <m:num>
                  <m:sSub>
                    <m:e>
                      <m:r>
                        <m:t>θ</m:t>
                      </m:r>
                    </m:e>
                    <m:sub>
                      <m:r>
                        <m:t>k</m:t>
                      </m:r>
                    </m:sub>
                  </m:sSub>
                </m:num>
                <m:den>
                  <m:r>
                    <m:t>1</m:t>
                  </m:r>
                  <m:r>
                    <m:rPr>
                      <m:sty m:val="p"/>
                    </m:rPr>
                    <m:t>−</m:t>
                  </m:r>
                  <m:sSub>
                    <m:e>
                      <m:r>
                        <m:t>θ</m:t>
                      </m:r>
                    </m:e>
                    <m:sub>
                      <m:r>
                        <m:t>k</m:t>
                      </m:r>
                    </m:sub>
                  </m:sSub>
                </m:den>
              </m:f>
            </m:e>
          </m:d>
          <m:r>
            <m:rPr>
              <m:sty m:val="p"/>
            </m:rPr>
            <m:t>=</m:t>
          </m:r>
          <m:sSub>
            <m:e>
              <m:r>
                <m:t>β</m:t>
              </m:r>
            </m:e>
            <m:sub>
              <m:r>
                <m:t>0</m:t>
              </m:r>
            </m:sub>
          </m:sSub>
          <m:r>
            <m:rPr>
              <m:sty m:val="p"/>
            </m:rPr>
            <m:t>+</m:t>
          </m:r>
          <m:sSub>
            <m:e>
              <m:r>
                <m:t>β</m:t>
              </m:r>
            </m:e>
            <m:sub>
              <m:r>
                <m:t>1</m:t>
              </m:r>
            </m:sub>
          </m:sSub>
          <m:sSub>
            <m:e>
              <m:r>
                <m:t>x</m:t>
              </m:r>
            </m:e>
            <m:sub>
              <m:r>
                <m:t>k</m:t>
              </m:r>
              <m:r>
                <m:t>1</m:t>
              </m:r>
            </m:sub>
          </m:sSub>
          <m:r>
            <m:rPr>
              <m:sty m:val="p"/>
            </m:rPr>
            <m:t>+</m:t>
          </m:r>
          <m:r>
            <m:rPr>
              <m:sty m:val="p"/>
            </m:rPr>
            <m:t>⋯</m:t>
          </m:r>
          <m:r>
            <m:rPr>
              <m:sty m:val="p"/>
            </m:rPr>
            <m:t>+</m:t>
          </m:r>
          <m:sSub>
            <m:e>
              <m:r>
                <m:t>β</m:t>
              </m:r>
            </m:e>
            <m:sub>
              <m:r>
                <m:t>p</m:t>
              </m:r>
            </m:sub>
          </m:sSub>
          <m:sSub>
            <m:e>
              <m:r>
                <m:t>x</m:t>
              </m:r>
            </m:e>
            <m:sub>
              <m:r>
                <m:t>k</m:t>
              </m:r>
              <m:r>
                <m:t>p</m:t>
              </m:r>
            </m:sub>
          </m:sSub>
          <m:r>
            <m:rPr>
              <m:sty m:val="p"/>
            </m:rPr>
            <m:t>=</m:t>
          </m:r>
          <m:sSub>
            <m:e>
              <m:r>
                <m:rPr>
                  <m:sty m:val="b"/>
                </m:rPr>
                <m:t>x</m:t>
              </m:r>
            </m:e>
            <m:sub>
              <m:r>
                <m:t>k</m:t>
              </m:r>
            </m:sub>
          </m:sSub>
          <m:r>
            <m:rPr>
              <m:sty m:val="b"/>
            </m:rPr>
            <m:t>β</m:t>
          </m:r>
        </m:oMath>
      </m:oMathPara>
    </w:p>
    <w:p>
      <w:pPr>
        <w:pStyle w:val="FirstParagraph"/>
      </w:pPr>
      <w:r>
        <w:t xml:space="preserve">En donde</w:t>
      </w:r>
      <w:r>
        <w:t xml:space="preserve"> </w:t>
      </w:r>
      <m:oMath>
        <m:r>
          <m:rPr>
            <m:sty m:val="b"/>
          </m:rPr>
          <m:t>β</m:t>
        </m:r>
      </m:oMath>
      <w:r>
        <w:t xml:space="preserve"> </w:t>
      </w:r>
      <w:r>
        <w:t xml:space="preserve">es el vector de coeficientes de regresión asociado a las covariables. Esta transformación logit convierte el intervalo restringido de probabilidades</w:t>
      </w:r>
      <w:r>
        <w:t xml:space="preserve"> </w:t>
      </w:r>
      <m:oMath>
        <m:r>
          <m:rPr>
            <m:sty m:val="p"/>
          </m:rPr>
          <m:t>(</m:t>
        </m:r>
        <m:r>
          <m:t>0</m:t>
        </m:r>
        <m:r>
          <m:rPr>
            <m:sty m:val="p"/>
          </m:rPr>
          <m:t>,</m:t>
        </m:r>
        <m:r>
          <m:t>1</m:t>
        </m:r>
        <m:r>
          <m:rPr>
            <m:sty m:val="p"/>
          </m:rPr>
          <m:t>)</m:t>
        </m:r>
      </m:oMath>
      <w:r>
        <w:t xml:space="preserve"> </w:t>
      </w:r>
      <w:r>
        <w:t xml:space="preserve">en toda la recta real, permitiendo modelar la relación entre la respuesta y las variables auxiliares mediante un predictor lineal. De manera equivalente, la probabilidad de éxito puede expresarse mediante la siguiente relación:</w:t>
      </w:r>
    </w:p>
    <w:p>
      <w:pPr>
        <w:pStyle w:val="BodyText"/>
      </w:pPr>
      <m:oMathPara>
        <m:oMathParaPr>
          <m:jc m:val="center"/>
        </m:oMathParaPr>
        <m:oMath>
          <m:sSub>
            <m:e>
              <m:r>
                <m:t>θ</m:t>
              </m:r>
            </m:e>
            <m:sub>
              <m:r>
                <m:t>k</m:t>
              </m:r>
            </m:sub>
          </m:sSub>
          <m:r>
            <m:rPr>
              <m:sty m:val="p"/>
            </m:rPr>
            <m:t>=</m:t>
          </m:r>
          <m:r>
            <m:t>P</m:t>
          </m:r>
          <m:r>
            <m:t>r</m:t>
          </m:r>
          <m:r>
            <m:rPr>
              <m:sty m:val="p"/>
            </m:rPr>
            <m:t>(</m:t>
          </m:r>
          <m:sSub>
            <m:e>
              <m:r>
                <m:t>Y</m:t>
              </m:r>
            </m:e>
            <m:sub>
              <m:r>
                <m:t>k</m:t>
              </m:r>
            </m:sub>
          </m:sSub>
          <m:r>
            <m:rPr>
              <m:sty m:val="p"/>
            </m:rPr>
            <m:t>=</m:t>
          </m:r>
          <m:r>
            <m:t>1</m:t>
          </m:r>
          <m:r>
            <m:rPr>
              <m:sty m:val="p"/>
            </m:rPr>
            <m:t>∣</m:t>
          </m:r>
          <m:sSub>
            <m:e>
              <m:r>
                <m:rPr>
                  <m:sty m:val="b"/>
                </m:rPr>
                <m:t>x</m:t>
              </m:r>
            </m:e>
            <m:sub>
              <m:r>
                <m:t>k</m:t>
              </m:r>
            </m:sub>
          </m:sSub>
          <m:r>
            <m:rPr>
              <m:sty m:val="p"/>
            </m:rPr>
            <m:t>)</m:t>
          </m:r>
          <m:r>
            <m:rPr>
              <m:sty m:val="p"/>
            </m:rPr>
            <m:t>=</m:t>
          </m:r>
          <m:f>
            <m:fPr>
              <m:type m:val="bar"/>
            </m:fPr>
            <m:num>
              <m:r>
                <m:rPr>
                  <m:sty m:val="p"/>
                </m:rPr>
                <m:t>exp</m:t>
              </m:r>
              <m:r>
                <m:rPr>
                  <m:sty m:val="p"/>
                </m:rPr>
                <m:t>(</m:t>
              </m:r>
              <m:sSub>
                <m:e>
                  <m:r>
                    <m:rPr>
                      <m:sty m:val="b"/>
                    </m:rPr>
                    <m:t>x</m:t>
                  </m:r>
                </m:e>
                <m:sub>
                  <m:r>
                    <m:t>k</m:t>
                  </m:r>
                </m:sub>
              </m:sSub>
              <m:r>
                <m:rPr>
                  <m:sty m:val="b"/>
                </m:rPr>
                <m:t>β</m:t>
              </m:r>
              <m:r>
                <m:rPr>
                  <m:sty m:val="p"/>
                </m:rPr>
                <m:t>)</m:t>
              </m:r>
            </m:num>
            <m:den>
              <m:r>
                <m:t>1</m:t>
              </m:r>
              <m:r>
                <m:rPr>
                  <m:sty m:val="p"/>
                </m:rPr>
                <m:t>+</m:t>
              </m:r>
              <m:r>
                <m:rPr>
                  <m:sty m:val="p"/>
                </m:rPr>
                <m:t>exp</m:t>
              </m:r>
              <m:r>
                <m:rPr>
                  <m:sty m:val="p"/>
                </m:rPr>
                <m:t>(</m:t>
              </m:r>
              <m:sSub>
                <m:e>
                  <m:r>
                    <m:rPr>
                      <m:sty m:val="b"/>
                    </m:rPr>
                    <m:t>x</m:t>
                  </m:r>
                </m:e>
                <m:sub>
                  <m:r>
                    <m:t>k</m:t>
                  </m:r>
                </m:sub>
              </m:sSub>
              <m:r>
                <m:rPr>
                  <m:sty m:val="b"/>
                </m:rPr>
                <m:t>β</m:t>
              </m:r>
              <m:r>
                <m:rPr>
                  <m:sty m:val="p"/>
                </m:rPr>
                <m:t>)</m:t>
              </m:r>
            </m:den>
          </m:f>
        </m:oMath>
      </m:oMathPara>
    </w:p>
    <w:p>
      <w:pPr>
        <w:pStyle w:val="FirstParagraph"/>
      </w:pPr>
      <w:r>
        <w:t xml:space="preserve">De manera equivalente, la probabilidad de que la unidad no presente la característica de interés es</w:t>
      </w:r>
      <w:r>
        <w:t xml:space="preserve"> </w:t>
      </w:r>
      <m:oMath>
        <m:r>
          <m:t>P</m:t>
        </m:r>
        <m:r>
          <m:t>r</m:t>
        </m:r>
        <m:r>
          <m:rPr>
            <m:sty m:val="p"/>
          </m:rPr>
          <m:t>(</m:t>
        </m:r>
        <m:sSub>
          <m:e>
            <m:r>
              <m:t>Y</m:t>
            </m:r>
          </m:e>
          <m:sub>
            <m:r>
              <m:t>k</m:t>
            </m:r>
          </m:sub>
        </m:sSub>
        <m:r>
          <m:rPr>
            <m:sty m:val="p"/>
          </m:rPr>
          <m:t>=</m:t>
        </m:r>
        <m:r>
          <m:t>0</m:t>
        </m:r>
        <m:r>
          <m:rPr>
            <m:sty m:val="p"/>
          </m:rPr>
          <m:t>∣</m:t>
        </m:r>
        <m:sSub>
          <m:e>
            <m:r>
              <m:rPr>
                <m:sty m:val="b"/>
              </m:rPr>
              <m:t>x</m:t>
            </m:r>
          </m:e>
          <m:sub>
            <m:r>
              <m:t>k</m:t>
            </m:r>
          </m:sub>
        </m:sSub>
        <m:r>
          <m:rPr>
            <m:sty m:val="p"/>
          </m:rPr>
          <m:t>)</m:t>
        </m:r>
        <m:r>
          <m:rPr>
            <m:sty m:val="p"/>
          </m:rPr>
          <m:t>=</m:t>
        </m:r>
        <m:r>
          <m:t>1</m:t>
        </m:r>
        <m:r>
          <m:rPr>
            <m:sty m:val="p"/>
          </m:rPr>
          <m:t>−</m:t>
        </m:r>
        <m:sSub>
          <m:e>
            <m:r>
              <m:t>θ</m:t>
            </m:r>
          </m:e>
          <m:sub>
            <m:r>
              <m:t>k</m:t>
            </m:r>
          </m:sub>
        </m:sSub>
      </m:oMath>
      <w:r>
        <w:t xml:space="preserve">. Bajo esta parametrización, cada coeficiente de</w:t>
      </w:r>
      <w:r>
        <w:t xml:space="preserve"> </w:t>
      </w:r>
      <m:oMath>
        <m:r>
          <m:rPr>
            <m:sty m:val="b"/>
          </m:rPr>
          <m:t>β</m:t>
        </m:r>
      </m:oMath>
      <w:r>
        <w:t xml:space="preserve"> </w:t>
      </w:r>
      <w:r>
        <w:t xml:space="preserve">representa el efecto de una covariable sobre el logaritmo de la razón de probabilidades de que ocurra el evento de interés, manteniendo constantes las demás variables del modelo.</w:t>
      </w:r>
      <w:r>
        <w:t xml:space="preserve"> </w:t>
      </w:r>
      <w:r>
        <w:t xml:space="preserve">Según</w:t>
      </w:r>
      <w:r>
        <w:t xml:space="preserve"> </w:t>
      </w:r>
      <w:r>
        <w:t xml:space="preserve">Heeringa et al. (2017)</w:t>
      </w:r>
      <w:r>
        <w:t xml:space="preserve">, la estimación de los parámetros puede realizarse mediante el enfoque de pseudo-máxima verosimilitud. Este método incorpora los factores de expansión en la función de verosimilitud convencional con el fin de obtener estimadores consistentes respecto de la población objetivo. La función de pseudo-verosimilitud para el modelo logístico se define como</w:t>
      </w:r>
    </w:p>
    <w:p>
      <w:pPr>
        <w:pStyle w:val="BodyText"/>
      </w:pPr>
      <m:oMathPara>
        <m:oMathParaPr>
          <m:jc m:val="center"/>
        </m:oMathParaPr>
        <m:oMath>
          <m:r>
            <m:t>P</m:t>
          </m:r>
          <m:r>
            <m:t>L</m:t>
          </m:r>
          <m:r>
            <m:rPr>
              <m:sty m:val="p"/>
            </m:rPr>
            <m:t>(</m:t>
          </m:r>
          <m:r>
            <m:rPr>
              <m:sty m:val="b"/>
            </m:rPr>
            <m:t>β</m:t>
          </m:r>
          <m:r>
            <m:rPr>
              <m:sty m:val="p"/>
            </m:rPr>
            <m:t>)</m:t>
          </m:r>
          <m:r>
            <m:rPr>
              <m:sty m:val="p"/>
            </m:rPr>
            <m:t>=</m:t>
          </m:r>
          <m:nary>
            <m:naryPr>
              <m:chr m:val="∏"/>
              <m:limLoc m:val="undOvr"/>
              <m:subHide m:val="off"/>
              <m:supHide m:val="on"/>
            </m:naryPr>
            <m:sub>
              <m:r>
                <m:t>k</m:t>
              </m:r>
            </m:sub>
            <m:sup>
              <m:r>
                <m:t>​</m:t>
              </m:r>
            </m:sup>
            <m:e>
              <m:sSup>
                <m:e>
                  <m:d>
                    <m:dPr>
                      <m:begChr m:val="["/>
                      <m:sepChr m:val=""/>
                      <m:endChr m:val="]"/>
                      <m:grow/>
                    </m:dPr>
                    <m:e>
                      <m:sSubSup>
                        <m:e>
                          <m:r>
                            <m:t>θ</m:t>
                          </m:r>
                        </m:e>
                        <m:sub>
                          <m:r>
                            <m:t>k</m:t>
                          </m:r>
                        </m:sub>
                        <m:sup>
                          <m:sSub>
                            <m:e>
                              <m:r>
                                <m:t>y</m:t>
                              </m:r>
                            </m:e>
                            <m:sub>
                              <m:r>
                                <m:t>k</m:t>
                              </m:r>
                            </m:sub>
                          </m:sSub>
                        </m:sup>
                      </m:sSubSup>
                      <m:sSup>
                        <m:e>
                          <m:d>
                            <m:dPr>
                              <m:begChr m:val="{"/>
                              <m:sepChr m:val=""/>
                              <m:endChr m:val="}"/>
                              <m:grow/>
                            </m:dPr>
                            <m:e>
                              <m:r>
                                <m:t>1</m:t>
                              </m:r>
                              <m:r>
                                <m:rPr>
                                  <m:sty m:val="p"/>
                                </m:rPr>
                                <m:t>−</m:t>
                              </m:r>
                              <m:sSub>
                                <m:e>
                                  <m:r>
                                    <m:t>θ</m:t>
                                  </m:r>
                                </m:e>
                                <m:sub>
                                  <m:r>
                                    <m:t>k</m:t>
                                  </m:r>
                                </m:sub>
                              </m:sSub>
                            </m:e>
                          </m:d>
                        </m:e>
                        <m:sup>
                          <m:r>
                            <m:t>1</m:t>
                          </m:r>
                          <m:r>
                            <m:rPr>
                              <m:sty m:val="p"/>
                            </m:rPr>
                            <m:t>−</m:t>
                          </m:r>
                          <m:sSub>
                            <m:e>
                              <m:r>
                                <m:t>y</m:t>
                              </m:r>
                            </m:e>
                            <m:sub>
                              <m:r>
                                <m:t>k</m:t>
                              </m:r>
                            </m:sub>
                          </m:sSub>
                        </m:sup>
                      </m:sSup>
                    </m:e>
                  </m:d>
                </m:e>
                <m:sup>
                  <m:sSub>
                    <m:e>
                      <m:r>
                        <m:t>w</m:t>
                      </m:r>
                    </m:e>
                    <m:sub>
                      <m:r>
                        <m:t>k</m:t>
                      </m:r>
                    </m:sub>
                  </m:sSub>
                </m:sup>
              </m:sSup>
            </m:e>
          </m:nary>
        </m:oMath>
      </m:oMathPara>
    </w:p>
    <w:p>
      <w:pPr>
        <w:pStyle w:val="FirstParagraph"/>
      </w:pPr>
      <w:r>
        <w:t xml:space="preserve">En donde el subíndice</w:t>
      </w:r>
      <w:r>
        <w:t xml:space="preserve"> </w:t>
      </w:r>
      <m:oMath>
        <m:r>
          <m:t>k</m:t>
        </m:r>
      </m:oMath>
      <w:r>
        <w:t xml:space="preserve"> </w:t>
      </w:r>
      <w:r>
        <w:t xml:space="preserve">representa una unidad observada de la muestra. Asimismo,</w:t>
      </w:r>
      <w:r>
        <w:t xml:space="preserve"> </w:t>
      </w:r>
      <m:oMath>
        <m:sSub>
          <m:e>
            <m:r>
              <m:t>θ</m:t>
            </m:r>
          </m:e>
          <m:sub>
            <m:r>
              <m:t>k</m:t>
            </m:r>
          </m:sub>
        </m:sSub>
      </m:oMath>
      <w:r>
        <w:t xml:space="preserve"> </w:t>
      </w:r>
      <w:r>
        <w:t xml:space="preserve">denota la probabilidad de que la unidad</w:t>
      </w:r>
      <w:r>
        <w:t xml:space="preserve"> </w:t>
      </w:r>
      <m:oMath>
        <m:r>
          <m:t>k</m:t>
        </m:r>
      </m:oMath>
      <w:r>
        <w:t xml:space="preserve"> </w:t>
      </w:r>
      <w:r>
        <w:t xml:space="preserve">de la UPM</w:t>
      </w:r>
      <w:r>
        <w:t xml:space="preserve"> </w:t>
      </w:r>
      <m:oMath>
        <m:r>
          <m:t>i</m:t>
        </m:r>
      </m:oMath>
      <w:r>
        <w:t xml:space="preserve"> </w:t>
      </w:r>
      <w:r>
        <w:t xml:space="preserve">en el estrato</w:t>
      </w:r>
      <w:r>
        <w:t xml:space="preserve"> </w:t>
      </w:r>
      <m:oMath>
        <m:r>
          <m:t>h</m:t>
        </m:r>
      </m:oMath>
      <w:r>
        <w:t xml:space="preserve"> </w:t>
      </w:r>
      <w:r>
        <w:t xml:space="preserve">presente la característica de interés,</w:t>
      </w:r>
      <w:r>
        <w:t xml:space="preserve"> </w:t>
      </w:r>
      <m:oMath>
        <m:sSub>
          <m:e>
            <m:r>
              <m:t>y</m:t>
            </m:r>
          </m:e>
          <m:sub>
            <m:r>
              <m:t>k</m:t>
            </m:r>
          </m:sub>
        </m:sSub>
      </m:oMath>
      <w:r>
        <w:t xml:space="preserve"> </w:t>
      </w:r>
      <w:r>
        <w:t xml:space="preserve">corresponde al valor observado de la variable dicotómica para dicha unidad y</w:t>
      </w:r>
      <w:r>
        <w:t xml:space="preserve"> </w:t>
      </w:r>
      <m:oMath>
        <m:sSub>
          <m:e>
            <m:r>
              <m:t>w</m:t>
            </m:r>
          </m:e>
          <m:sub>
            <m:r>
              <m:t>k</m:t>
            </m:r>
          </m:sub>
        </m:sSub>
      </m:oMath>
      <w:r>
        <w:t xml:space="preserve"> </w:t>
      </w:r>
      <w:r>
        <w:t xml:space="preserve">representa el factor de expansión asociado a la observación.</w:t>
      </w:r>
    </w:p>
    <w:p>
      <w:pPr>
        <w:pStyle w:val="BodyText"/>
      </w:pPr>
      <w:r>
        <w:t xml:space="preserve">La contribución de cada observación al proceso de estimación está determinada por su respectivo factor de expansión, permitiendo que la función refleje adecuadamente las características del diseño complejo de la encuesta. Dado que la maximización de la pseudo-verosimilitud resulta equivalente a maximizar su logaritmo, entonces el problema se reduce a optimizar la siguiente función:</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n"/>
            </m:naryPr>
            <m:sub>
              <m:r>
                <m:t>k</m:t>
              </m:r>
            </m:sub>
            <m:sup>
              <m:r>
                <m:t>​</m:t>
              </m:r>
            </m:sup>
            <m:e>
              <m:sSub>
                <m:e>
                  <m:r>
                    <m:t>w</m:t>
                  </m:r>
                </m:e>
                <m:sub>
                  <m:r>
                    <m:t>k</m:t>
                  </m:r>
                </m:sub>
              </m:sSub>
            </m:e>
          </m:nary>
          <m:d>
            <m:dPr>
              <m:begChr m:val="["/>
              <m:sepChr m:val=""/>
              <m:endChr m:val="]"/>
              <m:grow/>
            </m:dPr>
            <m:e>
              <m:sSub>
                <m:e>
                  <m:r>
                    <m:t>y</m:t>
                  </m:r>
                </m:e>
                <m:sub>
                  <m:r>
                    <m:t>k</m:t>
                  </m:r>
                </m:sub>
              </m:sSub>
              <m:r>
                <m:rPr>
                  <m:sty m:val="p"/>
                </m:rPr>
                <m:t>log</m:t>
              </m:r>
              <m:r>
                <m:rPr>
                  <m:sty m:val="p"/>
                </m:rPr>
                <m:t>(</m:t>
              </m:r>
              <m:sSub>
                <m:e>
                  <m:r>
                    <m:t>θ</m:t>
                  </m:r>
                </m:e>
                <m:sub>
                  <m:r>
                    <m:t>k</m:t>
                  </m:r>
                </m:sub>
              </m:sSub>
              <m:r>
                <m:rPr>
                  <m:sty m:val="p"/>
                </m:rPr>
                <m:t>)</m:t>
              </m:r>
              <m:r>
                <m:rPr>
                  <m:sty m:val="p"/>
                </m:rPr>
                <m:t>+</m:t>
              </m:r>
              <m:r>
                <m:rPr>
                  <m:sty m:val="p"/>
                </m:rPr>
                <m:t>(</m:t>
              </m:r>
              <m:r>
                <m:t>1</m:t>
              </m:r>
              <m:r>
                <m:rPr>
                  <m:sty m:val="p"/>
                </m:rPr>
                <m:t>−</m:t>
              </m:r>
              <m:sSub>
                <m:e>
                  <m:r>
                    <m:t>y</m:t>
                  </m:r>
                </m:e>
                <m:sub>
                  <m:r>
                    <m:t>k</m:t>
                  </m:r>
                </m:sub>
              </m:sSub>
              <m:r>
                <m:rPr>
                  <m:sty m:val="p"/>
                </m:rPr>
                <m:t>)</m:t>
              </m:r>
              <m:r>
                <m:rPr>
                  <m:sty m:val="p"/>
                </m:rPr>
                <m:t>log</m:t>
              </m:r>
              <m:r>
                <m:rPr>
                  <m:sty m:val="p"/>
                </m:rPr>
                <m:t>(</m:t>
              </m:r>
              <m:r>
                <m:t>1</m:t>
              </m:r>
              <m:r>
                <m:rPr>
                  <m:sty m:val="p"/>
                </m:rPr>
                <m:t>−</m:t>
              </m:r>
              <m:sSub>
                <m:e>
                  <m:r>
                    <m:t>θ</m:t>
                  </m:r>
                </m:e>
                <m:sub>
                  <m:r>
                    <m:t>k</m:t>
                  </m:r>
                </m:sub>
              </m:sSub>
              <m:r>
                <m:rPr>
                  <m:sty m:val="p"/>
                </m:rPr>
                <m:t>)</m:t>
              </m:r>
            </m:e>
          </m:d>
        </m:oMath>
      </m:oMathPara>
    </w:p>
    <w:p>
      <w:pPr>
        <w:pStyle w:val="FirstParagraph"/>
      </w:pPr>
      <w:r>
        <w:t xml:space="preserve">Esta expresión constituye la función objetivo utilizada por los algoritmos de optimización numérica para obtener el estimador de los parámetros del modelo. Es importante señalar que la función anterior no corresponde a una verosimilitud en sentido estricto bajo el diseño complejo de la encuesta. Por esta razón, se utiliza el término</w:t>
      </w:r>
      <w:r>
        <w:t xml:space="preserve"> </w:t>
      </w:r>
      <w:r>
        <w:rPr>
          <w:i/>
          <w:iCs/>
        </w:rPr>
        <w:t xml:space="preserve">pseudo-verosimilitud</w:t>
      </w:r>
      <w:r>
        <w:t xml:space="preserve"> </w:t>
      </w:r>
      <w:r>
        <w:t xml:space="preserve">y los estimadores obtenidos mediante su maximización son conocidos como estimadores de pseudo-máxima verosimilitud (</w:t>
      </w:r>
      <w:r>
        <w:rPr>
          <w:i/>
          <w:iCs/>
        </w:rPr>
        <w:t xml:space="preserve">Pseudo Maximum Likelihood Estimators</w:t>
      </w:r>
      <w:r>
        <w:t xml:space="preserve">, PMLE).</w:t>
      </w:r>
    </w:p>
    <w:p>
      <w:pPr>
        <w:pStyle w:val="BodyText"/>
      </w:pPr>
      <w:r>
        <w:t xml:space="preserve">De acuerdo con</w:t>
      </w:r>
      <w:r>
        <w:t xml:space="preserve"> </w:t>
      </w:r>
      <w:r>
        <w:t xml:space="preserve">Molina y Skinner (1992)</w:t>
      </w:r>
      <w:r>
        <w:t xml:space="preserve"> </w:t>
      </w:r>
      <w:r>
        <w:t xml:space="preserve">y</w:t>
      </w:r>
      <w:r>
        <w:t xml:space="preserve"> </w:t>
      </w:r>
      <w:r>
        <w:t xml:space="preserve">Chambers y Skinner (2003)</w:t>
      </w:r>
      <w:r>
        <w:t xml:space="preserve">, bajo condiciones de regularidad, estos estimadores son consistentes y asintóticamente normales, constituyendo la base de procedimientos de inferencia para el análisis de datos de encuestas complejas.</w:t>
      </w:r>
    </w:p>
    <w:p>
      <w:pPr>
        <w:pStyle w:val="BodyText"/>
      </w:pPr>
      <w:r>
        <w:t xml:space="preserve">Como explica</w:t>
      </w:r>
      <w:r>
        <w:t xml:space="preserve"> </w:t>
      </w:r>
      <w:r>
        <w:t xml:space="preserve">Binder (1983)</w:t>
      </w:r>
      <w:r>
        <w:t xml:space="preserve">, una vez obtenidos los estimadores de pseudo-máxima verosimilitud, sus varianzas se estiman, mediante técnicas de linealización de Taylor, las cuales incorporan explícitamente las características del diseño complejo de muestreo. La matriz de varianzas y covarianzas de los parámetros estimados, denotada por</w:t>
      </w:r>
      <w:r>
        <w:t xml:space="preserve"> </w:t>
      </w:r>
      <m:oMath>
        <m:r>
          <m:rPr>
            <m:nor/>
            <m:sty m:val="p"/>
          </m:rPr>
          <m:t>Var</m:t>
        </m:r>
        <m:r>
          <m:rPr>
            <m:sty m:val="p"/>
          </m:rPr>
          <m:t>(</m:t>
        </m:r>
        <m:acc>
          <m:accPr>
            <m:chr m:val="̂"/>
          </m:accPr>
          <m:e>
            <m:r>
              <m:rPr>
                <m:sty m:val="b"/>
              </m:rPr>
              <m:t>β</m:t>
            </m:r>
          </m:e>
        </m:acc>
        <m:r>
          <m:rPr>
            <m:sty m:val="p"/>
          </m:rPr>
          <m:t>)</m:t>
        </m:r>
        <m:r>
          <m:rPr>
            <m:sty m:val="p"/>
          </m:rPr>
          <m:t>=</m:t>
        </m:r>
        <m:r>
          <m:rPr>
            <m:sty m:val="b"/>
          </m:rPr>
          <m:t>Σ</m:t>
        </m:r>
      </m:oMath>
      <w:r>
        <w:t xml:space="preserve">, se obtiene a partir de una aproximación lineal de las ecuaciones de estimación alrededor del verdadero valor de los parámetros.</w:t>
      </w:r>
    </w:p>
    <w:p>
      <w:pPr>
        <w:pStyle w:val="BodyText"/>
      </w:pPr>
      <w:r>
        <w:t xml:space="preserve">Esta matriz describe la precisión de los estimadores, ya que sus elementos diagonales corresponden a las varianzas de cada coeficiente, mientras que los elementos fuera de la diagonal representan las covarianzas entre pares de coeficientes. Su estimación constituye la base para el cálculo de errores estándar, la construcción de intervalos de confianza y la realización de pruebas de hipótesis sobre los parámetros del modelo.</w:t>
      </w:r>
    </w:p>
    <w:p>
      <w:pPr>
        <w:pStyle w:val="BodyText"/>
      </w:pPr>
      <w:r>
        <w:t xml:space="preserve">Como los datos provienen de un diseño muestral complejo, es necesario incorporar adecuadamente las ponderaciones, la estratificación y la conglomeración para obtener estimadores consistentes de los parámetros y de sus errores estándar. En</w:t>
      </w:r>
      <w:r>
        <w:t xml:space="preserve"> </w:t>
      </w:r>
      <w:r>
        <w:rPr>
          <w:rStyle w:val="VerbatimChar"/>
        </w:rPr>
        <w:t xml:space="preserve">R</w:t>
      </w:r>
      <w:r>
        <w:t xml:space="preserve">, esta tarea puede realizarse mediante la función</w:t>
      </w:r>
      <w:r>
        <w:t xml:space="preserve"> </w:t>
      </w:r>
      <w:r>
        <w:rPr>
          <w:rStyle w:val="VerbatimChar"/>
        </w:rPr>
        <w:t xml:space="preserve">svyglm()</w:t>
      </w:r>
      <w:r>
        <w:t xml:space="preserve"> </w:t>
      </w:r>
      <w:r>
        <w:t xml:space="preserve">del paquete</w:t>
      </w:r>
      <w:r>
        <w:t xml:space="preserve"> </w:t>
      </w:r>
      <w:r>
        <w:rPr>
          <w:rStyle w:val="VerbatimChar"/>
        </w:rPr>
        <w:t xml:space="preserve">survey</w:t>
      </w:r>
      <w:r>
        <w:t xml:space="preserve">, la cual extiende los modelos lineales generalizados al contexto de encuestas complejas.</w:t>
      </w:r>
    </w:p>
    <w:p>
      <w:pPr>
        <w:pStyle w:val="BodyText"/>
      </w:pPr>
      <w:r>
        <w:t xml:space="preserve">Siguiendo con la encuesta de ejemplo, y con el fin de analizar los factores asociados a la condición de pobreza, se ajusta un modelo de regresión logística utilizando como variables explicativas el gasto, la situación en el empleo y el sexo. Dado que los datos provienen de una encuesta con diseño muestral complejo, la estimación se realiza mediante la función</w:t>
      </w:r>
      <w:r>
        <w:t xml:space="preserve"> </w:t>
      </w:r>
      <w:r>
        <w:rPr>
          <w:rStyle w:val="VerbatimChar"/>
        </w:rPr>
        <w:t xml:space="preserve">svyglm()</w:t>
      </w:r>
      <w:r>
        <w:t xml:space="preserve"> </w:t>
      </w:r>
      <w:r>
        <w:t xml:space="preserve">del paquete</w:t>
      </w:r>
      <w:r>
        <w:t xml:space="preserve"> </w:t>
      </w:r>
      <w:r>
        <w:rPr>
          <w:rStyle w:val="VerbatimChar"/>
        </w:rPr>
        <w:t xml:space="preserve">survey</w:t>
      </w:r>
      <w:r>
        <w:t xml:space="preserve">, especificando</w:t>
      </w:r>
      <w:r>
        <w:t xml:space="preserve"> </w:t>
      </w:r>
      <w:r>
        <w:rPr>
          <w:rStyle w:val="VerbatimChar"/>
        </w:rPr>
        <w:t xml:space="preserve">family = binomial</w:t>
      </w:r>
      <w:r>
        <w:t xml:space="preserve"> </w:t>
      </w:r>
      <w:r>
        <w:t xml:space="preserve">para indicar que la variable respuesta es dicotómica y que se utilizará la función de enlace logit. Los resultados del ajuste se presentan en la</w:t>
      </w:r>
      <w:r>
        <w:t xml:space="preserve"> </w:t>
      </w:r>
      <w:hyperlink w:anchor="tbl-ic-logistica">
        <w:r>
          <w:rPr>
            <w:rStyle w:val="Hyperlink"/>
          </w:rPr>
          <w:t xml:space="preserve">tabla 6.1</w:t>
        </w:r>
      </w:hyperlink>
      <w:r>
        <w:t xml:space="preserve">.</w:t>
      </w:r>
    </w:p>
    <w:p>
      <w:pPr>
        <w:pStyle w:val="SourceCode"/>
      </w:pPr>
      <w:r>
        <w:rPr>
          <w:rStyle w:val="NormalTok"/>
        </w:rPr>
        <w:t xml:space="preserve">logit_model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w:t>
      </w:r>
      <w:r>
        <w:rPr>
          <w:rStyle w:val="AttributeTok"/>
        </w:rPr>
        <w:t xml:space="preserve">formula =</w:t>
      </w:r>
      <w:r>
        <w:rPr>
          <w:rStyle w:val="NormalTok"/>
        </w:rPr>
        <w:t xml:space="preserve"> poor </w:t>
      </w:r>
      <w:r>
        <w:rPr>
          <w:rStyle w:val="SpecialCharTok"/>
        </w:rPr>
        <w:t xml:space="preserve">~</w:t>
      </w:r>
      <w:r>
        <w:rPr>
          <w:rStyle w:val="NormalTok"/>
        </w:rPr>
        <w:t xml:space="preserve"> Expenditure </w:t>
      </w:r>
      <w:r>
        <w:rPr>
          <w:rStyle w:val="SpecialCharTok"/>
        </w:rPr>
        <w:t xml:space="preserve">+</w:t>
      </w:r>
      <w:r>
        <w:rPr>
          <w:rStyle w:val="NormalTok"/>
        </w:rPr>
        <w:t xml:space="preserve"> Employment </w:t>
      </w:r>
      <w:r>
        <w:rPr>
          <w:rStyle w:val="SpecialCharTok"/>
        </w:rPr>
        <w:t xml:space="preserve">+</w:t>
      </w:r>
      <w:r>
        <w:rPr>
          <w:rStyle w:val="NormalTok"/>
        </w:rPr>
        <w:t xml:space="preserve"> Sex,</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w:t>
      </w:r>
    </w:p>
    <w:p>
      <w:pPr>
        <w:pStyle w:val="FirstParagraph"/>
      </w:pPr>
      <w:r>
        <w:t xml:space="preserve">En la especificación del modelo, el argumento</w:t>
      </w:r>
      <w:r>
        <w:t xml:space="preserve"> </w:t>
      </w:r>
      <w:r>
        <w:rPr>
          <w:rStyle w:val="VerbatimChar"/>
        </w:rPr>
        <w:t xml:space="preserve">formula = poor ~ Expenditure + Employment + Sex</w:t>
      </w:r>
      <w:r>
        <w:t xml:space="preserve"> </w:t>
      </w:r>
      <w:r>
        <w:t xml:space="preserve">define la relación entre la variable respuesta</w:t>
      </w:r>
      <w:r>
        <w:t xml:space="preserve"> </w:t>
      </w:r>
      <w:r>
        <w:rPr>
          <w:rStyle w:val="VerbatimChar"/>
        </w:rPr>
        <w:t xml:space="preserve">poor</w:t>
      </w:r>
      <w:r>
        <w:t xml:space="preserve"> </w:t>
      </w:r>
      <w:r>
        <w:t xml:space="preserve">y las covariables incluidas en el predictor lineal. Para las variables categóricas, la función genera automáticamente las variables indicadoras correspondientes y estima sus efectos con respecto a una categoría de referencia. Por su parte, el argumento</w:t>
      </w:r>
      <w:r>
        <w:t xml:space="preserve"> </w:t>
      </w:r>
      <w:r>
        <w:rPr>
          <w:rStyle w:val="VerbatimChar"/>
        </w:rPr>
        <w:t xml:space="preserve">design = survey_design</w:t>
      </w:r>
      <w:r>
        <w:t xml:space="preserve"> </w:t>
      </w:r>
      <w:r>
        <w:t xml:space="preserve">incorpora la información del diseño muestral. El objeto resultante,</w:t>
      </w:r>
      <w:r>
        <w:t xml:space="preserve"> </w:t>
      </w:r>
      <w:r>
        <w:rPr>
          <w:rStyle w:val="VerbatimChar"/>
        </w:rPr>
        <w:t xml:space="preserve">logit_model</w:t>
      </w:r>
      <w:r>
        <w:t xml:space="preserve">, contiene los parámetros estimados, sus medidas de precisión y las estadísticas necesarias para realizar inferencia sobre la relación entre la condición de pobreza y las variables explicativas consideradas en el modelo.</w:t>
      </w:r>
    </w:p>
    <w:p>
      <w:pPr>
        <w:pStyle w:val="BodyText"/>
      </w:pPr>
      <w:r>
        <w:t xml:space="preserve">Los resultados de la</w:t>
      </w:r>
      <w:r>
        <w:t xml:space="preserve"> </w:t>
      </w:r>
      <w:hyperlink w:anchor="tbl-ic-logistica">
        <w:r>
          <w:rPr>
            <w:rStyle w:val="Hyperlink"/>
          </w:rPr>
          <w:t xml:space="preserve">tabla 6.1</w:t>
        </w:r>
      </w:hyperlink>
      <w:r>
        <w:t xml:space="preserve"> </w:t>
      </w:r>
      <w:r>
        <w:t xml:space="preserve">muestran las estimaciones de los coeficientes de regresión, junto con sus errores estándar, intervalos de confianza y valores-</w:t>
      </w:r>
      <w:r>
        <w:rPr>
          <w:i/>
          <w:iCs/>
        </w:rPr>
        <w:t xml:space="preserve">p</w:t>
      </w:r>
      <w:r>
        <w:t xml:space="preserve">. Del modelo se deduce que un mayor nivel de gasto se asocia con una menor probabilidad de encontrarse en condición de pobreza. Asimismo, en comparación con la categoría de referencia (desocupados), tanto las personas inactivas como las ocupadas presentan una menor propensión a ser pobres, siendo este efecto más marcado entre estas últimas. En contraste, el sexo tiene una influencia muy reducida sobre la probabilidad de pobreza una vez controlado el efecto de las demás covariables incluidas en el modelo.</w:t>
      </w:r>
    </w:p>
    <w:p>
      <w:pPr>
        <w:pStyle w:val="SourceCode"/>
      </w:pPr>
      <w:r>
        <w:rPr>
          <w:rStyle w:val="NormalTok"/>
        </w:rPr>
        <w:t xml:space="preserve">logit_results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StringTok"/>
        </w:rPr>
        <w:t xml:space="preserve">"Parameter"</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9" w:name="tbl-ic-logistica"/>
          <w:p>
            <w:pPr>
              <w:jc w:val="center"/>
            </w:pPr>
            <w:pPr>
              <w:jc w:val="left"/>
              <w:spacing w:before="200"/>
              <w:pStyle w:val="ImageCaption"/>
            </w:pPr>
            <w:r>
              <w:t xml:space="preserve">Tabla 6.1: Intervalos de confianza al 95% para los parámetros del modelo logístico</w:t>
            </w:r>
          </w:p>
          <w:tbl>
            <w:tblPr>
              <w:tblStyle w:val="Table"/>
              <w:tblW w:type="pct" w:w="5000"/>
              <w:tblLayout w:type="fixed"/>
              <w:tblLook w:firstRow="1" w:lastRow="0" w:firstColumn="0" w:lastColumn="0" w:noHBand="0" w:noVBand="0" w:val="0020"/>
            </w:tblPr>
            <w:tblGrid>
              <w:gridCol w:w="931"/>
              <w:gridCol w:w="1770"/>
              <w:gridCol w:w="838"/>
              <w:gridCol w:w="931"/>
              <w:gridCol w:w="931"/>
              <w:gridCol w:w="745"/>
              <w:gridCol w:w="838"/>
              <w:gridCol w:w="931"/>
            </w:tblGrid>
            <w:tr>
              <w:trPr>
                <w:tblHeader w:val="on"/>
              </w:trPr>
              <w:tc>
                <w:tcPr/>
                <w:p>
                  <w:pPr>
                    <w:pStyle w:val="Compact"/>
                    <w:jc w:val="left"/>
                    <w:jc w:val="center"/>
                  </w:pPr>
                  <w:r>
                    <w:t xml:space="preserve">Parameter</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1</w:t>
                  </w:r>
                </w:p>
              </w:tc>
              <w:tc>
                <w:tcPr/>
                <w:p>
                  <w:pPr>
                    <w:pStyle w:val="Compact"/>
                    <w:jc w:val="left"/>
                    <w:jc w:val="center"/>
                  </w:pPr>
                  <w:r>
                    <w:t xml:space="preserve">(Intercept)</w:t>
                  </w:r>
                </w:p>
              </w:tc>
              <w:tc>
                <w:tcPr/>
                <w:p>
                  <w:pPr>
                    <w:pStyle w:val="Compact"/>
                    <w:jc w:val="right"/>
                    <w:jc w:val="center"/>
                  </w:pPr>
                  <w:r>
                    <w:t xml:space="preserve">2.1877</w:t>
                  </w:r>
                </w:p>
              </w:tc>
              <w:tc>
                <w:tcPr/>
                <w:p>
                  <w:pPr>
                    <w:pStyle w:val="Compact"/>
                    <w:jc w:val="right"/>
                    <w:jc w:val="center"/>
                  </w:pPr>
                  <w:r>
                    <w:t xml:space="preserve">0.3731</w:t>
                  </w:r>
                </w:p>
              </w:tc>
              <w:tc>
                <w:tcPr/>
                <w:p>
                  <w:pPr>
                    <w:pStyle w:val="Compact"/>
                    <w:jc w:val="right"/>
                    <w:jc w:val="center"/>
                  </w:pPr>
                  <w:r>
                    <w:t xml:space="preserve">5.863</w:t>
                  </w:r>
                </w:p>
              </w:tc>
              <w:tc>
                <w:tcPr/>
                <w:p>
                  <w:pPr>
                    <w:pStyle w:val="Compact"/>
                    <w:jc w:val="right"/>
                    <w:jc w:val="center"/>
                  </w:pPr>
                  <w:r>
                    <w:t xml:space="preserve">0.0000</w:t>
                  </w:r>
                </w:p>
              </w:tc>
              <w:tc>
                <w:tcPr/>
                <w:p>
                  <w:pPr>
                    <w:pStyle w:val="Compact"/>
                    <w:jc w:val="right"/>
                    <w:jc w:val="center"/>
                  </w:pPr>
                  <w:r>
                    <w:t xml:space="preserve">1.449</w:t>
                  </w:r>
                </w:p>
              </w:tc>
              <w:tc>
                <w:tcPr/>
                <w:p>
                  <w:pPr>
                    <w:pStyle w:val="Compact"/>
                    <w:jc w:val="right"/>
                    <w:jc w:val="center"/>
                  </w:pPr>
                  <w:r>
                    <w:t xml:space="preserve">2.9269</w:t>
                  </w:r>
                </w:p>
              </w:tc>
            </w:tr>
            <w:tr>
              <w:tc>
                <w:tcPr/>
                <w:p>
                  <w:pPr>
                    <w:pStyle w:val="Compact"/>
                    <w:jc w:val="left"/>
                    <w:jc w:val="center"/>
                  </w:pPr>
                  <w:r>
                    <w:t xml:space="preserve">2</w:t>
                  </w:r>
                </w:p>
              </w:tc>
              <w:tc>
                <w:tcPr/>
                <w:p>
                  <w:pPr>
                    <w:pStyle w:val="Compact"/>
                    <w:jc w:val="left"/>
                    <w:jc w:val="center"/>
                  </w:pPr>
                  <w:r>
                    <w:t xml:space="preserve">Expenditure</w:t>
                  </w:r>
                </w:p>
              </w:tc>
              <w:tc>
                <w:tcPr/>
                <w:p>
                  <w:pPr>
                    <w:pStyle w:val="Compact"/>
                    <w:jc w:val="right"/>
                    <w:jc w:val="center"/>
                  </w:pPr>
                  <w:r>
                    <w:t xml:space="preserve">-0.0054</w:t>
                  </w:r>
                </w:p>
              </w:tc>
              <w:tc>
                <w:tcPr/>
                <w:p>
                  <w:pPr>
                    <w:pStyle w:val="Compact"/>
                    <w:jc w:val="right"/>
                    <w:jc w:val="center"/>
                  </w:pPr>
                  <w:r>
                    <w:t xml:space="preserve">0.0008</w:t>
                  </w:r>
                </w:p>
              </w:tc>
              <w:tc>
                <w:tcPr/>
                <w:p>
                  <w:pPr>
                    <w:pStyle w:val="Compact"/>
                    <w:jc w:val="right"/>
                    <w:jc w:val="center"/>
                  </w:pPr>
                  <w:r>
                    <w:t xml:space="preserve">-6.497</w:t>
                  </w:r>
                </w:p>
              </w:tc>
              <w:tc>
                <w:tcPr/>
                <w:p>
                  <w:pPr>
                    <w:pStyle w:val="Compact"/>
                    <w:jc w:val="right"/>
                    <w:jc w:val="center"/>
                  </w:pPr>
                  <w:r>
                    <w:t xml:space="preserve">0.0000</w:t>
                  </w:r>
                </w:p>
              </w:tc>
              <w:tc>
                <w:tcPr/>
                <w:p>
                  <w:pPr>
                    <w:pStyle w:val="Compact"/>
                    <w:jc w:val="right"/>
                    <w:jc w:val="center"/>
                  </w:pPr>
                  <w:r>
                    <w:t xml:space="preserve">-0.007</w:t>
                  </w:r>
                </w:p>
              </w:tc>
              <w:tc>
                <w:tcPr/>
                <w:p>
                  <w:pPr>
                    <w:pStyle w:val="Compact"/>
                    <w:jc w:val="right"/>
                    <w:jc w:val="center"/>
                  </w:pPr>
                  <w:r>
                    <w:t xml:space="preserve">-0.0038</w:t>
                  </w:r>
                </w:p>
              </w:tc>
            </w:tr>
            <w:tr>
              <w:tc>
                <w:tcPr/>
                <w:p>
                  <w:pPr>
                    <w:pStyle w:val="Compact"/>
                    <w:jc w:val="left"/>
                    <w:jc w:val="center"/>
                  </w:pPr>
                  <w:r>
                    <w:t xml:space="preserve">3</w:t>
                  </w:r>
                </w:p>
              </w:tc>
              <w:tc>
                <w:tcPr/>
                <w:p>
                  <w:pPr>
                    <w:pStyle w:val="Compact"/>
                    <w:jc w:val="left"/>
                    <w:jc w:val="center"/>
                  </w:pPr>
                  <w:r>
                    <w:t xml:space="preserve">EmploymentInactive</w:t>
                  </w:r>
                </w:p>
              </w:tc>
              <w:tc>
                <w:tcPr/>
                <w:p>
                  <w:pPr>
                    <w:pStyle w:val="Compact"/>
                    <w:jc w:val="right"/>
                    <w:jc w:val="center"/>
                  </w:pPr>
                  <w:r>
                    <w:t xml:space="preserve">-0.8634</w:t>
                  </w:r>
                </w:p>
              </w:tc>
              <w:tc>
                <w:tcPr/>
                <w:p>
                  <w:pPr>
                    <w:pStyle w:val="Compact"/>
                    <w:jc w:val="right"/>
                    <w:jc w:val="center"/>
                  </w:pPr>
                  <w:r>
                    <w:t xml:space="preserve">0.3811</w:t>
                  </w:r>
                </w:p>
              </w:tc>
              <w:tc>
                <w:tcPr/>
                <w:p>
                  <w:pPr>
                    <w:pStyle w:val="Compact"/>
                    <w:jc w:val="right"/>
                    <w:jc w:val="center"/>
                  </w:pPr>
                  <w:r>
                    <w:t xml:space="preserve">-2.266</w:t>
                  </w:r>
                </w:p>
              </w:tc>
              <w:tc>
                <w:tcPr/>
                <w:p>
                  <w:pPr>
                    <w:pStyle w:val="Compact"/>
                    <w:jc w:val="right"/>
                    <w:jc w:val="center"/>
                  </w:pPr>
                  <w:r>
                    <w:t xml:space="preserve">0.0253</w:t>
                  </w:r>
                </w:p>
              </w:tc>
              <w:tc>
                <w:tcPr/>
                <w:p>
                  <w:pPr>
                    <w:pStyle w:val="Compact"/>
                    <w:jc w:val="right"/>
                    <w:jc w:val="center"/>
                  </w:pPr>
                  <w:r>
                    <w:t xml:space="preserve">-1.618</w:t>
                  </w:r>
                </w:p>
              </w:tc>
              <w:tc>
                <w:tcPr/>
                <w:p>
                  <w:pPr>
                    <w:pStyle w:val="Compact"/>
                    <w:jc w:val="right"/>
                    <w:jc w:val="center"/>
                  </w:pPr>
                  <w:r>
                    <w:t xml:space="preserve">-0.1085</w:t>
                  </w:r>
                </w:p>
              </w:tc>
            </w:tr>
            <w:tr>
              <w:tc>
                <w:tcPr/>
                <w:p>
                  <w:pPr>
                    <w:pStyle w:val="Compact"/>
                    <w:jc w:val="left"/>
                    <w:jc w:val="center"/>
                  </w:pPr>
                  <w:r>
                    <w:t xml:space="preserve">4</w:t>
                  </w:r>
                </w:p>
              </w:tc>
              <w:tc>
                <w:tcPr/>
                <w:p>
                  <w:pPr>
                    <w:pStyle w:val="Compact"/>
                    <w:jc w:val="left"/>
                    <w:jc w:val="center"/>
                  </w:pPr>
                  <w:r>
                    <w:t xml:space="preserve">EmploymentEmployed</w:t>
                  </w:r>
                </w:p>
              </w:tc>
              <w:tc>
                <w:tcPr/>
                <w:p>
                  <w:pPr>
                    <w:pStyle w:val="Compact"/>
                    <w:jc w:val="right"/>
                    <w:jc w:val="center"/>
                  </w:pPr>
                  <w:r>
                    <w:t xml:space="preserve">-1.4069</w:t>
                  </w:r>
                </w:p>
              </w:tc>
              <w:tc>
                <w:tcPr/>
                <w:p>
                  <w:pPr>
                    <w:pStyle w:val="Compact"/>
                    <w:jc w:val="right"/>
                    <w:jc w:val="center"/>
                  </w:pPr>
                  <w:r>
                    <w:t xml:space="preserve">0.3381</w:t>
                  </w:r>
                </w:p>
              </w:tc>
              <w:tc>
                <w:tcPr/>
                <w:p>
                  <w:pPr>
                    <w:pStyle w:val="Compact"/>
                    <w:jc w:val="right"/>
                    <w:jc w:val="center"/>
                  </w:pPr>
                  <w:r>
                    <w:t xml:space="preserve">-4.161</w:t>
                  </w:r>
                </w:p>
              </w:tc>
              <w:tc>
                <w:tcPr/>
                <w:p>
                  <w:pPr>
                    <w:pStyle w:val="Compact"/>
                    <w:jc w:val="right"/>
                    <w:jc w:val="center"/>
                  </w:pPr>
                  <w:r>
                    <w:t xml:space="preserve">0.0001</w:t>
                  </w:r>
                </w:p>
              </w:tc>
              <w:tc>
                <w:tcPr/>
                <w:p>
                  <w:pPr>
                    <w:pStyle w:val="Compact"/>
                    <w:jc w:val="right"/>
                    <w:jc w:val="center"/>
                  </w:pPr>
                  <w:r>
                    <w:t xml:space="preserve">-2.077</w:t>
                  </w:r>
                </w:p>
              </w:tc>
              <w:tc>
                <w:tcPr/>
                <w:p>
                  <w:pPr>
                    <w:pStyle w:val="Compact"/>
                    <w:jc w:val="right"/>
                    <w:jc w:val="center"/>
                  </w:pPr>
                  <w:r>
                    <w:t xml:space="preserve">-0.7371</w:t>
                  </w:r>
                </w:p>
              </w:tc>
            </w:tr>
            <w:tr>
              <w:tc>
                <w:tcPr/>
                <w:p>
                  <w:pPr>
                    <w:pStyle w:val="Compact"/>
                    <w:jc w:val="left"/>
                    <w:jc w:val="center"/>
                  </w:pPr>
                  <w:r>
                    <w:t xml:space="preserve">5</w:t>
                  </w:r>
                </w:p>
              </w:tc>
              <w:tc>
                <w:tcPr/>
                <w:p>
                  <w:pPr>
                    <w:pStyle w:val="Compact"/>
                    <w:jc w:val="left"/>
                    <w:jc w:val="center"/>
                  </w:pPr>
                  <w:r>
                    <w:t xml:space="preserve">SexMale</w:t>
                  </w:r>
                </w:p>
              </w:tc>
              <w:tc>
                <w:tcPr/>
                <w:p>
                  <w:pPr>
                    <w:pStyle w:val="Compact"/>
                    <w:jc w:val="right"/>
                    <w:jc w:val="center"/>
                  </w:pPr>
                  <w:r>
                    <w:t xml:space="preserve">0.0025</w:t>
                  </w:r>
                </w:p>
              </w:tc>
              <w:tc>
                <w:tcPr/>
                <w:p>
                  <w:pPr>
                    <w:pStyle w:val="Compact"/>
                    <w:jc w:val="right"/>
                    <w:jc w:val="center"/>
                  </w:pPr>
                  <w:r>
                    <w:t xml:space="preserve">0.1573</w:t>
                  </w:r>
                </w:p>
              </w:tc>
              <w:tc>
                <w:tcPr/>
                <w:p>
                  <w:pPr>
                    <w:pStyle w:val="Compact"/>
                    <w:jc w:val="right"/>
                    <w:jc w:val="center"/>
                  </w:pPr>
                  <w:r>
                    <w:t xml:space="preserve">0.016</w:t>
                  </w:r>
                </w:p>
              </w:tc>
              <w:tc>
                <w:tcPr/>
                <w:p>
                  <w:pPr>
                    <w:pStyle w:val="Compact"/>
                    <w:jc w:val="right"/>
                    <w:jc w:val="center"/>
                  </w:pPr>
                  <w:r>
                    <w:t xml:space="preserve">0.9873</w:t>
                  </w:r>
                </w:p>
              </w:tc>
              <w:tc>
                <w:tcPr/>
                <w:p>
                  <w:pPr>
                    <w:pStyle w:val="Compact"/>
                    <w:jc w:val="right"/>
                    <w:jc w:val="center"/>
                  </w:pPr>
                  <w:r>
                    <w:t xml:space="preserve">-0.309</w:t>
                  </w:r>
                </w:p>
              </w:tc>
              <w:tc>
                <w:tcPr/>
                <w:p>
                  <w:pPr>
                    <w:pStyle w:val="Compact"/>
                    <w:jc w:val="right"/>
                    <w:jc w:val="center"/>
                  </w:pPr>
                  <w:r>
                    <w:t xml:space="preserve">0.3141</w:t>
                  </w:r>
                </w:p>
              </w:tc>
            </w:tr>
          </w:tbl>
          <w:bookmarkEnd w:id="219"/>
          <w:p/>
        </w:tc>
      </w:tr>
    </w:tbl>
    <w:p>
      <w:pPr>
        <w:pStyle w:val="BodyText"/>
      </w:pPr>
      <w:r>
        <w:t xml:space="preserve">La</w:t>
      </w:r>
      <w:r>
        <w:t xml:space="preserve"> </w:t>
      </w:r>
      <w:hyperlink w:anchor="fig-logistica-base">
        <w:r>
          <w:rPr>
            <w:rStyle w:val="Hyperlink"/>
          </w:rPr>
          <w:t xml:space="preserve">figura 6.1</w:t>
        </w:r>
      </w:hyperlink>
      <w:r>
        <w:t xml:space="preserve"> </w:t>
      </w:r>
      <w:r>
        <w:t xml:space="preserve">presenta la distribución de los estimadores de los coeficientes de regresión. Se observa que, para todas las covariables excepto el sexo, los intervalos de confianza no incluyen el valor cero, lo que proporciona evidencia de una asociación estadísticamente significativa. En contraste, el intervalo de confianza asociado a la variable sexo contiene el valor cero, por lo que no se encuentra evidencia suficiente para concluir que esta variable tenga un efecto significativo una vez controladas las demás covariables incluidas en el modelo.</w:t>
      </w:r>
    </w:p>
    <w:p>
      <w:pPr>
        <w:pStyle w:val="BodyText"/>
      </w:pPr>
      <w:r>
        <w:t xml:space="preserve">De acuerdo con</w:t>
      </w:r>
      <w:r>
        <w:t xml:space="preserve"> </w:t>
      </w:r>
      <w:r>
        <w:t xml:space="preserve">Henry et al. (2024)</w:t>
      </w:r>
      <w:r>
        <w:t xml:space="preserve"> </w:t>
      </w:r>
      <w:r>
        <w:t xml:space="preserve">y</w:t>
      </w:r>
      <w:r>
        <w:t xml:space="preserve"> </w:t>
      </w:r>
      <w:r>
        <w:t xml:space="preserve">Long (2026b)</w:t>
      </w:r>
      <w:r>
        <w:t xml:space="preserve">, para visualizar la distribución de los coeficientes se emplea</w:t>
      </w:r>
      <w:r>
        <w:t xml:space="preserve"> </w:t>
      </w:r>
      <w:r>
        <w:rPr>
          <w:rStyle w:val="VerbatimChar"/>
        </w:rPr>
        <w:t xml:space="preserve">ggstance</w:t>
      </w:r>
      <w:r>
        <w:t xml:space="preserve"> </w:t>
      </w:r>
      <w:r>
        <w:t xml:space="preserve">para la geometría horizontal de los intervalos, junto con</w:t>
      </w:r>
      <w:r>
        <w:t xml:space="preserve"> </w:t>
      </w:r>
      <w:r>
        <w:rPr>
          <w:rStyle w:val="VerbatimChar"/>
        </w:rPr>
        <w:t xml:space="preserve">plot_summs()</w:t>
      </w:r>
      <w:r>
        <w:t xml:space="preserve"> </w:t>
      </w:r>
      <w:r>
        <w:t xml:space="preserve">del paquete</w:t>
      </w:r>
      <w:r>
        <w:t xml:space="preserve"> </w:t>
      </w:r>
      <w:r>
        <w:rPr>
          <w:rStyle w:val="VerbatimChar"/>
        </w:rPr>
        <w:t xml:space="preserve">jtools</w:t>
      </w:r>
      <w:r>
        <w:t xml:space="preserve">.</w:t>
      </w:r>
    </w:p>
    <w:p>
      <w:pPr>
        <w:pStyle w:val="SourceCode"/>
      </w:pPr>
      <w:r>
        <w:rPr>
          <w:rStyle w:val="FunctionTok"/>
        </w:rPr>
        <w:t xml:space="preserve">library</w:t>
      </w:r>
      <w:r>
        <w:rPr>
          <w:rStyle w:val="NormalTok"/>
        </w:rPr>
        <w:t xml:space="preserve">(ggstance)</w:t>
      </w:r>
      <w:r>
        <w:br/>
      </w:r>
      <w:r>
        <w:rPr>
          <w:rStyle w:val="FunctionTok"/>
        </w:rPr>
        <w:t xml:space="preserve">plot_summs</w:t>
      </w:r>
      <w:r>
        <w:rPr>
          <w:rStyle w:val="NormalTok"/>
        </w:rPr>
        <w:t xml:space="preserve">(logit_model,</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plot.distributions =</w:t>
      </w:r>
      <w:r>
        <w:rPr>
          <w:rStyle w:val="NormalTok"/>
        </w:rPr>
        <w:t xml:space="preserve"> </w:t>
      </w:r>
      <w:r>
        <w:rPr>
          <w:rStyle w:val="ConstantTok"/>
        </w:rPr>
        <w:t xml:space="preserve">TRUE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3" w:name="fig-logistica-base"/>
          <w:p>
            <w:pPr>
              <w:pStyle w:val="Compact"/>
              <w:jc w:val="center"/>
            </w:pPr>
            <w:r>
              <w:drawing>
                <wp:inline>
                  <wp:extent cx="4267200" cy="2844800"/>
                  <wp:effectExtent b="0" l="0" r="0" t="0"/>
                  <wp:docPr descr="" title="" id="221" name="Picture"/>
                  <a:graphic>
                    <a:graphicData uri="http://schemas.openxmlformats.org/drawingml/2006/picture">
                      <pic:pic>
                        <pic:nvPicPr>
                          <pic:cNvPr descr="chapters/../figures/fig-logistica-base-1.png" id="222" name="Picture"/>
                          <pic:cNvPicPr>
                            <a:picLocks noChangeArrowheads="1" noChangeAspect="1"/>
                          </pic:cNvPicPr>
                        </pic:nvPicPr>
                        <pic:blipFill>
                          <a:blip r:embed="rId220"/>
                          <a:stretch>
                            <a:fillRect/>
                          </a:stretch>
                        </pic:blipFill>
                        <pic:spPr bwMode="auto">
                          <a:xfrm>
                            <a:off x="0" y="0"/>
                            <a:ext cx="4267200" cy="2844800"/>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Distribución de los parámetros del modelo logístico base</w:t>
            </w:r>
          </w:p>
          <w:bookmarkEnd w:id="223"/>
        </w:tc>
      </w:tr>
    </w:tbl>
    <w:p>
      <w:pPr>
        <w:pStyle w:val="BodyText"/>
      </w:pPr>
      <w:r>
        <w:t xml:space="preserve">El modelo puede ampliarse incorporando términos de interacción para evaluar si el efecto de una variable explicativa depende de los valores que toma otra. En este caso, se incluye una interacción entre el sexo y la situación laboral mediante el término</w:t>
      </w:r>
      <w:r>
        <w:t xml:space="preserve"> </w:t>
      </w:r>
      <w:r>
        <w:rPr>
          <w:rStyle w:val="VerbatimChar"/>
        </w:rPr>
        <w:t xml:space="preserve">Sex:Employment</w:t>
      </w:r>
      <w:r>
        <w:t xml:space="preserve">, con el objetivo de analizar si la relación entre el estado ocupacional y la probabilidad de pobreza es la misma para hombres y mujeres. Sin este término, el modelo asume que el efecto de la situación laboral sobre la pobreza es idéntico para ambos sexos. En cambio, al incorporar la interacción, se permite que dicho efecto varíe entre hombres y mujeres, capturando posibles diferencias en la forma en que la condición laboral se asocia con la pobreza en cada grupo. Los resultados del modelo ajustado se presentan en la</w:t>
      </w:r>
      <w:r>
        <w:t xml:space="preserve"> </w:t>
      </w:r>
      <w:hyperlink w:anchor="tbl-logistica-interaccion">
        <w:r>
          <w:rPr>
            <w:rStyle w:val="Hyperlink"/>
          </w:rPr>
          <w:t xml:space="preserve">tabla 6.2</w:t>
        </w:r>
      </w:hyperlink>
      <w:r>
        <w:t xml:space="preserve">.</w:t>
      </w:r>
    </w:p>
    <w:p>
      <w:pPr>
        <w:pStyle w:val="SourceCode"/>
      </w:pPr>
      <w:r>
        <w:rPr>
          <w:rStyle w:val="NormalTok"/>
        </w:rPr>
        <w:t xml:space="preserve">interaction_logit_model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w:t>
      </w:r>
      <w:r>
        <w:rPr>
          <w:rStyle w:val="AttributeTok"/>
        </w:rPr>
        <w:t xml:space="preserve">formula =</w:t>
      </w:r>
      <w:r>
        <w:rPr>
          <w:rStyle w:val="NormalTok"/>
        </w:rPr>
        <w:t xml:space="preserve"> poor </w:t>
      </w:r>
      <w:r>
        <w:rPr>
          <w:rStyle w:val="SpecialCharTok"/>
        </w:rPr>
        <w:t xml:space="preserve">~</w:t>
      </w:r>
      <w:r>
        <w:rPr>
          <w:rStyle w:val="NormalTok"/>
        </w:rPr>
        <w:t xml:space="preserve"> Expenditure </w:t>
      </w:r>
      <w:r>
        <w:rPr>
          <w:rStyle w:val="SpecialCharTok"/>
        </w:rPr>
        <w:t xml:space="preserve">+</w:t>
      </w:r>
      <w:r>
        <w:rPr>
          <w:rStyle w:val="NormalTok"/>
        </w:rPr>
        <w:t xml:space="preserve"> Employment </w:t>
      </w:r>
      <w:r>
        <w:rPr>
          <w:rStyle w:val="SpecialCharTok"/>
        </w:rPr>
        <w:t xml:space="preserve">+</w:t>
      </w:r>
      <w:r>
        <w:rPr>
          <w:rStyle w:val="NormalTok"/>
        </w:rPr>
        <w:t xml:space="preserve"> Sex </w:t>
      </w:r>
      <w:r>
        <w:rPr>
          <w:rStyle w:val="SpecialCharTok"/>
        </w:rPr>
        <w:t xml:space="preserve">+</w:t>
      </w:r>
      <w:r>
        <w:rPr>
          <w:rStyle w:val="NormalTok"/>
        </w:rPr>
        <w:t xml:space="preserve"> Sex</w:t>
      </w:r>
      <w:r>
        <w:rPr>
          <w:rStyle w:val="SpecialCharTok"/>
        </w:rPr>
        <w:t xml:space="preserve">:</w:t>
      </w:r>
      <w:r>
        <w:rPr>
          <w:rStyle w:val="NormalTok"/>
        </w:rPr>
        <w:t xml:space="preserve">Employment,</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design =</w:t>
      </w:r>
      <w:r>
        <w:rPr>
          <w:rStyle w:val="NormalTok"/>
        </w:rPr>
        <w:t xml:space="preserve"> survey_design</w:t>
      </w:r>
      <w:r>
        <w:br/>
      </w:r>
      <w:r>
        <w:rPr>
          <w:rStyle w:val="NormalTok"/>
        </w:rPr>
        <w:t xml:space="preserve">)</w:t>
      </w:r>
    </w:p>
    <w:p>
      <w:pPr>
        <w:pStyle w:val="SourceCode"/>
      </w:pPr>
      <w:r>
        <w:rPr>
          <w:rStyle w:val="NormalTok"/>
        </w:rPr>
        <w:t xml:space="preserve">interaction_logit_results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4" w:name="tbl-logistica-interaccion"/>
          <w:p>
            <w:pPr>
              <w:jc w:val="center"/>
            </w:pPr>
            <w:pPr>
              <w:jc w:val="left"/>
              <w:spacing w:before="200"/>
              <w:pStyle w:val="ImageCaption"/>
            </w:pPr>
            <w:r>
              <w:t xml:space="preserve">Tabla 6.2: Coeficientes del modelo logístico con interacciones</w:t>
            </w:r>
          </w:p>
          <w:tbl>
            <w:tblPr>
              <w:tblStyle w:val="Table"/>
              <w:tblW w:type="pct" w:w="5000"/>
              <w:tblLayout w:type="fixed"/>
              <w:tblLook w:firstRow="1" w:lastRow="0" w:firstColumn="0" w:lastColumn="0" w:noHBand="0" w:noVBand="0" w:val="0020"/>
            </w:tblPr>
            <w:tblGrid>
              <w:gridCol w:w="2576"/>
              <w:gridCol w:w="858"/>
              <w:gridCol w:w="954"/>
              <w:gridCol w:w="954"/>
              <w:gridCol w:w="763"/>
              <w:gridCol w:w="858"/>
              <w:gridCol w:w="95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(Intercept)</w:t>
                  </w:r>
                </w:p>
              </w:tc>
              <w:tc>
                <w:tcPr/>
                <w:p>
                  <w:pPr>
                    <w:pStyle w:val="Compact"/>
                    <w:jc w:val="right"/>
                    <w:jc w:val="center"/>
                  </w:pPr>
                  <w:r>
                    <w:t xml:space="preserve">1.7698</w:t>
                  </w:r>
                </w:p>
              </w:tc>
              <w:tc>
                <w:tcPr/>
                <w:p>
                  <w:pPr>
                    <w:pStyle w:val="Compact"/>
                    <w:jc w:val="right"/>
                    <w:jc w:val="center"/>
                  </w:pPr>
                  <w:r>
                    <w:t xml:space="preserve">0.6103</w:t>
                  </w:r>
                </w:p>
              </w:tc>
              <w:tc>
                <w:tcPr/>
                <w:p>
                  <w:pPr>
                    <w:pStyle w:val="Compact"/>
                    <w:jc w:val="right"/>
                    <w:jc w:val="center"/>
                  </w:pPr>
                  <w:r>
                    <w:t xml:space="preserve">2.8996</w:t>
                  </w:r>
                </w:p>
              </w:tc>
              <w:tc>
                <w:tcPr/>
                <w:p>
                  <w:pPr>
                    <w:pStyle w:val="Compact"/>
                    <w:jc w:val="right"/>
                    <w:jc w:val="center"/>
                  </w:pPr>
                  <w:r>
                    <w:t xml:space="preserve">0.0045</w:t>
                  </w:r>
                </w:p>
              </w:tc>
              <w:tc>
                <w:tcPr/>
                <w:p>
                  <w:pPr>
                    <w:pStyle w:val="Compact"/>
                    <w:jc w:val="right"/>
                    <w:jc w:val="center"/>
                  </w:pPr>
                  <w:r>
                    <w:t xml:space="preserve">0.5606</w:t>
                  </w:r>
                </w:p>
              </w:tc>
              <w:tc>
                <w:tcPr/>
                <w:p>
                  <w:pPr>
                    <w:pStyle w:val="Compact"/>
                    <w:jc w:val="right"/>
                    <w:jc w:val="center"/>
                  </w:pPr>
                  <w:r>
                    <w:t xml:space="preserve">2.9790</w:t>
                  </w:r>
                </w:p>
              </w:tc>
            </w:tr>
            <w:tr>
              <w:tc>
                <w:tcPr/>
                <w:p>
                  <w:pPr>
                    <w:pStyle w:val="Compact"/>
                    <w:jc w:val="left"/>
                    <w:jc w:val="center"/>
                  </w:pPr>
                  <w:r>
                    <w:t xml:space="preserve">Expenditure</w:t>
                  </w:r>
                </w:p>
              </w:tc>
              <w:tc>
                <w:tcPr/>
                <w:p>
                  <w:pPr>
                    <w:pStyle w:val="Compact"/>
                    <w:jc w:val="right"/>
                    <w:jc w:val="center"/>
                  </w:pPr>
                  <w:r>
                    <w:t xml:space="preserve">-0.0054</w:t>
                  </w:r>
                </w:p>
              </w:tc>
              <w:tc>
                <w:tcPr/>
                <w:p>
                  <w:pPr>
                    <w:pStyle w:val="Compact"/>
                    <w:jc w:val="right"/>
                    <w:jc w:val="center"/>
                  </w:pPr>
                  <w:r>
                    <w:t xml:space="preserve">0.0008</w:t>
                  </w:r>
                </w:p>
              </w:tc>
              <w:tc>
                <w:tcPr/>
                <w:p>
                  <w:pPr>
                    <w:pStyle w:val="Compact"/>
                    <w:jc w:val="right"/>
                    <w:jc w:val="center"/>
                  </w:pPr>
                  <w:r>
                    <w:t xml:space="preserve">-6.4726</w:t>
                  </w:r>
                </w:p>
              </w:tc>
              <w:tc>
                <w:tcPr/>
                <w:p>
                  <w:pPr>
                    <w:pStyle w:val="Compact"/>
                    <w:jc w:val="right"/>
                    <w:jc w:val="center"/>
                  </w:pPr>
                  <w:r>
                    <w:t xml:space="preserve">0.0000</w:t>
                  </w:r>
                </w:p>
              </w:tc>
              <w:tc>
                <w:tcPr/>
                <w:p>
                  <w:pPr>
                    <w:pStyle w:val="Compact"/>
                    <w:jc w:val="right"/>
                    <w:jc w:val="center"/>
                  </w:pPr>
                  <w:r>
                    <w:t xml:space="preserve">-0.0070</w:t>
                  </w:r>
                </w:p>
              </w:tc>
              <w:tc>
                <w:tcPr/>
                <w:p>
                  <w:pPr>
                    <w:pStyle w:val="Compact"/>
                    <w:jc w:val="right"/>
                    <w:jc w:val="center"/>
                  </w:pPr>
                  <w:r>
                    <w:t xml:space="preserve">-0.0037</w:t>
                  </w:r>
                </w:p>
              </w:tc>
            </w:tr>
            <w:tr>
              <w:tc>
                <w:tcPr/>
                <w:p>
                  <w:pPr>
                    <w:pStyle w:val="Compact"/>
                    <w:jc w:val="left"/>
                    <w:jc w:val="center"/>
                  </w:pPr>
                  <w:r>
                    <w:t xml:space="preserve">EmploymentInactive</w:t>
                  </w:r>
                </w:p>
              </w:tc>
              <w:tc>
                <w:tcPr/>
                <w:p>
                  <w:pPr>
                    <w:pStyle w:val="Compact"/>
                    <w:jc w:val="right"/>
                    <w:jc w:val="center"/>
                  </w:pPr>
                  <w:r>
                    <w:t xml:space="preserve">-0.3952</w:t>
                  </w:r>
                </w:p>
              </w:tc>
              <w:tc>
                <w:tcPr/>
                <w:p>
                  <w:pPr>
                    <w:pStyle w:val="Compact"/>
                    <w:jc w:val="right"/>
                    <w:jc w:val="center"/>
                  </w:pPr>
                  <w:r>
                    <w:t xml:space="preserve">0.5941</w:t>
                  </w:r>
                </w:p>
              </w:tc>
              <w:tc>
                <w:tcPr/>
                <w:p>
                  <w:pPr>
                    <w:pStyle w:val="Compact"/>
                    <w:jc w:val="right"/>
                    <w:jc w:val="center"/>
                  </w:pPr>
                  <w:r>
                    <w:t xml:space="preserve">-0.6652</w:t>
                  </w:r>
                </w:p>
              </w:tc>
              <w:tc>
                <w:tcPr/>
                <w:p>
                  <w:pPr>
                    <w:pStyle w:val="Compact"/>
                    <w:jc w:val="right"/>
                    <w:jc w:val="center"/>
                  </w:pPr>
                  <w:r>
                    <w:t xml:space="preserve">0.5072</w:t>
                  </w:r>
                </w:p>
              </w:tc>
              <w:tc>
                <w:tcPr/>
                <w:p>
                  <w:pPr>
                    <w:pStyle w:val="Compact"/>
                    <w:jc w:val="right"/>
                    <w:jc w:val="center"/>
                  </w:pPr>
                  <w:r>
                    <w:t xml:space="preserve">-1.5721</w:t>
                  </w:r>
                </w:p>
              </w:tc>
              <w:tc>
                <w:tcPr/>
                <w:p>
                  <w:pPr>
                    <w:pStyle w:val="Compact"/>
                    <w:jc w:val="right"/>
                    <w:jc w:val="center"/>
                  </w:pPr>
                  <w:r>
                    <w:t xml:space="preserve">0.7817</w:t>
                  </w:r>
                </w:p>
              </w:tc>
            </w:tr>
            <w:tr>
              <w:tc>
                <w:tcPr/>
                <w:p>
                  <w:pPr>
                    <w:pStyle w:val="Compact"/>
                    <w:jc w:val="left"/>
                    <w:jc w:val="center"/>
                  </w:pPr>
                  <w:r>
                    <w:t xml:space="preserve">EmploymentEmployed</w:t>
                  </w:r>
                </w:p>
              </w:tc>
              <w:tc>
                <w:tcPr/>
                <w:p>
                  <w:pPr>
                    <w:pStyle w:val="Compact"/>
                    <w:jc w:val="right"/>
                    <w:jc w:val="center"/>
                  </w:pPr>
                  <w:r>
                    <w:t xml:space="preserve">-1.0593</w:t>
                  </w:r>
                </w:p>
              </w:tc>
              <w:tc>
                <w:tcPr/>
                <w:p>
                  <w:pPr>
                    <w:pStyle w:val="Compact"/>
                    <w:jc w:val="right"/>
                    <w:jc w:val="center"/>
                  </w:pPr>
                  <w:r>
                    <w:t xml:space="preserve">0.5696</w:t>
                  </w:r>
                </w:p>
              </w:tc>
              <w:tc>
                <w:tcPr/>
                <w:p>
                  <w:pPr>
                    <w:pStyle w:val="Compact"/>
                    <w:jc w:val="right"/>
                    <w:jc w:val="center"/>
                  </w:pPr>
                  <w:r>
                    <w:t xml:space="preserve">-1.8599</w:t>
                  </w:r>
                </w:p>
              </w:tc>
              <w:tc>
                <w:tcPr/>
                <w:p>
                  <w:pPr>
                    <w:pStyle w:val="Compact"/>
                    <w:jc w:val="right"/>
                    <w:jc w:val="center"/>
                  </w:pPr>
                  <w:r>
                    <w:t xml:space="preserve">0.0655</w:t>
                  </w:r>
                </w:p>
              </w:tc>
              <w:tc>
                <w:tcPr/>
                <w:p>
                  <w:pPr>
                    <w:pStyle w:val="Compact"/>
                    <w:jc w:val="right"/>
                    <w:jc w:val="center"/>
                  </w:pPr>
                  <w:r>
                    <w:t xml:space="preserve">-2.1877</w:t>
                  </w:r>
                </w:p>
              </w:tc>
              <w:tc>
                <w:tcPr/>
                <w:p>
                  <w:pPr>
                    <w:pStyle w:val="Compact"/>
                    <w:jc w:val="right"/>
                    <w:jc w:val="center"/>
                  </w:pPr>
                  <w:r>
                    <w:t xml:space="preserve">0.0691</w:t>
                  </w:r>
                </w:p>
              </w:tc>
            </w:tr>
            <w:tr>
              <w:tc>
                <w:tcPr/>
                <w:p>
                  <w:pPr>
                    <w:pStyle w:val="Compact"/>
                    <w:jc w:val="left"/>
                    <w:jc w:val="center"/>
                  </w:pPr>
                  <w:r>
                    <w:t xml:space="preserve">SexMale</w:t>
                  </w:r>
                </w:p>
              </w:tc>
              <w:tc>
                <w:tcPr/>
                <w:p>
                  <w:pPr>
                    <w:pStyle w:val="Compact"/>
                    <w:jc w:val="right"/>
                    <w:jc w:val="center"/>
                  </w:pPr>
                  <w:r>
                    <w:t xml:space="preserve">0.5872</w:t>
                  </w:r>
                </w:p>
              </w:tc>
              <w:tc>
                <w:tcPr/>
                <w:p>
                  <w:pPr>
                    <w:pStyle w:val="Compact"/>
                    <w:jc w:val="right"/>
                    <w:jc w:val="center"/>
                  </w:pPr>
                  <w:r>
                    <w:t xml:space="preserve">0.7479</w:t>
                  </w:r>
                </w:p>
              </w:tc>
              <w:tc>
                <w:tcPr/>
                <w:p>
                  <w:pPr>
                    <w:pStyle w:val="Compact"/>
                    <w:jc w:val="right"/>
                    <w:jc w:val="center"/>
                  </w:pPr>
                  <w:r>
                    <w:t xml:space="preserve">0.7851</w:t>
                  </w:r>
                </w:p>
              </w:tc>
              <w:tc>
                <w:tcPr/>
                <w:p>
                  <w:pPr>
                    <w:pStyle w:val="Compact"/>
                    <w:jc w:val="right"/>
                    <w:jc w:val="center"/>
                  </w:pPr>
                  <w:r>
                    <w:t xml:space="preserve">0.4340</w:t>
                  </w:r>
                </w:p>
              </w:tc>
              <w:tc>
                <w:tcPr/>
                <w:p>
                  <w:pPr>
                    <w:pStyle w:val="Compact"/>
                    <w:jc w:val="right"/>
                    <w:jc w:val="center"/>
                  </w:pPr>
                  <w:r>
                    <w:t xml:space="preserve">-0.8945</w:t>
                  </w:r>
                </w:p>
              </w:tc>
              <w:tc>
                <w:tcPr/>
                <w:p>
                  <w:pPr>
                    <w:pStyle w:val="Compact"/>
                    <w:jc w:val="right"/>
                    <w:jc w:val="center"/>
                  </w:pPr>
                  <w:r>
                    <w:t xml:space="preserve">2.0689</w:t>
                  </w:r>
                </w:p>
              </w:tc>
            </w:tr>
            <w:tr>
              <w:tc>
                <w:tcPr/>
                <w:p>
                  <w:pPr>
                    <w:pStyle w:val="Compact"/>
                    <w:jc w:val="left"/>
                    <w:jc w:val="center"/>
                  </w:pPr>
                  <w:r>
                    <w:t xml:space="preserve">EmploymentInactive:SexMale</w:t>
                  </w:r>
                </w:p>
              </w:tc>
              <w:tc>
                <w:tcPr/>
                <w:p>
                  <w:pPr>
                    <w:pStyle w:val="Compact"/>
                    <w:jc w:val="right"/>
                    <w:jc w:val="center"/>
                  </w:pPr>
                  <w:r>
                    <w:t xml:space="preserve">-0.8465</w:t>
                  </w:r>
                </w:p>
              </w:tc>
              <w:tc>
                <w:tcPr/>
                <w:p>
                  <w:pPr>
                    <w:pStyle w:val="Compact"/>
                    <w:jc w:val="right"/>
                    <w:jc w:val="center"/>
                  </w:pPr>
                  <w:r>
                    <w:t xml:space="preserve">0.8600</w:t>
                  </w:r>
                </w:p>
              </w:tc>
              <w:tc>
                <w:tcPr/>
                <w:p>
                  <w:pPr>
                    <w:pStyle w:val="Compact"/>
                    <w:jc w:val="right"/>
                    <w:jc w:val="center"/>
                  </w:pPr>
                  <w:r>
                    <w:t xml:space="preserve">-0.9843</w:t>
                  </w:r>
                </w:p>
              </w:tc>
              <w:tc>
                <w:tcPr/>
                <w:p>
                  <w:pPr>
                    <w:pStyle w:val="Compact"/>
                    <w:jc w:val="right"/>
                    <w:jc w:val="center"/>
                  </w:pPr>
                  <w:r>
                    <w:t xml:space="preserve">0.3271</w:t>
                  </w:r>
                </w:p>
              </w:tc>
              <w:tc>
                <w:tcPr/>
                <w:p>
                  <w:pPr>
                    <w:pStyle w:val="Compact"/>
                    <w:jc w:val="right"/>
                    <w:jc w:val="center"/>
                  </w:pPr>
                  <w:r>
                    <w:t xml:space="preserve">-2.5503</w:t>
                  </w:r>
                </w:p>
              </w:tc>
              <w:tc>
                <w:tcPr/>
                <w:p>
                  <w:pPr>
                    <w:pStyle w:val="Compact"/>
                    <w:jc w:val="right"/>
                    <w:jc w:val="center"/>
                  </w:pPr>
                  <w:r>
                    <w:t xml:space="preserve">0.8573</w:t>
                  </w:r>
                </w:p>
              </w:tc>
            </w:tr>
            <w:tr>
              <w:tc>
                <w:tcPr/>
                <w:p>
                  <w:pPr>
                    <w:pStyle w:val="Compact"/>
                    <w:jc w:val="left"/>
                    <w:jc w:val="center"/>
                  </w:pPr>
                  <w:r>
                    <w:t xml:space="preserve">EmploymentEmployed:SexMale</w:t>
                  </w:r>
                </w:p>
              </w:tc>
              <w:tc>
                <w:tcPr/>
                <w:p>
                  <w:pPr>
                    <w:pStyle w:val="Compact"/>
                    <w:jc w:val="right"/>
                    <w:jc w:val="center"/>
                  </w:pPr>
                  <w:r>
                    <w:t xml:space="preserve">-0.4812</w:t>
                  </w:r>
                </w:p>
              </w:tc>
              <w:tc>
                <w:tcPr/>
                <w:p>
                  <w:pPr>
                    <w:pStyle w:val="Compact"/>
                    <w:jc w:val="right"/>
                    <w:jc w:val="center"/>
                  </w:pPr>
                  <w:r>
                    <w:t xml:space="preserve">0.7604</w:t>
                  </w:r>
                </w:p>
              </w:tc>
              <w:tc>
                <w:tcPr/>
                <w:p>
                  <w:pPr>
                    <w:pStyle w:val="Compact"/>
                    <w:jc w:val="right"/>
                    <w:jc w:val="center"/>
                  </w:pPr>
                  <w:r>
                    <w:t xml:space="preserve">-0.6328</w:t>
                  </w:r>
                </w:p>
              </w:tc>
              <w:tc>
                <w:tcPr/>
                <w:p>
                  <w:pPr>
                    <w:pStyle w:val="Compact"/>
                    <w:jc w:val="right"/>
                    <w:jc w:val="center"/>
                  </w:pPr>
                  <w:r>
                    <w:t xml:space="preserve">0.5281</w:t>
                  </w:r>
                </w:p>
              </w:tc>
              <w:tc>
                <w:tcPr/>
                <w:p>
                  <w:pPr>
                    <w:pStyle w:val="Compact"/>
                    <w:jc w:val="right"/>
                    <w:jc w:val="center"/>
                  </w:pPr>
                  <w:r>
                    <w:t xml:space="preserve">-1.9878</w:t>
                  </w:r>
                </w:p>
              </w:tc>
              <w:tc>
                <w:tcPr/>
                <w:p>
                  <w:pPr>
                    <w:pStyle w:val="Compact"/>
                    <w:jc w:val="right"/>
                    <w:jc w:val="center"/>
                  </w:pPr>
                  <w:r>
                    <w:t xml:space="preserve">1.0254</w:t>
                  </w:r>
                </w:p>
              </w:tc>
            </w:tr>
          </w:tbl>
          <w:bookmarkEnd w:id="224"/>
          <w:p/>
        </w:tc>
      </w:tr>
    </w:tbl>
    <w:p>
      <w:pPr>
        <w:pStyle w:val="BodyText"/>
      </w:pPr>
      <w:r>
        <w:t xml:space="preserve">Al incorporar la interacción entre sexo y situación laboral, el gasto continúa mostrando una asociación negativa y estadísticamente significativa con la probabilidad de pobreza, manteniéndose como la covariable con mayor evidencia explicativa dentro del modelo. En contraste, los efectos principales de la situación laboral pierden importancia estadística una vez que se incluyen los términos de interacción, lo que sugiere una mayor incertidumbre en la estimación de sus efectos. Por su parte, ni el efecto principal del sexo ni los coeficientes asociados a las interacciones entre sexo y situación laboral resultan estadísticamente significativos al nivel del 5%. Estos resultados individuales no bastan para afirmar que la interacción no aporta información; esa conclusión requiere una prueba conjunta de los términos de interacción ajustada al diseño.</w:t>
      </w:r>
    </w:p>
    <w:p>
      <w:pPr>
        <w:pStyle w:val="BodyText"/>
      </w:pPr>
      <w:r>
        <w:t xml:space="preserve">La</w:t>
      </w:r>
      <w:r>
        <w:t xml:space="preserve"> </w:t>
      </w:r>
      <w:hyperlink w:anchor="fig-comparacion-logistica">
        <w:r>
          <w:rPr>
            <w:rStyle w:val="Hyperlink"/>
          </w:rPr>
          <w:t xml:space="preserve">figura 6.2</w:t>
        </w:r>
      </w:hyperlink>
      <w:r>
        <w:t xml:space="preserve"> </w:t>
      </w:r>
      <w:r>
        <w:t xml:space="preserve">presenta una comparación de las estimaciones de los coeficientes y sus respectivos intervalos de confianza para los modelos con y sin interacción. Se observa que la incorporación de los términos de interacción incrementa la incertidumbre asociada a varios de los parámetros, lo que se refleja en intervalos de confianza más amplios. Asimismo, los coeficientes de interacción presentan estimaciones cercanas a cero y amplios intervalos de confianza que incluyen dicho valor, lo que coincide con la falta de evidencia estadística para concluir que el efecto de la situación laboral sobre la probabilidad de pobreza difiere entre hombres y mujeres.</w:t>
      </w:r>
    </w:p>
    <w:p>
      <w:pPr>
        <w:pStyle w:val="SourceCode"/>
      </w:pPr>
      <w:r>
        <w:rPr>
          <w:rStyle w:val="FunctionTok"/>
        </w:rPr>
        <w:t xml:space="preserve">plot_summs</w:t>
      </w:r>
      <w:r>
        <w:rPr>
          <w:rStyle w:val="NormalTok"/>
        </w:rPr>
        <w:t xml:space="preserve">(interaction_logit_model, logit_model,</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plot.distributions =</w:t>
      </w:r>
      <w:r>
        <w:rPr>
          <w:rStyle w:val="NormalTok"/>
        </w:rPr>
        <w:t xml:space="preserve"> </w:t>
      </w:r>
      <w:r>
        <w:rPr>
          <w:rStyle w:val="ConstantTok"/>
        </w:rPr>
        <w:t xml:space="preserve">TRUE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8" w:name="fig-comparacion-logistica"/>
          <w:p>
            <w:pPr>
              <w:pStyle w:val="Compact"/>
              <w:jc w:val="center"/>
            </w:pPr>
            <w:r>
              <w:drawing>
                <wp:inline>
                  <wp:extent cx="3733800" cy="2489200"/>
                  <wp:effectExtent b="0" l="0" r="0" t="0"/>
                  <wp:docPr descr="" title="" id="226" name="Picture"/>
                  <a:graphic>
                    <a:graphicData uri="http://schemas.openxmlformats.org/drawingml/2006/picture">
                      <pic:pic>
                        <pic:nvPicPr>
                          <pic:cNvPr descr="chapters/../figures/fig-comparacion-logistica-1.png" id="227" name="Picture"/>
                          <pic:cNvPicPr>
                            <a:picLocks noChangeArrowheads="1" noChangeAspect="1"/>
                          </pic:cNvPicPr>
                        </pic:nvPicPr>
                        <pic:blipFill>
                          <a:blip r:embed="rId225"/>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Comparación de los parámetros del modelo logístico con y sin interacciones</w:t>
            </w:r>
          </w:p>
          <w:bookmarkEnd w:id="228"/>
        </w:tc>
      </w:tr>
    </w:tbl>
    <w:bookmarkEnd w:id="229"/>
    <w:bookmarkStart w:id="237" w:name="sec-multinomial"/>
    <w:p>
      <w:pPr>
        <w:pStyle w:val="Heading2"/>
      </w:pPr>
      <w:r>
        <w:t xml:space="preserve">6.2 Modelo de regresión multinomial</w:t>
      </w:r>
    </w:p>
    <w:p>
      <w:pPr>
        <w:pStyle w:val="FirstParagraph"/>
      </w:pPr>
      <w:r>
        <w:t xml:space="preserve">De acuerdo con</w:t>
      </w:r>
      <w:r>
        <w:t xml:space="preserve"> </w:t>
      </w:r>
      <w:r>
        <w:t xml:space="preserve">McCullagh y Nelder (1989)</w:t>
      </w:r>
      <w:r>
        <w:t xml:space="preserve"> </w:t>
      </w:r>
      <w:r>
        <w:t xml:space="preserve">y</w:t>
      </w:r>
      <w:r>
        <w:t xml:space="preserve"> </w:t>
      </w:r>
      <w:r>
        <w:t xml:space="preserve">Agresti (2019)</w:t>
      </w:r>
      <w:r>
        <w:t xml:space="preserve">, en las encuestas de hogares es frecuente encontrar variables de respuesta con más de dos categorías, como la situación laboral, cuyos posibles estados incluyen empleado, desempleado e inactivo. Cuando estas categorías son mutuamente excluyentes y no poseen un orden natural, la regresión logística multinomial ofrece una herramienta adecuada para modelar su relación con un conjunto de covariables y puede entenderse como una extensión de la regresión logística binaria.</w:t>
      </w:r>
    </w:p>
    <w:p>
      <w:pPr>
        <w:pStyle w:val="BodyText"/>
      </w:pPr>
      <w:r>
        <w:t xml:space="preserve">Este modelo permite estimar la probabilidad de pertenecer a cada categoría de la variable respuesta en función de variables explicativas de naturaleza continua o categórica. Su aplicación requiere que las categorías de respuesta sean exhaustivas y mutuamente excluyentes y que no exista multicolinealidad severa entre las covariables. Además, para las covariables continuas, se asume una relación lineal entre estas y el logaritmo de las razones de probabilidades (</w:t>
      </w:r>
      <w:r>
        <w:rPr>
          <w:i/>
          <w:iCs/>
        </w:rPr>
        <w:t xml:space="preserve">log-odds</w:t>
      </w:r>
      <w:r>
        <w:t xml:space="preserve">) de cada categoría respecto a una categoría de referencia. El logit multinomial de categoría base también implica la independencia de alternativas irrelevantes, por lo que conviene valorar si ese supuesto es razonable para las categorías analizadas.</w:t>
      </w:r>
    </w:p>
    <w:p>
      <w:pPr>
        <w:pStyle w:val="BodyText"/>
      </w:pPr>
      <w:r>
        <w:t xml:space="preserve">El modelo logístico multinomial especifica, la probabilidad</w:t>
      </w:r>
      <w:r>
        <w:t xml:space="preserve"> </w:t>
      </w:r>
      <m:oMath>
        <m:sSub>
          <m:e>
            <m:r>
              <m:t>θ</m:t>
            </m:r>
          </m:e>
          <m:sub>
            <m:r>
              <m:t>k</m:t>
            </m:r>
            <m:r>
              <m:rPr>
                <m:sty m:val="p"/>
              </m:rPr>
              <m:t>(</m:t>
            </m:r>
            <m:r>
              <m:t>j</m:t>
            </m:r>
            <m:r>
              <m:rPr>
                <m:sty m:val="p"/>
              </m:rPr>
              <m:t>)</m:t>
            </m:r>
          </m:sub>
        </m:sSub>
      </m:oMath>
      <w:r>
        <w:t xml:space="preserve"> </w:t>
      </w:r>
      <w:r>
        <w:t xml:space="preserve">de que la unidad</w:t>
      </w:r>
      <w:r>
        <w:t xml:space="preserve"> </w:t>
      </w:r>
      <m:oMath>
        <m:r>
          <m:t>k</m:t>
        </m:r>
      </m:oMath>
      <w:r>
        <w:t xml:space="preserve"> </w:t>
      </w:r>
      <w:r>
        <w:t xml:space="preserve">pertenezca a la categoría</w:t>
      </w:r>
      <w:r>
        <w:t xml:space="preserve"> </w:t>
      </w:r>
      <m:oMath>
        <m:r>
          <m:t>j</m:t>
        </m:r>
      </m:oMath>
      <w:r>
        <w:t xml:space="preserve">, con</w:t>
      </w:r>
      <w:r>
        <w:t xml:space="preserve"> </w:t>
      </w:r>
      <m:oMath>
        <m:r>
          <m:t>j</m:t>
        </m:r>
        <m:r>
          <m:rPr>
            <m:sty m:val="p"/>
          </m:rPr>
          <m:t>=</m:t>
        </m:r>
        <m:r>
          <m:t>1</m:t>
        </m:r>
        <m:r>
          <m:rPr>
            <m:sty m:val="p"/>
          </m:rPr>
          <m:t>,</m:t>
        </m:r>
        <m:r>
          <m:rPr>
            <m:sty m:val="p"/>
          </m:rPr>
          <m:t>…</m:t>
        </m:r>
        <m:r>
          <m:rPr>
            <m:sty m:val="p"/>
          </m:rPr>
          <m:t>,</m:t>
        </m:r>
        <m:r>
          <m:t>J</m:t>
        </m:r>
      </m:oMath>
      <w:r>
        <w:t xml:space="preserve">, dado el vector de covariables</w:t>
      </w:r>
      <w:r>
        <w:t xml:space="preserve"> </w:t>
      </w:r>
      <m:oMath>
        <m:sSub>
          <m:e>
            <m:r>
              <m:rPr>
                <m:sty m:val="b"/>
              </m:rPr>
              <m:t>x</m:t>
            </m:r>
          </m:e>
          <m:sub>
            <m:r>
              <m:t>k</m:t>
            </m:r>
          </m:sub>
        </m:sSub>
      </m:oMath>
      <w:r>
        <w:t xml:space="preserve">, mediante la siguiente expresión:</w:t>
      </w:r>
    </w:p>
    <w:p>
      <w:pPr>
        <w:pStyle w:val="BodyText"/>
      </w:pPr>
      <m:oMathPara>
        <m:oMathParaPr>
          <m:jc m:val="center"/>
        </m:oMathParaPr>
        <m:oMath>
          <m:r>
            <m:t>P</m:t>
          </m:r>
          <m:r>
            <m:t>r</m:t>
          </m:r>
          <m:r>
            <m:rPr>
              <m:sty m:val="p"/>
            </m:rPr>
            <m:t>(</m:t>
          </m:r>
          <m:sSub>
            <m:e>
              <m:r>
                <m:t>Y</m:t>
              </m:r>
            </m:e>
            <m:sub>
              <m:r>
                <m:t>k</m:t>
              </m:r>
            </m:sub>
          </m:sSub>
          <m:r>
            <m:rPr>
              <m:sty m:val="p"/>
            </m:rPr>
            <m:t>=</m:t>
          </m:r>
          <m:r>
            <m:t>j</m:t>
          </m:r>
          <m:r>
            <m:rPr>
              <m:sty m:val="p"/>
            </m:rPr>
            <m:t>∣</m:t>
          </m:r>
          <m:sSub>
            <m:e>
              <m:r>
                <m:rPr>
                  <m:sty m:val="b"/>
                </m:rPr>
                <m:t>x</m:t>
              </m:r>
            </m:e>
            <m:sub>
              <m:r>
                <m:t>k</m:t>
              </m:r>
            </m:sub>
          </m:sSub>
          <m:r>
            <m:rPr>
              <m:sty m:val="p"/>
            </m:rPr>
            <m:t>)</m:t>
          </m:r>
          <m:r>
            <m:rPr>
              <m:sty m:val="p"/>
            </m:rPr>
            <m:t>=</m:t>
          </m:r>
          <m:sSub>
            <m:e>
              <m:r>
                <m:t>θ</m:t>
              </m:r>
            </m:e>
            <m:sub>
              <m:r>
                <m:t>k</m:t>
              </m:r>
              <m:r>
                <m:rPr>
                  <m:sty m:val="p"/>
                </m:rPr>
                <m:t>(</m:t>
              </m:r>
              <m:r>
                <m:t>j</m:t>
              </m:r>
              <m:r>
                <m:rPr>
                  <m:sty m:val="p"/>
                </m:rPr>
                <m:t>)</m:t>
              </m:r>
            </m:sub>
          </m:sSub>
          <m:r>
            <m:rPr>
              <m:sty m:val="p"/>
            </m:rPr>
            <m:t>=</m:t>
          </m:r>
          <m:f>
            <m:fPr>
              <m:type m:val="bar"/>
            </m:fPr>
            <m:num>
              <m:r>
                <m:rPr>
                  <m:sty m:val="p"/>
                </m:rPr>
                <m:t>exp</m:t>
              </m:r>
              <m:r>
                <m:rPr>
                  <m:sty m:val="p"/>
                </m:rPr>
                <m:t>(</m:t>
              </m:r>
              <m:sSub>
                <m:e>
                  <m:r>
                    <m:rPr>
                      <m:sty m:val="b"/>
                    </m:rPr>
                    <m:t>x</m:t>
                  </m:r>
                </m:e>
                <m:sub>
                  <m:r>
                    <m:t>k</m:t>
                  </m:r>
                </m:sub>
              </m:sSub>
              <m:sSub>
                <m:e>
                  <m:r>
                    <m:rPr>
                      <m:sty m:val="b"/>
                    </m:rPr>
                    <m:t>β</m:t>
                  </m:r>
                </m:e>
                <m:sub>
                  <m:r>
                    <m:t>j</m:t>
                  </m:r>
                </m:sub>
              </m:sSub>
              <m:r>
                <m:rPr>
                  <m:sty m:val="p"/>
                </m:rPr>
                <m:t>)</m:t>
              </m:r>
            </m:num>
            <m:den>
              <m:nary>
                <m:naryPr>
                  <m:chr m:val="∑"/>
                  <m:limLoc m:val="undOvr"/>
                  <m:subHide m:val="off"/>
                  <m:supHide m:val="off"/>
                </m:naryPr>
                <m:sub>
                  <m:r>
                    <m:t>l</m:t>
                  </m:r>
                  <m:r>
                    <m:rPr>
                      <m:sty m:val="p"/>
                    </m:rPr>
                    <m:t>=</m:t>
                  </m:r>
                  <m:r>
                    <m:t>1</m:t>
                  </m:r>
                </m:sub>
                <m:sup>
                  <m:r>
                    <m:t>J</m:t>
                  </m:r>
                </m:sup>
                <m:e>
                  <m:r>
                    <m:rPr>
                      <m:sty m:val="p"/>
                    </m:rPr>
                    <m:t>exp</m:t>
                  </m:r>
                </m:e>
              </m:nary>
              <m:r>
                <m:rPr>
                  <m:sty m:val="p"/>
                </m:rPr>
                <m:t>(</m:t>
              </m:r>
              <m:sSub>
                <m:e>
                  <m:r>
                    <m:rPr>
                      <m:sty m:val="b"/>
                    </m:rPr>
                    <m:t>x</m:t>
                  </m:r>
                </m:e>
                <m:sub>
                  <m:r>
                    <m:t>k</m:t>
                  </m:r>
                </m:sub>
              </m:sSub>
              <m:sSub>
                <m:e>
                  <m:r>
                    <m:rPr>
                      <m:sty m:val="b"/>
                    </m:rPr>
                    <m:t>β</m:t>
                  </m:r>
                </m:e>
                <m:sub>
                  <m:r>
                    <m:t>l</m:t>
                  </m:r>
                </m:sub>
              </m:sSub>
              <m:r>
                <m:rPr>
                  <m:sty m:val="p"/>
                </m:rPr>
                <m:t>)</m:t>
              </m:r>
            </m:den>
          </m:f>
        </m:oMath>
      </m:oMathPara>
    </w:p>
    <w:p>
      <w:pPr>
        <w:pStyle w:val="FirstParagraph"/>
      </w:pPr>
      <w:r>
        <w:t xml:space="preserve">En donde</w:t>
      </w:r>
      <w:r>
        <w:t xml:space="preserve"> </w:t>
      </w:r>
      <m:oMath>
        <m:sSub>
          <m:e>
            <m:r>
              <m:rPr>
                <m:sty m:val="b"/>
              </m:rPr>
              <m:t>β</m:t>
            </m:r>
          </m:e>
          <m:sub>
            <m:r>
              <m:t>j</m:t>
            </m:r>
          </m:sub>
        </m:sSub>
      </m:oMath>
      <w:r>
        <w:t xml:space="preserve"> </w:t>
      </w:r>
      <w:r>
        <w:t xml:space="preserve">es el vector de coeficientes de regresión para la</w:t>
      </w:r>
      <w:r>
        <w:t xml:space="preserve"> </w:t>
      </w:r>
      <m:oMath>
        <m:r>
          <m:t>j</m:t>
        </m:r>
      </m:oMath>
      <w:r>
        <w:t xml:space="preserve">-ésima categoría. Para identificar el modelo debe fijarse el vector de una categoría de referencia en cero; de ese modo, la expresión produce</w:t>
      </w:r>
      <w:r>
        <w:t xml:space="preserve"> </w:t>
      </w:r>
      <m:oMath>
        <m:r>
          <m:t>J</m:t>
        </m:r>
        <m:r>
          <m:rPr>
            <m:sty m:val="p"/>
          </m:rPr>
          <m:t>−</m:t>
        </m:r>
        <m:r>
          <m:t>1</m:t>
        </m:r>
      </m:oMath>
      <w:r>
        <w:t xml:space="preserve"> </w:t>
      </w:r>
      <w:r>
        <w:t xml:space="preserve">conjuntos de coeficientes estimables. Esta formulación expresa directamente las probabilidades de pertenencia a cada categoría, y en la práctica resulta más conveniente reescribir el modelo utilizando una categoría de referencia. Hay parametrizaciones alternativas que facilitan la interpretación de los parámetros, ya que cada conjunto de coeficientes describe el efecto de las covariables sobre el logaritmo de las razones de probabilidades (</w:t>
      </w:r>
      <w:r>
        <w:rPr>
          <w:i/>
          <w:iCs/>
        </w:rPr>
        <w:t xml:space="preserve">log-odds</w:t>
      </w:r>
      <w:r>
        <w:t xml:space="preserve">) de pertenecer a una determinada categoría en comparación con la categoría de referencia.</w:t>
      </w:r>
    </w:p>
    <w:p>
      <w:pPr>
        <w:pStyle w:val="BodyText"/>
      </w:pPr>
      <w:r>
        <w:t xml:space="preserve">Según</w:t>
      </w:r>
      <w:r>
        <w:t xml:space="preserve"> </w:t>
      </w:r>
      <w:r>
        <w:t xml:space="preserve">Heeringa et al. (2017)</w:t>
      </w:r>
      <w:r>
        <w:t xml:space="preserve">, la estimación de los parámetros del modelo se realiza mediante el enfoque de pseudo-máxima verosimilitud. La función de pseudo-verosimilitud multinomial se define como</w:t>
      </w:r>
    </w:p>
    <w:p>
      <w:pPr>
        <w:pStyle w:val="BodyText"/>
      </w:pPr>
      <m:oMathPara>
        <m:oMathParaPr>
          <m:jc m:val="center"/>
        </m:oMathParaPr>
        <m:oMath>
          <m:r>
            <m:t>P</m:t>
          </m:r>
          <m:r>
            <m:t>L</m:t>
          </m:r>
          <m:r>
            <m:rPr>
              <m:sty m:val="p"/>
            </m:rPr>
            <m:t>(</m:t>
          </m:r>
          <m:r>
            <m:rPr>
              <m:sty m:val="b"/>
            </m:rPr>
            <m:t>β</m:t>
          </m:r>
          <m:r>
            <m:rPr>
              <m:sty m:val="p"/>
            </m:rPr>
            <m:t>∣</m:t>
          </m:r>
          <m:r>
            <m:rPr>
              <m:sty m:val="b"/>
            </m:rPr>
            <m:t>X</m:t>
          </m:r>
          <m:r>
            <m:rPr>
              <m:sty m:val="p"/>
            </m:rPr>
            <m:t>)</m:t>
          </m:r>
          <m:r>
            <m:rPr>
              <m:sty m:val="p"/>
            </m:rPr>
            <m:t>=</m:t>
          </m:r>
          <m:nary>
            <m:naryPr>
              <m:chr m:val="∏"/>
              <m:limLoc m:val="undOvr"/>
              <m:subHide m:val="off"/>
              <m:supHide m:val="on"/>
            </m:naryPr>
            <m:sub>
              <m:r>
                <m:t>k</m:t>
              </m:r>
            </m:sub>
            <m:sup>
              <m:r>
                <m:t>​</m:t>
              </m:r>
            </m:sup>
            <m:e>
              <m:sSup>
                <m:e>
                  <m:d>
                    <m:dPr>
                      <m:begChr m:val="{"/>
                      <m:sepChr m:val=""/>
                      <m:endChr m:val="}"/>
                      <m:grow/>
                    </m:dPr>
                    <m:e>
                      <m:nary>
                        <m:naryPr>
                          <m:chr m:val="∏"/>
                          <m:limLoc m:val="undOvr"/>
                          <m:subHide m:val="off"/>
                          <m:supHide m:val="off"/>
                        </m:naryPr>
                        <m:sub>
                          <m:r>
                            <m:t>j</m:t>
                          </m:r>
                          <m:r>
                            <m:rPr>
                              <m:sty m:val="p"/>
                            </m:rPr>
                            <m:t>=</m:t>
                          </m:r>
                          <m:r>
                            <m:t>1</m:t>
                          </m:r>
                        </m:sub>
                        <m:sup>
                          <m:r>
                            <m:t>J</m:t>
                          </m:r>
                        </m:sup>
                        <m:e>
                          <m:sSubSup>
                            <m:e>
                              <m:r>
                                <m:t>θ</m:t>
                              </m:r>
                            </m:e>
                            <m:sub>
                              <m:r>
                                <m:t>k</m:t>
                              </m:r>
                              <m:r>
                                <m:rPr>
                                  <m:sty m:val="p"/>
                                </m:rPr>
                                <m:t>(</m:t>
                              </m:r>
                              <m:r>
                                <m:t>j</m:t>
                              </m:r>
                              <m:r>
                                <m:rPr>
                                  <m:sty m:val="p"/>
                                </m:rPr>
                                <m:t>)</m:t>
                              </m:r>
                            </m:sub>
                            <m:sup>
                              <m:sSub>
                                <m:e>
                                  <m:r>
                                    <m:t>y</m:t>
                                  </m:r>
                                </m:e>
                                <m:sub>
                                  <m:r>
                                    <m:t>k</m:t>
                                  </m:r>
                                  <m:r>
                                    <m:rPr>
                                      <m:sty m:val="p"/>
                                    </m:rPr>
                                    <m:t>(</m:t>
                                  </m:r>
                                  <m:r>
                                    <m:t>j</m:t>
                                  </m:r>
                                  <m:r>
                                    <m:rPr>
                                      <m:sty m:val="p"/>
                                    </m:rPr>
                                    <m:t>)</m:t>
                                  </m:r>
                                </m:sub>
                              </m:sSub>
                            </m:sup>
                          </m:sSubSup>
                        </m:e>
                      </m:nary>
                    </m:e>
                  </m:d>
                </m:e>
                <m:sup>
                  <m:sSub>
                    <m:e>
                      <m:r>
                        <m:t>w</m:t>
                      </m:r>
                    </m:e>
                    <m:sub>
                      <m:r>
                        <m:t>k</m:t>
                      </m:r>
                    </m:sub>
                  </m:sSub>
                </m:sup>
              </m:sSup>
            </m:e>
          </m:nary>
        </m:oMath>
      </m:oMathPara>
    </w:p>
    <w:p>
      <w:pPr>
        <w:pStyle w:val="FirstParagraph"/>
      </w:pPr>
      <w:r>
        <w:t xml:space="preserve">En donde</w:t>
      </w:r>
      <w:r>
        <w:t xml:space="preserve"> </w:t>
      </w:r>
      <m:oMath>
        <m:r>
          <m:t>k</m:t>
        </m:r>
      </m:oMath>
      <w:r>
        <w:t xml:space="preserve"> </w:t>
      </w:r>
      <w:r>
        <w:t xml:space="preserve">representa las unidades de observación pertenecientes a la muestra compleja. Asimismo,</w:t>
      </w:r>
      <w:r>
        <w:t xml:space="preserve"> </w:t>
      </w:r>
      <m:oMath>
        <m:sSub>
          <m:e>
            <m:r>
              <m:t>y</m:t>
            </m:r>
          </m:e>
          <m:sub>
            <m:r>
              <m:t>k</m:t>
            </m:r>
            <m:r>
              <m:rPr>
                <m:sty m:val="p"/>
              </m:rPr>
              <m:t>(</m:t>
            </m:r>
            <m:r>
              <m:t>j</m:t>
            </m:r>
            <m:r>
              <m:rPr>
                <m:sty m:val="p"/>
              </m:rPr>
              <m:t>)</m:t>
            </m:r>
          </m:sub>
        </m:sSub>
      </m:oMath>
      <w:r>
        <w:t xml:space="preserve"> </w:t>
      </w:r>
      <w:r>
        <w:t xml:space="preserve">es una variable indicadora que toma el valor de uno cuando dicha unidad pertenece a la categoría</w:t>
      </w:r>
      <w:r>
        <w:t xml:space="preserve"> </w:t>
      </w:r>
      <m:oMath>
        <m:r>
          <m:t>j</m:t>
        </m:r>
      </m:oMath>
      <w:r>
        <w:t xml:space="preserve"> </w:t>
      </w:r>
      <w:r>
        <w:t xml:space="preserve">y cero en caso contrario, y</w:t>
      </w:r>
      <w:r>
        <w:t xml:space="preserve"> </w:t>
      </w:r>
      <m:oMath>
        <m:sSub>
          <m:e>
            <m:r>
              <m:t>w</m:t>
            </m:r>
          </m:e>
          <m:sub>
            <m:r>
              <m:t>k</m:t>
            </m:r>
          </m:sub>
        </m:sSub>
      </m:oMath>
      <w:r>
        <w:t xml:space="preserve"> </w:t>
      </w:r>
      <w:r>
        <w:t xml:space="preserve">corresponde al factor de expansión asociado a la unidad observada. Por conveniencia matemática y computacional, la estimación de los parámetros se realiza a partir de la pseudo-logverosimilitud, cuya maximización conduce a los mismos estimadores que la pseudo-verosimilitud original.</w:t>
      </w:r>
    </w:p>
    <w:p>
      <w:pPr>
        <w:pStyle w:val="BodyText"/>
      </w:pPr>
      <m:oMathPara>
        <m:oMathParaPr>
          <m:jc m:val="center"/>
        </m:oMathParaPr>
        <m:oMath>
          <m:r>
            <m:t>ℓ</m:t>
          </m:r>
          <m:r>
            <m:rPr>
              <m:sty m:val="p"/>
            </m:rPr>
            <m:t>(</m:t>
          </m:r>
          <m:r>
            <m:rPr>
              <m:sty m:val="b"/>
            </m:rPr>
            <m:t>β</m:t>
          </m:r>
          <m:r>
            <m:rPr>
              <m:sty m:val="p"/>
            </m:rPr>
            <m:t>)</m:t>
          </m:r>
          <m:r>
            <m:rPr>
              <m:sty m:val="p"/>
            </m:rPr>
            <m:t>=</m:t>
          </m:r>
          <m:nary>
            <m:naryPr>
              <m:chr m:val="∑"/>
              <m:limLoc m:val="undOvr"/>
              <m:subHide m:val="off"/>
              <m:supHide m:val="on"/>
            </m:naryPr>
            <m:sub>
              <m:r>
                <m:t>k</m:t>
              </m:r>
            </m:sub>
            <m:sup>
              <m:r>
                <m:t>​</m:t>
              </m:r>
            </m:sup>
            <m:e>
              <m:sSub>
                <m:e>
                  <m:r>
                    <m:t>w</m:t>
                  </m:r>
                </m:e>
                <m:sub>
                  <m:r>
                    <m:t>k</m:t>
                  </m:r>
                </m:sub>
              </m:sSub>
            </m:e>
          </m:nary>
          <m:nary>
            <m:naryPr>
              <m:chr m:val="∑"/>
              <m:limLoc m:val="undOvr"/>
              <m:subHide m:val="off"/>
              <m:supHide m:val="off"/>
            </m:naryPr>
            <m:sub>
              <m:r>
                <m:t>j</m:t>
              </m:r>
              <m:r>
                <m:rPr>
                  <m:sty m:val="p"/>
                </m:rPr>
                <m:t>=</m:t>
              </m:r>
              <m:r>
                <m:t>1</m:t>
              </m:r>
            </m:sub>
            <m:sup>
              <m:r>
                <m:t>J</m:t>
              </m:r>
            </m:sup>
            <m:e>
              <m:sSub>
                <m:e>
                  <m:r>
                    <m:t>y</m:t>
                  </m:r>
                </m:e>
                <m:sub>
                  <m:r>
                    <m:t>k</m:t>
                  </m:r>
                  <m:r>
                    <m:rPr>
                      <m:sty m:val="p"/>
                    </m:rPr>
                    <m:t>(</m:t>
                  </m:r>
                  <m:r>
                    <m:t>j</m:t>
                  </m:r>
                  <m:r>
                    <m:rPr>
                      <m:sty m:val="p"/>
                    </m:rPr>
                    <m:t>)</m:t>
                  </m:r>
                </m:sub>
              </m:sSub>
            </m:e>
          </m:nary>
          <m:r>
            <m:rPr>
              <m:sty m:val="p"/>
            </m:rPr>
            <m:t>log</m:t>
          </m:r>
          <m:r>
            <m:rPr>
              <m:sty m:val="p"/>
            </m:rPr>
            <m:t>(</m:t>
          </m:r>
          <m:sSub>
            <m:e>
              <m:r>
                <m:t>θ</m:t>
              </m:r>
            </m:e>
            <m:sub>
              <m:r>
                <m:t>k</m:t>
              </m:r>
              <m:r>
                <m:rPr>
                  <m:sty m:val="p"/>
                </m:rPr>
                <m:t>(</m:t>
              </m:r>
              <m:r>
                <m:t>j</m:t>
              </m:r>
              <m:r>
                <m:rPr>
                  <m:sty m:val="p"/>
                </m:rPr>
                <m:t>)</m:t>
              </m:r>
            </m:sub>
          </m:sSub>
          <m:r>
            <m:rPr>
              <m:sty m:val="p"/>
            </m:rPr>
            <m:t>)</m:t>
          </m:r>
        </m:oMath>
      </m:oMathPara>
    </w:p>
    <w:p>
      <w:pPr>
        <w:pStyle w:val="FirstParagraph"/>
      </w:pPr>
      <w:r>
        <w:t xml:space="preserve">De acuerdo con</w:t>
      </w:r>
      <w:r>
        <w:t xml:space="preserve"> </w:t>
      </w:r>
      <w:r>
        <w:t xml:space="preserve">Molina y Skinner (1992)</w:t>
      </w:r>
      <w:r>
        <w:t xml:space="preserve"> </w:t>
      </w:r>
      <w:r>
        <w:t xml:space="preserve">y</w:t>
      </w:r>
      <w:r>
        <w:t xml:space="preserve"> </w:t>
      </w:r>
      <w:r>
        <w:t xml:space="preserve">Binder (1983)</w:t>
      </w:r>
      <w:r>
        <w:t xml:space="preserve">, la inferencia estadística para los parámetros de interés se basa en estimaciones de varianza obtenidas mediante técnicas de linealización de Taylor que incorporan explícitamente las características del diseño muestral complejo, permitiendo calcular errores estándar, intervalos de confianza y pruebas de hipótesis apropiados para datos de encuestas. Bajo condiciones regulares, los estimadores obtenidos mediante este procedimiento son consistentes y asintóticamente normales.</w:t>
      </w:r>
    </w:p>
    <w:p>
      <w:pPr>
        <w:pStyle w:val="BodyText"/>
      </w:pPr>
      <w:r>
        <w:t xml:space="preserve">Para el ajuste del modelo usando</w:t>
      </w:r>
      <w:r>
        <w:t xml:space="preserve"> </w:t>
      </w:r>
      <w:r>
        <w:rPr>
          <w:rStyle w:val="VerbatimChar"/>
        </w:rPr>
        <w:t xml:space="preserve">R</w:t>
      </w:r>
      <w:r>
        <w:t xml:space="preserve">, como referencia inicial, se estiman las proporciones de personas por estado de empleo, restringiendo las unidades de interés a mayores de 15 años, como se presenta en la</w:t>
      </w:r>
      <w:r>
        <w:t xml:space="preserve"> </w:t>
      </w:r>
      <w:hyperlink w:anchor="tbl-prop-empleo-15">
        <w:r>
          <w:rPr>
            <w:rStyle w:val="Hyperlink"/>
          </w:rPr>
          <w:t xml:space="preserve">tabla 6.3</w:t>
        </w:r>
      </w:hyperlink>
      <w:r>
        <w:t xml:space="preserve">.</w:t>
      </w:r>
    </w:p>
    <w:p>
      <w:pPr>
        <w:pStyle w:val="SourceCode"/>
      </w:pPr>
      <w:r>
        <w:rPr>
          <w:rStyle w:val="NormalTok"/>
        </w:rPr>
        <w:t xml:space="preserve">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proportion =</w:t>
      </w:r>
      <w:r>
        <w:rPr>
          <w:rStyle w:val="NormalTok"/>
        </w:rPr>
        <w:t xml:space="preserve"> </w:t>
      </w:r>
      <w:r>
        <w:rPr>
          <w:rStyle w:val="FunctionTok"/>
        </w:rPr>
        <w:t xml:space="preserve">survey_mean</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p>
      <w:pPr>
        <w:pStyle w:val="SourceCode"/>
      </w:pPr>
      <w:r>
        <w:rPr>
          <w:rStyle w:val="NormalTok"/>
        </w:rPr>
        <w:t xml:space="preserve">employment_proportion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0" w:name="tbl-prop-empleo-15"/>
          <w:p>
            <w:pPr>
              <w:jc w:val="center"/>
            </w:pPr>
            <w:pPr>
              <w:jc w:val="left"/>
              <w:spacing w:before="200"/>
              <w:pStyle w:val="ImageCaption"/>
            </w:pPr>
            <w:r>
              <w:t xml:space="preserve">Tabla 6.3: Proporción estimada de personas por estado de empleo (mayores de 15 años)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Employment</w:t>
                  </w:r>
                </w:p>
              </w:tc>
              <w:tc>
                <w:tcPr/>
                <w:p>
                  <w:pPr>
                    <w:pStyle w:val="Compact"/>
                    <w:jc w:val="right"/>
                    <w:jc w:val="center"/>
                  </w:pPr>
                  <w:r>
                    <w:t xml:space="preserve">proportion</w:t>
                  </w:r>
                </w:p>
              </w:tc>
              <w:tc>
                <w:tcPr/>
                <w:p>
                  <w:pPr>
                    <w:pStyle w:val="Compact"/>
                    <w:jc w:val="right"/>
                    <w:jc w:val="center"/>
                  </w:pPr>
                  <w:r>
                    <w:t xml:space="preserve">proportion_se</w:t>
                  </w:r>
                </w:p>
              </w:tc>
              <w:tc>
                <w:tcPr/>
                <w:p>
                  <w:pPr>
                    <w:pStyle w:val="Compact"/>
                    <w:jc w:val="right"/>
                    <w:jc w:val="center"/>
                  </w:pPr>
                  <w:r>
                    <w:t xml:space="preserve">proportion_low</w:t>
                  </w:r>
                </w:p>
              </w:tc>
              <w:tc>
                <w:tcPr/>
                <w:p>
                  <w:pPr>
                    <w:pStyle w:val="Compact"/>
                    <w:jc w:val="right"/>
                    <w:jc w:val="center"/>
                  </w:pPr>
                  <w:r>
                    <w:t xml:space="preserve">proportion_upp</w:t>
                  </w:r>
                </w:p>
              </w:tc>
            </w:tr>
            <w:tr>
              <w:tc>
                <w:tcPr/>
                <w:p>
                  <w:pPr>
                    <w:pStyle w:val="Compact"/>
                    <w:jc w:val="left"/>
                    <w:jc w:val="center"/>
                  </w:pPr>
                  <w:r>
                    <w:t xml:space="preserve">Unemployed</w:t>
                  </w:r>
                </w:p>
              </w:tc>
              <w:tc>
                <w:tcPr/>
                <w:p>
                  <w:pPr>
                    <w:pStyle w:val="Compact"/>
                    <w:jc w:val="right"/>
                    <w:jc w:val="center"/>
                  </w:pPr>
                  <w:r>
                    <w:t xml:space="preserve">0.0429</w:t>
                  </w:r>
                </w:p>
              </w:tc>
              <w:tc>
                <w:tcPr/>
                <w:p>
                  <w:pPr>
                    <w:pStyle w:val="Compact"/>
                    <w:jc w:val="right"/>
                    <w:jc w:val="center"/>
                  </w:pPr>
                  <w:r>
                    <w:t xml:space="preserve">0.0071</w:t>
                  </w:r>
                </w:p>
              </w:tc>
              <w:tc>
                <w:tcPr/>
                <w:p>
                  <w:pPr>
                    <w:pStyle w:val="Compact"/>
                    <w:jc w:val="right"/>
                    <w:jc w:val="center"/>
                  </w:pPr>
                  <w:r>
                    <w:t xml:space="preserve">0.0288</w:t>
                  </w:r>
                </w:p>
              </w:tc>
              <w:tc>
                <w:tcPr/>
                <w:p>
                  <w:pPr>
                    <w:pStyle w:val="Compact"/>
                    <w:jc w:val="right"/>
                    <w:jc w:val="center"/>
                  </w:pPr>
                  <w:r>
                    <w:t xml:space="preserve">0.0571</w:t>
                  </w:r>
                </w:p>
              </w:tc>
            </w:tr>
            <w:tr>
              <w:tc>
                <w:tcPr/>
                <w:p>
                  <w:pPr>
                    <w:pStyle w:val="Compact"/>
                    <w:jc w:val="left"/>
                    <w:jc w:val="center"/>
                  </w:pPr>
                  <w:r>
                    <w:t xml:space="preserve">Inactive</w:t>
                  </w:r>
                </w:p>
              </w:tc>
              <w:tc>
                <w:tcPr/>
                <w:p>
                  <w:pPr>
                    <w:pStyle w:val="Compact"/>
                    <w:jc w:val="right"/>
                    <w:jc w:val="center"/>
                  </w:pPr>
                  <w:r>
                    <w:t xml:space="preserve">0.3840</w:t>
                  </w:r>
                </w:p>
              </w:tc>
              <w:tc>
                <w:tcPr/>
                <w:p>
                  <w:pPr>
                    <w:pStyle w:val="Compact"/>
                    <w:jc w:val="right"/>
                    <w:jc w:val="center"/>
                  </w:pPr>
                  <w:r>
                    <w:t xml:space="preserve">0.0152</w:t>
                  </w:r>
                </w:p>
              </w:tc>
              <w:tc>
                <w:tcPr/>
                <w:p>
                  <w:pPr>
                    <w:pStyle w:val="Compact"/>
                    <w:jc w:val="right"/>
                    <w:jc w:val="center"/>
                  </w:pPr>
                  <w:r>
                    <w:t xml:space="preserve">0.3539</w:t>
                  </w:r>
                </w:p>
              </w:tc>
              <w:tc>
                <w:tcPr/>
                <w:p>
                  <w:pPr>
                    <w:pStyle w:val="Compact"/>
                    <w:jc w:val="right"/>
                    <w:jc w:val="center"/>
                  </w:pPr>
                  <w:r>
                    <w:t xml:space="preserve">0.4142</w:t>
                  </w:r>
                </w:p>
              </w:tc>
            </w:tr>
            <w:tr>
              <w:tc>
                <w:tcPr/>
                <w:p>
                  <w:pPr>
                    <w:pStyle w:val="Compact"/>
                    <w:jc w:val="left"/>
                    <w:jc w:val="center"/>
                  </w:pPr>
                  <w:r>
                    <w:t xml:space="preserve">Employed</w:t>
                  </w:r>
                </w:p>
              </w:tc>
              <w:tc>
                <w:tcPr/>
                <w:p>
                  <w:pPr>
                    <w:pStyle w:val="Compact"/>
                    <w:jc w:val="right"/>
                    <w:jc w:val="center"/>
                  </w:pPr>
                  <w:r>
                    <w:t xml:space="preserve">0.5731</w:t>
                  </w:r>
                </w:p>
              </w:tc>
              <w:tc>
                <w:tcPr/>
                <w:p>
                  <w:pPr>
                    <w:pStyle w:val="Compact"/>
                    <w:jc w:val="right"/>
                    <w:jc w:val="center"/>
                  </w:pPr>
                  <w:r>
                    <w:t xml:space="preserve">0.0140</w:t>
                  </w:r>
                </w:p>
              </w:tc>
              <w:tc>
                <w:tcPr/>
                <w:p>
                  <w:pPr>
                    <w:pStyle w:val="Compact"/>
                    <w:jc w:val="right"/>
                    <w:jc w:val="center"/>
                  </w:pPr>
                  <w:r>
                    <w:t xml:space="preserve">0.5453</w:t>
                  </w:r>
                </w:p>
              </w:tc>
              <w:tc>
                <w:tcPr/>
                <w:p>
                  <w:pPr>
                    <w:pStyle w:val="Compact"/>
                    <w:jc w:val="right"/>
                    <w:jc w:val="center"/>
                  </w:pPr>
                  <w:r>
                    <w:t xml:space="preserve">0.6008</w:t>
                  </w:r>
                </w:p>
              </w:tc>
            </w:tr>
          </w:tbl>
          <w:bookmarkEnd w:id="230"/>
          <w:p/>
        </w:tc>
      </w:tr>
    </w:tbl>
    <w:p>
      <w:pPr>
        <w:pStyle w:val="BodyText"/>
      </w:pPr>
      <w:r>
        <w:t xml:space="preserve">De acuerdo con</w:t>
      </w:r>
      <w:r>
        <w:t xml:space="preserve"> </w:t>
      </w:r>
      <w:r>
        <w:t xml:space="preserve">Lumley (2026)</w:t>
      </w:r>
      <w:r>
        <w:t xml:space="preserve">, para modelar una variable de respuesta multinomial se emplea la función</w:t>
      </w:r>
      <w:r>
        <w:t xml:space="preserve"> </w:t>
      </w:r>
      <w:r>
        <w:rPr>
          <w:rStyle w:val="VerbatimChar"/>
        </w:rPr>
        <w:t xml:space="preserve">svy_vglm()</w:t>
      </w:r>
      <w:r>
        <w:t xml:space="preserve"> </w:t>
      </w:r>
      <w:r>
        <w:t xml:space="preserve">del paquete</w:t>
      </w:r>
      <w:r>
        <w:t xml:space="preserve"> </w:t>
      </w:r>
      <w:r>
        <w:rPr>
          <w:rStyle w:val="VerbatimChar"/>
        </w:rPr>
        <w:t xml:space="preserve">svyVGAM</w:t>
      </w:r>
      <w:r>
        <w:t xml:space="preserve">, que permite ajustar modelos de regresión multinomial incorporando explícitamente las características del diseño complejo de la encuesta. En este ejemplo, se especifica un modelo donde la condición de actividad se explica en función de la edad, el sexo y la zona de residencia. A diferencia de los modelos multinomiales convencionales,</w:t>
      </w:r>
      <w:r>
        <w:t xml:space="preserve"> </w:t>
      </w:r>
      <w:r>
        <w:rPr>
          <w:rStyle w:val="VerbatimChar"/>
        </w:rPr>
        <w:t xml:space="preserve">svy_vglm()</w:t>
      </w:r>
      <w:r>
        <w:t xml:space="preserve"> </w:t>
      </w:r>
      <w:r>
        <w:t xml:space="preserve">calcula las varianzas de los estimadores considerando la complejidad del diseño muestral, incluyendo la estratificación, la conglomeración y los pesos de expansión. De esta forma, tanto las estimaciones puntuales como sus errores estándar e inferencias asociadas son consistentes con el diseño de la encuesta.</w:t>
      </w:r>
    </w:p>
    <w:p>
      <w:pPr>
        <w:pStyle w:val="SourceCode"/>
      </w:pPr>
      <w:r>
        <w:rPr>
          <w:rStyle w:val="FunctionTok"/>
        </w:rPr>
        <w:t xml:space="preserve">library</w:t>
      </w:r>
      <w:r>
        <w:rPr>
          <w:rStyle w:val="NormalTok"/>
        </w:rPr>
        <w:t xml:space="preserve">(svyVGAM)</w:t>
      </w:r>
      <w:r>
        <w:br/>
      </w:r>
      <w:r>
        <w:rPr>
          <w:rStyle w:val="NormalTok"/>
        </w:rPr>
        <w:t xml:space="preserve">survey_design_15 </w:t>
      </w:r>
      <w:r>
        <w:rPr>
          <w:rStyle w:val="OtherTok"/>
        </w:rPr>
        <w:t xml:space="preserve">&lt;-</w:t>
      </w:r>
      <w:r>
        <w:rPr>
          <w:rStyle w:val="NormalTok"/>
        </w:rPr>
        <w:t xml:space="preserve"> survey_design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15</w:t>
      </w:r>
      <w:r>
        <w:rPr>
          <w:rStyle w:val="NormalTok"/>
        </w:rPr>
        <w:t xml:space="preserve">)</w:t>
      </w:r>
      <w:r>
        <w:br/>
      </w:r>
      <w:r>
        <w:rPr>
          <w:rStyle w:val="NormalTok"/>
        </w:rPr>
        <w:t xml:space="preserve">multinomial_model </w:t>
      </w:r>
      <w:r>
        <w:rPr>
          <w:rStyle w:val="OtherTok"/>
        </w:rPr>
        <w:t xml:space="preserve">&lt;-</w:t>
      </w:r>
      <w:r>
        <w:rPr>
          <w:rStyle w:val="NormalTok"/>
        </w:rPr>
        <w:t xml:space="preserve"> </w:t>
      </w:r>
      <w:r>
        <w:rPr>
          <w:rStyle w:val="FunctionTok"/>
        </w:rPr>
        <w:t xml:space="preserve">svy_vglm</w:t>
      </w:r>
      <w:r>
        <w:rPr>
          <w:rStyle w:val="NormalTok"/>
        </w:rPr>
        <w:t xml:space="preserve">(</w:t>
      </w:r>
      <w:r>
        <w:br/>
      </w:r>
      <w:r>
        <w:rPr>
          <w:rStyle w:val="NormalTok"/>
        </w:rPr>
        <w:t xml:space="preserve">  </w:t>
      </w:r>
      <w:r>
        <w:rPr>
          <w:rStyle w:val="AttributeTok"/>
        </w:rPr>
        <w:t xml:space="preserve">formula =</w:t>
      </w:r>
      <w:r>
        <w:rPr>
          <w:rStyle w:val="NormalTok"/>
        </w:rPr>
        <w:t xml:space="preserve"> Employment </w:t>
      </w:r>
      <w:r>
        <w:rPr>
          <w:rStyle w:val="SpecialCharTok"/>
        </w:rPr>
        <w:t xml:space="preserve">~</w:t>
      </w:r>
      <w:r>
        <w:rPr>
          <w:rStyle w:val="NormalTok"/>
        </w:rPr>
        <w:t xml:space="preserve"> Age </w:t>
      </w:r>
      <w:r>
        <w:rPr>
          <w:rStyle w:val="SpecialCharTok"/>
        </w:rPr>
        <w:t xml:space="preserve">+</w:t>
      </w:r>
      <w:r>
        <w:rPr>
          <w:rStyle w:val="NormalTok"/>
        </w:rPr>
        <w:t xml:space="preserve"> Sex </w:t>
      </w:r>
      <w:r>
        <w:rPr>
          <w:rStyle w:val="SpecialCharTok"/>
        </w:rPr>
        <w:t xml:space="preserve">+</w:t>
      </w:r>
      <w:r>
        <w:rPr>
          <w:rStyle w:val="NormalTok"/>
        </w:rPr>
        <w:t xml:space="preserve"> Zone,</w:t>
      </w:r>
      <w:r>
        <w:br/>
      </w:r>
      <w:r>
        <w:rPr>
          <w:rStyle w:val="NormalTok"/>
        </w:rPr>
        <w:t xml:space="preserve">  </w:t>
      </w:r>
      <w:r>
        <w:rPr>
          <w:rStyle w:val="AttributeTok"/>
        </w:rPr>
        <w:t xml:space="preserve">design =</w:t>
      </w:r>
      <w:r>
        <w:rPr>
          <w:rStyle w:val="NormalTok"/>
        </w:rPr>
        <w:t xml:space="preserve"> survey_design_15,</w:t>
      </w:r>
      <w:r>
        <w:br/>
      </w:r>
      <w:r>
        <w:rPr>
          <w:rStyle w:val="NormalTok"/>
        </w:rPr>
        <w:t xml:space="preserve">  </w:t>
      </w:r>
      <w:r>
        <w:rPr>
          <w:rStyle w:val="AttributeTok"/>
        </w:rPr>
        <w:t xml:space="preserve">crit =</w:t>
      </w:r>
      <w:r>
        <w:rPr>
          <w:rStyle w:val="NormalTok"/>
        </w:rPr>
        <w:t xml:space="preserve"> </w:t>
      </w:r>
      <w:r>
        <w:rPr>
          <w:rStyle w:val="StringTok"/>
        </w:rPr>
        <w:t xml:space="preserve">"coef"</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multinomial</w:t>
      </w:r>
      <w:r>
        <w:rPr>
          <w:rStyle w:val="NormalTok"/>
        </w:rPr>
        <w:t xml:space="preserve">(</w:t>
      </w:r>
      <w:r>
        <w:rPr>
          <w:rStyle w:val="AttributeTok"/>
        </w:rPr>
        <w:t xml:space="preserve">refLevel =</w:t>
      </w:r>
      <w:r>
        <w:rPr>
          <w:rStyle w:val="NormalTok"/>
        </w:rPr>
        <w:t xml:space="preserve"> </w:t>
      </w:r>
      <w:r>
        <w:rPr>
          <w:rStyle w:val="StringTok"/>
        </w:rPr>
        <w:t xml:space="preserve">"Unemployed"</w:t>
      </w:r>
      <w:r>
        <w:rPr>
          <w:rStyle w:val="NormalTok"/>
        </w:rPr>
        <w:t xml:space="preserve">)</w:t>
      </w:r>
      <w:r>
        <w:br/>
      </w:r>
      <w:r>
        <w:rPr>
          <w:rStyle w:val="NormalTok"/>
        </w:rPr>
        <w:t xml:space="preserve">)</w:t>
      </w:r>
    </w:p>
    <w:p>
      <w:pPr>
        <w:pStyle w:val="FirstParagraph"/>
      </w:pPr>
      <w:r>
        <w:t xml:space="preserve">El argumento</w:t>
      </w:r>
      <w:r>
        <w:t xml:space="preserve"> </w:t>
      </w:r>
      <w:r>
        <w:rPr>
          <w:rStyle w:val="VerbatimChar"/>
        </w:rPr>
        <w:t xml:space="preserve">family = multinomial(refLevel = "Unemployed")</w:t>
      </w:r>
      <w:r>
        <w:t xml:space="preserve"> </w:t>
      </w:r>
      <w:r>
        <w:t xml:space="preserve">define un modelo logístico multinomial tomando la categoría</w:t>
      </w:r>
      <w:r>
        <w:t xml:space="preserve"> </w:t>
      </w:r>
      <w:r>
        <w:rPr>
          <w:rStyle w:val="VerbatimChar"/>
        </w:rPr>
        <w:t xml:space="preserve">Unemployed</w:t>
      </w:r>
      <w:r>
        <w:t xml:space="preserve"> </w:t>
      </w:r>
      <w:r>
        <w:t xml:space="preserve">como referencia. Bajo esta especificación, se estiman de manera simultánea los logaritmos de las razones de probabilidades (</w:t>
      </w:r>
      <w:r>
        <w:rPr>
          <w:i/>
          <w:iCs/>
        </w:rPr>
        <w:t xml:space="preserve">log-odds</w:t>
      </w:r>
      <w:r>
        <w:t xml:space="preserve">) entre cada una de las categorías de</w:t>
      </w:r>
      <w:r>
        <w:t xml:space="preserve"> </w:t>
      </w:r>
      <w:r>
        <w:rPr>
          <w:rStyle w:val="VerbatimChar"/>
        </w:rPr>
        <w:t xml:space="preserve">Employment</w:t>
      </w:r>
      <w:r>
        <w:t xml:space="preserve"> </w:t>
      </w:r>
      <w:r>
        <w:t xml:space="preserve">y la categoría de referencia. Los parámetros se obtienen mediante pseudo-máxima verosimilitud, incorporando los factores de expansión de la encuesta en la función objetivo.</w:t>
      </w:r>
    </w:p>
    <w:p>
      <w:pPr>
        <w:pStyle w:val="BodyText"/>
      </w:pPr>
      <w:r>
        <w:t xml:space="preserve">Dado que</w:t>
      </w:r>
      <w:r>
        <w:t xml:space="preserve"> </w:t>
      </w:r>
      <w:r>
        <w:rPr>
          <w:rStyle w:val="VerbatimChar"/>
        </w:rPr>
        <w:t xml:space="preserve">broom::tidy()</w:t>
      </w:r>
      <w:r>
        <w:t xml:space="preserve"> </w:t>
      </w:r>
      <w:r>
        <w:t xml:space="preserve">no puede aplicarse directamente a objetos de clase</w:t>
      </w:r>
      <w:r>
        <w:t xml:space="preserve"> </w:t>
      </w:r>
      <w:r>
        <w:rPr>
          <w:rStyle w:val="VerbatimChar"/>
        </w:rPr>
        <w:t xml:space="preserve">svyVGAM</w:t>
      </w:r>
      <w:r>
        <w:t xml:space="preserve">, se define la siguiente función auxiliar para estructurar los resultados del modelo en un formato tabular estandarizado</w:t>
      </w:r>
      <w:r>
        <w:rPr>
          <w:rStyle w:val="FootnoteReference"/>
        </w:rPr>
        <w:footnoteReference w:id="231"/>
      </w:r>
      <w:r>
        <w:t xml:space="preserve">:</w:t>
      </w:r>
    </w:p>
    <w:p>
      <w:pPr>
        <w:pStyle w:val="SourceCode"/>
      </w:pPr>
      <w:r>
        <w:rPr>
          <w:rStyle w:val="NormalTok"/>
        </w:rPr>
        <w:t xml:space="preserve">tidy.svyVGAM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conf.int =</w:t>
      </w:r>
      <w:r>
        <w:rPr>
          <w:rStyle w:val="NormalTok"/>
        </w:rPr>
        <w:t xml:space="preserve"> </w:t>
      </w:r>
      <w:r>
        <w:rPr>
          <w:rStyle w:val="ConstantTok"/>
        </w:rPr>
        <w:t xml:space="preserve">FALSE</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exponentiate =</w:t>
      </w:r>
      <w:r>
        <w:rPr>
          <w:rStyle w:val="NormalTok"/>
        </w:rPr>
        <w:t xml:space="preserve"> </w:t>
      </w:r>
      <w:r>
        <w:rPr>
          <w:rStyle w:val="ConstantTok"/>
        </w:rPr>
        <w:t xml:space="preserve">FALSE</w:t>
      </w:r>
      <w:r>
        <w:rPr>
          <w:rStyle w:val="NormalTok"/>
        </w:rPr>
        <w:t xml:space="preserve">, ...) {</w:t>
      </w:r>
      <w:r>
        <w:br/>
      </w:r>
      <w:r>
        <w:rPr>
          <w:rStyle w:val="NormalTok"/>
        </w:rPr>
        <w:t xml:space="preserve">  ret </w:t>
      </w:r>
      <w:r>
        <w:rPr>
          <w:rStyle w:val="OtherTok"/>
        </w:rPr>
        <w:t xml:space="preserve">&lt;-</w:t>
      </w:r>
      <w:r>
        <w:rPr>
          <w:rStyle w:val="NormalTok"/>
        </w:rPr>
        <w:t xml:space="preserve"> </w:t>
      </w:r>
      <w:r>
        <w:rPr>
          <w:rStyle w:val="FunctionTok"/>
        </w:rPr>
        <w:t xml:space="preserve">as_tibble</w:t>
      </w:r>
      <w:r>
        <w:rPr>
          <w:rStyle w:val="NormalTok"/>
        </w:rPr>
        <w:t xml:space="preserve">(</w:t>
      </w:r>
      <w:r>
        <w:rPr>
          <w:rStyle w:val="FunctionTok"/>
        </w:rPr>
        <w:t xml:space="preserve">summary</w:t>
      </w:r>
      <w:r>
        <w:rPr>
          <w:rStyle w:val="NormalTok"/>
        </w:rPr>
        <w:t xml:space="preserve">(x)</w:t>
      </w:r>
      <w:r>
        <w:rPr>
          <w:rStyle w:val="SpecialCharTok"/>
        </w:rPr>
        <w:t xml:space="preserve">$</w:t>
      </w:r>
      <w:r>
        <w:rPr>
          <w:rStyle w:val="NormalTok"/>
        </w:rPr>
        <w:t xml:space="preserve">coeftable, </w:t>
      </w:r>
      <w:r>
        <w:rPr>
          <w:rStyle w:val="AttributeTok"/>
        </w:rPr>
        <w:t xml:space="preserve">rownames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FunctionTok"/>
        </w:rPr>
        <w:t xml:space="preserve">colnames</w:t>
      </w:r>
      <w:r>
        <w:rPr>
          <w:rStyle w:val="NormalTok"/>
        </w:rPr>
        <w:t xml:space="preserve">(ret)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"estimate"</w:t>
      </w:r>
      <w:r>
        <w:rPr>
          <w:rStyle w:val="NormalTok"/>
        </w:rPr>
        <w:t xml:space="preserve">, </w:t>
      </w:r>
      <w:r>
        <w:rPr>
          <w:rStyle w:val="StringTok"/>
        </w:rPr>
        <w:t xml:space="preserve">"std.error"</w:t>
      </w:r>
      <w:r>
        <w:rPr>
          <w:rStyle w:val="NormalTok"/>
        </w:rPr>
        <w:t xml:space="preserve">, </w:t>
      </w:r>
      <w:r>
        <w:rPr>
          <w:rStyle w:val="StringTok"/>
        </w:rPr>
        <w:t xml:space="preserve">"statistic"</w:t>
      </w:r>
      <w:r>
        <w:rPr>
          <w:rStyle w:val="NormalTok"/>
        </w:rPr>
        <w:t xml:space="preserve">, </w:t>
      </w:r>
      <w:r>
        <w:rPr>
          <w:rStyle w:val="StringTok"/>
        </w:rPr>
        <w:t xml:space="preserve">"p.value"</w:t>
      </w:r>
      <w:r>
        <w:rPr>
          <w:rStyle w:val="NormalTok"/>
        </w:rPr>
        <w:t xml:space="preserve">)</w:t>
      </w:r>
      <w:r>
        <w:br/>
      </w:r>
      <w:r>
        <w:rPr>
          <w:rStyle w:val="NormalTok"/>
        </w:rPr>
        <w:t xml:space="preserve">  coefs </w:t>
      </w:r>
      <w:r>
        <w:rPr>
          <w:rStyle w:val="OtherTok"/>
        </w:rPr>
        <w:t xml:space="preserve">&lt;-</w:t>
      </w:r>
      <w:r>
        <w:rPr>
          <w:rStyle w:val="NormalTok"/>
        </w:rPr>
        <w:t xml:space="preserve"> tibble</w:t>
      </w:r>
      <w:r>
        <w:rPr>
          <w:rStyle w:val="SpecialCharTok"/>
        </w:rPr>
        <w:t xml:space="preserve">::</w:t>
      </w:r>
      <w:r>
        <w:rPr>
          <w:rStyle w:val="FunctionTok"/>
        </w:rPr>
        <w:t xml:space="preserve">enframe</w:t>
      </w:r>
      <w:r>
        <w:rPr>
          <w:rStyle w:val="NormalTok"/>
        </w:rPr>
        <w:t xml:space="preserve">(stats</w:t>
      </w:r>
      <w:r>
        <w:rPr>
          <w:rStyle w:val="SpecialCharTok"/>
        </w:rPr>
        <w:t xml:space="preserve">::</w:t>
      </w:r>
      <w:r>
        <w:rPr>
          <w:rStyle w:val="FunctionTok"/>
        </w:rPr>
        <w:t xml:space="preserve">coef</w:t>
      </w:r>
      <w:r>
        <w:rPr>
          <w:rStyle w:val="NormalTok"/>
        </w:rPr>
        <w:t xml:space="preserve">(x), </w:t>
      </w:r>
      <w:r>
        <w:rPr>
          <w:rStyle w:val="AttributeTok"/>
        </w:rPr>
        <w:t xml:space="preserve">name =</w:t>
      </w:r>
      <w:r>
        <w:rPr>
          <w:rStyle w:val="NormalTok"/>
        </w:rPr>
        <w:t xml:space="preserve"> </w:t>
      </w:r>
      <w:r>
        <w:rPr>
          <w:rStyle w:val="StringTok"/>
        </w:rPr>
        <w:t xml:space="preserve">"term"</w:t>
      </w:r>
      <w:r>
        <w:rPr>
          <w:rStyle w:val="NormalTok"/>
        </w:rPr>
        <w:t xml:space="preserve">, </w:t>
      </w:r>
      <w:r>
        <w:rPr>
          <w:rStyle w:val="AttributeTok"/>
        </w:rPr>
        <w:t xml:space="preserve">value =</w:t>
      </w:r>
      <w:r>
        <w:rPr>
          <w:rStyle w:val="NormalTok"/>
        </w:rPr>
        <w:t xml:space="preserve"> </w:t>
      </w:r>
      <w:r>
        <w:rPr>
          <w:rStyle w:val="StringTok"/>
        </w:rPr>
        <w:t xml:space="preserve">"estimate"</w:t>
      </w:r>
      <w:r>
        <w:rPr>
          <w:rStyle w:val="NormalTok"/>
        </w:rPr>
        <w:t xml:space="preserve">)</w:t>
      </w:r>
      <w:r>
        <w:br/>
      </w:r>
      <w:r>
        <w:rPr>
          <w:rStyle w:val="NormalTok"/>
        </w:rPr>
        <w:t xml:space="preserve">  ret </w:t>
      </w:r>
      <w:r>
        <w:rPr>
          <w:rStyle w:val="OtherTok"/>
        </w:rPr>
        <w:t xml:space="preserve">&lt;-</w:t>
      </w:r>
      <w:r>
        <w:rPr>
          <w:rStyle w:val="NormalTok"/>
        </w:rPr>
        <w:t xml:space="preserve"> </w:t>
      </w:r>
      <w:r>
        <w:rPr>
          <w:rStyle w:val="FunctionTok"/>
        </w:rPr>
        <w:t xml:space="preserve">left_join</w:t>
      </w:r>
      <w:r>
        <w:rPr>
          <w:rStyle w:val="NormalTok"/>
        </w:rPr>
        <w:t xml:space="preserve">(coefs, ret,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"estimate"</w:t>
      </w:r>
      <w:r>
        <w:rPr>
          <w:rStyle w:val="NormalTok"/>
        </w:rPr>
        <w:t xml:space="preserve">))</w:t>
      </w:r>
      <w:r>
        <w:br/>
      </w:r>
      <w:r>
        <w:rPr>
          <w:rStyle w:val="NormalTok"/>
        </w:rPr>
        <w:t xml:space="preserve">  </w:t>
      </w:r>
      <w:r>
        <w:rPr>
          <w:rStyle w:val="ControlFlowTok"/>
        </w:rPr>
        <w:t xml:space="preserve">if</w:t>
      </w:r>
      <w:r>
        <w:rPr>
          <w:rStyle w:val="NormalTok"/>
        </w:rPr>
        <w:t xml:space="preserve"> (conf.int) {</w:t>
      </w:r>
      <w:r>
        <w:br/>
      </w:r>
      <w:r>
        <w:rPr>
          <w:rStyle w:val="NormalTok"/>
        </w:rPr>
        <w:t xml:space="preserve">    ci </w:t>
      </w:r>
      <w:r>
        <w:rPr>
          <w:rStyle w:val="OtherTok"/>
        </w:rPr>
        <w:t xml:space="preserve">&lt;-</w:t>
      </w:r>
      <w:r>
        <w:rPr>
          <w:rStyle w:val="NormalTok"/>
        </w:rPr>
        <w:t xml:space="preserve"> broom</w:t>
      </w:r>
      <w:r>
        <w:rPr>
          <w:rStyle w:val="SpecialCharTok"/>
        </w:rPr>
        <w:t xml:space="preserve">:::</w:t>
      </w:r>
      <w:r>
        <w:rPr>
          <w:rStyle w:val="FunctionTok"/>
        </w:rPr>
        <w:t xml:space="preserve">broom_confint_terms</w:t>
      </w:r>
      <w:r>
        <w:rPr>
          <w:rStyle w:val="NormalTok"/>
        </w:rPr>
        <w:t xml:space="preserve">(x, </w:t>
      </w:r>
      <w:r>
        <w:rPr>
          <w:rStyle w:val="AttributeTok"/>
        </w:rPr>
        <w:t xml:space="preserve">level =</w:t>
      </w:r>
      <w:r>
        <w:rPr>
          <w:rStyle w:val="NormalTok"/>
        </w:rPr>
        <w:t xml:space="preserve"> conf.level, ...)</w:t>
      </w:r>
      <w:r>
        <w:br/>
      </w:r>
      <w:r>
        <w:rPr>
          <w:rStyle w:val="NormalTok"/>
        </w:rPr>
        <w:t xml:space="preserve">    ret </w:t>
      </w:r>
      <w:r>
        <w:rPr>
          <w:rStyle w:val="OtherTok"/>
        </w:rPr>
        <w:t xml:space="preserve">&lt;-</w:t>
      </w:r>
      <w:r>
        <w:rPr>
          <w:rStyle w:val="NormalTok"/>
        </w:rPr>
        <w:t xml:space="preserve"> dplyr</w:t>
      </w:r>
      <w:r>
        <w:rPr>
          <w:rStyle w:val="SpecialCharTok"/>
        </w:rPr>
        <w:t xml:space="preserve">::</w:t>
      </w:r>
      <w:r>
        <w:rPr>
          <w:rStyle w:val="FunctionTok"/>
        </w:rPr>
        <w:t xml:space="preserve">left_join</w:t>
      </w:r>
      <w:r>
        <w:rPr>
          <w:rStyle w:val="NormalTok"/>
        </w:rPr>
        <w:t xml:space="preserve">(ret, ci,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(exponentiate) ret </w:t>
      </w:r>
      <w:r>
        <w:rPr>
          <w:rStyle w:val="OtherTok"/>
        </w:rPr>
        <w:t xml:space="preserve">&lt;-</w:t>
      </w:r>
      <w:r>
        <w:rPr>
          <w:rStyle w:val="NormalTok"/>
        </w:rPr>
        <w:t xml:space="preserve"> broom</w:t>
      </w:r>
      <w:r>
        <w:rPr>
          <w:rStyle w:val="SpecialCharTok"/>
        </w:rPr>
        <w:t xml:space="preserve">:::</w:t>
      </w:r>
      <w:r>
        <w:rPr>
          <w:rStyle w:val="FunctionTok"/>
        </w:rPr>
        <w:t xml:space="preserve">exponentiate</w:t>
      </w:r>
      <w:r>
        <w:rPr>
          <w:rStyle w:val="NormalTok"/>
        </w:rPr>
        <w:t xml:space="preserve">(ret)</w:t>
      </w:r>
      <w:r>
        <w:br/>
      </w:r>
      <w:r>
        <w:rPr>
          <w:rStyle w:val="NormalTok"/>
        </w:rPr>
        <w:t xml:space="preserve">  ret </w:t>
      </w:r>
      <w:r>
        <w:rPr>
          <w:rStyle w:val="SpecialCharTok"/>
        </w:rPr>
        <w:t xml:space="preserve">%&gt;%</w:t>
      </w:r>
      <w:r>
        <w:br/>
      </w:r>
      <w:r>
        <w:rPr>
          <w:rStyle w:val="NormalTok"/>
        </w:rPr>
        <w:t xml:space="preserve">    tidyr</w:t>
      </w:r>
      <w:r>
        <w:rPr>
          <w:rStyle w:val="SpecialCharTok"/>
        </w:rPr>
        <w:t xml:space="preserve">::</w:t>
      </w:r>
      <w:r>
        <w:rPr>
          <w:rStyle w:val="FunctionTok"/>
        </w:rPr>
        <w:t xml:space="preserve">separate</w:t>
      </w:r>
      <w:r>
        <w:rPr>
          <w:rStyle w:val="NormalTok"/>
        </w:rPr>
        <w:t xml:space="preserve">(term,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"y.level"</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(y.level) </w:t>
      </w:r>
      <w:r>
        <w:rPr>
          <w:rStyle w:val="SpecialCharTok"/>
        </w:rPr>
        <w:t xml:space="preserve">%&gt;%</w:t>
      </w:r>
      <w:r>
        <w:br/>
      </w:r>
      <w:r>
        <w:rPr>
          <w:rStyle w:val="NormalTok"/>
        </w:rPr>
        <w:t xml:space="preserve">    </w:t>
      </w:r>
      <w:r>
        <w:rPr>
          <w:rStyle w:val="FunctionTok"/>
        </w:rPr>
        <w:t xml:space="preserve">relocate</w:t>
      </w:r>
      <w:r>
        <w:rPr>
          <w:rStyle w:val="NormalTok"/>
        </w:rPr>
        <w:t xml:space="preserve">(y.level, </w:t>
      </w:r>
      <w:r>
        <w:rPr>
          <w:rStyle w:val="AttributeTok"/>
        </w:rPr>
        <w:t xml:space="preserve">.before =</w:t>
      </w:r>
      <w:r>
        <w:rPr>
          <w:rStyle w:val="NormalTok"/>
        </w:rPr>
        <w:t xml:space="preserve"> term)</w:t>
      </w:r>
      <w:r>
        <w:br/>
      </w:r>
      <w:r>
        <w:rPr>
          <w:rStyle w:val="NormalTok"/>
        </w:rPr>
        <w:t xml:space="preserve">}</w:t>
      </w:r>
    </w:p>
    <w:p>
      <w:pPr>
        <w:pStyle w:val="FirstParagraph"/>
      </w:pPr>
      <w:r>
        <w:t xml:space="preserve">La</w:t>
      </w:r>
      <w:r>
        <w:t xml:space="preserve"> </w:t>
      </w:r>
      <w:hyperlink w:anchor="tbl-multinomial-coef">
        <w:r>
          <w:rPr>
            <w:rStyle w:val="Hyperlink"/>
          </w:rPr>
          <w:t xml:space="preserve">tabla 6.4</w:t>
        </w:r>
      </w:hyperlink>
      <w:r>
        <w:t xml:space="preserve"> </w:t>
      </w:r>
      <w:r>
        <w:t xml:space="preserve">presenta los coeficientes estimados del modelo logístico multinomial, tomando la categoría</w:t>
      </w:r>
      <w:r>
        <w:t xml:space="preserve"> </w:t>
      </w:r>
      <w:r>
        <w:rPr>
          <w:rStyle w:val="VerbatimChar"/>
        </w:rPr>
        <w:t xml:space="preserve">Unemployed</w:t>
      </w:r>
      <w:r>
        <w:t xml:space="preserve"> </w:t>
      </w:r>
      <w:r>
        <w:t xml:space="preserve">como referencia. Los resultados muestran que la edad tiene una asociación positiva y estadísticamente significativa con las probabilidades relativas de pertenecer a las categorías</w:t>
      </w:r>
      <w:r>
        <w:t xml:space="preserve"> </w:t>
      </w:r>
      <w:r>
        <w:rPr>
          <w:rStyle w:val="VerbatimChar"/>
        </w:rPr>
        <w:t xml:space="preserve">Inactive</w:t>
      </w:r>
      <w:r>
        <w:t xml:space="preserve"> </w:t>
      </w:r>
      <w:r>
        <w:t xml:space="preserve">y</w:t>
      </w:r>
      <w:r>
        <w:t xml:space="preserve"> </w:t>
      </w:r>
      <w:r>
        <w:rPr>
          <w:rStyle w:val="VerbatimChar"/>
        </w:rPr>
        <w:t xml:space="preserve">Employed</w:t>
      </w:r>
      <w:r>
        <w:t xml:space="preserve"> </w:t>
      </w:r>
      <w:r>
        <w:t xml:space="preserve">frente a</w:t>
      </w:r>
      <w:r>
        <w:t xml:space="preserve"> </w:t>
      </w:r>
      <w:r>
        <w:rPr>
          <w:rStyle w:val="VerbatimChar"/>
        </w:rPr>
        <w:t xml:space="preserve">Unemployed</w:t>
      </w:r>
      <w:r>
        <w:t xml:space="preserve">. Asimismo, la variable</w:t>
      </w:r>
      <w:r>
        <w:t xml:space="preserve"> </w:t>
      </w:r>
      <w:r>
        <w:rPr>
          <w:rStyle w:val="VerbatimChar"/>
        </w:rPr>
        <w:t xml:space="preserve">SexMale</w:t>
      </w:r>
      <w:r>
        <w:t xml:space="preserve"> </w:t>
      </w:r>
      <w:r>
        <w:t xml:space="preserve">presenta coeficientes negativos y significativos, indicando que los hombres tienen menores probabilidades relativas que las mujeres de ubicarse en dichas categorías. Por el contrario, la variable de zona de residencia no muestra efectos estadísticamente significativos al nivel convencional del 5%.</w:t>
      </w:r>
    </w:p>
    <w:p>
      <w:pPr>
        <w:pStyle w:val="SourceCode"/>
      </w:pPr>
      <w:r>
        <w:rPr>
          <w:rStyle w:val="FunctionTok"/>
        </w:rPr>
        <w:t xml:space="preserve">tidy.svyVGAM</w:t>
      </w:r>
      <w:r>
        <w:rPr>
          <w:rStyle w:val="NormalTok"/>
        </w:rPr>
        <w:t xml:space="preserve">(multinomial_model, </w:t>
      </w:r>
      <w:r>
        <w:rPr>
          <w:rStyle w:val="AttributeTok"/>
        </w:rPr>
        <w:t xml:space="preserve">exponentiate =</w:t>
      </w:r>
      <w:r>
        <w:rPr>
          <w:rStyle w:val="NormalTok"/>
        </w:rPr>
        <w:t xml:space="preserve"> </w:t>
      </w:r>
      <w:r>
        <w:rPr>
          <w:rStyle w:val="ConstantTok"/>
        </w:rPr>
        <w:t xml:space="preserve">FALSE</w:t>
      </w:r>
      <w:r>
        <w:rPr>
          <w:rStyle w:val="NormalTok"/>
        </w:rPr>
        <w:t xml:space="preserve">, </w:t>
      </w:r>
      <w:r>
        <w:rPr>
          <w:rStyle w:val="AttributeTok"/>
        </w:rPr>
        <w:t xml:space="preserve">conf.int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multinomial_results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2" w:name="tbl-multinomial-coef"/>
          <w:p>
            <w:pPr>
              <w:jc w:val="center"/>
            </w:pPr>
            <w:pPr>
              <w:jc w:val="left"/>
              <w:spacing w:before="200"/>
              <w:pStyle w:val="ImageCaption"/>
            </w:pPr>
            <w:r>
              <w:t xml:space="preserve">Tabla 6.4: Coeficientes estimados del modelo de regresión multinomial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y.level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1</w:t>
                  </w:r>
                </w:p>
              </w:tc>
              <w:tc>
                <w:tcPr/>
                <w:p>
                  <w:pPr>
                    <w:pStyle w:val="Compact"/>
                    <w:jc w:val="left"/>
                    <w:jc w:val="center"/>
                  </w:pPr>
                  <w:r>
                    <w:t xml:space="preserve">(Intercept)</w:t>
                  </w:r>
                </w:p>
              </w:tc>
              <w:tc>
                <w:tcPr/>
                <w:p>
                  <w:pPr>
                    <w:pStyle w:val="Compact"/>
                    <w:jc w:val="right"/>
                    <w:jc w:val="center"/>
                  </w:pPr>
                  <w:r>
                    <w:t xml:space="preserve">2.5565</w:t>
                  </w:r>
                </w:p>
              </w:tc>
              <w:tc>
                <w:tcPr/>
                <w:p>
                  <w:pPr>
                    <w:pStyle w:val="Compact"/>
                    <w:jc w:val="right"/>
                    <w:jc w:val="center"/>
                  </w:pPr>
                  <w:r>
                    <w:t xml:space="preserve">0.5500</w:t>
                  </w:r>
                </w:p>
              </w:tc>
              <w:tc>
                <w:tcPr/>
                <w:p>
                  <w:pPr>
                    <w:pStyle w:val="Compact"/>
                    <w:jc w:val="right"/>
                    <w:jc w:val="center"/>
                  </w:pPr>
                  <w:r>
                    <w:t xml:space="preserve">4.6481</w:t>
                  </w:r>
                </w:p>
              </w:tc>
              <w:tc>
                <w:tcPr/>
                <w:p>
                  <w:pPr>
                    <w:pStyle w:val="Compact"/>
                    <w:jc w:val="right"/>
                    <w:jc w:val="center"/>
                  </w:pPr>
                  <w:r>
                    <w:t xml:space="preserve">0.0000</w:t>
                  </w:r>
                </w:p>
              </w:tc>
            </w:tr>
            <w:tr>
              <w:tc>
                <w:tcPr/>
                <w:p>
                  <w:pPr>
                    <w:pStyle w:val="Compact"/>
                    <w:jc w:val="left"/>
                    <w:jc w:val="center"/>
                  </w:pPr>
                  <w:r>
                    <w:t xml:space="preserve">1</w:t>
                  </w:r>
                </w:p>
              </w:tc>
              <w:tc>
                <w:tcPr/>
                <w:p>
                  <w:pPr>
                    <w:pStyle w:val="Compact"/>
                    <w:jc w:val="left"/>
                    <w:jc w:val="center"/>
                  </w:pPr>
                  <w:r>
                    <w:t xml:space="preserve">Age</w:t>
                  </w:r>
                </w:p>
              </w:tc>
              <w:tc>
                <w:tcPr/>
                <w:p>
                  <w:pPr>
                    <w:pStyle w:val="Compact"/>
                    <w:jc w:val="right"/>
                    <w:jc w:val="center"/>
                  </w:pPr>
                  <w:r>
                    <w:t xml:space="preserve">0.0221</w:t>
                  </w:r>
                </w:p>
              </w:tc>
              <w:tc>
                <w:tcPr/>
                <w:p>
                  <w:pPr>
                    <w:pStyle w:val="Compact"/>
                    <w:jc w:val="right"/>
                    <w:jc w:val="center"/>
                  </w:pPr>
                  <w:r>
                    <w:t xml:space="preserve">0.0104</w:t>
                  </w:r>
                </w:p>
              </w:tc>
              <w:tc>
                <w:tcPr/>
                <w:p>
                  <w:pPr>
                    <w:pStyle w:val="Compact"/>
                    <w:jc w:val="right"/>
                    <w:jc w:val="center"/>
                  </w:pPr>
                  <w:r>
                    <w:t xml:space="preserve">2.1168</w:t>
                  </w:r>
                </w:p>
              </w:tc>
              <w:tc>
                <w:tcPr/>
                <w:p>
                  <w:pPr>
                    <w:pStyle w:val="Compact"/>
                    <w:jc w:val="right"/>
                    <w:jc w:val="center"/>
                  </w:pPr>
                  <w:r>
                    <w:t xml:space="preserve">0.0343</w:t>
                  </w:r>
                </w:p>
              </w:tc>
            </w:tr>
            <w:tr>
              <w:tc>
                <w:tcPr/>
                <w:p>
                  <w:pPr>
                    <w:pStyle w:val="Compact"/>
                    <w:jc w:val="left"/>
                    <w:jc w:val="center"/>
                  </w:pPr>
                  <w:r>
                    <w:t xml:space="preserve">1</w:t>
                  </w:r>
                </w:p>
              </w:tc>
              <w:tc>
                <w:tcPr/>
                <w:p>
                  <w:pPr>
                    <w:pStyle w:val="Compact"/>
                    <w:jc w:val="left"/>
                    <w:jc w:val="center"/>
                  </w:pPr>
                  <w:r>
                    <w:t xml:space="preserve">SexMale</w:t>
                  </w:r>
                </w:p>
              </w:tc>
              <w:tc>
                <w:tcPr/>
                <w:p>
                  <w:pPr>
                    <w:pStyle w:val="Compact"/>
                    <w:jc w:val="right"/>
                    <w:jc w:val="center"/>
                  </w:pPr>
                  <w:r>
                    <w:t xml:space="preserve">-2.1851</w:t>
                  </w:r>
                </w:p>
              </w:tc>
              <w:tc>
                <w:tcPr/>
                <w:p>
                  <w:pPr>
                    <w:pStyle w:val="Compact"/>
                    <w:jc w:val="right"/>
                    <w:jc w:val="center"/>
                  </w:pPr>
                  <w:r>
                    <w:t xml:space="preserve">0.3166</w:t>
                  </w:r>
                </w:p>
              </w:tc>
              <w:tc>
                <w:tcPr/>
                <w:p>
                  <w:pPr>
                    <w:pStyle w:val="Compact"/>
                    <w:jc w:val="right"/>
                    <w:jc w:val="center"/>
                  </w:pPr>
                  <w:r>
                    <w:t xml:space="preserve">-6.9015</w:t>
                  </w:r>
                </w:p>
              </w:tc>
              <w:tc>
                <w:tcPr/>
                <w:p>
                  <w:pPr>
                    <w:pStyle w:val="Compact"/>
                    <w:jc w:val="right"/>
                    <w:jc w:val="center"/>
                  </w:pPr>
                  <w:r>
                    <w:t xml:space="preserve">0.0000</w:t>
                  </w:r>
                </w:p>
              </w:tc>
            </w:tr>
            <w:tr>
              <w:tc>
                <w:tcPr/>
                <w:p>
                  <w:pPr>
                    <w:pStyle w:val="Compact"/>
                    <w:jc w:val="left"/>
                    <w:jc w:val="center"/>
                  </w:pPr>
                  <w:r>
                    <w:t xml:space="preserve">1</w:t>
                  </w:r>
                </w:p>
              </w:tc>
              <w:tc>
                <w:tcPr/>
                <w:p>
                  <w:pPr>
                    <w:pStyle w:val="Compact"/>
                    <w:jc w:val="left"/>
                    <w:jc w:val="center"/>
                  </w:pPr>
                  <w:r>
                    <w:t xml:space="preserve">ZoneUrban</w:t>
                  </w:r>
                </w:p>
              </w:tc>
              <w:tc>
                <w:tcPr/>
                <w:p>
                  <w:pPr>
                    <w:pStyle w:val="Compact"/>
                    <w:jc w:val="right"/>
                    <w:jc w:val="center"/>
                  </w:pPr>
                  <w:r>
                    <w:t xml:space="preserve">-0.2536</w:t>
                  </w:r>
                </w:p>
              </w:tc>
              <w:tc>
                <w:tcPr/>
                <w:p>
                  <w:pPr>
                    <w:pStyle w:val="Compact"/>
                    <w:jc w:val="right"/>
                    <w:jc w:val="center"/>
                  </w:pPr>
                  <w:r>
                    <w:t xml:space="preserve">0.4045</w:t>
                  </w:r>
                </w:p>
              </w:tc>
              <w:tc>
                <w:tcPr/>
                <w:p>
                  <w:pPr>
                    <w:pStyle w:val="Compact"/>
                    <w:jc w:val="right"/>
                    <w:jc w:val="center"/>
                  </w:pPr>
                  <w:r>
                    <w:t xml:space="preserve">-0.6270</w:t>
                  </w:r>
                </w:p>
              </w:tc>
              <w:tc>
                <w:tcPr/>
                <w:p>
                  <w:pPr>
                    <w:pStyle w:val="Compact"/>
                    <w:jc w:val="right"/>
                    <w:jc w:val="center"/>
                  </w:pPr>
                  <w:r>
                    <w:t xml:space="preserve">0.5307</w:t>
                  </w:r>
                </w:p>
              </w:tc>
            </w:tr>
            <w:tr>
              <w:tc>
                <w:tcPr/>
                <w:p>
                  <w:pPr>
                    <w:pStyle w:val="Compact"/>
                    <w:jc w:val="left"/>
                    <w:jc w:val="center"/>
                  </w:pPr>
                  <w:r>
                    <w:t xml:space="preserve">2</w:t>
                  </w:r>
                </w:p>
              </w:tc>
              <w:tc>
                <w:tcPr/>
                <w:p>
                  <w:pPr>
                    <w:pStyle w:val="Compact"/>
                    <w:jc w:val="left"/>
                    <w:jc w:val="center"/>
                  </w:pPr>
                  <w:r>
                    <w:t xml:space="preserve">(Intercept)</w:t>
                  </w:r>
                </w:p>
              </w:tc>
              <w:tc>
                <w:tcPr/>
                <w:p>
                  <w:pPr>
                    <w:pStyle w:val="Compact"/>
                    <w:jc w:val="right"/>
                    <w:jc w:val="center"/>
                  </w:pPr>
                  <w:r>
                    <w:t xml:space="preserve">2.3063</w:t>
                  </w:r>
                </w:p>
              </w:tc>
              <w:tc>
                <w:tcPr/>
                <w:p>
                  <w:pPr>
                    <w:pStyle w:val="Compact"/>
                    <w:jc w:val="right"/>
                    <w:jc w:val="center"/>
                  </w:pPr>
                  <w:r>
                    <w:t xml:space="preserve">0.4614</w:t>
                  </w:r>
                </w:p>
              </w:tc>
              <w:tc>
                <w:tcPr/>
                <w:p>
                  <w:pPr>
                    <w:pStyle w:val="Compact"/>
                    <w:jc w:val="right"/>
                    <w:jc w:val="center"/>
                  </w:pPr>
                  <w:r>
                    <w:t xml:space="preserve">4.9983</w:t>
                  </w:r>
                </w:p>
              </w:tc>
              <w:tc>
                <w:tcPr/>
                <w:p>
                  <w:pPr>
                    <w:pStyle w:val="Compact"/>
                    <w:jc w:val="right"/>
                    <w:jc w:val="center"/>
                  </w:pPr>
                  <w:r>
                    <w:t xml:space="preserve">0.0000</w:t>
                  </w:r>
                </w:p>
              </w:tc>
            </w:tr>
            <w:tr>
              <w:tc>
                <w:tcPr/>
                <w:p>
                  <w:pPr>
                    <w:pStyle w:val="Compact"/>
                    <w:jc w:val="left"/>
                    <w:jc w:val="center"/>
                  </w:pPr>
                  <w:r>
                    <w:t xml:space="preserve">2</w:t>
                  </w:r>
                </w:p>
              </w:tc>
              <w:tc>
                <w:tcPr/>
                <w:p>
                  <w:pPr>
                    <w:pStyle w:val="Compact"/>
                    <w:jc w:val="left"/>
                    <w:jc w:val="center"/>
                  </w:pPr>
                  <w:r>
                    <w:t xml:space="preserve">Age</w:t>
                  </w:r>
                </w:p>
              </w:tc>
              <w:tc>
                <w:tcPr/>
                <w:p>
                  <w:pPr>
                    <w:pStyle w:val="Compact"/>
                    <w:jc w:val="right"/>
                    <w:jc w:val="center"/>
                  </w:pPr>
                  <w:r>
                    <w:t xml:space="preserve">0.0181</w:t>
                  </w:r>
                </w:p>
              </w:tc>
              <w:tc>
                <w:tcPr/>
                <w:p>
                  <w:pPr>
                    <w:pStyle w:val="Compact"/>
                    <w:jc w:val="right"/>
                    <w:jc w:val="center"/>
                  </w:pPr>
                  <w:r>
                    <w:t xml:space="preserve">0.0088</w:t>
                  </w:r>
                </w:p>
              </w:tc>
              <w:tc>
                <w:tcPr/>
                <w:p>
                  <w:pPr>
                    <w:pStyle w:val="Compact"/>
                    <w:jc w:val="right"/>
                    <w:jc w:val="center"/>
                  </w:pPr>
                  <w:r>
                    <w:t xml:space="preserve">2.0556</w:t>
                  </w:r>
                </w:p>
              </w:tc>
              <w:tc>
                <w:tcPr/>
                <w:p>
                  <w:pPr>
                    <w:pStyle w:val="Compact"/>
                    <w:jc w:val="right"/>
                    <w:jc w:val="center"/>
                  </w:pPr>
                  <w:r>
                    <w:t xml:space="preserve">0.0398</w:t>
                  </w:r>
                </w:p>
              </w:tc>
            </w:tr>
            <w:tr>
              <w:tc>
                <w:tcPr/>
                <w:p>
                  <w:pPr>
                    <w:pStyle w:val="Compact"/>
                    <w:jc w:val="left"/>
                    <w:jc w:val="center"/>
                  </w:pPr>
                  <w:r>
                    <w:t xml:space="preserve">2</w:t>
                  </w:r>
                </w:p>
              </w:tc>
              <w:tc>
                <w:tcPr/>
                <w:p>
                  <w:pPr>
                    <w:pStyle w:val="Compact"/>
                    <w:jc w:val="left"/>
                    <w:jc w:val="center"/>
                  </w:pPr>
                  <w:r>
                    <w:t xml:space="preserve">SexMale</w:t>
                  </w:r>
                </w:p>
              </w:tc>
              <w:tc>
                <w:tcPr/>
                <w:p>
                  <w:pPr>
                    <w:pStyle w:val="Compact"/>
                    <w:jc w:val="right"/>
                    <w:jc w:val="center"/>
                  </w:pPr>
                  <w:r>
                    <w:t xml:space="preserve">-0.5783</w:t>
                  </w:r>
                </w:p>
              </w:tc>
              <w:tc>
                <w:tcPr/>
                <w:p>
                  <w:pPr>
                    <w:pStyle w:val="Compact"/>
                    <w:jc w:val="right"/>
                    <w:jc w:val="center"/>
                  </w:pPr>
                  <w:r>
                    <w:t xml:space="preserve">0.2766</w:t>
                  </w:r>
                </w:p>
              </w:tc>
              <w:tc>
                <w:tcPr/>
                <w:p>
                  <w:pPr>
                    <w:pStyle w:val="Compact"/>
                    <w:jc w:val="right"/>
                    <w:jc w:val="center"/>
                  </w:pPr>
                  <w:r>
                    <w:t xml:space="preserve">-2.0908</w:t>
                  </w:r>
                </w:p>
              </w:tc>
              <w:tc>
                <w:tcPr/>
                <w:p>
                  <w:pPr>
                    <w:pStyle w:val="Compact"/>
                    <w:jc w:val="right"/>
                    <w:jc w:val="center"/>
                  </w:pPr>
                  <w:r>
                    <w:t xml:space="preserve">0.0365</w:t>
                  </w:r>
                </w:p>
              </w:tc>
            </w:tr>
            <w:tr>
              <w:tc>
                <w:tcPr/>
                <w:p>
                  <w:pPr>
                    <w:pStyle w:val="Compact"/>
                    <w:jc w:val="left"/>
                    <w:jc w:val="center"/>
                  </w:pPr>
                  <w:r>
                    <w:t xml:space="preserve">2</w:t>
                  </w:r>
                </w:p>
              </w:tc>
              <w:tc>
                <w:tcPr/>
                <w:p>
                  <w:pPr>
                    <w:pStyle w:val="Compact"/>
                    <w:jc w:val="left"/>
                    <w:jc w:val="center"/>
                  </w:pPr>
                  <w:r>
                    <w:t xml:space="preserve">ZoneUrban</w:t>
                  </w:r>
                </w:p>
              </w:tc>
              <w:tc>
                <w:tcPr/>
                <w:p>
                  <w:pPr>
                    <w:pStyle w:val="Compact"/>
                    <w:jc w:val="right"/>
                    <w:jc w:val="center"/>
                  </w:pPr>
                  <w:r>
                    <w:t xml:space="preserve">0.0392</w:t>
                  </w:r>
                </w:p>
              </w:tc>
              <w:tc>
                <w:tcPr/>
                <w:p>
                  <w:pPr>
                    <w:pStyle w:val="Compact"/>
                    <w:jc w:val="right"/>
                    <w:jc w:val="center"/>
                  </w:pPr>
                  <w:r>
                    <w:t xml:space="preserve">0.3605</w:t>
                  </w:r>
                </w:p>
              </w:tc>
              <w:tc>
                <w:tcPr/>
                <w:p>
                  <w:pPr>
                    <w:pStyle w:val="Compact"/>
                    <w:jc w:val="right"/>
                    <w:jc w:val="center"/>
                  </w:pPr>
                  <w:r>
                    <w:t xml:space="preserve">0.1087</w:t>
                  </w:r>
                </w:p>
              </w:tc>
              <w:tc>
                <w:tcPr/>
                <w:p>
                  <w:pPr>
                    <w:pStyle w:val="Compact"/>
                    <w:jc w:val="right"/>
                    <w:jc w:val="center"/>
                  </w:pPr>
                  <w:r>
                    <w:t xml:space="preserve">0.9135</w:t>
                  </w:r>
                </w:p>
              </w:tc>
            </w:tr>
          </w:tbl>
          <w:bookmarkEnd w:id="232"/>
          <w:p/>
        </w:tc>
      </w:tr>
    </w:tbl>
    <w:p>
      <w:pPr>
        <w:pStyle w:val="BodyText"/>
      </w:pPr>
      <w:r>
        <w:t xml:space="preserve">De acuerdo con</w:t>
      </w:r>
      <w:r>
        <w:t xml:space="preserve"> </w:t>
      </w:r>
      <w:r>
        <w:t xml:space="preserve">Warnes et al. (2023)</w:t>
      </w:r>
      <w:r>
        <w:t xml:space="preserve"> </w:t>
      </w:r>
      <w:r>
        <w:t xml:space="preserve">y</w:t>
      </w:r>
      <w:r>
        <w:t xml:space="preserve"> </w:t>
      </w:r>
      <w:r>
        <w:t xml:space="preserve">Solt y Hu (2025)</w:t>
      </w:r>
      <w:r>
        <w:t xml:space="preserve">, la</w:t>
      </w:r>
      <w:r>
        <w:t xml:space="preserve"> </w:t>
      </w:r>
      <w:hyperlink w:anchor="fig-multinomial-ic">
        <w:r>
          <w:rPr>
            <w:rStyle w:val="Hyperlink"/>
          </w:rPr>
          <w:t xml:space="preserve">figura 6.3</w:t>
        </w:r>
      </w:hyperlink>
      <w:r>
        <w:t xml:space="preserve"> </w:t>
      </w:r>
      <w:r>
        <w:t xml:space="preserve">muestra los intervalos de confianza de los coeficientes estimados para cada ecuación del modelo multinomial. Se usa</w:t>
      </w:r>
      <w:r>
        <w:t xml:space="preserve"> </w:t>
      </w:r>
      <w:r>
        <w:rPr>
          <w:rStyle w:val="VerbatimChar"/>
        </w:rPr>
        <w:t xml:space="preserve">gtools::stars.pval()</w:t>
      </w:r>
      <w:r>
        <w:t xml:space="preserve"> </w:t>
      </w:r>
      <w:r>
        <w:t xml:space="preserve">para codificar la significación estadística, y la visualización se construye con</w:t>
      </w:r>
      <w:r>
        <w:t xml:space="preserve"> </w:t>
      </w:r>
      <w:r>
        <w:rPr>
          <w:rStyle w:val="VerbatimChar"/>
        </w:rPr>
        <w:t xml:space="preserve">dotwhisker::dwplot()</w:t>
      </w:r>
      <w:r>
        <w:t xml:space="preserve">, lo que permite comparar coeficientes e intervalos en una escala común. Las covariables cuyos intervalos no incluyen el valor cero presentan evidencia de asociación estadística significativa con la variable respuesta, mientras que aquellos cuyos intervalos contienen el cero no muestran efectos significativos al nivel de confianza considerado.</w:t>
      </w:r>
    </w:p>
    <w:p>
      <w:pPr>
        <w:pStyle w:val="SourceCode"/>
      </w:pPr>
      <w:r>
        <w:rPr>
          <w:rStyle w:val="NormalTok"/>
        </w:rPr>
        <w:t xml:space="preserve">multinomial_results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if_else</w:t>
      </w:r>
      <w:r>
        <w:rPr>
          <w:rStyle w:val="NormalTok"/>
        </w:rPr>
        <w:t xml:space="preserve">(y.level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"Inactive"</w:t>
      </w:r>
      <w:r>
        <w:rPr>
          <w:rStyle w:val="NormalTok"/>
        </w:rPr>
        <w:t xml:space="preserve">, </w:t>
      </w:r>
      <w:r>
        <w:rPr>
          <w:rStyle w:val="StringTok"/>
        </w:rPr>
        <w:t xml:space="preserve">"Employed"</w:t>
      </w:r>
      <w:r>
        <w:rPr>
          <w:rStyle w:val="NormalTok"/>
        </w:rPr>
        <w:t xml:space="preserve">),</w:t>
      </w:r>
      <w:r>
        <w:br/>
      </w:r>
      <w:r>
        <w:rPr>
          <w:rStyle w:val="NormalTok"/>
        </w:rPr>
        <w:t xml:space="preserve">    </w:t>
      </w:r>
      <w:r>
        <w:rPr>
          <w:rStyle w:val="AttributeTok"/>
        </w:rPr>
        <w:t xml:space="preserve">sig =</w:t>
      </w:r>
      <w:r>
        <w:rPr>
          <w:rStyle w:val="NormalTok"/>
        </w:rPr>
        <w:t xml:space="preserve"> gtools</w:t>
      </w:r>
      <w:r>
        <w:rPr>
          <w:rStyle w:val="SpecialCharTok"/>
        </w:rPr>
        <w:t xml:space="preserve">::</w:t>
      </w:r>
      <w:r>
        <w:rPr>
          <w:rStyle w:val="FunctionTok"/>
        </w:rPr>
        <w:t xml:space="preserve">stars.pval</w:t>
      </w:r>
      <w:r>
        <w:rPr>
          <w:rStyle w:val="NormalTok"/>
        </w:rPr>
        <w:t xml:space="preserve">(p.value)</w:t>
      </w:r>
      <w:r>
        <w:br/>
      </w:r>
      <w:r>
        <w:rPr>
          <w:rStyle w:val="NormalTok"/>
        </w:rPr>
        <w:t xml:space="preserve">  ) </w:t>
      </w:r>
      <w:r>
        <w:rPr>
          <w:rStyle w:val="SpecialCharTok"/>
        </w:rPr>
        <w:t xml:space="preserve">%&gt;%</w:t>
      </w:r>
      <w:r>
        <w:br/>
      </w:r>
      <w:r>
        <w:rPr>
          <w:rStyle w:val="NormalTok"/>
        </w:rPr>
        <w:t xml:space="preserve">  dotwhisker</w:t>
      </w:r>
      <w:r>
        <w:rPr>
          <w:rStyle w:val="SpecialCharTok"/>
        </w:rPr>
        <w:t xml:space="preserve">::</w:t>
      </w:r>
      <w:r>
        <w:rPr>
          <w:rStyle w:val="FunctionTok"/>
        </w:rPr>
        <w:t xml:space="preserve">dwplot</w:t>
      </w:r>
      <w:r>
        <w:rPr>
          <w:rStyle w:val="NormalTok"/>
        </w:rPr>
        <w:t xml:space="preserve">(</w:t>
      </w:r>
      <w:r>
        <w:br/>
      </w:r>
      <w:r>
        <w:rPr>
          <w:rStyle w:val="NormalTok"/>
        </w:rPr>
        <w:t xml:space="preserve">    </w:t>
      </w:r>
      <w:r>
        <w:rPr>
          <w:rStyle w:val="AttributeTok"/>
        </w:rPr>
        <w:t xml:space="preserve">dodge_size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vline =</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reverse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6" w:name="fig-multinomial-ic"/>
          <w:p>
            <w:pPr>
              <w:pStyle w:val="Compact"/>
              <w:jc w:val="center"/>
            </w:pPr>
            <w:r>
              <w:drawing>
                <wp:inline>
                  <wp:extent cx="4000500" cy="2667000"/>
                  <wp:effectExtent b="0" l="0" r="0" t="0"/>
                  <wp:docPr descr="" title="" id="234" name="Picture"/>
                  <a:graphic>
                    <a:graphicData uri="http://schemas.openxmlformats.org/drawingml/2006/picture">
                      <pic:pic>
                        <pic:nvPicPr>
                          <pic:cNvPr descr="chapters/../figures/fig-multinomial-ic-1.png" id="235" name="Picture"/>
                          <pic:cNvPicPr>
                            <a:picLocks noChangeArrowheads="1" noChangeAspect="1"/>
                          </pic:cNvPicPr>
                        </pic:nvPicPr>
                        <pic:blipFill>
                          <a:blip r:embed="rId233"/>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6.3: Intervalos de confianza para los coeficientes del modelo multinomial</w:t>
            </w:r>
          </w:p>
          <w:bookmarkEnd w:id="236"/>
        </w:tc>
      </w:tr>
    </w:tbl>
    <w:bookmarkEnd w:id="237"/>
    <w:bookmarkStart w:id="239" w:name="sec-gamma"/>
    <w:p>
      <w:pPr>
        <w:pStyle w:val="Heading2"/>
      </w:pPr>
      <w:r>
        <w:t xml:space="preserve">6.3 Modelo de regresión Gamma</w:t>
      </w:r>
    </w:p>
    <w:p>
      <w:pPr>
        <w:pStyle w:val="FirstParagraph"/>
      </w:pPr>
      <w:r>
        <w:t xml:space="preserve">Según</w:t>
      </w:r>
      <w:r>
        <w:t xml:space="preserve"> </w:t>
      </w:r>
      <w:r>
        <w:t xml:space="preserve">McCullagh y Nelder (1989)</w:t>
      </w:r>
      <w:r>
        <w:t xml:space="preserve">, la regresión Gamma constituye una extensión de los modelos lineales generalizados adecuada para variables respuesta continuas, estrictamente positivas y cuya variabilidad aumenta con la media. Este comportamiento es frecuente en variables económicas y sociales, como los ingresos de los hogares o los gastos en consumo.</w:t>
      </w:r>
    </w:p>
    <w:p>
      <w:pPr>
        <w:pStyle w:val="BodyText"/>
      </w:pPr>
      <w:r>
        <w:t xml:space="preserve">Si</w:t>
      </w:r>
      <w:r>
        <w:t xml:space="preserve"> </w:t>
      </w:r>
      <m:oMath>
        <m:sSub>
          <m:e>
            <m:r>
              <m:t>Y</m:t>
            </m:r>
          </m:e>
          <m:sub>
            <m:r>
              <m:t>k</m:t>
            </m:r>
          </m:sub>
        </m:sSub>
      </m:oMath>
      <w:r>
        <w:t xml:space="preserve">, la variable de interés observada para la unidad</w:t>
      </w:r>
      <w:r>
        <w:t xml:space="preserve"> </w:t>
      </w:r>
      <m:oMath>
        <m:r>
          <m:t>k</m:t>
        </m:r>
      </m:oMath>
      <w:r>
        <w:t xml:space="preserve">, sigue una distribución Gamma con media</w:t>
      </w:r>
      <w:r>
        <w:t xml:space="preserve"> </w:t>
      </w:r>
      <m:oMath>
        <m:sSub>
          <m:e>
            <m:r>
              <m:t>μ</m:t>
            </m:r>
          </m:e>
          <m:sub>
            <m:r>
              <m:t>k</m:t>
            </m:r>
          </m:sub>
        </m:sSub>
      </m:oMath>
      <w:r>
        <w:t xml:space="preserve"> </w:t>
      </w:r>
      <w:r>
        <w:t xml:space="preserve">y parámetro de dispersión</w:t>
      </w:r>
      <w:r>
        <w:t xml:space="preserve"> </w:t>
      </w:r>
      <m:oMath>
        <m:r>
          <m:t>ϕ</m:t>
        </m:r>
      </m:oMath>
      <w:r>
        <w:t xml:space="preserve">, el modelo relaciona el valor esperado de la variable respuesta con un conjunto de covariables mediante una función de enlace. El enlace logarítmico es una opción frecuente y garantiza predicciones positivas, aunque el enlace canónico de la familia Gamma es el inverso. En este caso, el modelo se expresa como</w:t>
      </w:r>
    </w:p>
    <w:p>
      <w:pPr>
        <w:pStyle w:val="BodyText"/>
      </w:pPr>
      <m:oMathPara>
        <m:oMathParaPr>
          <m:jc m:val="center"/>
        </m:oMathParaPr>
        <m:oMath>
          <m:r>
            <m:rPr>
              <m:sty m:val="p"/>
            </m:rPr>
            <m:t>log</m:t>
          </m:r>
          <m:r>
            <m:rPr>
              <m:sty m:val="p"/>
            </m:rPr>
            <m:t>(</m:t>
          </m:r>
          <m:sSub>
            <m:e>
              <m:r>
                <m:t>μ</m:t>
              </m:r>
            </m:e>
            <m:sub>
              <m:r>
                <m:t>k</m:t>
              </m:r>
            </m:sub>
          </m:sSub>
          <m:r>
            <m:rPr>
              <m:sty m:val="p"/>
            </m:rPr>
            <m:t>)</m:t>
          </m:r>
          <m:r>
            <m:rPr>
              <m:sty m:val="p"/>
            </m:rPr>
            <m:t>=</m:t>
          </m:r>
          <m:sSub>
            <m:e>
              <m:r>
                <m:rPr>
                  <m:sty m:val="b"/>
                </m:rPr>
                <m:t>x</m:t>
              </m:r>
            </m:e>
            <m:sub>
              <m:r>
                <m:t>k</m:t>
              </m:r>
            </m:sub>
          </m:sSub>
          <m:r>
            <m:rPr>
              <m:sty m:val="b"/>
            </m:rPr>
            <m:t>β</m:t>
          </m:r>
        </m:oMath>
      </m:oMathPara>
    </w:p>
    <w:p>
      <w:pPr>
        <w:pStyle w:val="FirstParagraph"/>
      </w:pPr>
      <w:r>
        <w:t xml:space="preserve">En donde</w:t>
      </w:r>
      <w:r>
        <w:t xml:space="preserve"> </w:t>
      </w:r>
      <m:oMath>
        <m:sSub>
          <m:e>
            <m:r>
              <m:rPr>
                <m:sty m:val="b"/>
              </m:rPr>
              <m:t>x</m:t>
            </m:r>
          </m:e>
          <m:sub>
            <m:r>
              <m:t>k</m:t>
            </m:r>
          </m:sub>
        </m:sSub>
      </m:oMath>
      <w:r>
        <w:t xml:space="preserve"> </w:t>
      </w:r>
      <w:r>
        <w:t xml:space="preserve">corresponde al vector de variables explicativas asociado a la unidad observada y</w:t>
      </w:r>
      <w:r>
        <w:t xml:space="preserve"> </w:t>
      </w:r>
      <m:oMath>
        <m:r>
          <m:rPr>
            <m:sty m:val="b"/>
          </m:rPr>
          <m:t>β</m:t>
        </m:r>
      </m:oMath>
      <w:r>
        <w:t xml:space="preserve"> </w:t>
      </w:r>
      <w:r>
        <w:t xml:space="preserve">es el vector de parámetros desconocidos del modelo. De forma equivalente, se tiene que:</w:t>
      </w:r>
    </w:p>
    <w:p>
      <w:pPr>
        <w:pStyle w:val="BodyText"/>
      </w:pPr>
      <m:oMathPara>
        <m:oMathParaPr>
          <m:jc m:val="center"/>
        </m:oMathParaPr>
        <m:oMath>
          <m:sSub>
            <m:e>
              <m:r>
                <m:t>μ</m:t>
              </m:r>
            </m:e>
            <m:sub>
              <m:r>
                <m:t>k</m:t>
              </m:r>
            </m:sub>
          </m:sSub>
          <m:r>
            <m:rPr>
              <m:sty m:val="p"/>
            </m:rPr>
            <m:t>=</m:t>
          </m:r>
          <m:r>
            <m:t>E</m:t>
          </m:r>
          <m:r>
            <m:rPr>
              <m:sty m:val="p"/>
            </m:rPr>
            <m:t>(</m:t>
          </m:r>
          <m:sSub>
            <m:e>
              <m:r>
                <m:t>Y</m:t>
              </m:r>
            </m:e>
            <m:sub>
              <m:r>
                <m:t>k</m:t>
              </m:r>
            </m:sub>
          </m:sSub>
          <m:r>
            <m:rPr>
              <m:sty m:val="p"/>
            </m:rPr>
            <m:t>∣</m:t>
          </m:r>
          <m:sSub>
            <m:e>
              <m:r>
                <m:rPr>
                  <m:sty m:val="b"/>
                </m:rPr>
                <m:t>x</m:t>
              </m:r>
            </m:e>
            <m:sub>
              <m:r>
                <m:t>k</m:t>
              </m:r>
            </m:sub>
          </m:sSub>
          <m:r>
            <m:rPr>
              <m:sty m:val="p"/>
            </m:rPr>
            <m:t>)</m:t>
          </m:r>
          <m:r>
            <m:rPr>
              <m:sty m:val="p"/>
            </m:rPr>
            <m:t>=</m:t>
          </m:r>
          <m:r>
            <m:rPr>
              <m:sty m:val="p"/>
            </m:rPr>
            <m:t>exp</m:t>
          </m:r>
          <m:r>
            <m:rPr>
              <m:sty m:val="p"/>
            </m:rPr>
            <m:t>(</m:t>
          </m:r>
          <m:sSub>
            <m:e>
              <m:r>
                <m:rPr>
                  <m:sty m:val="b"/>
                </m:rPr>
                <m:t>x</m:t>
              </m:r>
            </m:e>
            <m:sub>
              <m:r>
                <m:t>k</m:t>
              </m:r>
            </m:sub>
          </m:sSub>
          <m:r>
            <m:rPr>
              <m:sty m:val="b"/>
            </m:rPr>
            <m:t>β</m:t>
          </m:r>
          <m:r>
            <m:rPr>
              <m:sty m:val="p"/>
            </m:rPr>
            <m:t>)</m:t>
          </m:r>
          <m:r>
            <m:rPr>
              <m:sty m:val="p"/>
            </m:rPr>
            <m:t>,</m:t>
          </m:r>
        </m:oMath>
      </m:oMathPara>
    </w:p>
    <w:p>
      <w:pPr>
        <w:pStyle w:val="FirstParagraph"/>
      </w:pPr>
      <w:r>
        <w:t xml:space="preserve">Con el enlace logarítmico, cada parámetro puede interpretarse como el efecto de una covariable sobre el logaritmo de la media esperada, de manera que</w:t>
      </w:r>
      <w:r>
        <w:t xml:space="preserve"> </w:t>
      </w:r>
      <m:oMath>
        <m:r>
          <m:rPr>
            <m:sty m:val="p"/>
          </m:rPr>
          <m:t>exp</m:t>
        </m:r>
        <m:r>
          <m:rPr>
            <m:sty m:val="p"/>
          </m:rPr>
          <m:t>(</m:t>
        </m:r>
        <m:sSub>
          <m:e>
            <m:r>
              <m:t>β</m:t>
            </m:r>
          </m:e>
          <m:sub>
            <m:r>
              <m:t>j</m:t>
            </m:r>
          </m:sub>
        </m:sSub>
        <m:r>
          <m:rPr>
            <m:sty m:val="p"/>
          </m:rPr>
          <m:t>)</m:t>
        </m:r>
      </m:oMath>
      <w:r>
        <w:t xml:space="preserve"> </w:t>
      </w:r>
      <w:r>
        <w:t xml:space="preserve">representa el cambio multiplicativo asociado a un incremento unitario en la covariable correspondiente, manteniendo constantes las demás variables del modelo. Bajo la distribución Gamma, la función de densidad condicional de</w:t>
      </w:r>
      <w:r>
        <w:t xml:space="preserve"> </w:t>
      </w:r>
      <m:oMath>
        <m:sSub>
          <m:e>
            <m:r>
              <m:t>Y</m:t>
            </m:r>
          </m:e>
          <m:sub>
            <m:r>
              <m:t>k</m:t>
            </m:r>
          </m:sub>
        </m:sSub>
      </m:oMath>
      <w:r>
        <w:t xml:space="preserve"> </w:t>
      </w:r>
      <w:r>
        <w:t xml:space="preserve">puede escribirse como</w:t>
      </w:r>
    </w:p>
    <w:p>
      <w:pPr>
        <w:pStyle w:val="BodyText"/>
      </w:pPr>
      <m:oMathPara>
        <m:oMathParaPr>
          <m:jc m:val="center"/>
        </m:oMathParaPr>
        <m:oMath>
          <m:r>
            <m:t>f</m:t>
          </m:r>
          <m:r>
            <m:rPr>
              <m:sty m:val="p"/>
            </m:rPr>
            <m:t>(</m:t>
          </m:r>
          <m:sSub>
            <m:e>
              <m:r>
                <m:t>y</m:t>
              </m:r>
            </m:e>
            <m:sub>
              <m:r>
                <m:t>k</m:t>
              </m:r>
            </m:sub>
          </m:sSub>
          <m:r>
            <m:rPr>
              <m:sty m:val="p"/>
            </m:rPr>
            <m:t>∣</m:t>
          </m:r>
          <m:sSub>
            <m:e>
              <m:r>
                <m:t>μ</m:t>
              </m:r>
            </m:e>
            <m:sub>
              <m:r>
                <m:t>k</m:t>
              </m:r>
            </m:sub>
          </m:sSub>
          <m:r>
            <m:rPr>
              <m:sty m:val="p"/>
            </m:rPr>
            <m:t>,</m:t>
          </m:r>
          <m:r>
            <m:t>ϕ</m:t>
          </m:r>
          <m:r>
            <m:rPr>
              <m:sty m:val="p"/>
            </m:rPr>
            <m:t>)</m:t>
          </m:r>
          <m:r>
            <m:rPr>
              <m:sty m:val="p"/>
            </m:rPr>
            <m:t>=</m:t>
          </m:r>
          <m:f>
            <m:fPr>
              <m:type m:val="bar"/>
            </m:fPr>
            <m:num>
              <m:r>
                <m:t>1</m:t>
              </m:r>
            </m:num>
            <m:den>
              <m:r>
                <m:rPr>
                  <m:sty m:val="p"/>
                </m:rPr>
                <m:t>Γ</m:t>
              </m:r>
              <m:r>
                <m:rPr>
                  <m:sty m:val="p"/>
                </m:rPr>
                <m:t>(</m:t>
              </m:r>
              <m:r>
                <m:t>1</m:t>
              </m:r>
              <m:r>
                <m:rPr>
                  <m:sty m:val="p"/>
                </m:rPr>
                <m:t>/</m:t>
              </m:r>
              <m:r>
                <m:t>ϕ</m:t>
              </m:r>
              <m:r>
                <m:rPr>
                  <m:sty m:val="p"/>
                </m:rPr>
                <m:t>)</m:t>
              </m:r>
              <m:r>
                <m:rPr>
                  <m:sty m:val="p"/>
                </m:rPr>
                <m:t>(</m:t>
              </m:r>
              <m:r>
                <m:t>ϕ</m:t>
              </m:r>
              <m:sSub>
                <m:e>
                  <m:r>
                    <m:t>μ</m:t>
                  </m:r>
                </m:e>
                <m:sub>
                  <m:r>
                    <m:t>k</m:t>
                  </m:r>
                </m:sub>
              </m:sSub>
              <m:sSup>
                <m:e>
                  <m:r>
                    <m:rPr>
                      <m:sty m:val="p"/>
                    </m:rPr>
                    <m:t>)</m:t>
                  </m:r>
                </m:e>
                <m:sup>
                  <m:r>
                    <m:t>1</m:t>
                  </m:r>
                  <m:r>
                    <m:rPr>
                      <m:sty m:val="p"/>
                    </m:rPr>
                    <m:t>/</m:t>
                  </m:r>
                  <m:r>
                    <m:t>ϕ</m:t>
                  </m:r>
                </m:sup>
              </m:sSup>
            </m:den>
          </m:f>
          <m:sSubSup>
            <m:e>
              <m:r>
                <m:t>y</m:t>
              </m:r>
            </m:e>
            <m:sub>
              <m:r>
                <m:t>k</m:t>
              </m:r>
            </m:sub>
            <m:sup>
              <m:f>
                <m:fPr>
                  <m:type m:val="bar"/>
                </m:fPr>
                <m:num>
                  <m:r>
                    <m:t>1</m:t>
                  </m:r>
                </m:num>
                <m:den>
                  <m:r>
                    <m:t>ϕ</m:t>
                  </m:r>
                </m:den>
              </m:f>
              <m:r>
                <m:rPr>
                  <m:sty m:val="p"/>
                </m:rPr>
                <m:t>−</m:t>
              </m:r>
              <m:r>
                <m:t>1</m:t>
              </m:r>
            </m:sup>
          </m:sSubSup>
          <m:r>
            <m:rPr>
              <m:sty m:val="p"/>
            </m:rPr>
            <m:t>exp</m:t>
          </m:r>
          <m:d>
            <m:dPr>
              <m:begChr m:val="("/>
              <m:sepChr m:val=""/>
              <m:endChr m:val=")"/>
              <m:grow/>
            </m:dPr>
            <m:e>
              <m:r>
                <m:rPr>
                  <m:sty m:val="p"/>
                </m:rPr>
                <m:t>−</m:t>
              </m:r>
              <m:f>
                <m:fPr>
                  <m:type m:val="bar"/>
                </m:fPr>
                <m:num>
                  <m:sSub>
                    <m:e>
                      <m:r>
                        <m:t>y</m:t>
                      </m:r>
                    </m:e>
                    <m:sub>
                      <m:r>
                        <m:t>k</m:t>
                      </m:r>
                    </m:sub>
                  </m:sSub>
                </m:num>
                <m:den>
                  <m:r>
                    <m:t>ϕ</m:t>
                  </m:r>
                  <m:sSub>
                    <m:e>
                      <m:r>
                        <m:t>μ</m:t>
                      </m:r>
                    </m:e>
                    <m:sub>
                      <m:r>
                        <m:t>k</m:t>
                      </m:r>
                    </m:sub>
                  </m:sSub>
                </m:den>
              </m:f>
            </m:e>
          </m:d>
          <m:r>
            <m:rPr>
              <m:sty m:val="p"/>
            </m:rPr>
            <m:t>,</m:t>
          </m:r>
          <m:r>
            <m:t>  </m:t>
          </m:r>
          <m:sSub>
            <m:e>
              <m:r>
                <m:t>y</m:t>
              </m:r>
            </m:e>
            <m:sub>
              <m:r>
                <m:t>k</m:t>
              </m:r>
            </m:sub>
          </m:sSub>
          <m:r>
            <m:rPr>
              <m:sty m:val="p"/>
            </m:rPr>
            <m:t>&gt;</m:t>
          </m:r>
          <m:r>
            <m:t>0</m:t>
          </m:r>
          <m:r>
            <m:rPr>
              <m:sty m:val="p"/>
            </m:rPr>
            <m:t>,</m:t>
          </m:r>
        </m:oMath>
      </m:oMathPara>
    </w:p>
    <w:p>
      <w:pPr>
        <w:pStyle w:val="FirstParagraph"/>
      </w:pPr>
      <w:r>
        <w:t xml:space="preserve">donde</w:t>
      </w:r>
      <w:r>
        <w:t xml:space="preserve"> </w:t>
      </w:r>
      <m:oMath>
        <m:r>
          <m:rPr>
            <m:sty m:val="p"/>
          </m:rPr>
          <m:t>Γ</m:t>
        </m:r>
        <m:r>
          <m:rPr>
            <m:sty m:val="p"/>
          </m:rPr>
          <m:t>(</m:t>
        </m:r>
        <m:r>
          <m:rPr>
            <m:sty m:val="p"/>
          </m:rPr>
          <m:t>⋅</m:t>
        </m:r>
        <m:r>
          <m:rPr>
            <m:sty m:val="p"/>
          </m:rPr>
          <m:t>)</m:t>
        </m:r>
      </m:oMath>
      <w:r>
        <w:t xml:space="preserve"> </w:t>
      </w:r>
      <w:r>
        <w:t xml:space="preserve">denota la función Gamma y</w:t>
      </w:r>
      <w:r>
        <w:t xml:space="preserve"> </w:t>
      </w:r>
      <m:oMath>
        <m:r>
          <m:t>ϕ</m:t>
        </m:r>
      </m:oMath>
      <w:r>
        <w:t xml:space="preserve"> </w:t>
      </w:r>
      <w:r>
        <w:t xml:space="preserve">representa el parámetro de dispersión. Bajo el enfoque de inferencia basado en pseudo-máxima verosimilitud, la función objetivo que se optimiza para obtener los estimadores de los parámetros del modelo está dada por</w:t>
      </w:r>
    </w:p>
    <w:p>
      <w:pPr>
        <w:pStyle w:val="BodyText"/>
      </w:pPr>
      <m:oMathPara>
        <m:oMathParaPr>
          <m:jc m:val="center"/>
        </m:oMathParaPr>
        <m:oMath>
          <m:r>
            <m:t>ℓ</m:t>
          </m:r>
          <m:r>
            <m:rPr>
              <m:sty m:val="p"/>
            </m:rPr>
            <m:t>(</m:t>
          </m:r>
          <m:r>
            <m:rPr>
              <m:sty m:val="b"/>
            </m:rPr>
            <m:t>β</m:t>
          </m:r>
          <m:r>
            <m:rPr>
              <m:sty m:val="p"/>
            </m:rPr>
            <m:t>,</m:t>
          </m:r>
          <m:r>
            <m:t>ϕ</m:t>
          </m:r>
          <m:r>
            <m:rPr>
              <m:sty m:val="p"/>
            </m:rPr>
            <m:t>)</m:t>
          </m:r>
          <m:r>
            <m:rPr>
              <m:sty m:val="p"/>
            </m:rPr>
            <m:t>=</m:t>
          </m:r>
          <m:nary>
            <m:naryPr>
              <m:chr m:val="∑"/>
              <m:limLoc m:val="undOvr"/>
              <m:subHide m:val="off"/>
              <m:supHide m:val="on"/>
            </m:naryPr>
            <m:sub>
              <m:r>
                <m:t>k</m:t>
              </m:r>
            </m:sub>
            <m:sup>
              <m:r>
                <m:t>​</m:t>
              </m:r>
            </m:sup>
            <m:e>
              <m:sSub>
                <m:e>
                  <m:r>
                    <m:t>w</m:t>
                  </m:r>
                </m:e>
                <m:sub>
                  <m:r>
                    <m:t>k</m:t>
                  </m:r>
                </m:sub>
              </m:sSub>
            </m:e>
          </m:nary>
          <m:r>
            <m:rPr>
              <m:sty m:val="p"/>
            </m:rPr>
            <m:t>log</m:t>
          </m:r>
          <m:d>
            <m:dPr>
              <m:begChr m:val="["/>
              <m:sepChr m:val=""/>
              <m:endChr m:val="]"/>
              <m:grow/>
            </m:dPr>
            <m:e>
              <m:r>
                <m:t>f</m:t>
              </m:r>
              <m:r>
                <m:rPr>
                  <m:sty m:val="p"/>
                </m:rPr>
                <m:t>(</m:t>
              </m:r>
              <m:sSub>
                <m:e>
                  <m:r>
                    <m:t>y</m:t>
                  </m:r>
                </m:e>
                <m:sub>
                  <m:r>
                    <m:t>k</m:t>
                  </m:r>
                </m:sub>
              </m:sSub>
              <m:r>
                <m:rPr>
                  <m:sty m:val="p"/>
                </m:rPr>
                <m:t>∣</m:t>
              </m:r>
              <m:sSub>
                <m:e>
                  <m:r>
                    <m:t>μ</m:t>
                  </m:r>
                </m:e>
                <m:sub>
                  <m:r>
                    <m:t>k</m:t>
                  </m:r>
                </m:sub>
              </m:sSub>
              <m:r>
                <m:rPr>
                  <m:sty m:val="p"/>
                </m:rPr>
                <m:t>,</m:t>
              </m:r>
              <m:r>
                <m:t>ϕ</m:t>
              </m:r>
              <m:r>
                <m:rPr>
                  <m:sty m:val="p"/>
                </m:rPr>
                <m:t>)</m:t>
              </m:r>
            </m:e>
          </m:d>
        </m:oMath>
      </m:oMathPara>
    </w:p>
    <w:p>
      <w:pPr>
        <w:pStyle w:val="FirstParagraph"/>
      </w:pPr>
      <w:r>
        <w:t xml:space="preserve">En donde</w:t>
      </w:r>
      <w:r>
        <w:t xml:space="preserve"> </w:t>
      </w:r>
      <m:oMath>
        <m:r>
          <m:t>k</m:t>
        </m:r>
      </m:oMath>
      <w:r>
        <w:t xml:space="preserve"> </w:t>
      </w:r>
      <w:r>
        <w:t xml:space="preserve">representa las unidades de observación de la muestra y</w:t>
      </w:r>
      <w:r>
        <w:t xml:space="preserve"> </w:t>
      </w:r>
      <m:oMath>
        <m:sSub>
          <m:e>
            <m:r>
              <m:t>w</m:t>
            </m:r>
          </m:e>
          <m:sub>
            <m:r>
              <m:t>k</m:t>
            </m:r>
          </m:sub>
        </m:sSub>
      </m:oMath>
      <w:r>
        <w:t xml:space="preserve"> </w:t>
      </w:r>
      <w:r>
        <w:t xml:space="preserve">corresponde al factor de expansión asociado a cada una de ellas. Esta función define el criterio de optimización utilizado para estimar los parámetros del modelo bajo el enfoque de pseudo-máxima verosimilitud, descrito para encuestas complejas por</w:t>
      </w:r>
      <w:r>
        <w:t xml:space="preserve"> </w:t>
      </w:r>
      <w:r>
        <w:t xml:space="preserve">Chambers y Skinner (2003)</w:t>
      </w:r>
      <w:r>
        <w:t xml:space="preserve">. En</w:t>
      </w:r>
      <w:r>
        <w:t xml:space="preserve"> </w:t>
      </w:r>
      <w:r>
        <w:rPr>
          <w:rStyle w:val="VerbatimChar"/>
        </w:rPr>
        <w:t xml:space="preserve">R</w:t>
      </w:r>
      <w:r>
        <w:t xml:space="preserve">, se hace necesario primero definir el diseño de muestreo.</w:t>
      </w:r>
    </w:p>
    <w:p>
      <w:pPr>
        <w:pStyle w:val="SourceCode"/>
      </w:pPr>
      <w:r>
        <w:rPr>
          <w:rStyle w:val="NormalTok"/>
        </w:rPr>
        <w:t xml:space="preserve">gamma_design </w:t>
      </w:r>
      <w:r>
        <w:rPr>
          <w:rStyle w:val="OtherTok"/>
        </w:rPr>
        <w:t xml:space="preserve">&lt;-</w:t>
      </w:r>
      <w:r>
        <w:rPr>
          <w:rStyle w:val="NormalTok"/>
        </w:rPr>
        <w:t xml:space="preserve"> survey_data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  )</w:t>
      </w:r>
    </w:p>
    <w:p>
      <w:pPr>
        <w:pStyle w:val="FirstParagraph"/>
      </w:pPr>
      <w:r>
        <w:t xml:space="preserve">El siguiente código ajusta, mediante</w:t>
      </w:r>
      <w:r>
        <w:t xml:space="preserve"> </w:t>
      </w:r>
      <w:r>
        <w:rPr>
          <w:rStyle w:val="VerbatimChar"/>
        </w:rPr>
        <w:t xml:space="preserve">svyglm()</w:t>
      </w:r>
      <w:r>
        <w:t xml:space="preserve">, un modelo de regresión Gamma para la variable de ingresos del hogar (</w:t>
      </w:r>
      <w:r>
        <w:rPr>
          <w:rStyle w:val="VerbatimChar"/>
        </w:rPr>
        <w:t xml:space="preserve">Income</w:t>
      </w:r>
      <w:r>
        <w:t xml:space="preserve">), incorporando el diseño complejo de la encuesta definido en el objeto</w:t>
      </w:r>
      <w:r>
        <w:t xml:space="preserve"> </w:t>
      </w:r>
      <w:r>
        <w:rPr>
          <w:rStyle w:val="VerbatimChar"/>
        </w:rPr>
        <w:t xml:space="preserve">gamma_design</w:t>
      </w:r>
      <w:r>
        <w:t xml:space="preserve">. El modelo utiliza como variables explicativas el gasto del hogar (</w:t>
      </w:r>
      <w:r>
        <w:rPr>
          <w:rStyle w:val="VerbatimChar"/>
        </w:rPr>
        <w:t xml:space="preserve">Expenditure</w:t>
      </w:r>
      <w:r>
        <w:t xml:space="preserve">), la edad (</w:t>
      </w:r>
      <w:r>
        <w:rPr>
          <w:rStyle w:val="VerbatimChar"/>
        </w:rPr>
        <w:t xml:space="preserve">Age</w:t>
      </w:r>
      <w:r>
        <w:t xml:space="preserve">), el sexo (</w:t>
      </w:r>
      <w:r>
        <w:rPr>
          <w:rStyle w:val="VerbatimChar"/>
        </w:rPr>
        <w:t xml:space="preserve">Sex</w:t>
      </w:r>
      <w:r>
        <w:t xml:space="preserve">) y la zona de residencia (</w:t>
      </w:r>
      <w:r>
        <w:rPr>
          <w:rStyle w:val="VerbatimChar"/>
        </w:rPr>
        <w:t xml:space="preserve">Zone</w:t>
      </w:r>
      <w:r>
        <w:t xml:space="preserve">). Asimismo, se especifica una función de enlace logarítmica, garantizando predicciones positivas y permitiendo interpretar los efectos de las variables explicativas en términos multiplicativos sobre el ingreso esperado. Los coeficientes estimados se presentan en la</w:t>
      </w:r>
      <w:r>
        <w:t xml:space="preserve"> </w:t>
      </w:r>
      <w:hyperlink w:anchor="tbl-gamma-coeficientes">
        <w:r>
          <w:rPr>
            <w:rStyle w:val="Hyperlink"/>
          </w:rPr>
          <w:t xml:space="preserve">tabla 6.5</w:t>
        </w:r>
      </w:hyperlink>
      <w:r>
        <w:t xml:space="preserve">:</w:t>
      </w:r>
    </w:p>
    <w:p>
      <w:pPr>
        <w:pStyle w:val="SourceCode"/>
      </w:pPr>
      <w:r>
        <w:rPr>
          <w:rStyle w:val="NormalTok"/>
        </w:rPr>
        <w:t xml:space="preserve">gamma_model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w:t>
      </w:r>
      <w:r>
        <w:rPr>
          <w:rStyle w:val="AttributeTok"/>
        </w:rPr>
        <w:t xml:space="preserve">formula =</w:t>
      </w:r>
      <w:r>
        <w:rPr>
          <w:rStyle w:val="NormalTok"/>
        </w:rPr>
        <w:t xml:space="preserve"> Income </w:t>
      </w:r>
      <w:r>
        <w:rPr>
          <w:rStyle w:val="SpecialCharTok"/>
        </w:rPr>
        <w:t xml:space="preserve">~</w:t>
      </w:r>
      <w:r>
        <w:rPr>
          <w:rStyle w:val="NormalTok"/>
        </w:rPr>
        <w:t xml:space="preserve"> Expenditure </w:t>
      </w:r>
      <w:r>
        <w:rPr>
          <w:rStyle w:val="SpecialCharTok"/>
        </w:rPr>
        <w:t xml:space="preserve">+</w:t>
      </w:r>
      <w:r>
        <w:rPr>
          <w:rStyle w:val="NormalTok"/>
        </w:rPr>
        <w:t xml:space="preserve"> Age </w:t>
      </w:r>
      <w:r>
        <w:rPr>
          <w:rStyle w:val="SpecialCharTok"/>
        </w:rPr>
        <w:t xml:space="preserve">+</w:t>
      </w:r>
      <w:r>
        <w:rPr>
          <w:rStyle w:val="NormalTok"/>
        </w:rPr>
        <w:t xml:space="preserve"> Sex </w:t>
      </w:r>
      <w:r>
        <w:rPr>
          <w:rStyle w:val="SpecialCharTok"/>
        </w:rPr>
        <w:t xml:space="preserve">+</w:t>
      </w:r>
      <w:r>
        <w:rPr>
          <w:rStyle w:val="NormalTok"/>
        </w:rPr>
        <w:t xml:space="preserve"> Zone,</w:t>
      </w:r>
      <w:r>
        <w:br/>
      </w:r>
      <w:r>
        <w:rPr>
          <w:rStyle w:val="NormalTok"/>
        </w:rPr>
        <w:t xml:space="preserve">  </w:t>
      </w:r>
      <w:r>
        <w:rPr>
          <w:rStyle w:val="AttributeTok"/>
        </w:rPr>
        <w:t xml:space="preserve">design =</w:t>
      </w:r>
      <w:r>
        <w:rPr>
          <w:rStyle w:val="NormalTok"/>
        </w:rPr>
        <w:t xml:space="preserve"> gamma_design,</w:t>
      </w:r>
      <w:r>
        <w:br/>
      </w:r>
      <w:r>
        <w:rPr>
          <w:rStyle w:val="NormalTok"/>
        </w:rPr>
        <w:t xml:space="preserve">  </w:t>
      </w:r>
      <w:r>
        <w:rPr>
          <w:rStyle w:val="AttributeTok"/>
        </w:rPr>
        <w:t xml:space="preserve">family =</w:t>
      </w:r>
      <w:r>
        <w:rPr>
          <w:rStyle w:val="NormalTok"/>
        </w:rPr>
        <w:t xml:space="preserve"> </w:t>
      </w:r>
      <w:r>
        <w:rPr>
          <w:rStyle w:val="FunctionTok"/>
        </w:rPr>
        <w:t xml:space="preserve">Gamma</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w:t>
      </w:r>
    </w:p>
    <w:p>
      <w:pPr>
        <w:pStyle w:val="SourceCode"/>
      </w:pPr>
      <w:r>
        <w:rPr>
          <w:rStyle w:val="NormalTok"/>
        </w:rPr>
        <w:t xml:space="preserve">gamma_results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8" w:name="tbl-gamma-coeficientes"/>
          <w:p>
            <w:pPr>
              <w:jc w:val="center"/>
            </w:pPr>
            <w:pPr>
              <w:jc w:val="left"/>
              <w:spacing w:before="200"/>
              <w:pStyle w:val="ImageCaption"/>
            </w:pPr>
            <w:r>
              <w:t xml:space="preserve">Tabla 6.5: Coeficientes del modelo Gamma para el ingreso de los hogares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5.4094</w:t>
                  </w:r>
                </w:p>
              </w:tc>
              <w:tc>
                <w:tcPr/>
                <w:p>
                  <w:pPr>
                    <w:pStyle w:val="Compact"/>
                    <w:jc w:val="right"/>
                    <w:jc w:val="center"/>
                  </w:pPr>
                  <w:r>
                    <w:t xml:space="preserve">0.0980</w:t>
                  </w:r>
                </w:p>
              </w:tc>
              <w:tc>
                <w:tcPr/>
                <w:p>
                  <w:pPr>
                    <w:pStyle w:val="Compact"/>
                    <w:jc w:val="right"/>
                    <w:jc w:val="center"/>
                  </w:pPr>
                  <w:r>
                    <w:t xml:space="preserve">55.184</w:t>
                  </w:r>
                </w:p>
              </w:tc>
              <w:tc>
                <w:tcPr/>
                <w:p>
                  <w:pPr>
                    <w:pStyle w:val="Compact"/>
                    <w:jc w:val="right"/>
                    <w:jc w:val="center"/>
                  </w:pPr>
                  <w:r>
                    <w:t xml:space="preserve">0.0000</w:t>
                  </w:r>
                </w:p>
              </w:tc>
            </w:tr>
            <w:tr>
              <w:tc>
                <w:tcPr/>
                <w:p>
                  <w:pPr>
                    <w:pStyle w:val="Compact"/>
                    <w:jc w:val="left"/>
                    <w:jc w:val="center"/>
                  </w:pPr>
                  <w:r>
                    <w:t xml:space="preserve">Expenditure</w:t>
                  </w:r>
                </w:p>
              </w:tc>
              <w:tc>
                <w:tcPr/>
                <w:p>
                  <w:pPr>
                    <w:pStyle w:val="Compact"/>
                    <w:jc w:val="right"/>
                    <w:jc w:val="center"/>
                  </w:pPr>
                  <w:r>
                    <w:t xml:space="preserve">0.0018</w:t>
                  </w:r>
                </w:p>
              </w:tc>
              <w:tc>
                <w:tcPr/>
                <w:p>
                  <w:pPr>
                    <w:pStyle w:val="Compact"/>
                    <w:jc w:val="right"/>
                    <w:jc w:val="center"/>
                  </w:pPr>
                  <w:r>
                    <w:t xml:space="preserve">0.0001</w:t>
                  </w:r>
                </w:p>
              </w:tc>
              <w:tc>
                <w:tcPr/>
                <w:p>
                  <w:pPr>
                    <w:pStyle w:val="Compact"/>
                    <w:jc w:val="right"/>
                    <w:jc w:val="center"/>
                  </w:pPr>
                  <w:r>
                    <w:t xml:space="preserve">16.891</w:t>
                  </w:r>
                </w:p>
              </w:tc>
              <w:tc>
                <w:tcPr/>
                <w:p>
                  <w:pPr>
                    <w:pStyle w:val="Compact"/>
                    <w:jc w:val="right"/>
                    <w:jc w:val="center"/>
                  </w:pPr>
                  <w:r>
                    <w:t xml:space="preserve">0.0000</w:t>
                  </w:r>
                </w:p>
              </w:tc>
            </w:tr>
            <w:tr>
              <w:tc>
                <w:tcPr/>
                <w:p>
                  <w:pPr>
                    <w:pStyle w:val="Compact"/>
                    <w:jc w:val="left"/>
                    <w:jc w:val="center"/>
                  </w:pPr>
                  <w:r>
                    <w:t xml:space="preserve">Age</w:t>
                  </w:r>
                </w:p>
              </w:tc>
              <w:tc>
                <w:tcPr/>
                <w:p>
                  <w:pPr>
                    <w:pStyle w:val="Compact"/>
                    <w:jc w:val="right"/>
                    <w:jc w:val="center"/>
                  </w:pPr>
                  <w:r>
                    <w:t xml:space="preserve">0.0015</w:t>
                  </w:r>
                </w:p>
              </w:tc>
              <w:tc>
                <w:tcPr/>
                <w:p>
                  <w:pPr>
                    <w:pStyle w:val="Compact"/>
                    <w:jc w:val="right"/>
                    <w:jc w:val="center"/>
                  </w:pPr>
                  <w:r>
                    <w:t xml:space="preserve">0.0006</w:t>
                  </w:r>
                </w:p>
              </w:tc>
              <w:tc>
                <w:tcPr/>
                <w:p>
                  <w:pPr>
                    <w:pStyle w:val="Compact"/>
                    <w:jc w:val="right"/>
                    <w:jc w:val="center"/>
                  </w:pPr>
                  <w:r>
                    <w:t xml:space="preserve">2.430</w:t>
                  </w:r>
                </w:p>
              </w:tc>
              <w:tc>
                <w:tcPr/>
                <w:p>
                  <w:pPr>
                    <w:pStyle w:val="Compact"/>
                    <w:jc w:val="right"/>
                    <w:jc w:val="center"/>
                  </w:pPr>
                  <w:r>
                    <w:t xml:space="preserve">0.0166</w:t>
                  </w:r>
                </w:p>
              </w:tc>
            </w:tr>
            <w:tr>
              <w:tc>
                <w:tcPr/>
                <w:p>
                  <w:pPr>
                    <w:pStyle w:val="Compact"/>
                    <w:jc w:val="left"/>
                    <w:jc w:val="center"/>
                  </w:pPr>
                  <w:r>
                    <w:t xml:space="preserve">SexMale</w:t>
                  </w:r>
                </w:p>
              </w:tc>
              <w:tc>
                <w:tcPr/>
                <w:p>
                  <w:pPr>
                    <w:pStyle w:val="Compact"/>
                    <w:jc w:val="right"/>
                    <w:jc w:val="center"/>
                  </w:pPr>
                  <w:r>
                    <w:t xml:space="preserve">0.0484</w:t>
                  </w:r>
                </w:p>
              </w:tc>
              <w:tc>
                <w:tcPr/>
                <w:p>
                  <w:pPr>
                    <w:pStyle w:val="Compact"/>
                    <w:jc w:val="right"/>
                    <w:jc w:val="center"/>
                  </w:pPr>
                  <w:r>
                    <w:t xml:space="preserve">0.0384</w:t>
                  </w:r>
                </w:p>
              </w:tc>
              <w:tc>
                <w:tcPr/>
                <w:p>
                  <w:pPr>
                    <w:pStyle w:val="Compact"/>
                    <w:jc w:val="right"/>
                    <w:jc w:val="center"/>
                  </w:pPr>
                  <w:r>
                    <w:t xml:space="preserve">1.260</w:t>
                  </w:r>
                </w:p>
              </w:tc>
              <w:tc>
                <w:tcPr/>
                <w:p>
                  <w:pPr>
                    <w:pStyle w:val="Compact"/>
                    <w:jc w:val="right"/>
                    <w:jc w:val="center"/>
                  </w:pPr>
                  <w:r>
                    <w:t xml:space="preserve">0.2104</w:t>
                  </w:r>
                </w:p>
              </w:tc>
            </w:tr>
            <w:tr>
              <w:tc>
                <w:tcPr/>
                <w:p>
                  <w:pPr>
                    <w:pStyle w:val="Compact"/>
                    <w:jc w:val="left"/>
                    <w:jc w:val="center"/>
                  </w:pPr>
                  <w:r>
                    <w:t xml:space="preserve">ZoneUrban</w:t>
                  </w:r>
                </w:p>
              </w:tc>
              <w:tc>
                <w:tcPr/>
                <w:p>
                  <w:pPr>
                    <w:pStyle w:val="Compact"/>
                    <w:jc w:val="right"/>
                    <w:jc w:val="center"/>
                  </w:pPr>
                  <w:r>
                    <w:t xml:space="preserve">0.1514</w:t>
                  </w:r>
                </w:p>
              </w:tc>
              <w:tc>
                <w:tcPr/>
                <w:p>
                  <w:pPr>
                    <w:pStyle w:val="Compact"/>
                    <w:jc w:val="right"/>
                    <w:jc w:val="center"/>
                  </w:pPr>
                  <w:r>
                    <w:t xml:space="preserve">0.0890</w:t>
                  </w:r>
                </w:p>
              </w:tc>
              <w:tc>
                <w:tcPr/>
                <w:p>
                  <w:pPr>
                    <w:pStyle w:val="Compact"/>
                    <w:jc w:val="right"/>
                    <w:jc w:val="center"/>
                  </w:pPr>
                  <w:r>
                    <w:t xml:space="preserve">1.701</w:t>
                  </w:r>
                </w:p>
              </w:tc>
              <w:tc>
                <w:tcPr/>
                <w:p>
                  <w:pPr>
                    <w:pStyle w:val="Compact"/>
                    <w:jc w:val="right"/>
                    <w:jc w:val="center"/>
                  </w:pPr>
                  <w:r>
                    <w:t xml:space="preserve">0.0916</w:t>
                  </w:r>
                </w:p>
              </w:tc>
            </w:tr>
          </w:tbl>
          <w:bookmarkEnd w:id="238"/>
          <w:p/>
        </w:tc>
      </w:tr>
    </w:tbl>
    <w:p>
      <w:pPr>
        <w:pStyle w:val="BodyText"/>
      </w:pPr>
      <w:r>
        <w:t xml:space="preserve">Dado que el modelo utiliza un enlace logarítmico, los coeficientes pueden interpretarse como efectos multiplicativos sobre el ingreso esperado. El coeficiente asociado al gasto del hogar es positivo y estadísticamente significativo (</w:t>
      </w:r>
      <m:oMath>
        <m:r>
          <m:t>p</m:t>
        </m:r>
        <m:r>
          <m:rPr>
            <m:sty m:val="p"/>
          </m:rPr>
          <m:t>&lt;</m:t>
        </m:r>
        <m:r>
          <m:t>0.001</m:t>
        </m:r>
      </m:oMath>
      <w:r>
        <w:t xml:space="preserve">), indicando que, manteniendo constantes las demás variables del modelo, un incremento de una unidad en el gasto se asocia con un aumento aproximado del</w:t>
      </w:r>
      <w:r>
        <w:t xml:space="preserve"> </w:t>
      </w:r>
      <m:oMath>
        <m:r>
          <m:t>0.2</m:t>
        </m:r>
        <m:r>
          <m:rPr>
            <m:sty m:val="p"/>
          </m:rPr>
          <m:t>%</m:t>
        </m:r>
      </m:oMath>
      <w:r>
        <w:t xml:space="preserve"> </w:t>
      </w:r>
      <w:r>
        <w:t xml:space="preserve">en el ingreso esperado, ya que</w:t>
      </w:r>
      <w:r>
        <w:t xml:space="preserve"> </w:t>
      </w:r>
      <m:oMath>
        <m:r>
          <m:rPr>
            <m:sty m:val="p"/>
          </m:rPr>
          <m:t>exp</m:t>
        </m:r>
        <m:r>
          <m:rPr>
            <m:sty m:val="p"/>
          </m:rPr>
          <m:t>(</m:t>
        </m:r>
        <m:r>
          <m:t>0.002</m:t>
        </m:r>
        <m:r>
          <m:rPr>
            <m:sty m:val="p"/>
          </m:rPr>
          <m:t>)</m:t>
        </m:r>
        <m:r>
          <m:rPr>
            <m:sty m:val="p"/>
          </m:rPr>
          <m:t>≈</m:t>
        </m:r>
        <m:r>
          <m:t>1.002</m:t>
        </m:r>
      </m:oMath>
      <w:r>
        <w:t xml:space="preserve">. La edad también presenta un efecto positivo y significativo (</w:t>
      </w:r>
      <m:oMath>
        <m:r>
          <m:t>p</m:t>
        </m:r>
        <m:r>
          <m:rPr>
            <m:sty m:val="p"/>
          </m:rPr>
          <m:t>=</m:t>
        </m:r>
        <m:r>
          <m:t>0.017</m:t>
        </m:r>
      </m:oMath>
      <w:r>
        <w:t xml:space="preserve">). En promedio, cada año adicional de edad se asocia con un incremento cercano al</w:t>
      </w:r>
      <w:r>
        <w:t xml:space="preserve"> </w:t>
      </w:r>
      <m:oMath>
        <m:r>
          <m:t>0.2</m:t>
        </m:r>
        <m:r>
          <m:rPr>
            <m:sty m:val="p"/>
          </m:rPr>
          <m:t>%</m:t>
        </m:r>
      </m:oMath>
      <w:r>
        <w:t xml:space="preserve"> </w:t>
      </w:r>
      <w:r>
        <w:t xml:space="preserve">en el ingreso esperado, manteniendo constantes las demás covariables. Por el contrario, las variables de sexo y zona de residencia no muestran evidencia estadística suficiente para concluir que influyen sobre el ingreso.</w:t>
      </w:r>
    </w:p>
    <w:bookmarkEnd w:id="239"/>
    <w:bookmarkEnd w:id="240"/>
    <w:bookmarkStart w:id="294" w:name="cap7"/>
    <w:p>
      <w:pPr>
        <w:pStyle w:val="Heading1"/>
      </w:pPr>
      <w:r>
        <w:t xml:space="preserve">7. Modelos multinivel</w:t>
      </w:r>
    </w:p>
    <w:p>
      <w:pPr>
        <w:pStyle w:val="FirstParagraph"/>
      </w:pPr>
      <w:r>
        <w:t xml:space="preserve">De acuerdo con</w:t>
      </w:r>
      <w:r>
        <w:t xml:space="preserve"> </w:t>
      </w:r>
      <w:r>
        <w:t xml:space="preserve">Goldstein (2011)</w:t>
      </w:r>
      <w:r>
        <w:t xml:space="preserve"> </w:t>
      </w:r>
      <w:r>
        <w:t xml:space="preserve">y</w:t>
      </w:r>
      <w:r>
        <w:t xml:space="preserve"> </w:t>
      </w:r>
      <w:r>
        <w:t xml:space="preserve">Rabe-Hesketh y Skrondal (2012)</w:t>
      </w:r>
      <w:r>
        <w:t xml:space="preserve">, los modelos multinivel, también conocidos como modelos jerárquicos, son una técnica estadística diseñada para el análisis de datos con estructura jerárquica, como los que provienen de encuestas de hogares, en donde las unidades de observación no son independientes entre sí. Los individuos pertenecen a hogares, los hogares se ubican en áreas geográficas específicas (UPMs) y estas, a su vez, forman parte de unidades territoriales más amplias (estratos o dominios). Como consecuencia, las observaciones que comparten un mismo contexto suelen presentar características más similares entre sí que aquellas pertenecientes a contextos diferentes. Esta estructura de dependencia viola uno de los supuestos fundamentales de los modelos de regresión convencionales y puede conducir a estimaciones ineficientes e inferencias incorrectas.</w:t>
      </w:r>
    </w:p>
    <w:p>
      <w:pPr>
        <w:pStyle w:val="BodyText"/>
      </w:pPr>
      <w:r>
        <w:t xml:space="preserve">A diferencia de los modelos de regresión convencionales, los modelos multinivel reconocen que las observaciones pueden estar agrupadas en distintos niveles y que cada uno de ellos puede contribuir a explicar la variabilidad observada. En consecuencia, permiten representar simultáneamente los efectos asociados a las características de las unidades de análisis y aquellos derivados del entorno o contexto en el que estas se encuentran. Esta formulación resulta especialmente útil cuando se busca estudiar fenómenos determinados tanto por factores individuales como por características de los hogares, comunidades o áreas geográficas.</w:t>
      </w:r>
    </w:p>
    <w:p>
      <w:pPr>
        <w:pStyle w:val="BodyText"/>
      </w:pPr>
      <w:r>
        <w:t xml:space="preserve">Como explica</w:t>
      </w:r>
      <w:r>
        <w:t xml:space="preserve"> </w:t>
      </w:r>
      <w:r>
        <w:t xml:space="preserve">Snijders y Bosker (2011)</w:t>
      </w:r>
      <w:r>
        <w:t xml:space="preserve">, otra característica relevante de los modelos multinivel es que permiten cuantificar la proporción de la variabilidad asociada a cada nivel de agrupación presente en los datos. Mientras los efectos fijos resumen la relación promedio entre la variable respuesta y las covariables incluidas en el modelo, los efectos aleatorios representan las diferencias sistemáticas entre los grupos que no son explicadas por dichas covariables. Gracias a esta estructura, es posible modelar explícitamente la dependencia entre observaciones pertenecientes a un mismo grupo y obtener inferencias más adecuadas cuando los datos presentan organización jerárquica.</w:t>
      </w:r>
    </w:p>
    <w:p>
      <w:pPr>
        <w:pStyle w:val="BodyText"/>
      </w:pPr>
      <w:r>
        <w:t xml:space="preserve">De acuerdo con</w:t>
      </w:r>
      <w:r>
        <w:t xml:space="preserve"> </w:t>
      </w:r>
      <w:r>
        <w:t xml:space="preserve">Gelman y Hill (2006)</w:t>
      </w:r>
      <w:r>
        <w:t xml:space="preserve">, el desarrollo teórico y metodológico de los modelos multinivel ha sido ampliamente documentado en la literatura de muestreo. Sus fundamentos conceptuales, estrategias de estimación y aplicaciones en contextos sociales y demográficos se encuentran consolidados en distintas referencias especializadas.</w:t>
      </w:r>
    </w:p>
    <w:p>
      <w:pPr>
        <w:pStyle w:val="BodyText"/>
      </w:pPr>
      <w:r>
        <w:t xml:space="preserve">Como muestra</w:t>
      </w:r>
      <w:r>
        <w:t xml:space="preserve"> </w:t>
      </w:r>
      <w:r>
        <w:t xml:space="preserve">Browne y Draper (2006)</w:t>
      </w:r>
      <w:r>
        <w:t xml:space="preserve">, por otra parte, la comparación entre enfoques de estimación para modelos jerárquicos permite evaluar diferencias entre los métodos basados en máxima verosimilitud y los enfoques bayesianos.</w:t>
      </w:r>
    </w:p>
    <w:p>
      <w:pPr>
        <w:pStyle w:val="BodyText"/>
      </w:pPr>
      <w:r>
        <w:t xml:space="preserve">Según</w:t>
      </w:r>
      <w:r>
        <w:t xml:space="preserve"> </w:t>
      </w:r>
      <w:r>
        <w:t xml:space="preserve">Merlo et al. (2006)</w:t>
      </w:r>
      <w:r>
        <w:t xml:space="preserve">, en el ámbito de la epidemiología social, los modelos multinivel resultan útiles para estudiar fenómenos contextuales, mostrando cómo factores asociados al entorno pueden contribuir a explicar desigualdades en salud y otros resultados de interés poblacional.</w:t>
      </w:r>
    </w:p>
    <w:p>
      <w:pPr>
        <w:pStyle w:val="BodyText"/>
      </w:pPr>
      <w:r>
        <w:t xml:space="preserve">Como advierten</w:t>
      </w:r>
      <w:r>
        <w:t xml:space="preserve"> </w:t>
      </w:r>
      <w:r>
        <w:t xml:space="preserve">Pfeffermann et al. (1998)</w:t>
      </w:r>
      <w:r>
        <w:t xml:space="preserve"> </w:t>
      </w:r>
      <w:r>
        <w:t xml:space="preserve">y</w:t>
      </w:r>
      <w:r>
        <w:t xml:space="preserve"> </w:t>
      </w:r>
      <w:r>
        <w:t xml:space="preserve">Carle (2009)</w:t>
      </w:r>
      <w:r>
        <w:t xml:space="preserve">, es necesario distinguir entre la jerarquía sustantiva que se desea modelar y la estructura del diseño muestral: una UPM, un estrato de diseño o un dominio no constituye automáticamente un contexto intercambiable susceptible de representarse mediante un efecto aleatorio. Esa decisión requiere una justificación conceptual y suficiente información en cada grupo.</w:t>
      </w:r>
    </w:p>
    <w:bookmarkStart w:id="257" w:name="sec-motivacionMult"/>
    <w:p>
      <w:pPr>
        <w:pStyle w:val="Heading2"/>
      </w:pPr>
      <w:r>
        <w:t xml:space="preserve">7.1 Motivación</w:t>
      </w:r>
    </w:p>
    <w:p>
      <w:pPr>
        <w:pStyle w:val="FirstParagraph"/>
      </w:pPr>
      <w:r>
        <w:t xml:space="preserve">De acuerdo con</w:t>
      </w:r>
      <w:r>
        <w:t xml:space="preserve"> </w:t>
      </w:r>
      <w:r>
        <w:t xml:space="preserve">Bates et al. (2015)</w:t>
      </w:r>
      <w:r>
        <w:t xml:space="preserve">, para iniciar este capítulo, se cargan</w:t>
      </w:r>
      <w:r>
        <w:t xml:space="preserve"> </w:t>
      </w:r>
      <w:r>
        <w:rPr>
          <w:rStyle w:val="VerbatimChar"/>
        </w:rPr>
        <w:t xml:space="preserve">tidyverse</w:t>
      </w:r>
      <w:r>
        <w:t xml:space="preserve"> </w:t>
      </w:r>
      <w:r>
        <w:t xml:space="preserve">para la manipulación de datos y la generación de gráficos, y</w:t>
      </w:r>
      <w:r>
        <w:t xml:space="preserve"> </w:t>
      </w:r>
      <w:r>
        <w:rPr>
          <w:rStyle w:val="VerbatimChar"/>
        </w:rPr>
        <w:t xml:space="preserve">lme4</w:t>
      </w:r>
      <w:r>
        <w:t xml:space="preserve"> </w:t>
      </w:r>
      <w:r>
        <w:t xml:space="preserve">para la estimación de modelos multinivel. Asimismo, se importa la base de datos que será utilizada a lo largo de los ejemplos. Los títulos matemáticos de algunas figuras se formatean con</w:t>
      </w:r>
      <w:r>
        <w:t xml:space="preserve"> </w:t>
      </w:r>
      <w:r>
        <w:rPr>
          <w:rStyle w:val="VerbatimChar"/>
        </w:rPr>
        <w:t xml:space="preserve">latex2exp</w:t>
      </w:r>
      <w:r>
        <w:t xml:space="preserve">, llamado de forma explícita en el código.</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(lme4)</w:t>
      </w:r>
    </w:p>
    <w:p>
      <w:pPr>
        <w:pStyle w:val="SourceCode"/>
      </w:pPr>
      <w:r>
        <w:rPr>
          <w:rStyle w:val="NormalTok"/>
        </w:rPr>
        <w:t xml:space="preserve">survey_data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poor =</w:t>
      </w:r>
      <w:r>
        <w:rPr>
          <w:rStyle w:val="NormalTok"/>
        </w:rPr>
        <w:t xml:space="preserve"> </w:t>
      </w:r>
      <w:r>
        <w:rPr>
          <w:rStyle w:val="FunctionTok"/>
        </w:rPr>
        <w:t xml:space="preserve">ifelse</w:t>
      </w:r>
      <w:r>
        <w:rPr>
          <w:rStyle w:val="NormalTok"/>
        </w:rPr>
        <w:t xml:space="preserve">(Poverty </w:t>
      </w:r>
      <w:r>
        <w:rPr>
          <w:rStyle w:val="SpecialCharTok"/>
        </w:rPr>
        <w:t xml:space="preserve">!=</w:t>
      </w:r>
      <w:r>
        <w:rPr>
          <w:rStyle w:val="NormalTok"/>
        </w:rPr>
        <w:t xml:space="preserve"> </w:t>
      </w:r>
      <w:r>
        <w:rPr>
          <w:rStyle w:val="StringTok"/>
        </w:rPr>
        <w:t xml:space="preserve">"NotPoor"</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p>
    <w:p>
      <w:pPr>
        <w:pStyle w:val="FirstParagraph"/>
      </w:pPr>
      <w:r>
        <w:t xml:space="preserve">Con fines ilustrativos, los ejemplos de esta sección se desarrollan a partir de una submuestra de la encuesta. El siguiente bloque de código construye la base de datos utilizada en los ejemplos del capítulo. Para ello, identifica los tres estratos con menor número de hogares y conserva únicamente las variables requeridas para el análisis: ingreso, gasto, estrato, sexo, región, zona de residencia y condición de pobreza.</w:t>
      </w:r>
    </w:p>
    <w:p>
      <w:pPr>
        <w:pStyle w:val="SourceCode"/>
      </w:pPr>
      <w:r>
        <w:rPr>
          <w:rStyle w:val="NormalTok"/>
        </w:rPr>
        <w:t xml:space="preserve">plot_data </w:t>
      </w:r>
      <w:r>
        <w:rPr>
          <w:rStyle w:val="OtherTok"/>
        </w:rPr>
        <w:t xml:space="preserve">&lt;-</w:t>
      </w:r>
      <w:r>
        <w:rPr>
          <w:rStyle w:val="NormalTok"/>
        </w:rPr>
        <w:t xml:space="preserve"> survey_data </w:t>
      </w:r>
      <w:r>
        <w:rPr>
          <w:rStyle w:val="SpecialCharTok"/>
        </w:rPr>
        <w:t xml:space="preserve">%&gt;%</w:t>
      </w:r>
      <w:r>
        <w:br/>
      </w:r>
      <w:r>
        <w:rPr>
          <w:rStyle w:val="NormalTok"/>
        </w:rPr>
        <w:t xml:space="preserve">  </w:t>
      </w:r>
      <w:r>
        <w:rPr>
          <w:rStyle w:val="FunctionTok"/>
        </w:rPr>
        <w:t xml:space="preserve">select</w:t>
      </w:r>
      <w:r>
        <w:rPr>
          <w:rStyle w:val="NormalTok"/>
        </w:rPr>
        <w:t xml:space="preserve">(HHID, Stratum)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(Stratum) </w:t>
      </w:r>
      <w:r>
        <w:rPr>
          <w:rStyle w:val="SpecialCharTok"/>
        </w:rPr>
        <w:t xml:space="preserve">%&gt;%</w:t>
      </w:r>
      <w:r>
        <w:br/>
      </w:r>
      <w:r>
        <w:rPr>
          <w:rStyle w:val="NormalTok"/>
        </w:rPr>
        <w:t xml:space="preserve">  </w:t>
      </w:r>
      <w:r>
        <w:rPr>
          <w:rStyle w:val="FunctionTok"/>
        </w:rPr>
        <w:t xml:space="preserve">tally</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n)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L) </w:t>
      </w:r>
      <w:r>
        <w:rPr>
          <w:rStyle w:val="SpecialCharTok"/>
        </w:rPr>
        <w:t xml:space="preserve">%&gt;%</w:t>
      </w:r>
      <w:r>
        <w:br/>
      </w:r>
      <w:r>
        <w:rPr>
          <w:rStyle w:val="NormalTok"/>
        </w:rPr>
        <w:t xml:space="preserve">  </w:t>
      </w:r>
      <w:r>
        <w:rPr>
          <w:rStyle w:val="FunctionTok"/>
        </w:rPr>
        <w:t xml:space="preserve">inner_join</w:t>
      </w:r>
      <w:r>
        <w:rPr>
          <w:rStyle w:val="NormalTok"/>
        </w:rPr>
        <w:t xml:space="preserve">(survey_data, </w:t>
      </w:r>
      <w:r>
        <w:rPr>
          <w:rStyle w:val="AttributeTok"/>
        </w:rPr>
        <w:t xml:space="preserve">by =</w:t>
      </w:r>
      <w:r>
        <w:rPr>
          <w:rStyle w:val="NormalTok"/>
        </w:rPr>
        <w:t xml:space="preserve"> </w:t>
      </w:r>
      <w:r>
        <w:rPr>
          <w:rStyle w:val="StringTok"/>
        </w:rPr>
        <w:t xml:space="preserve">"Stratum"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(Income, Expenditure, Stratum, Sex, Region, Zone, poor)</w:t>
      </w:r>
    </w:p>
    <w:p>
      <w:pPr>
        <w:pStyle w:val="FirstParagraph"/>
      </w:pPr>
      <w:r>
        <w:t xml:space="preserve">Como punto de partida, se ajusta un modelo de regresión lineal convencional que relaciona el ingreso de los hogares con su nivel de gasto, ignorando temporalmente la estructura jerárquica de los datos. Bajo esta especificación, se asume que todas las observaciones son independientes y que la relación entre ingreso y gasto es homogénea para todos los hogares, independientemente del estrato al que pertenezcan. La</w:t>
      </w:r>
      <w:r>
        <w:t xml:space="preserve"> </w:t>
      </w:r>
      <w:hyperlink w:anchor="fig-regresion-simple">
        <w:r>
          <w:rPr>
            <w:rStyle w:val="Hyperlink"/>
          </w:rPr>
          <w:t xml:space="preserve">figura 7.1</w:t>
        </w:r>
      </w:hyperlink>
      <w:r>
        <w:t xml:space="preserve"> </w:t>
      </w:r>
      <w:r>
        <w:t xml:space="preserve">presenta la recta de regresión estimada junto con los datos observados.</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(latex2exp</w:t>
      </w:r>
      <w:r>
        <w:rPr>
          <w:rStyle w:val="SpecialCharTok"/>
        </w:rPr>
        <w:t xml:space="preserve">::</w:t>
      </w:r>
      <w:r>
        <w:rPr>
          <w:rStyle w:val="FunctionTok"/>
        </w:rPr>
        <w:t xml:space="preserve">TeX</w:t>
      </w:r>
      <w:r>
        <w:rPr>
          <w:rStyle w:val="NormalTok"/>
        </w:rPr>
        <w:t xml:space="preserve">(</w:t>
      </w:r>
      <w:r>
        <w:br/>
      </w:r>
      <w:r>
        <w:rPr>
          <w:rStyle w:val="NormalTok"/>
        </w:rPr>
        <w:t xml:space="preserve">    </w:t>
      </w:r>
      <w:r>
        <w:rPr>
          <w:rStyle w:val="StringTok"/>
        </w:rPr>
        <w:t xml:space="preserve">"$Income_{i} </w:t>
      </w:r>
      <w:r>
        <w:rPr>
          <w:rStyle w:val="SpecialCharTok"/>
        </w:rPr>
        <w:t xml:space="preserve">\\</w:t>
      </w:r>
      <w:r>
        <w:rPr>
          <w:rStyle w:val="StringTok"/>
        </w:rPr>
        <w:t xml:space="preserve">sim </w:t>
      </w:r>
      <w:r>
        <w:rPr>
          <w:rStyle w:val="SpecialCharTok"/>
        </w:rPr>
        <w:t xml:space="preserve">\\</w:t>
      </w:r>
      <w:r>
        <w:rPr>
          <w:rStyle w:val="StringTok"/>
        </w:rPr>
        <w:t xml:space="preserve">hat{</w:t>
      </w:r>
      <w:r>
        <w:rPr>
          <w:rStyle w:val="SpecialCharTok"/>
        </w:rPr>
        <w:t xml:space="preserve">\\</w:t>
      </w:r>
      <w:r>
        <w:rPr>
          <w:rStyle w:val="StringTok"/>
        </w:rPr>
        <w:t xml:space="preserve">beta}_{0} + </w:t>
      </w:r>
      <w:r>
        <w:rPr>
          <w:rStyle w:val="SpecialCharTok"/>
        </w:rPr>
        <w:t xml:space="preserve">\\</w:t>
      </w:r>
      <w:r>
        <w:rPr>
          <w:rStyle w:val="StringTok"/>
        </w:rPr>
        <w:t xml:space="preserve">hat{</w:t>
      </w:r>
      <w:r>
        <w:rPr>
          <w:rStyle w:val="SpecialCharTok"/>
        </w:rPr>
        <w:t xml:space="preserve">\\</w:t>
      </w:r>
      <w:r>
        <w:rPr>
          <w:rStyle w:val="StringTok"/>
        </w:rPr>
        <w:t xml:space="preserve">beta}_{1}Expenditure_{i} + </w:t>
      </w:r>
      <w:r>
        <w:rPr>
          <w:rStyle w:val="SpecialCharTok"/>
        </w:rPr>
        <w:t xml:space="preserve">\\</w:t>
      </w:r>
      <w:r>
        <w:rPr>
          <w:rStyle w:val="StringTok"/>
        </w:rPr>
        <w:t xml:space="preserve">epsilon_{i}$"</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44" w:name="fig-regresion-simple"/>
          <w:p>
            <w:pPr>
              <w:pStyle w:val="Compact"/>
              <w:jc w:val="center"/>
            </w:pPr>
            <w:r>
              <w:drawing>
                <wp:inline>
                  <wp:extent cx="3733800" cy="2489200"/>
                  <wp:effectExtent b="0" l="0" r="0" t="0"/>
                  <wp:docPr descr="" title="" id="242" name="Picture"/>
                  <a:graphic>
                    <a:graphicData uri="http://schemas.openxmlformats.org/drawingml/2006/picture">
                      <pic:pic>
                        <pic:nvPicPr>
                          <pic:cNvPr descr="chapters/../figures/fig-regresion-simple-1.png" id="243" name="Picture"/>
                          <pic:cNvPicPr>
                            <a:picLocks noChangeArrowheads="1" noChangeAspect="1"/>
                          </pic:cNvPicPr>
                        </pic:nvPicPr>
                        <pic:blipFill>
                          <a:blip r:embed="rId241"/>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Modelo de regresión lineal simple para el ingreso en función del gasto (sin considerar estratos)</w:t>
            </w:r>
          </w:p>
          <w:bookmarkEnd w:id="244"/>
        </w:tc>
      </w:tr>
    </w:tbl>
    <w:p>
      <w:pPr>
        <w:pStyle w:val="BodyText"/>
      </w:pPr>
      <w:r>
        <w:t xml:space="preserve">Como explica</w:t>
      </w:r>
      <w:r>
        <w:t xml:space="preserve"> </w:t>
      </w:r>
      <w:r>
        <w:t xml:space="preserve">Finch et al. (2019)</w:t>
      </w:r>
      <w:r>
        <w:t xml:space="preserve">, si bien este modelo resulta útil como referencia inicial, sus supuestos suelen ser poco realistas en el contexto de encuestas de hogares. En particular, la independencia entre observaciones puede verse comprometida cuando los hogares pertenecen a estratos que comparten características socioeconómicas, demográficas o geográficas similares. Asimismo, es posible que los niveles promedio de ingreso difieran sistemáticamente entre estratos, aun cuando la relación entre ingreso y gasto sea semejante. Ignorar esta estructura jerárquica puede conducir a estimaciones incorrectas de los errores estándar y, en consecuencia, a inferencias estadísticas poco confiables.</w:t>
      </w:r>
    </w:p>
    <w:p>
      <w:pPr>
        <w:pStyle w:val="BodyText"/>
      </w:pPr>
      <w:r>
        <w:t xml:space="preserve">Con fines exclusivamente ilustrativos, se incorpora gradualmente la estructura jerárquica de los datos al proceso de modelación. Para ello, se ajusta inicialmente un modelo que permite que cada estrato tenga su propio intercepto, mientras mantiene una pendiente común para todas las observaciones. Esta especificación resulta útil para visualizar cómo los niveles promedio de ingreso pueden diferir entre estratos, aun cuando la relación entre ingreso y gasto se considere constante.</w:t>
      </w:r>
    </w:p>
    <w:p>
      <w:pPr>
        <w:pStyle w:val="SourceCode"/>
      </w:pPr>
      <w:r>
        <w:rPr>
          <w:rStyle w:val="NormalTok"/>
        </w:rPr>
        <w:t xml:space="preserve">beta_1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(Income </w:t>
      </w:r>
      <w:r>
        <w:rPr>
          <w:rStyle w:val="SpecialCharTok"/>
        </w:rPr>
        <w:t xml:space="preserve">~</w:t>
      </w:r>
      <w:r>
        <w:rPr>
          <w:rStyle w:val="NormalTok"/>
        </w:rPr>
        <w:t xml:space="preserve"> Expenditure, </w:t>
      </w:r>
      <w:r>
        <w:rPr>
          <w:rStyle w:val="AttributeTok"/>
        </w:rPr>
        <w:t xml:space="preserve">data =</w:t>
      </w:r>
      <w:r>
        <w:rPr>
          <w:rStyle w:val="NormalTok"/>
        </w:rPr>
        <w:t xml:space="preserve"> plot_data))[</w:t>
      </w:r>
      <w:r>
        <w:rPr>
          <w:rStyle w:val="DecValTok"/>
        </w:rPr>
        <w:t xml:space="preserve">2</w:t>
      </w:r>
      <w:r>
        <w:rPr>
          <w:rStyle w:val="NormalTok"/>
        </w:rPr>
        <w:t xml:space="preserve">]</w:t>
      </w:r>
      <w:r>
        <w:br/>
      </w:r>
      <w:r>
        <w:rPr>
          <w:rStyle w:val="NormalTok"/>
        </w:rPr>
        <w:t xml:space="preserve">model_coef </w:t>
      </w:r>
      <w:r>
        <w:rPr>
          <w:rStyle w:val="OtherTok"/>
        </w:rPr>
        <w:t xml:space="preserve">&lt;-</w:t>
      </w:r>
      <w:r>
        <w:rPr>
          <w:rStyle w:val="NormalTok"/>
        </w:rPr>
        <w:t xml:space="preserve"> plot_data </w:t>
      </w:r>
      <w:r>
        <w:rPr>
          <w:rStyle w:val="SpecialCharTok"/>
        </w:rPr>
        <w:t xml:space="preserve">%&gt;%</w:t>
      </w:r>
      <w:r>
        <w:br/>
      </w:r>
      <w:r>
        <w:rPr>
          <w:rStyle w:val="NormalTok"/>
        </w:rPr>
        <w:t xml:space="preserve">  </w:t>
      </w:r>
      <w:r>
        <w:rPr>
          <w:rStyle w:val="FunctionTok"/>
        </w:rPr>
        <w:t xml:space="preserve">group_by</w:t>
      </w:r>
      <w:r>
        <w:rPr>
          <w:rStyle w:val="NormalTok"/>
        </w:rPr>
        <w:t xml:space="preserve">(Stratum)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beta_0 =</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(Income </w:t>
      </w:r>
      <w:r>
        <w:rPr>
          <w:rStyle w:val="SpecialCharTok"/>
        </w:rPr>
        <w:t xml:space="preserve">~</w:t>
      </w:r>
      <w:r>
        <w:rPr>
          <w:rStyle w:val="NormalTok"/>
        </w:rPr>
        <w:t xml:space="preserve"> Expenditure))[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beta_1 =</w:t>
      </w:r>
      <w:r>
        <w:rPr>
          <w:rStyle w:val="NormalTok"/>
        </w:rPr>
        <w:t xml:space="preserve"> beta_1)</w:t>
      </w:r>
    </w:p>
    <w:p>
      <w:pPr>
        <w:pStyle w:val="FirstParagraph"/>
      </w:pPr>
      <w:r>
        <w:t xml:space="preserve">De esta manera, el modelo introduce una primera fuente de heterogeneidad entre grupos y permite apreciar las limitaciones del modelo de regresión simple presentado anteriormente, el cual asumía una única recta de regresión para toda la población. La</w:t>
      </w:r>
      <w:r>
        <w:t xml:space="preserve"> </w:t>
      </w:r>
      <w:hyperlink w:anchor="fig-intercepto-por-estrato">
        <w:r>
          <w:rPr>
            <w:rStyle w:val="Hyperlink"/>
          </w:rPr>
          <w:t xml:space="preserve">figura 7.2</w:t>
        </w:r>
      </w:hyperlink>
      <w:r>
        <w:t xml:space="preserve"> </w:t>
      </w:r>
      <w:r>
        <w:t xml:space="preserve">presenta las rectas de regresión con interceptos diferenciados por estrato:</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data =</w:t>
      </w:r>
      <w:r>
        <w:rPr>
          <w:rStyle w:val="NormalTok"/>
        </w:rPr>
        <w:t xml:space="preserve"> model_coef,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slope =</w:t>
      </w:r>
      <w:r>
        <w:rPr>
          <w:rStyle w:val="NormalTok"/>
        </w:rPr>
        <w:t xml:space="preserve"> beta_1, </w:t>
      </w:r>
      <w:r>
        <w:rPr>
          <w:rStyle w:val="AttributeTok"/>
        </w:rPr>
        <w:t xml:space="preserve">intercept =</w:t>
      </w:r>
      <w:r>
        <w:rPr>
          <w:rStyle w:val="NormalTok"/>
        </w:rPr>
        <w:t xml:space="preserve"> beta_0,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ggtitle</w:t>
      </w:r>
      <w:r>
        <w:rPr>
          <w:rStyle w:val="NormalTok"/>
        </w:rPr>
        <w:t xml:space="preserve">(latex2exp</w:t>
      </w:r>
      <w:r>
        <w:rPr>
          <w:rStyle w:val="SpecialCharTok"/>
        </w:rPr>
        <w:t xml:space="preserve">::</w:t>
      </w:r>
      <w:r>
        <w:rPr>
          <w:rStyle w:val="FunctionTok"/>
        </w:rPr>
        <w:t xml:space="preserve">TeX</w:t>
      </w:r>
      <w:r>
        <w:rPr>
          <w:rStyle w:val="NormalTok"/>
        </w:rPr>
        <w:t xml:space="preserve">(</w:t>
      </w:r>
      <w:r>
        <w:br/>
      </w:r>
      <w:r>
        <w:rPr>
          <w:rStyle w:val="NormalTok"/>
        </w:rPr>
        <w:t xml:space="preserve">    </w:t>
      </w:r>
      <w:r>
        <w:rPr>
          <w:rStyle w:val="StringTok"/>
        </w:rPr>
        <w:t xml:space="preserve">"$Income_{kj} </w:t>
      </w:r>
      <w:r>
        <w:rPr>
          <w:rStyle w:val="SpecialCharTok"/>
        </w:rPr>
        <w:t xml:space="preserve">\\</w:t>
      </w:r>
      <w:r>
        <w:rPr>
          <w:rStyle w:val="StringTok"/>
        </w:rPr>
        <w:t xml:space="preserve">sim </w:t>
      </w:r>
      <w:r>
        <w:rPr>
          <w:rStyle w:val="SpecialCharTok"/>
        </w:rPr>
        <w:t xml:space="preserve">\\</w:t>
      </w:r>
      <w:r>
        <w:rPr>
          <w:rStyle w:val="StringTok"/>
        </w:rPr>
        <w:t xml:space="preserve">hat{</w:t>
      </w:r>
      <w:r>
        <w:rPr>
          <w:rStyle w:val="SpecialCharTok"/>
        </w:rPr>
        <w:t xml:space="preserve">\\</w:t>
      </w:r>
      <w:r>
        <w:rPr>
          <w:rStyle w:val="StringTok"/>
        </w:rPr>
        <w:t xml:space="preserve">beta}_{0j} + </w:t>
      </w:r>
      <w:r>
        <w:rPr>
          <w:rStyle w:val="SpecialCharTok"/>
        </w:rPr>
        <w:t xml:space="preserve">\\</w:t>
      </w:r>
      <w:r>
        <w:rPr>
          <w:rStyle w:val="StringTok"/>
        </w:rPr>
        <w:t xml:space="preserve">hat{</w:t>
      </w:r>
      <w:r>
        <w:rPr>
          <w:rStyle w:val="SpecialCharTok"/>
        </w:rPr>
        <w:t xml:space="preserve">\\</w:t>
      </w:r>
      <w:r>
        <w:rPr>
          <w:rStyle w:val="StringTok"/>
        </w:rPr>
        <w:t xml:space="preserve">beta}_{1}Expenditure_{kj} + </w:t>
      </w:r>
      <w:r>
        <w:rPr>
          <w:rStyle w:val="SpecialCharTok"/>
        </w:rPr>
        <w:t xml:space="preserve">\\</w:t>
      </w:r>
      <w:r>
        <w:rPr>
          <w:rStyle w:val="StringTok"/>
        </w:rPr>
        <w:t xml:space="preserve">epsilon_{kj}$"</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48" w:name="fig-intercepto-por-estrato"/>
          <w:p>
            <w:pPr>
              <w:pStyle w:val="Compact"/>
              <w:jc w:val="center"/>
            </w:pPr>
            <w:r>
              <w:drawing>
                <wp:inline>
                  <wp:extent cx="3733800" cy="2489200"/>
                  <wp:effectExtent b="0" l="0" r="0" t="0"/>
                  <wp:docPr descr="" title="" id="246" name="Picture"/>
                  <a:graphic>
                    <a:graphicData uri="http://schemas.openxmlformats.org/drawingml/2006/picture">
                      <pic:pic>
                        <pic:nvPicPr>
                          <pic:cNvPr descr="chapters/../figures/fig-intercepto-por-estrato-1.png" id="247" name="Picture"/>
                          <pic:cNvPicPr>
                            <a:picLocks noChangeArrowheads="1" noChangeAspect="1"/>
                          </pic:cNvPicPr>
                        </pic:nvPicPr>
                        <pic:blipFill>
                          <a:blip r:embed="rId245"/>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7.2: Modelo con intercepto específico por estrato y pendiente común</w:t>
            </w:r>
          </w:p>
          <w:bookmarkEnd w:id="248"/>
        </w:tc>
      </w:tr>
    </w:tbl>
    <w:p>
      <w:pPr>
        <w:pStyle w:val="BodyText"/>
      </w:pPr>
      <w:r>
        <w:t xml:space="preserve">Como siguiente paso, se considera una especificación alternativa en la que todos los estratos comparten un mismo nivel promedio de ingreso, representado por un intercepto común, pero se permite que la relación entre ingreso y gasto varíe entre estratos mediante pendientes específicas para cada uno de ellos.</w:t>
      </w:r>
    </w:p>
    <w:p>
      <w:pPr>
        <w:pStyle w:val="SourceCode"/>
      </w:pPr>
      <w:r>
        <w:rPr>
          <w:rStyle w:val="NormalTok"/>
        </w:rPr>
        <w:t xml:space="preserve">beta_0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(Income </w:t>
      </w:r>
      <w:r>
        <w:rPr>
          <w:rStyle w:val="SpecialCharTok"/>
        </w:rPr>
        <w:t xml:space="preserve">~</w:t>
      </w:r>
      <w:r>
        <w:rPr>
          <w:rStyle w:val="NormalTok"/>
        </w:rPr>
        <w:t xml:space="preserve"> Expenditure, </w:t>
      </w:r>
      <w:r>
        <w:rPr>
          <w:rStyle w:val="AttributeTok"/>
        </w:rPr>
        <w:t xml:space="preserve">data =</w:t>
      </w:r>
      <w:r>
        <w:rPr>
          <w:rStyle w:val="NormalTok"/>
        </w:rPr>
        <w:t xml:space="preserve"> plot_data))[</w:t>
      </w:r>
      <w:r>
        <w:rPr>
          <w:rStyle w:val="DecValTok"/>
        </w:rPr>
        <w:t xml:space="preserve">1</w:t>
      </w:r>
      <w:r>
        <w:rPr>
          <w:rStyle w:val="NormalTok"/>
        </w:rPr>
        <w:t xml:space="preserve">]</w:t>
      </w:r>
      <w:r>
        <w:br/>
      </w:r>
      <w:r>
        <w:rPr>
          <w:rStyle w:val="NormalTok"/>
        </w:rPr>
        <w:t xml:space="preserve">model_coef </w:t>
      </w:r>
      <w:r>
        <w:rPr>
          <w:rStyle w:val="OtherTok"/>
        </w:rPr>
        <w:t xml:space="preserve">&lt;-</w:t>
      </w:r>
      <w:r>
        <w:rPr>
          <w:rStyle w:val="NormalTok"/>
        </w:rPr>
        <w:t xml:space="preserve"> plot_data </w:t>
      </w:r>
      <w:r>
        <w:rPr>
          <w:rStyle w:val="SpecialCharTok"/>
        </w:rPr>
        <w:t xml:space="preserve">%&gt;%</w:t>
      </w:r>
      <w:r>
        <w:br/>
      </w:r>
      <w:r>
        <w:rPr>
          <w:rStyle w:val="NormalTok"/>
        </w:rPr>
        <w:t xml:space="preserve">  </w:t>
      </w:r>
      <w:r>
        <w:rPr>
          <w:rStyle w:val="FunctionTok"/>
        </w:rPr>
        <w:t xml:space="preserve">group_by</w:t>
      </w:r>
      <w:r>
        <w:rPr>
          <w:rStyle w:val="NormalTok"/>
        </w:rPr>
        <w:t xml:space="preserve">(Stratum)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beta_1 =</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(Income </w:t>
      </w:r>
      <w:r>
        <w:rPr>
          <w:rStyle w:val="SpecialCharTok"/>
        </w:rPr>
        <w:t xml:space="preserve">~</w:t>
      </w:r>
      <w:r>
        <w:rPr>
          <w:rStyle w:val="NormalTok"/>
        </w:rPr>
        <w:t xml:space="preserve"> Expenditure))[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beta_0 =</w:t>
      </w:r>
      <w:r>
        <w:rPr>
          <w:rStyle w:val="NormalTok"/>
        </w:rPr>
        <w:t xml:space="preserve"> beta_0)</w:t>
      </w:r>
    </w:p>
    <w:p>
      <w:pPr>
        <w:pStyle w:val="FirstParagraph"/>
      </w:pPr>
      <w:r>
        <w:t xml:space="preserve">Bajo esta especificación, las diferencias entre estratos se manifiestan en la intensidad de la asociación entre ingreso y gasto, más que en sus niveles promedio. La</w:t>
      </w:r>
      <w:r>
        <w:t xml:space="preserve"> </w:t>
      </w:r>
      <w:hyperlink w:anchor="fig-pendiente-por-estrato">
        <w:r>
          <w:rPr>
            <w:rStyle w:val="Hyperlink"/>
          </w:rPr>
          <w:t xml:space="preserve">figura 7.3</w:t>
        </w:r>
      </w:hyperlink>
      <w:r>
        <w:t xml:space="preserve"> </w:t>
      </w:r>
      <w:r>
        <w:t xml:space="preserve">permite visualizar estas diferencias en las trayectorias de regresión estimadas para cada estrato.</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data =</w:t>
      </w:r>
      <w:r>
        <w:rPr>
          <w:rStyle w:val="NormalTok"/>
        </w:rPr>
        <w:t xml:space="preserve"> model_coef,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slope =</w:t>
      </w:r>
      <w:r>
        <w:rPr>
          <w:rStyle w:val="NormalTok"/>
        </w:rPr>
        <w:t xml:space="preserve"> beta_1, </w:t>
      </w:r>
      <w:r>
        <w:rPr>
          <w:rStyle w:val="AttributeTok"/>
        </w:rPr>
        <w:t xml:space="preserve">intercept =</w:t>
      </w:r>
      <w:r>
        <w:rPr>
          <w:rStyle w:val="NormalTok"/>
        </w:rPr>
        <w:t xml:space="preserve"> beta_0,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ggtitle</w:t>
      </w:r>
      <w:r>
        <w:rPr>
          <w:rStyle w:val="NormalTok"/>
        </w:rPr>
        <w:t xml:space="preserve">(latex2exp</w:t>
      </w:r>
      <w:r>
        <w:rPr>
          <w:rStyle w:val="SpecialCharTok"/>
        </w:rPr>
        <w:t xml:space="preserve">::</w:t>
      </w:r>
      <w:r>
        <w:rPr>
          <w:rStyle w:val="FunctionTok"/>
        </w:rPr>
        <w:t xml:space="preserve">TeX</w:t>
      </w:r>
      <w:r>
        <w:rPr>
          <w:rStyle w:val="NormalTok"/>
        </w:rPr>
        <w:t xml:space="preserve">(</w:t>
      </w:r>
      <w:r>
        <w:br/>
      </w:r>
      <w:r>
        <w:rPr>
          <w:rStyle w:val="NormalTok"/>
        </w:rPr>
        <w:t xml:space="preserve">    </w:t>
      </w:r>
      <w:r>
        <w:rPr>
          <w:rStyle w:val="StringTok"/>
        </w:rPr>
        <w:t xml:space="preserve">"$Income_{kj} </w:t>
      </w:r>
      <w:r>
        <w:rPr>
          <w:rStyle w:val="SpecialCharTok"/>
        </w:rPr>
        <w:t xml:space="preserve">\\</w:t>
      </w:r>
      <w:r>
        <w:rPr>
          <w:rStyle w:val="StringTok"/>
        </w:rPr>
        <w:t xml:space="preserve">sim </w:t>
      </w:r>
      <w:r>
        <w:rPr>
          <w:rStyle w:val="SpecialCharTok"/>
        </w:rPr>
        <w:t xml:space="preserve">\\</w:t>
      </w:r>
      <w:r>
        <w:rPr>
          <w:rStyle w:val="StringTok"/>
        </w:rPr>
        <w:t xml:space="preserve">hat{</w:t>
      </w:r>
      <w:r>
        <w:rPr>
          <w:rStyle w:val="SpecialCharTok"/>
        </w:rPr>
        <w:t xml:space="preserve">\\</w:t>
      </w:r>
      <w:r>
        <w:rPr>
          <w:rStyle w:val="StringTok"/>
        </w:rPr>
        <w:t xml:space="preserve">beta}_{0} + </w:t>
      </w:r>
      <w:r>
        <w:rPr>
          <w:rStyle w:val="SpecialCharTok"/>
        </w:rPr>
        <w:t xml:space="preserve">\\</w:t>
      </w:r>
      <w:r>
        <w:rPr>
          <w:rStyle w:val="StringTok"/>
        </w:rPr>
        <w:t xml:space="preserve">hat{</w:t>
      </w:r>
      <w:r>
        <w:rPr>
          <w:rStyle w:val="SpecialCharTok"/>
        </w:rPr>
        <w:t xml:space="preserve">\\</w:t>
      </w:r>
      <w:r>
        <w:rPr>
          <w:rStyle w:val="StringTok"/>
        </w:rPr>
        <w:t xml:space="preserve">beta}_{1j}Expenditure_{kj} + </w:t>
      </w:r>
      <w:r>
        <w:rPr>
          <w:rStyle w:val="SpecialCharTok"/>
        </w:rPr>
        <w:t xml:space="preserve">\\</w:t>
      </w:r>
      <w:r>
        <w:rPr>
          <w:rStyle w:val="StringTok"/>
        </w:rPr>
        <w:t xml:space="preserve">epsilon_{kj}$"</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52" w:name="fig-pendiente-por-estrato"/>
          <w:p>
            <w:pPr>
              <w:pStyle w:val="Compact"/>
              <w:jc w:val="center"/>
            </w:pPr>
            <w:r>
              <w:drawing>
                <wp:inline>
                  <wp:extent cx="3733800" cy="2489200"/>
                  <wp:effectExtent b="0" l="0" r="0" t="0"/>
                  <wp:docPr descr="" title="" id="250" name="Picture"/>
                  <a:graphic>
                    <a:graphicData uri="http://schemas.openxmlformats.org/drawingml/2006/picture">
                      <pic:pic>
                        <pic:nvPicPr>
                          <pic:cNvPr descr="chapters/../figures/fig-pendiente-por-estrato-1.png" id="251" name="Picture"/>
                          <pic:cNvPicPr>
                            <a:picLocks noChangeArrowheads="1" noChangeAspect="1"/>
                          </pic:cNvPicPr>
                        </pic:nvPicPr>
                        <pic:blipFill>
                          <a:blip r:embed="rId249"/>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7.3: Modelo con pendiente específica por estrato e intercepto común</w:t>
            </w:r>
          </w:p>
          <w:bookmarkEnd w:id="252"/>
        </w:tc>
      </w:tr>
    </w:tbl>
    <w:p>
      <w:pPr>
        <w:pStyle w:val="BodyText"/>
      </w:pPr>
      <w:r>
        <w:t xml:space="preserve">Finalmente, se considera la especificación más flexible de las presentadas hasta el momento, permitiendo que tanto el nivel promedio de ingreso como la relación entre ingreso y gasto varíen entre estratos. Bajo este enfoque, cada estrato posee su propia recta de regresión, con interceptos y pendientes estimados de manera independiente.</w:t>
      </w:r>
    </w:p>
    <w:p>
      <w:pPr>
        <w:pStyle w:val="SourceCode"/>
      </w:pPr>
      <w:r>
        <w:rPr>
          <w:rStyle w:val="NormalTok"/>
        </w:rPr>
        <w:t xml:space="preserve">model_coef </w:t>
      </w:r>
      <w:r>
        <w:rPr>
          <w:rStyle w:val="OtherTok"/>
        </w:rPr>
        <w:t xml:space="preserve">&lt;-</w:t>
      </w:r>
      <w:r>
        <w:rPr>
          <w:rStyle w:val="NormalTok"/>
        </w:rPr>
        <w:t xml:space="preserve"> plot_data </w:t>
      </w:r>
      <w:r>
        <w:rPr>
          <w:rStyle w:val="SpecialCharTok"/>
        </w:rPr>
        <w:t xml:space="preserve">%&gt;%</w:t>
      </w:r>
      <w:r>
        <w:br/>
      </w:r>
      <w:r>
        <w:rPr>
          <w:rStyle w:val="NormalTok"/>
        </w:rPr>
        <w:t xml:space="preserve">  </w:t>
      </w:r>
      <w:r>
        <w:rPr>
          <w:rStyle w:val="FunctionTok"/>
        </w:rPr>
        <w:t xml:space="preserve">group_by</w:t>
      </w:r>
      <w:r>
        <w:rPr>
          <w:rStyle w:val="NormalTok"/>
        </w:rPr>
        <w:t xml:space="preserve">(Stratum)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beta_0 =</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(Income </w:t>
      </w:r>
      <w:r>
        <w:rPr>
          <w:rStyle w:val="SpecialCharTok"/>
        </w:rPr>
        <w:t xml:space="preserve">~</w:t>
      </w:r>
      <w:r>
        <w:rPr>
          <w:rStyle w:val="NormalTok"/>
        </w:rPr>
        <w:t xml:space="preserve"> Expenditure))[</w:t>
      </w:r>
      <w:r>
        <w:rPr>
          <w:rStyle w:val="DecValTok"/>
        </w:rPr>
        <w:t xml:space="preserve">1</w:t>
      </w:r>
      <w:r>
        <w:rPr>
          <w:rStyle w:val="NormalTok"/>
        </w:rPr>
        <w:t xml:space="preserve">],</w:t>
      </w:r>
      <w:r>
        <w:br/>
      </w:r>
      <w:r>
        <w:rPr>
          <w:rStyle w:val="NormalTok"/>
        </w:rPr>
        <w:t xml:space="preserve">    </w:t>
      </w:r>
      <w:r>
        <w:rPr>
          <w:rStyle w:val="AttributeTok"/>
        </w:rPr>
        <w:t xml:space="preserve">beta_1 =</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(Income </w:t>
      </w:r>
      <w:r>
        <w:rPr>
          <w:rStyle w:val="SpecialCharTok"/>
        </w:rPr>
        <w:t xml:space="preserve">~</w:t>
      </w:r>
      <w:r>
        <w:rPr>
          <w:rStyle w:val="NormalTok"/>
        </w:rPr>
        <w:t xml:space="preserve"> Expenditure))[</w:t>
      </w:r>
      <w:r>
        <w:rPr>
          <w:rStyle w:val="DecValTok"/>
        </w:rPr>
        <w:t xml:space="preserve">2</w:t>
      </w:r>
      <w:r>
        <w:rPr>
          <w:rStyle w:val="NormalTok"/>
        </w:rPr>
        <w:t xml:space="preserve">]</w:t>
      </w:r>
      <w:r>
        <w:br/>
      </w:r>
      <w:r>
        <w:rPr>
          <w:rStyle w:val="NormalTok"/>
        </w:rPr>
        <w:t xml:space="preserve">  )</w:t>
      </w:r>
    </w:p>
    <w:p>
      <w:pPr>
        <w:pStyle w:val="FirstParagraph"/>
      </w:pPr>
      <w:r>
        <w:t xml:space="preserve">Esta formulación permite capturar simultáneamente diferencias en los niveles de ingreso y en la intensidad de su asociación con el gasto. La</w:t>
      </w:r>
      <w:r>
        <w:t xml:space="preserve"> </w:t>
      </w:r>
      <w:hyperlink w:anchor="fig-intercepto-pendiente-libres">
        <w:r>
          <w:rPr>
            <w:rStyle w:val="Hyperlink"/>
          </w:rPr>
          <w:t xml:space="preserve">figura 7.4</w:t>
        </w:r>
      </w:hyperlink>
      <w:r>
        <w:t xml:space="preserve"> </w:t>
      </w:r>
      <w:r>
        <w:t xml:space="preserve">muestra las rectas ajustadas para cada estrato bajo esta especificación.</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data =</w:t>
      </w:r>
      <w:r>
        <w:rPr>
          <w:rStyle w:val="NormalTok"/>
        </w:rPr>
        <w:t xml:space="preserve"> model_coef,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slope =</w:t>
      </w:r>
      <w:r>
        <w:rPr>
          <w:rStyle w:val="NormalTok"/>
        </w:rPr>
        <w:t xml:space="preserve"> beta_1, </w:t>
      </w:r>
      <w:r>
        <w:rPr>
          <w:rStyle w:val="AttributeTok"/>
        </w:rPr>
        <w:t xml:space="preserve">intercept =</w:t>
      </w:r>
      <w:r>
        <w:rPr>
          <w:rStyle w:val="NormalTok"/>
        </w:rPr>
        <w:t xml:space="preserve"> beta_0,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ggtitle</w:t>
      </w:r>
      <w:r>
        <w:rPr>
          <w:rStyle w:val="NormalTok"/>
        </w:rPr>
        <w:t xml:space="preserve">(latex2exp</w:t>
      </w:r>
      <w:r>
        <w:rPr>
          <w:rStyle w:val="SpecialCharTok"/>
        </w:rPr>
        <w:t xml:space="preserve">::</w:t>
      </w:r>
      <w:r>
        <w:rPr>
          <w:rStyle w:val="FunctionTok"/>
        </w:rPr>
        <w:t xml:space="preserve">TeX</w:t>
      </w:r>
      <w:r>
        <w:rPr>
          <w:rStyle w:val="NormalTok"/>
        </w:rPr>
        <w:t xml:space="preserve">(</w:t>
      </w:r>
      <w:r>
        <w:br/>
      </w:r>
      <w:r>
        <w:rPr>
          <w:rStyle w:val="NormalTok"/>
        </w:rPr>
        <w:t xml:space="preserve">    </w:t>
      </w:r>
      <w:r>
        <w:rPr>
          <w:rStyle w:val="StringTok"/>
        </w:rPr>
        <w:t xml:space="preserve">"$Income_{kj} </w:t>
      </w:r>
      <w:r>
        <w:rPr>
          <w:rStyle w:val="SpecialCharTok"/>
        </w:rPr>
        <w:t xml:space="preserve">\\</w:t>
      </w:r>
      <w:r>
        <w:rPr>
          <w:rStyle w:val="StringTok"/>
        </w:rPr>
        <w:t xml:space="preserve">sim </w:t>
      </w:r>
      <w:r>
        <w:rPr>
          <w:rStyle w:val="SpecialCharTok"/>
        </w:rPr>
        <w:t xml:space="preserve">\\</w:t>
      </w:r>
      <w:r>
        <w:rPr>
          <w:rStyle w:val="StringTok"/>
        </w:rPr>
        <w:t xml:space="preserve">hat{</w:t>
      </w:r>
      <w:r>
        <w:rPr>
          <w:rStyle w:val="SpecialCharTok"/>
        </w:rPr>
        <w:t xml:space="preserve">\\</w:t>
      </w:r>
      <w:r>
        <w:rPr>
          <w:rStyle w:val="StringTok"/>
        </w:rPr>
        <w:t xml:space="preserve">beta}_{0j} + </w:t>
      </w:r>
      <w:r>
        <w:rPr>
          <w:rStyle w:val="SpecialCharTok"/>
        </w:rPr>
        <w:t xml:space="preserve">\\</w:t>
      </w:r>
      <w:r>
        <w:rPr>
          <w:rStyle w:val="StringTok"/>
        </w:rPr>
        <w:t xml:space="preserve">hat{</w:t>
      </w:r>
      <w:r>
        <w:rPr>
          <w:rStyle w:val="SpecialCharTok"/>
        </w:rPr>
        <w:t xml:space="preserve">\\</w:t>
      </w:r>
      <w:r>
        <w:rPr>
          <w:rStyle w:val="StringTok"/>
        </w:rPr>
        <w:t xml:space="preserve">beta}_{1j}Expenditure_{kj} + </w:t>
      </w:r>
      <w:r>
        <w:rPr>
          <w:rStyle w:val="SpecialCharTok"/>
        </w:rPr>
        <w:t xml:space="preserve">\\</w:t>
      </w:r>
      <w:r>
        <w:rPr>
          <w:rStyle w:val="StringTok"/>
        </w:rPr>
        <w:t xml:space="preserve">epsilon_{kj}$"</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56" w:name="fig-intercepto-pendiente-libres"/>
          <w:p>
            <w:pPr>
              <w:pStyle w:val="Compact"/>
              <w:jc w:val="center"/>
            </w:pPr>
            <w:r>
              <w:drawing>
                <wp:inline>
                  <wp:extent cx="3733800" cy="2489200"/>
                  <wp:effectExtent b="0" l="0" r="0" t="0"/>
                  <wp:docPr descr="" title="" id="254" name="Picture"/>
                  <a:graphic>
                    <a:graphicData uri="http://schemas.openxmlformats.org/drawingml/2006/picture">
                      <pic:pic>
                        <pic:nvPicPr>
                          <pic:cNvPr descr="chapters/../figures/fig-intercepto-pendiente-libres-1.png" id="255" name="Picture"/>
                          <pic:cNvPicPr>
                            <a:picLocks noChangeArrowheads="1" noChangeAspect="1"/>
                          </pic:cNvPicPr>
                        </pic:nvPicPr>
                        <pic:blipFill>
                          <a:blip r:embed="rId253"/>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7.4: Modelo con intercepto y pendiente específicos por estrato (ajuste independiente)</w:t>
            </w:r>
          </w:p>
          <w:bookmarkEnd w:id="256"/>
        </w:tc>
      </w:tr>
    </w:tbl>
    <w:p>
      <w:pPr>
        <w:pStyle w:val="BodyText"/>
      </w:pPr>
      <w:r>
        <w:t xml:space="preserve">Aunque esta última especificación ofrece una representación más flexible de los datos y permite capturar las particularidades de cada estrato, presenta una limitación importante: los parámetros se estiman de manera completamente independiente para cada grupo. Como consecuencia, no se aprovecha la información compartida entre estratos que podrían presentar patrones similares, lo que puede generar estimaciones inestables, especialmente en aquellos grupos con un número reducido de observaciones.</w:t>
      </w:r>
    </w:p>
    <w:p>
      <w:pPr>
        <w:pStyle w:val="BodyText"/>
      </w:pPr>
      <w:r>
        <w:t xml:space="preserve">Según</w:t>
      </w:r>
      <w:r>
        <w:t xml:space="preserve"> </w:t>
      </w:r>
      <w:r>
        <w:t xml:space="preserve">Gelman y Hill (2006)</w:t>
      </w:r>
      <w:r>
        <w:t xml:space="preserve"> </w:t>
      </w:r>
      <w:r>
        <w:t xml:space="preserve">y</w:t>
      </w:r>
      <w:r>
        <w:t xml:space="preserve"> </w:t>
      </w:r>
      <w:r>
        <w:t xml:space="preserve">Goldstein (2011)</w:t>
      </w:r>
      <w:r>
        <w:t xml:space="preserve">, los modelos multinivel superan esta dificultad mediante un mecanismo conocido como encogimiento (</w:t>
      </w:r>
      <w:r>
        <w:rPr>
          <w:i/>
          <w:iCs/>
        </w:rPr>
        <w:t xml:space="preserve">shrinkage</w:t>
      </w:r>
      <w:r>
        <w:t xml:space="preserve">), en el cual las estimaciones específicas de cada grupo se obtienen combinando la información propia del grupo con la información proveniente del conjunto de la población. De esta manera, se logra un equilibrio entre la representación de las diferencias entre estratos y la eficiencia estadística de las estimaciones.</w:t>
      </w:r>
    </w:p>
    <w:bookmarkEnd w:id="257"/>
    <w:bookmarkStart w:id="258" w:name="pesos-q-weighted"/>
    <w:p>
      <w:pPr>
        <w:pStyle w:val="Heading2"/>
      </w:pPr>
      <w:r>
        <w:t xml:space="preserve">7.2 Pesos</w:t>
      </w:r>
      <w:r>
        <w:t xml:space="preserve"> </w:t>
      </w:r>
      <w:r>
        <w:rPr>
          <w:i/>
          <w:iCs/>
        </w:rPr>
        <w:t xml:space="preserve">q-weighted</w:t>
      </w:r>
    </w:p>
    <w:p>
      <w:pPr>
        <w:pStyle w:val="FirstParagraph"/>
      </w:pPr>
      <w:r>
        <w:t xml:space="preserve">De acuerdo con</w:t>
      </w:r>
      <w:r>
        <w:t xml:space="preserve"> </w:t>
      </w:r>
      <w:r>
        <w:t xml:space="preserve">Pfeffermann et al. (1998)</w:t>
      </w:r>
      <w:r>
        <w:t xml:space="preserve">,</w:t>
      </w:r>
      <w:r>
        <w:t xml:space="preserve"> </w:t>
      </w:r>
      <w:r>
        <w:t xml:space="preserve">Asparouhov (2006)</w:t>
      </w:r>
      <w:r>
        <w:t xml:space="preserve">,</w:t>
      </w:r>
      <w:r>
        <w:t xml:space="preserve"> </w:t>
      </w:r>
      <w:r>
        <w:t xml:space="preserve">Rabe-Hesketh y Skrondal (2006)</w:t>
      </w:r>
      <w:r>
        <w:t xml:space="preserve">,</w:t>
      </w:r>
      <w:r>
        <w:t xml:space="preserve"> </w:t>
      </w:r>
      <w:r>
        <w:t xml:space="preserve">Carle (2009)</w:t>
      </w:r>
      <w:r>
        <w:t xml:space="preserve"> </w:t>
      </w:r>
      <w:r>
        <w:t xml:space="preserve">y</w:t>
      </w:r>
      <w:r>
        <w:t xml:space="preserve"> </w:t>
      </w:r>
      <w:r>
        <w:t xml:space="preserve">Cai (2013)</w:t>
      </w:r>
      <w:r>
        <w:t xml:space="preserve">, en relación con la incorporación de pesos de muestreo en modelos multinivel, existen enfoques basados en pseudo-máxima verosimilitud, en particular mediante procedimientos de mínimos cuadrados generalizados ponderados, así como métodos basados en algoritmos EM para la estimación de modelos jerárquicos con ponderaciones. La incorporación de los pesos resulta importante cuando el muestreo es informativo, aunque no existe una única estrategia metodológica para su implementación.</w:t>
      </w:r>
    </w:p>
    <w:p>
      <w:pPr>
        <w:pStyle w:val="BodyText"/>
      </w:pPr>
      <w:r>
        <w:t xml:space="preserve">Según</w:t>
      </w:r>
      <w:r>
        <w:t xml:space="preserve"> </w:t>
      </w:r>
      <w:r>
        <w:t xml:space="preserve">Kreft y De Leeuw (1998)</w:t>
      </w:r>
      <w:r>
        <w:t xml:space="preserve"> </w:t>
      </w:r>
      <w:r>
        <w:t xml:space="preserve">y</w:t>
      </w:r>
      <w:r>
        <w:t xml:space="preserve"> </w:t>
      </w:r>
      <w:r>
        <w:t xml:space="preserve">Bates et al. (2015)</w:t>
      </w:r>
      <w:r>
        <w:t xml:space="preserve">, desde una perspectiva general, el enfoque de máxima verosimilitud consiste en estimar los parámetros del modelo identificando aquellos valores que maximizan la probabilidad de observar los datos disponibles bajo la especificación asumida. Una extensión importante de este enfoque es la máxima verosimilitud restringida (REML), la cual mejora la estimación de los componentes de varianza al considerar la pérdida de grados de libertad debida a la estimación de los efectos fijos, produciendo en muchos casos estimaciones menos sesgadas que la máxima verosimilitud convencional.</w:t>
      </w:r>
    </w:p>
    <w:p>
      <w:pPr>
        <w:pStyle w:val="BodyText"/>
      </w:pPr>
      <w:r>
        <w:t xml:space="preserve">En el contexto de los modelos multinivel con datos provenientes de encuestas, una dificultad adicional radica en la incorporación coherente de los pesos de muestreo a través de los distintos niveles de la jerarquía. La estructura agrupada de los datos implica que las observaciones no son independientes, por lo que la función de log-verosimilitud no puede descomponerse como una suma simple de contribuciones individuales. En su lugar, es necesario considerar explícitamente la dependencia entre los distintos niveles del diseño muestral para lograr inferencias adecuadas.</w:t>
      </w:r>
    </w:p>
    <w:p>
      <w:pPr>
        <w:pStyle w:val="BodyText"/>
      </w:pPr>
      <w:r>
        <w:t xml:space="preserve">Como explica</w:t>
      </w:r>
      <w:r>
        <w:t xml:space="preserve"> </w:t>
      </w:r>
      <w:r>
        <w:t xml:space="preserve">Pfeffermann (2011)</w:t>
      </w:r>
      <w:r>
        <w:t xml:space="preserve">, para ajustar modelos multinivel con datos provenientes de encuestas complejas, una alternativa consiste en utilizar el enfoque de pesos</w:t>
      </w:r>
      <w:r>
        <w:t xml:space="preserve"> </w:t>
      </w:r>
      <w:r>
        <w:rPr>
          <w:i/>
          <w:iCs/>
        </w:rPr>
        <w:t xml:space="preserve">q-weighted</w:t>
      </w:r>
      <w:r>
        <w:t xml:space="preserve">. La idea central de este método es eliminar de los pesos muestrales la componente sistemática explicada por las covariables incluidas en el modelo, de modo que los pesos resultantes conserven únicamente la parte residual atribuible al mecanismo de selección.</w:t>
      </w:r>
    </w:p>
    <w:p>
      <w:pPr>
        <w:pStyle w:val="BodyText"/>
      </w:pPr>
      <w:r>
        <w:t xml:space="preserve">No obstante, este no es el único enfoque disponible para la estimación de modelos multinivel con datos de encuestas complejas y tampoco sustituye el uso de pesos condicionales o de pesos escalados en cada etapa del diseño, requeridos por algunos métodos de pseudo-verosimilitud multinivel. El procedimiento para construir los pesos</w:t>
      </w:r>
      <w:r>
        <w:t xml:space="preserve"> </w:t>
      </w:r>
      <w:r>
        <w:rPr>
          <w:i/>
          <w:iCs/>
        </w:rPr>
        <w:t xml:space="preserve">q-weighted</w:t>
      </w:r>
      <w:r>
        <w:t xml:space="preserve"> </w:t>
      </w:r>
      <w:r>
        <w:t xml:space="preserve">se resume en los siguientes pasos:</w:t>
      </w:r>
    </w:p>
    <w:p>
      <w:pPr>
        <w:numPr>
          <w:ilvl w:val="0"/>
          <w:numId w:val="1005"/>
        </w:numPr>
      </w:pPr>
      <w:r>
        <w:t xml:space="preserve">Ajustar un modelo de regresión para los factores de expansión finales de la encuesta, utilizando como variables explicativas el mismo conjunto de covariables que será empleado en el modelo multinivel. Siendo</w:t>
      </w:r>
      <w:r>
        <w:t xml:space="preserve"> </w:t>
      </w:r>
      <m:oMath>
        <m:sSub>
          <m:e>
            <m:r>
              <m:t>w</m:t>
            </m:r>
          </m:e>
          <m:sub>
            <m:r>
              <m:t>k</m:t>
            </m:r>
          </m:sub>
        </m:sSub>
      </m:oMath>
      <w:r>
        <w:t xml:space="preserve"> </w:t>
      </w:r>
      <w:r>
        <w:t xml:space="preserve">el factor de expansión original de la unidad</w:t>
      </w:r>
      <w:r>
        <w:t xml:space="preserve"> </w:t>
      </w:r>
      <m:oMath>
        <m:r>
          <m:t>k</m:t>
        </m:r>
      </m:oMath>
      <w:r>
        <w:t xml:space="preserve"> </w:t>
      </w:r>
      <w:r>
        <w:t xml:space="preserve">y</w:t>
      </w:r>
      <w:r>
        <w:t xml:space="preserve"> </w:t>
      </w:r>
      <m:oMath>
        <m:sSub>
          <m:e>
            <m:r>
              <m:rPr>
                <m:sty m:val="b"/>
              </m:rPr>
              <m:t>x</m:t>
            </m:r>
          </m:e>
          <m:sub>
            <m:r>
              <m:t>k</m:t>
            </m:r>
          </m:sub>
        </m:sSub>
      </m:oMath>
      <w:r>
        <w:t xml:space="preserve"> </w:t>
      </w:r>
      <w:r>
        <w:t xml:space="preserve">el vector de covariables. Entonces se ajusta el modelo</w:t>
      </w:r>
    </w:p>
    <w:p>
      <w:pPr>
        <w:pStyle w:val="BodyText"/>
      </w:pPr>
      <m:oMathPara>
        <m:oMathParaPr>
          <m:jc m:val="center"/>
        </m:oMathParaPr>
        <m:oMath>
          <m:sSub>
            <m:e>
              <m:r>
                <m:t>w</m:t>
              </m:r>
            </m:e>
            <m:sub>
              <m:r>
                <m:t>k</m:t>
              </m:r>
            </m:sub>
          </m:sSub>
          <m:r>
            <m:rPr>
              <m:sty m:val="p"/>
            </m:rPr>
            <m:t>=</m:t>
          </m:r>
          <m:r>
            <m:t>f</m:t>
          </m:r>
          <m:r>
            <m:rPr>
              <m:sty m:val="p"/>
            </m:rPr>
            <m:t>(</m:t>
          </m:r>
          <m:sSub>
            <m:e>
              <m:r>
                <m:rPr>
                  <m:sty m:val="b"/>
                </m:rPr>
                <m:t>x</m:t>
              </m:r>
            </m:e>
            <m:sub>
              <m:r>
                <m:t>k</m:t>
              </m:r>
            </m:sub>
          </m:sSub>
          <m:r>
            <m:rPr>
              <m:sty m:val="p"/>
            </m:rPr>
            <m:t>,</m:t>
          </m:r>
          <m:r>
            <m:rPr>
              <m:sty m:val="b"/>
            </m:rPr>
            <m:t>β</m:t>
          </m:r>
          <m:r>
            <m:rPr>
              <m:sty m:val="p"/>
            </m:rPr>
            <m:t>)</m:t>
          </m:r>
          <m:r>
            <m:rPr>
              <m:sty m:val="p"/>
            </m:rPr>
            <m:t>+</m:t>
          </m:r>
          <m:sSub>
            <m:e>
              <m:r>
                <m:t>ε</m:t>
              </m:r>
            </m:e>
            <m:sub>
              <m:r>
                <m:t>k</m:t>
              </m:r>
            </m:sub>
          </m:sSub>
          <m:r>
            <m:rPr>
              <m:sty m:val="p"/>
            </m:rPr>
            <m:t>,</m:t>
          </m:r>
        </m:oMath>
      </m:oMathPara>
    </w:p>
    <w:p>
      <w:pPr>
        <w:numPr>
          <w:ilvl w:val="0"/>
          <w:numId w:val="1000"/>
        </w:numPr>
      </w:pPr>
      <w:r>
        <w:t xml:space="preserve">donde</w:t>
      </w:r>
      <w:r>
        <w:t xml:space="preserve"> </w:t>
      </w:r>
      <m:oMath>
        <m:r>
          <m:t>f</m:t>
        </m:r>
        <m:r>
          <m:rPr>
            <m:sty m:val="p"/>
          </m:rPr>
          <m:t>(</m:t>
        </m:r>
        <m:r>
          <m:rPr>
            <m:sty m:val="p"/>
          </m:rPr>
          <m:t>⋅</m:t>
        </m:r>
        <m:r>
          <m:rPr>
            <m:sty m:val="p"/>
          </m:rPr>
          <m:t>)</m:t>
        </m:r>
      </m:oMath>
      <w:r>
        <w:t xml:space="preserve"> </w:t>
      </w:r>
      <w:r>
        <w:t xml:space="preserve">representa la relación funcional entre los pesos</w:t>
      </w:r>
      <w:r>
        <w:t xml:space="preserve"> </w:t>
      </w:r>
      <m:oMath>
        <m:sSub>
          <m:e>
            <m:r>
              <m:t>w</m:t>
            </m:r>
          </m:e>
          <m:sub>
            <m:r>
              <m:t>k</m:t>
            </m:r>
          </m:sub>
        </m:sSub>
      </m:oMath>
      <w:r>
        <w:t xml:space="preserve"> </w:t>
      </w:r>
      <w:r>
        <w:t xml:space="preserve">y las covariables</w:t>
      </w:r>
      <w:r>
        <w:t xml:space="preserve"> </w:t>
      </w:r>
      <m:oMath>
        <m:sSub>
          <m:e>
            <m:r>
              <m:rPr>
                <m:sty m:val="b"/>
              </m:rPr>
              <m:t>x</m:t>
            </m:r>
          </m:e>
          <m:sub>
            <m:r>
              <m:t>k</m:t>
            </m:r>
          </m:sub>
        </m:sSub>
      </m:oMath>
      <w:r>
        <w:t xml:space="preserve">, a través de los coeficientes</w:t>
      </w:r>
      <w:r>
        <w:t xml:space="preserve"> </w:t>
      </w:r>
      <m:oMath>
        <m:r>
          <m:rPr>
            <m:sty m:val="b"/>
          </m:rPr>
          <m:t>β</m:t>
        </m:r>
      </m:oMath>
      <w:r>
        <w:t xml:space="preserve">.</w:t>
      </w:r>
    </w:p>
    <w:p>
      <w:pPr>
        <w:numPr>
          <w:ilvl w:val="0"/>
          <w:numId w:val="1005"/>
        </w:numPr>
      </w:pPr>
      <w:r>
        <w:t xml:space="preserve">Obtener los valores predichos del modelo para cada unidad de observación, de tal forma que:</w:t>
      </w:r>
    </w:p>
    <w:p>
      <w:pPr>
        <w:pStyle w:val="BodyText"/>
      </w:pPr>
      <m:oMathPara>
        <m:oMathParaPr>
          <m:jc m:val="center"/>
        </m:oMathParaPr>
        <m:oMath>
          <m:sSub>
            <m:e>
              <m:acc>
                <m:accPr>
                  <m:chr m:val="̂"/>
                </m:accPr>
                <m:e>
                  <m:r>
                    <m:t>w</m:t>
                  </m:r>
                </m:e>
              </m:acc>
            </m:e>
            <m:sub>
              <m:r>
                <m:t>k</m:t>
              </m:r>
            </m:sub>
          </m:sSub>
          <m:r>
            <m:rPr>
              <m:sty m:val="p"/>
            </m:rPr>
            <m:t>=</m:t>
          </m:r>
          <m:r>
            <m:t>f</m:t>
          </m:r>
          <m:r>
            <m:rPr>
              <m:sty m:val="p"/>
            </m:rPr>
            <m:t>(</m:t>
          </m:r>
          <m:sSub>
            <m:e>
              <m:r>
                <m:rPr>
                  <m:sty m:val="b"/>
                </m:rPr>
                <m:t>x</m:t>
              </m:r>
            </m:e>
            <m:sub>
              <m:r>
                <m:t>k</m:t>
              </m:r>
            </m:sub>
          </m:sSub>
          <m:r>
            <m:rPr>
              <m:sty m:val="p"/>
            </m:rPr>
            <m:t>,</m:t>
          </m:r>
          <m:acc>
            <m:accPr>
              <m:chr m:val="̂"/>
            </m:accPr>
            <m:e>
              <m:r>
                <m:rPr>
                  <m:sty m:val="b"/>
                </m:rPr>
                <m:t>β</m:t>
              </m:r>
            </m:e>
          </m:acc>
          <m:r>
            <m:rPr>
              <m:sty m:val="p"/>
            </m:rPr>
            <m:t>)</m:t>
          </m:r>
          <m:r>
            <m:rPr>
              <m:sty m:val="p"/>
            </m:rPr>
            <m:t>.</m:t>
          </m:r>
        </m:oMath>
      </m:oMathPara>
    </w:p>
    <w:p>
      <w:pPr>
        <w:numPr>
          <w:ilvl w:val="0"/>
          <w:numId w:val="1000"/>
        </w:numPr>
      </w:pPr>
      <w:r>
        <w:t xml:space="preserve">Estos valores representan la componente de los factores de expansión explicada por las covariables incluidas en el modelo.</w:t>
      </w:r>
    </w:p>
    <w:p>
      <w:pPr>
        <w:numPr>
          <w:ilvl w:val="0"/>
          <w:numId w:val="1005"/>
        </w:numPr>
      </w:pPr>
      <w:r>
        <w:t xml:space="preserve">Construir los pesos</w:t>
      </w:r>
      <w:r>
        <w:t xml:space="preserve"> </w:t>
      </w:r>
      <w:r>
        <w:rPr>
          <w:i/>
          <w:iCs/>
        </w:rPr>
        <w:t xml:space="preserve">q-weighted</w:t>
      </w:r>
      <w:r>
        <w:t xml:space="preserve"> </w:t>
      </w:r>
      <w:r>
        <w:t xml:space="preserve">dividiendo los factores de expansión originales por la estimación de su esperanza condicional en la muestra,</w:t>
      </w:r>
    </w:p>
    <w:p>
      <w:pPr>
        <w:pStyle w:val="BodyText"/>
      </w:pPr>
      <m:oMathPara>
        <m:oMathParaPr>
          <m:jc m:val="center"/>
        </m:oMathParaPr>
        <m:oMath>
          <m:sSub>
            <m:e>
              <m:r>
                <m:t>q</m:t>
              </m:r>
            </m:e>
            <m:sub>
              <m:r>
                <m:t>k</m:t>
              </m:r>
            </m:sub>
          </m:sSub>
          <m:r>
            <m:rPr>
              <m:sty m:val="p"/>
            </m:rPr>
            <m:t>=</m:t>
          </m:r>
          <m:f>
            <m:fPr>
              <m:type m:val="bar"/>
            </m:fPr>
            <m:num>
              <m:sSub>
                <m:e>
                  <m:r>
                    <m:t>w</m:t>
                  </m:r>
                </m:e>
                <m:sub>
                  <m:r>
                    <m:t>k</m:t>
                  </m:r>
                </m:sub>
              </m:sSub>
            </m:num>
            <m:den>
              <m:sSub>
                <m:e>
                  <m:acc>
                    <m:accPr>
                      <m:chr m:val="̂"/>
                    </m:accPr>
                    <m:e>
                      <m:r>
                        <m:t>E</m:t>
                      </m:r>
                    </m:e>
                  </m:acc>
                </m:e>
                <m:sub>
                  <m:r>
                    <m:t>s</m:t>
                  </m:r>
                </m:sub>
              </m:sSub>
              <m:r>
                <m:rPr>
                  <m:sty m:val="p"/>
                </m:rPr>
                <m:t>(</m:t>
              </m:r>
              <m:sSub>
                <m:e>
                  <m:r>
                    <m:t>w</m:t>
                  </m:r>
                </m:e>
                <m:sub>
                  <m:r>
                    <m:t>k</m:t>
                  </m:r>
                </m:sub>
              </m:sSub>
              <m:r>
                <m:rPr>
                  <m:sty m:val="p"/>
                </m:rPr>
                <m:t>∣</m:t>
              </m:r>
              <m:sSub>
                <m:e>
                  <m:r>
                    <m:rPr>
                      <m:sty m:val="b"/>
                    </m:rPr>
                    <m:t>x</m:t>
                  </m:r>
                </m:e>
                <m:sub>
                  <m:r>
                    <m:t>k</m:t>
                  </m:r>
                </m:sub>
              </m:sSub>
              <m:r>
                <m:rPr>
                  <m:sty m:val="p"/>
                </m:rPr>
                <m:t>)</m:t>
              </m:r>
            </m:den>
          </m:f>
          <m:r>
            <m:rPr>
              <m:sty m:val="p"/>
            </m:rPr>
            <m:t>.</m:t>
          </m:r>
        </m:oMath>
      </m:oMathPara>
    </w:p>
    <w:p>
      <w:pPr>
        <w:numPr>
          <w:ilvl w:val="0"/>
          <w:numId w:val="1000"/>
        </w:numPr>
      </w:pPr>
      <w:r>
        <w:t xml:space="preserve">De esta forma, los nuevos pesos reflejan la variación residual de los factores de expansión una vez controlado el efecto de las covariables.</w:t>
      </w:r>
    </w:p>
    <w:p>
      <w:pPr>
        <w:numPr>
          <w:ilvl w:val="0"/>
          <w:numId w:val="1005"/>
        </w:numPr>
      </w:pPr>
      <w:r>
        <w:t xml:space="preserve">Definir el nuevo diseño muestral utilizando los pesos ajustados</w:t>
      </w:r>
      <w:r>
        <w:t xml:space="preserve"> </w:t>
      </w:r>
      <m:oMath>
        <m:sSub>
          <m:e>
            <m:r>
              <m:t>q</m:t>
            </m:r>
          </m:e>
          <m:sub>
            <m:r>
              <m:t>k</m:t>
            </m:r>
          </m:sub>
        </m:sSub>
      </m:oMath>
      <w:r>
        <w:t xml:space="preserve"> </w:t>
      </w:r>
      <w:r>
        <w:t xml:space="preserve">en lugar de los pesos originales</w:t>
      </w:r>
      <w:r>
        <w:t xml:space="preserve"> </w:t>
      </w:r>
      <m:oMath>
        <m:sSub>
          <m:e>
            <m:r>
              <m:t>w</m:t>
            </m:r>
          </m:e>
          <m:sub>
            <m:r>
              <m:t>k</m:t>
            </m:r>
          </m:sub>
        </m:sSub>
      </m:oMath>
      <w:r>
        <w:t xml:space="preserve">, y emplear este diseño para la estimación de los parámetros del modelo multinivel.</w:t>
      </w:r>
    </w:p>
    <w:p>
      <w:pPr>
        <w:pStyle w:val="FirstParagraph"/>
      </w:pPr>
      <w:r>
        <w:t xml:space="preserve">El siguiente código implementa el procedimiento de construcción de pesos</w:t>
      </w:r>
      <w:r>
        <w:t xml:space="preserve"> </w:t>
      </w:r>
      <w:r>
        <w:rPr>
          <w:i/>
          <w:iCs/>
        </w:rPr>
        <w:t xml:space="preserve">q-weighted</w:t>
      </w:r>
      <w:r>
        <w:t xml:space="preserve">. En primer lugar, ajusta un modelo de regresión lineal que explica los factores de expansión originales a partir de la variable explicativa gasto. De esta forma, los pesos resultantes conservan únicamente la componente de variación no explicada por las covariables incluidas en el modelo multinivel.</w:t>
      </w:r>
    </w:p>
    <w:p>
      <w:pPr>
        <w:pStyle w:val="SourceCode"/>
      </w:pPr>
      <w:r>
        <w:rPr>
          <w:rStyle w:val="NormalTok"/>
        </w:rPr>
        <w:t xml:space="preserve">mod_qw </w:t>
      </w:r>
      <w:r>
        <w:rPr>
          <w:rStyle w:val="OtherTok"/>
        </w:rPr>
        <w:t xml:space="preserve">&lt;-</w:t>
      </w:r>
      <w:r>
        <w:rPr>
          <w:rStyle w:val="NormalTok"/>
        </w:rPr>
        <w:t xml:space="preserve"> </w:t>
      </w:r>
      <w:r>
        <w:rPr>
          <w:rStyle w:val="FunctionTok"/>
        </w:rPr>
        <w:t xml:space="preserve">lm</w:t>
      </w:r>
      <w:r>
        <w:rPr>
          <w:rStyle w:val="NormalTok"/>
        </w:rPr>
        <w:t xml:space="preserve">(wk </w:t>
      </w:r>
      <w:r>
        <w:rPr>
          <w:rStyle w:val="SpecialCharTok"/>
        </w:rPr>
        <w:t xml:space="preserve">~</w:t>
      </w:r>
      <w:r>
        <w:rPr>
          <w:rStyle w:val="NormalTok"/>
        </w:rPr>
        <w:t xml:space="preserve"> Expenditure, </w:t>
      </w:r>
      <w:r>
        <w:rPr>
          <w:rStyle w:val="AttributeTok"/>
        </w:rPr>
        <w:t xml:space="preserve">data =</w:t>
      </w:r>
      <w:r>
        <w:rPr>
          <w:rStyle w:val="NormalTok"/>
        </w:rPr>
        <w:t xml:space="preserve"> survey_data)</w:t>
      </w:r>
      <w:r>
        <w:br/>
      </w:r>
      <w:r>
        <w:rPr>
          <w:rStyle w:val="NormalTok"/>
        </w:rPr>
        <w:t xml:space="preserve">predicted_weights </w:t>
      </w:r>
      <w:r>
        <w:rPr>
          <w:rStyle w:val="OtherTok"/>
        </w:rPr>
        <w:t xml:space="preserve">&lt;-</w:t>
      </w:r>
      <w:r>
        <w:rPr>
          <w:rStyle w:val="NormalTok"/>
        </w:rPr>
        <w:t xml:space="preserve"> </w:t>
      </w:r>
      <w:r>
        <w:rPr>
          <w:rStyle w:val="FunctionTok"/>
        </w:rPr>
        <w:t xml:space="preserve">predict</w:t>
      </w:r>
      <w:r>
        <w:rPr>
          <w:rStyle w:val="NormalTok"/>
        </w:rPr>
        <w:t xml:space="preserve">(mod_qw)</w:t>
      </w:r>
      <w:r>
        <w:br/>
      </w:r>
      <w:r>
        <w:rPr>
          <w:rStyle w:val="FunctionTok"/>
        </w:rPr>
        <w:t xml:space="preserve">stopifnot</w:t>
      </w:r>
      <w:r>
        <w:rPr>
          <w:rStyle w:val="NormalTok"/>
        </w:rPr>
        <w:t xml:space="preserve">(</w:t>
      </w:r>
      <w:r>
        <w:rPr>
          <w:rStyle w:val="FunctionTok"/>
        </w:rPr>
        <w:t xml:space="preserve">all</w:t>
      </w:r>
      <w:r>
        <w:rPr>
          <w:rStyle w:val="NormalTok"/>
        </w:rPr>
        <w:t xml:space="preserve">(</w:t>
      </w:r>
      <w:r>
        <w:rPr>
          <w:rStyle w:val="FunctionTok"/>
        </w:rPr>
        <w:t xml:space="preserve">is.finite</w:t>
      </w:r>
      <w:r>
        <w:rPr>
          <w:rStyle w:val="NormalTok"/>
        </w:rPr>
        <w:t xml:space="preserve">(predicted_weights)), </w:t>
      </w:r>
      <w:r>
        <w:rPr>
          <w:rStyle w:val="FunctionTok"/>
        </w:rPr>
        <w:t xml:space="preserve">all</w:t>
      </w:r>
      <w:r>
        <w:rPr>
          <w:rStyle w:val="NormalTok"/>
        </w:rPr>
        <w:t xml:space="preserve">(predicted_weights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survey_data</w:t>
      </w:r>
      <w:r>
        <w:rPr>
          <w:rStyle w:val="SpecialCharTok"/>
        </w:rPr>
        <w:t xml:space="preserve">$</w:t>
      </w:r>
      <w:r>
        <w:rPr>
          <w:rStyle w:val="NormalTok"/>
        </w:rPr>
        <w:t xml:space="preserve">qk </w:t>
      </w:r>
      <w:r>
        <w:rPr>
          <w:rStyle w:val="OtherTok"/>
        </w:rPr>
        <w:t xml:space="preserve">&lt;-</w:t>
      </w:r>
      <w:r>
        <w:rPr>
          <w:rStyle w:val="NormalTok"/>
        </w:rPr>
        <w:t xml:space="preserve"> survey_data</w:t>
      </w:r>
      <w:r>
        <w:rPr>
          <w:rStyle w:val="SpecialCharTok"/>
        </w:rPr>
        <w:t xml:space="preserve">$</w:t>
      </w:r>
      <w:r>
        <w:rPr>
          <w:rStyle w:val="NormalTok"/>
        </w:rPr>
        <w:t xml:space="preserve">wk </w:t>
      </w:r>
      <w:r>
        <w:rPr>
          <w:rStyle w:val="SpecialCharTok"/>
        </w:rPr>
        <w:t xml:space="preserve">/</w:t>
      </w:r>
      <w:r>
        <w:rPr>
          <w:rStyle w:val="NormalTok"/>
        </w:rPr>
        <w:t xml:space="preserve"> predicted_weights</w:t>
      </w:r>
    </w:p>
    <w:p>
      <w:pPr>
        <w:pStyle w:val="FirstParagraph"/>
      </w:pPr>
      <w:r>
        <w:t xml:space="preserve">Esta implementación es ilustrativa. La comprobación con</w:t>
      </w:r>
      <w:r>
        <w:t xml:space="preserve"> </w:t>
      </w:r>
      <w:r>
        <w:rPr>
          <w:rStyle w:val="VerbatimChar"/>
        </w:rPr>
        <w:t xml:space="preserve">stopifnot()</w:t>
      </w:r>
      <w:r>
        <w:t xml:space="preserve"> </w:t>
      </w:r>
      <w:r>
        <w:t xml:space="preserve">evita continuar si los valores predichos no son finitos o estrictamente positivos, pero todavía debe evaluarse que el modelo represente adecuadamente</w:t>
      </w:r>
      <w:r>
        <w:t xml:space="preserve"> </w:t>
      </w:r>
      <m:oMath>
        <m:sSub>
          <m:e>
            <m:r>
              <m:t>E</m:t>
            </m:r>
          </m:e>
          <m:sub>
            <m:r>
              <m:t>s</m:t>
            </m:r>
          </m:sub>
        </m:sSub>
        <m:r>
          <m:rPr>
            <m:sty m:val="p"/>
          </m:rPr>
          <m:t>(</m:t>
        </m:r>
        <m:sSub>
          <m:e>
            <m:r>
              <m:t>w</m:t>
            </m:r>
          </m:e>
          <m:sub>
            <m:r>
              <m:t>k</m:t>
            </m:r>
          </m:sub>
        </m:sSub>
        <m:r>
          <m:rPr>
            <m:sty m:val="p"/>
          </m:rPr>
          <m:t>∣</m:t>
        </m:r>
        <m:sSub>
          <m:e>
            <m:r>
              <m:rPr>
                <m:sty m:val="b"/>
              </m:rPr>
              <m:t>x</m:t>
            </m:r>
          </m:e>
          <m:sub>
            <m:r>
              <m:t>k</m:t>
            </m:r>
          </m:sub>
        </m:sSub>
        <m:r>
          <m:rPr>
            <m:sty m:val="p"/>
          </m:rPr>
          <m:t>)</m:t>
        </m:r>
      </m:oMath>
      <w:r>
        <w:t xml:space="preserve">; una regresión lineal de los pesos puede producir predicciones no válidas. Además, el vector final</w:t>
      </w:r>
      <w:r>
        <w:t xml:space="preserve"> </w:t>
      </w:r>
      <w:r>
        <w:rPr>
          <w:rStyle w:val="VerbatimChar"/>
        </w:rPr>
        <w:t xml:space="preserve">wk</w:t>
      </w:r>
      <w:r>
        <w:t xml:space="preserve"> </w:t>
      </w:r>
      <w:r>
        <w:t xml:space="preserve">no necesariamente permite reconstruir por sí solo los pesos condicionales de cada etapa requeridos por un modelo multinivel ponderado.</w:t>
      </w:r>
    </w:p>
    <w:bookmarkEnd w:id="258"/>
    <w:bookmarkStart w:id="274" w:name="modelo-lineal-multinivel"/>
    <w:p>
      <w:pPr>
        <w:pStyle w:val="Heading2"/>
      </w:pPr>
      <w:r>
        <w:t xml:space="preserve">7.3 Modelo lineal multinivel</w:t>
      </w:r>
    </w:p>
    <w:p>
      <w:pPr>
        <w:pStyle w:val="FirstParagraph"/>
      </w:pPr>
      <w:r>
        <w:t xml:space="preserve">Los modelos multinivel más utilizados en la práctica corresponden a extensiones del modelo lineal clásico para datos con estructura jerárquica. En su formulación básica, estos modelos asumen que la variable respuesta es continua y sigue una distribución normal condicional a los efectos fijos y aleatorios incluidos en el modelo. Asimismo, se supone que los efectos aleatorios y los errores residuales son independientes entre sí y se distribuyen normalmente con media cero y varianzas constantes.</w:t>
      </w:r>
    </w:p>
    <w:bookmarkStart w:id="261" w:name="sec-multinivel-muestras-complejas"/>
    <w:p>
      <w:pPr>
        <w:pStyle w:val="Heading3"/>
      </w:pPr>
      <w:r>
        <w:t xml:space="preserve">7.3.1 Modelo nulo</w:t>
      </w:r>
    </w:p>
    <w:p>
      <w:pPr>
        <w:pStyle w:val="FirstParagraph"/>
      </w:pPr>
      <w:r>
        <w:t xml:space="preserve">De acuerdo con</w:t>
      </w:r>
      <w:r>
        <w:t xml:space="preserve"> </w:t>
      </w:r>
      <w:r>
        <w:t xml:space="preserve">Goldstein (2011)</w:t>
      </w:r>
      <w:r>
        <w:t xml:space="preserve"> </w:t>
      </w:r>
      <w:r>
        <w:t xml:space="preserve">y</w:t>
      </w:r>
      <w:r>
        <w:t xml:space="preserve"> </w:t>
      </w:r>
      <w:r>
        <w:t xml:space="preserve">Rabe-Hesketh y Skrondal (2012)</w:t>
      </w:r>
      <w:r>
        <w:t xml:space="preserve">, en el análisis de regresión multinivel, se distinguen dos tipos de parámetros: los coeficientes de regresión, conocidos como parámetros fijos, y los componentes de varianza asociados a los efectos aleatorios. Una etapa inicial fundamental en este tipo de análisis consiste en descomponer la variabilidad total de la variable dependiente en los distintos niveles de la estructura jerárquica. En el contexto del ejemplo anterior, esta descomposición permite separar la variación del ingreso en una componente atribuible a diferencias dentro de los estratos y otra asociada a diferencias entre estratos.</w:t>
      </w:r>
    </w:p>
    <w:p>
      <w:pPr>
        <w:pStyle w:val="BodyText"/>
      </w:pPr>
      <w:r>
        <w:t xml:space="preserve">Según</w:t>
      </w:r>
      <w:r>
        <w:t xml:space="preserve"> </w:t>
      </w:r>
      <w:r>
        <w:t xml:space="preserve">Snijders y Bosker (2011)</w:t>
      </w:r>
      <w:r>
        <w:t xml:space="preserve">, el punto de partida para esta descomposición es, el denominado modelo nulo, el cual no incorpora variables explicativas y se expresa como</w:t>
      </w:r>
    </w:p>
    <w:p>
      <w:pPr>
        <w:pStyle w:val="BodyText"/>
      </w:pPr>
      <m:oMathPara>
        <m:oMathParaPr>
          <m:jc m:val="center"/>
        </m:oMathParaPr>
        <m:oMath>
          <m:sSub>
            <m:e>
              <m:r>
                <m:t>y</m:t>
              </m:r>
            </m:e>
            <m:sub>
              <m:r>
                <m:t>k</m:t>
              </m:r>
              <m:r>
                <m:t>j</m:t>
              </m:r>
            </m:sub>
          </m:sSub>
          <m:r>
            <m:rPr>
              <m:sty m:val="p"/>
            </m:rPr>
            <m:t>=</m:t>
          </m:r>
          <m:sSub>
            <m:e>
              <m:r>
                <m:t>β</m:t>
              </m:r>
            </m:e>
            <m:sub>
              <m:r>
                <m:t>0</m:t>
              </m:r>
              <m:r>
                <m:t>j</m:t>
              </m:r>
            </m:sub>
          </m:sSub>
          <m:r>
            <m:rPr>
              <m:sty m:val="p"/>
            </m:rPr>
            <m:t>+</m:t>
          </m:r>
          <m:sSub>
            <m:e>
              <m:r>
                <m:t>ϵ</m:t>
              </m:r>
            </m:e>
            <m:sub>
              <m:r>
                <m:t>k</m:t>
              </m:r>
              <m:r>
                <m:t>j</m:t>
              </m:r>
            </m:sub>
          </m:sSub>
        </m:oMath>
      </m:oMathPara>
    </w:p>
    <w:p>
      <w:pPr>
        <w:pStyle w:val="FirstParagraph"/>
      </w:pPr>
      <w:r>
        <w:t xml:space="preserve">En donde</w:t>
      </w:r>
      <w:r>
        <w:t xml:space="preserve"> </w:t>
      </w:r>
      <m:oMath>
        <m:sSub>
          <m:e>
            <m:r>
              <m:t>y</m:t>
            </m:r>
          </m:e>
          <m:sub>
            <m:r>
              <m:t>k</m:t>
            </m:r>
            <m:r>
              <m:t>j</m:t>
            </m:r>
          </m:sub>
        </m:sSub>
      </m:oMath>
      <w:r>
        <w:t xml:space="preserve"> </w:t>
      </w:r>
      <w:r>
        <w:t xml:space="preserve">denota el valor observado del ingreso para la unidad</w:t>
      </w:r>
      <w:r>
        <w:t xml:space="preserve"> </w:t>
      </w:r>
      <m:oMath>
        <m:r>
          <m:t>k</m:t>
        </m:r>
      </m:oMath>
      <w:r>
        <w:t xml:space="preserve"> </w:t>
      </w:r>
      <w:r>
        <w:t xml:space="preserve">en el estrato</w:t>
      </w:r>
      <w:r>
        <w:t xml:space="preserve"> </w:t>
      </w:r>
      <m:oMath>
        <m:r>
          <m:t>j</m:t>
        </m:r>
      </m:oMath>
      <w:r>
        <w:t xml:space="preserve">. El término</w:t>
      </w:r>
      <w:r>
        <w:t xml:space="preserve"> </w:t>
      </w:r>
      <m:oMath>
        <m:sSub>
          <m:e>
            <m:r>
              <m:t>β</m:t>
            </m:r>
          </m:e>
          <m:sub>
            <m:r>
              <m:t>0</m:t>
            </m:r>
            <m:r>
              <m:t>j</m:t>
            </m:r>
          </m:sub>
        </m:sSub>
      </m:oMath>
      <w:r>
        <w:t xml:space="preserve"> </w:t>
      </w:r>
      <w:r>
        <w:t xml:space="preserve">representa el intercepto específico de cada estrato, capturando las diferencias en los niveles promedio de la variable entre grupos. Finalmente,</w:t>
      </w:r>
      <w:r>
        <w:t xml:space="preserve"> </w:t>
      </w:r>
      <m:oMath>
        <m:sSub>
          <m:e>
            <m:r>
              <m:t>ϵ</m:t>
            </m:r>
          </m:e>
          <m:sub>
            <m:r>
              <m:t>k</m:t>
            </m:r>
            <m:r>
              <m:t>j</m:t>
            </m:r>
          </m:sub>
        </m:sSub>
      </m:oMath>
      <w:r>
        <w:t xml:space="preserve"> </w:t>
      </w:r>
      <w:r>
        <w:t xml:space="preserve">corresponde al error a nivel de unidad, el cual recoge la variabilidad no explicada dentro de cada estrato y se asume con media cero y varianza constante condicional al grupo.</w:t>
      </w:r>
    </w:p>
    <w:p>
      <w:pPr>
        <w:pStyle w:val="BodyText"/>
      </w:pPr>
      <w:r>
        <w:t xml:space="preserve">A su vez, el intercepto por estrato puede descomponerse en una parte común a todos los estratos y una desviación específica de cada uno de ellos, de la siguiente forma:</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τ</m:t>
              </m:r>
            </m:e>
            <m:sub>
              <m:r>
                <m:t>0</m:t>
              </m:r>
              <m:r>
                <m:t>j</m:t>
              </m:r>
            </m:sub>
          </m:sSub>
        </m:oMath>
      </m:oMathPara>
    </w:p>
    <w:p>
      <w:pPr>
        <w:pStyle w:val="FirstParagraph"/>
      </w:pPr>
      <w:r>
        <w:t xml:space="preserve">donde</w:t>
      </w:r>
      <w:r>
        <w:t xml:space="preserve"> </w:t>
      </w:r>
      <m:oMath>
        <m:sSub>
          <m:e>
            <m:r>
              <m:t>γ</m:t>
            </m:r>
          </m:e>
          <m:sub>
            <m:r>
              <m:t>00</m:t>
            </m:r>
          </m:sub>
        </m:sSub>
      </m:oMath>
      <w:r>
        <w:t xml:space="preserve"> </w:t>
      </w:r>
      <w:r>
        <w:t xml:space="preserve">representa el intercepto promedio global y</w:t>
      </w:r>
      <w:r>
        <w:t xml:space="preserve"> </w:t>
      </w:r>
      <m:oMath>
        <m:sSub>
          <m:e>
            <m:r>
              <m:t>τ</m:t>
            </m:r>
          </m:e>
          <m:sub>
            <m:r>
              <m:t>0</m:t>
            </m:r>
            <m:r>
              <m:t>j</m:t>
            </m:r>
          </m:sub>
        </m:sSub>
      </m:oMath>
      <w:r>
        <w:t xml:space="preserve"> </w:t>
      </w:r>
      <w:r>
        <w:t xml:space="preserve">es el efecto aleatorio para el intercepto que captura la desviación del estrato</w:t>
      </w:r>
      <w:r>
        <w:t xml:space="preserve"> </w:t>
      </w:r>
      <m:oMath>
        <m:r>
          <m:t>j</m:t>
        </m:r>
      </m:oMath>
      <w:r>
        <w:t xml:space="preserve">, permitiendo modelar explícitamente la heterogeneidad entre estratos. Además, los componentes aleatorios del modelo se asumen distribuidos normalmente con media cero y varianzas específicas para cada nivel de la jerarquía. En particular, el efecto aleatorio asociado al intercepto por estrato cumple</w:t>
      </w:r>
    </w:p>
    <w:p>
      <w:pPr>
        <w:pStyle w:val="BodyText"/>
      </w:pPr>
      <m:oMathPara>
        <m:oMathParaPr>
          <m:jc m:val="center"/>
        </m:oMathParaPr>
        <m:oMath>
          <m:sSub>
            <m:e>
              <m:r>
                <m:t>τ</m:t>
              </m:r>
            </m:e>
            <m:sub>
              <m:r>
                <m:t>0</m:t>
              </m:r>
              <m:r>
                <m:t>j</m:t>
              </m:r>
            </m:sub>
          </m:sSub>
          <m:r>
            <m:rPr>
              <m:sty m:val="p"/>
            </m:rPr>
            <m:t>∼</m:t>
          </m:r>
          <m:r>
            <m:t>N</m:t>
          </m:r>
          <m:d>
            <m:dPr>
              <m:begChr m:val="("/>
              <m:sepChr m:val=""/>
              <m:endChr m:val=")"/>
              <m:grow/>
            </m:dPr>
            <m:e>
              <m:r>
                <m:t>0</m:t>
              </m:r>
              <m:r>
                <m:rPr>
                  <m:sty m:val="p"/>
                </m:rPr>
                <m:t>,</m:t>
              </m:r>
              <m:sSubSup>
                <m:e>
                  <m:r>
                    <m:t>σ</m:t>
                  </m:r>
                </m:e>
                <m:sub>
                  <m:r>
                    <m:t>τ</m:t>
                  </m:r>
                </m:sub>
                <m:sup>
                  <m:r>
                    <m:t>2</m:t>
                  </m:r>
                </m:sup>
              </m:sSubSup>
            </m:e>
          </m:d>
          <m:r>
            <m:rPr>
              <m:sty m:val="p"/>
            </m:rPr>
            <m:t>,</m:t>
          </m:r>
        </m:oMath>
      </m:oMathPara>
    </w:p>
    <w:p>
      <w:pPr>
        <w:pStyle w:val="FirstParagraph"/>
      </w:pPr>
      <w:r>
        <w:t xml:space="preserve">lo que implica que las desviaciones de cada estrato respecto al intercepto global se distribuyen alrededor de cero, con una variabilidad determinada por</w:t>
      </w:r>
      <w:r>
        <w:t xml:space="preserve"> </w:t>
      </w:r>
      <m:oMath>
        <m:sSubSup>
          <m:e>
            <m:r>
              <m:t>σ</m:t>
            </m:r>
          </m:e>
          <m:sub>
            <m:r>
              <m:t>τ</m:t>
            </m:r>
          </m:sub>
          <m:sup>
            <m:r>
              <m:t>2</m:t>
            </m:r>
          </m:sup>
        </m:sSubSup>
      </m:oMath>
      <w:r>
        <w:t xml:space="preserve">. De manera análoga, el término de error a nivel de unidad sigue la distribución</w:t>
      </w:r>
    </w:p>
    <w:p>
      <w:pPr>
        <w:pStyle w:val="BodyText"/>
      </w:pPr>
      <m:oMathPara>
        <m:oMathParaPr>
          <m:jc m:val="center"/>
        </m:oMathParaPr>
        <m:oMath>
          <m:sSub>
            <m:e>
              <m:r>
                <m:t>ϵ</m:t>
              </m:r>
            </m:e>
            <m:sub>
              <m:r>
                <m:t>k</m:t>
              </m:r>
              <m:r>
                <m:t>j</m:t>
              </m:r>
            </m:sub>
          </m:sSub>
          <m:r>
            <m:rPr>
              <m:sty m:val="p"/>
            </m:rPr>
            <m:t>∼</m:t>
          </m:r>
          <m:r>
            <m:t>N</m:t>
          </m:r>
          <m:d>
            <m:dPr>
              <m:begChr m:val="("/>
              <m:sepChr m:val=""/>
              <m:endChr m:val=")"/>
              <m:grow/>
            </m:dPr>
            <m:e>
              <m:r>
                <m:t>0</m:t>
              </m:r>
              <m:r>
                <m:rPr>
                  <m:sty m:val="p"/>
                </m:rPr>
                <m:t>,</m:t>
              </m:r>
              <m:sSubSup>
                <m:e>
                  <m:r>
                    <m:t>σ</m:t>
                  </m:r>
                </m:e>
                <m:sub>
                  <m:r>
                    <m:t>ϵ</m:t>
                  </m:r>
                </m:sub>
                <m:sup>
                  <m:r>
                    <m:t>2</m:t>
                  </m:r>
                </m:sup>
              </m:sSubSup>
            </m:e>
          </m:d>
          <m:r>
            <m:rPr>
              <m:sty m:val="p"/>
            </m:rPr>
            <m:t>,</m:t>
          </m:r>
        </m:oMath>
      </m:oMathPara>
    </w:p>
    <w:p>
      <w:pPr>
        <w:pStyle w:val="FirstParagraph"/>
      </w:pPr>
      <w:r>
        <w:t xml:space="preserve">Donde</w:t>
      </w:r>
      <w:r>
        <w:t xml:space="preserve"> </w:t>
      </w:r>
      <m:oMath>
        <m:sSubSup>
          <m:e>
            <m:r>
              <m:t>σ</m:t>
            </m:r>
          </m:e>
          <m:sub>
            <m:r>
              <m:t>ϵ</m:t>
            </m:r>
          </m:sub>
          <m:sup>
            <m:r>
              <m:t>2</m:t>
            </m:r>
          </m:sup>
        </m:sSubSup>
      </m:oMath>
      <w:r>
        <w:t xml:space="preserve"> </w:t>
      </w:r>
      <w:r>
        <w:t xml:space="preserve">representa la variabilidad residual dentro de los estratos. A partir de este modelo se define el coeficiente de correlación intraclase (ICC, por sus siglas en inglés), que cuantifica la proporción de la varianza total explicada por las diferencias entre estratos:</w:t>
      </w:r>
    </w:p>
    <w:p>
      <w:pPr>
        <w:pStyle w:val="BodyText"/>
      </w:pPr>
      <m:oMathPara>
        <m:oMathParaPr>
          <m:jc m:val="center"/>
        </m:oMathParaPr>
        <m:oMath>
          <m:r>
            <m:t>ρ</m:t>
          </m:r>
          <m:r>
            <m:rPr>
              <m:sty m:val="p"/>
            </m:rPr>
            <m:t>=</m:t>
          </m:r>
          <m:f>
            <m:fPr>
              <m:type m:val="bar"/>
            </m:fPr>
            <m:num>
              <m:sSubSup>
                <m:e>
                  <m:r>
                    <m:t>σ</m:t>
                  </m:r>
                </m:e>
                <m:sub>
                  <m:r>
                    <m:t>τ</m:t>
                  </m:r>
                </m:sub>
                <m:sup>
                  <m:r>
                    <m:t>2</m:t>
                  </m:r>
                </m:sup>
              </m:sSubSup>
            </m:num>
            <m:den>
              <m:sSubSup>
                <m:e>
                  <m:r>
                    <m:t>σ</m:t>
                  </m:r>
                </m:e>
                <m:sub>
                  <m:r>
                    <m:t>τ</m:t>
                  </m:r>
                </m:sub>
                <m:sup>
                  <m:r>
                    <m:t>2</m:t>
                  </m:r>
                </m:sup>
              </m:sSubSup>
              <m:r>
                <m:rPr>
                  <m:sty m:val="p"/>
                </m:rPr>
                <m:t>+</m:t>
              </m:r>
              <m:sSubSup>
                <m:e>
                  <m:r>
                    <m:t>σ</m:t>
                  </m:r>
                </m:e>
                <m:sub>
                  <m:r>
                    <m:t>ϵ</m:t>
                  </m:r>
                </m:sub>
                <m:sup>
                  <m:r>
                    <m:t>2</m:t>
                  </m:r>
                </m:sup>
              </m:sSubSup>
            </m:den>
          </m:f>
        </m:oMath>
      </m:oMathPara>
    </w:p>
    <w:p>
      <w:pPr>
        <w:pStyle w:val="FirstParagraph"/>
      </w:pPr>
      <w:r>
        <w:t xml:space="preserve">Un valor elevado del ICC indica que una proporción importante de la variabilidad total de la variable de interés se debe a diferencias entre estratos, lo que sugiere la presencia de heterogeneidad relevante entre grupos y la necesidad de incorporar explícitamente dicha estructura en el modelo. En contraste, un ICC bajo implica que la variabilidad se concentra principalmente dentro de los estratos, los cuales presentan una mayor homogeneidad relativa entre sí.</w:t>
      </w:r>
    </w:p>
    <w:p>
      <w:pPr>
        <w:pStyle w:val="BodyText"/>
      </w:pPr>
      <w:r>
        <w:t xml:space="preserve">Siguiendo con el análisis de la encuesta de ejemplo, cuando la variable de interés es el ingreso, el modelo nulo constituye el punto de partida para cuantificar qué proporción de la variabilidad total se debe a diferencias entre estratos y qué proporción corresponde a diferencias entre hogares dentro de un mismo estrato.</w:t>
      </w:r>
    </w:p>
    <w:p>
      <w:pPr>
        <w:pStyle w:val="BodyText"/>
      </w:pPr>
      <w:r>
        <w:t xml:space="preserve">De acuerdo con</w:t>
      </w:r>
      <w:r>
        <w:t xml:space="preserve"> </w:t>
      </w:r>
      <w:r>
        <w:t xml:space="preserve">Bates et al. (2015)</w:t>
      </w:r>
      <w:r>
        <w:t xml:space="preserve">, la estimación de modelos multinivel en</w:t>
      </w:r>
      <w:r>
        <w:t xml:space="preserve"> </w:t>
      </w:r>
      <w:r>
        <w:rPr>
          <w:rStyle w:val="VerbatimChar"/>
        </w:rPr>
        <w:t xml:space="preserve">R</w:t>
      </w:r>
      <w:r>
        <w:t xml:space="preserve"> </w:t>
      </w:r>
      <w:r>
        <w:t xml:space="preserve">se realiza mediante el paquete</w:t>
      </w:r>
      <w:r>
        <w:t xml:space="preserve"> </w:t>
      </w:r>
      <w:r>
        <w:rPr>
          <w:rStyle w:val="VerbatimChar"/>
        </w:rPr>
        <w:t xml:space="preserve">lme4</w:t>
      </w:r>
      <w:r>
        <w:t xml:space="preserve">. En particular, la función</w:t>
      </w:r>
      <w:r>
        <w:t xml:space="preserve"> </w:t>
      </w:r>
      <w:r>
        <w:rPr>
          <w:rStyle w:val="VerbatimChar"/>
        </w:rPr>
        <w:t xml:space="preserve">lmer()</w:t>
      </w:r>
      <w:r>
        <w:t xml:space="preserve"> </w:t>
      </w:r>
      <w:r>
        <w:t xml:space="preserve">permite especificar los efectos aleatorios mediante expresiones de la forma</w:t>
      </w:r>
      <w:r>
        <w:t xml:space="preserve"> </w:t>
      </w:r>
      <w:r>
        <w:rPr>
          <w:rStyle w:val="VerbatimChar"/>
        </w:rPr>
        <w:t xml:space="preserve">(efecto | grupo)</w:t>
      </w:r>
      <w:r>
        <w:t xml:space="preserve">. En este contexto, la expresión</w:t>
      </w:r>
      <w:r>
        <w:t xml:space="preserve"> </w:t>
      </w:r>
      <w:r>
        <w:rPr>
          <w:rStyle w:val="VerbatimChar"/>
        </w:rPr>
        <w:t xml:space="preserve">(1 | Stratum)</w:t>
      </w:r>
      <w:r>
        <w:t xml:space="preserve"> </w:t>
      </w:r>
      <w:r>
        <w:t xml:space="preserve">indica que el modelo incluye un intercepto aleatorio para cada estrato. El valor</w:t>
      </w:r>
      <w:r>
        <w:t xml:space="preserve"> </w:t>
      </w:r>
      <w:r>
        <w:rPr>
          <w:rStyle w:val="VerbatimChar"/>
        </w:rPr>
        <w:t xml:space="preserve">1</w:t>
      </w:r>
      <w:r>
        <w:t xml:space="preserve"> </w:t>
      </w:r>
      <w:r>
        <w:t xml:space="preserve">representa el intercepto del modelo, mientras que</w:t>
      </w:r>
      <w:r>
        <w:t xml:space="preserve"> </w:t>
      </w:r>
      <w:r>
        <w:rPr>
          <w:rStyle w:val="VerbatimChar"/>
        </w:rPr>
        <w:t xml:space="preserve">Stratum</w:t>
      </w:r>
      <w:r>
        <w:t xml:space="preserve"> </w:t>
      </w:r>
      <w:r>
        <w:t xml:space="preserve">identifica la variable de agrupación.</w:t>
      </w:r>
    </w:p>
    <w:p>
      <w:pPr>
        <w:pStyle w:val="BodyText"/>
      </w:pPr>
      <w:r>
        <w:t xml:space="preserve">Como advierte</w:t>
      </w:r>
      <w:r>
        <w:t xml:space="preserve"> </w:t>
      </w:r>
      <w:r>
        <w:t xml:space="preserve">Carle (2009)</w:t>
      </w:r>
      <w:r>
        <w:t xml:space="preserve">, en</w:t>
      </w:r>
      <w:r>
        <w:t xml:space="preserve"> </w:t>
      </w:r>
      <w:r>
        <w:rPr>
          <w:rStyle w:val="VerbatimChar"/>
        </w:rPr>
        <w:t xml:space="preserve">lme4</w:t>
      </w:r>
      <w:r>
        <w:t xml:space="preserve">, el argumento</w:t>
      </w:r>
      <w:r>
        <w:t xml:space="preserve"> </w:t>
      </w:r>
      <w:r>
        <w:rPr>
          <w:rStyle w:val="VerbatimChar"/>
        </w:rPr>
        <w:t xml:space="preserve">weights</w:t>
      </w:r>
      <w:r>
        <w:t xml:space="preserve"> </w:t>
      </w:r>
      <w:r>
        <w:t xml:space="preserve">representa pesos previos que modifican la contribución residual, pero no implementa por sí solo la pseudo-verosimilitud multinivel con pesos de diseño por etapa ni la estimación de varianza del diseño. Por tanto, los modelos ponderados con</w:t>
      </w:r>
      <w:r>
        <w:t xml:space="preserve"> </w:t>
      </w:r>
      <w:r>
        <w:rPr>
          <w:rStyle w:val="VerbatimChar"/>
        </w:rPr>
        <w:t xml:space="preserve">qk</w:t>
      </w:r>
      <w:r>
        <w:t xml:space="preserve"> </w:t>
      </w:r>
      <w:r>
        <w:t xml:space="preserve">que siguen deben interpretarse como una ilustración modelada, no como una solución general para inferencia de encuestas complejas; para ese propósito se requieren pesos escalados y software que los incorpore expresamente en la estimación multinivel.</w:t>
      </w:r>
    </w:p>
    <w:p>
      <w:pPr>
        <w:pStyle w:val="SourceCode"/>
      </w:pPr>
      <w:r>
        <w:rPr>
          <w:rStyle w:val="NormalTok"/>
        </w:rPr>
        <w:t xml:space="preserve">mod_null </w:t>
      </w:r>
      <w:r>
        <w:rPr>
          <w:rStyle w:val="OtherTok"/>
        </w:rPr>
        <w:t xml:space="preserve">&lt;-</w:t>
      </w:r>
      <w:r>
        <w:rPr>
          <w:rStyle w:val="NormalTok"/>
        </w:rPr>
        <w:t xml:space="preserve"> </w:t>
      </w:r>
      <w:r>
        <w:rPr>
          <w:rStyle w:val="FunctionTok"/>
        </w:rPr>
        <w:t xml:space="preserve">lmer</w:t>
      </w:r>
      <w:r>
        <w:rPr>
          <w:rStyle w:val="NormalTok"/>
        </w:rPr>
        <w:t xml:space="preserve">(</w:t>
      </w:r>
      <w:r>
        <w:br/>
      </w:r>
      <w:r>
        <w:rPr>
          <w:rStyle w:val="NormalTok"/>
        </w:rPr>
        <w:t xml:space="preserve">  Income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Stratum),</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AttributeTok"/>
        </w:rPr>
        <w:t xml:space="preserve">weights =</w:t>
      </w:r>
      <w:r>
        <w:rPr>
          <w:rStyle w:val="NormalTok"/>
        </w:rPr>
        <w:t xml:space="preserve"> qk</w:t>
      </w:r>
      <w:r>
        <w:br/>
      </w:r>
      <w:r>
        <w:rPr>
          <w:rStyle w:val="NormalTok"/>
        </w:rPr>
        <w:t xml:space="preserve">)</w:t>
      </w:r>
    </w:p>
    <w:p>
      <w:pPr>
        <w:pStyle w:val="FirstParagraph"/>
      </w:pPr>
      <w:r>
        <w:t xml:space="preserve">La</w:t>
      </w:r>
      <w:r>
        <w:t xml:space="preserve"> </w:t>
      </w:r>
      <w:hyperlink w:anchor="tbl-interceptos-nulos">
        <w:r>
          <w:rPr>
            <w:rStyle w:val="Hyperlink"/>
          </w:rPr>
          <w:t xml:space="preserve">tabla 7.1</w:t>
        </w:r>
      </w:hyperlink>
      <w:r>
        <w:t xml:space="preserve"> </w:t>
      </w:r>
      <w:r>
        <w:t xml:space="preserve">presenta los interceptos estimados para cada estrato a partir del modelo nulo. Dado que este modelo no incorpora variables explicativas, cada intercepto puede interpretarse como el ingreso promedio esperado en el correspondiente estrato. Los resultados evidencian diferencias importantes entre grupos: mientras que el estrato</w:t>
      </w:r>
      <w:r>
        <w:t xml:space="preserve"> </w:t>
      </w:r>
      <w:r>
        <w:rPr>
          <w:rStyle w:val="VerbatimChar"/>
        </w:rPr>
        <w:t xml:space="preserve">idStrt004</w:t>
      </w:r>
      <w:r>
        <w:t xml:space="preserve"> </w:t>
      </w:r>
      <w:r>
        <w:t xml:space="preserve">presenta el mayor ingreso promedio estimado (959.6), el estrato</w:t>
      </w:r>
      <w:r>
        <w:t xml:space="preserve"> </w:t>
      </w:r>
      <w:r>
        <w:rPr>
          <w:rStyle w:val="VerbatimChar"/>
        </w:rPr>
        <w:t xml:space="preserve">idStrt009</w:t>
      </w:r>
      <w:r>
        <w:t xml:space="preserve"> </w:t>
      </w:r>
      <w:r>
        <w:t xml:space="preserve">registra el menor valor (207.6). Estas diferencias sugieren la existencia de una variabilidad sustancial entre estratos, justificando la incorporación de efectos aleatorios para modelar explícitamente la estructura jerárquica de los datos.</w:t>
      </w:r>
    </w:p>
    <w:p>
      <w:pPr>
        <w:pStyle w:val="SourceCode"/>
      </w:pPr>
      <w:r>
        <w:rPr>
          <w:rStyle w:val="NormalTok"/>
        </w:rPr>
        <w:t xml:space="preserve">coef_mod_null </w:t>
      </w:r>
      <w:r>
        <w:rPr>
          <w:rStyle w:val="OtherTok"/>
        </w:rPr>
        <w:t xml:space="preserve">&lt;-</w:t>
      </w:r>
      <w:r>
        <w:rPr>
          <w:rStyle w:val="NormalTok"/>
        </w:rPr>
        <w:t xml:space="preserve"> </w:t>
      </w:r>
      <w:r>
        <w:rPr>
          <w:rStyle w:val="FunctionTok"/>
        </w:rPr>
        <w:t xml:space="preserve">coef</w:t>
      </w:r>
      <w:r>
        <w:rPr>
          <w:rStyle w:val="NormalTok"/>
        </w:rPr>
        <w:t xml:space="preserve">(mod_null)</w:t>
      </w:r>
      <w:r>
        <w:rPr>
          <w:rStyle w:val="SpecialCharTok"/>
        </w:rPr>
        <w:t xml:space="preserve">$</w:t>
      </w:r>
      <w:r>
        <w:rPr>
          <w:rStyle w:val="NormalTok"/>
        </w:rPr>
        <w:t xml:space="preserve">Stratum</w:t>
      </w:r>
      <w:r>
        <w:br/>
      </w:r>
      <w:r>
        <w:rPr>
          <w:rStyle w:val="NormalTok"/>
        </w:rPr>
        <w:t xml:space="preserve">coef_mod_null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L)</w:t>
      </w:r>
    </w:p>
    <w:p>
      <w:pPr>
        <w:pStyle w:val="SourceCode"/>
      </w:pPr>
      <w:r>
        <w:rPr>
          <w:rStyle w:val="NormalTok"/>
        </w:rPr>
        <w:t xml:space="preserve">coef_mod_null </w:t>
      </w:r>
      <w:r>
        <w:rPr>
          <w:rStyle w:val="OtherTok"/>
        </w:rPr>
        <w:t xml:space="preserve">&lt;-</w:t>
      </w:r>
      <w:r>
        <w:rPr>
          <w:rStyle w:val="NormalTok"/>
        </w:rPr>
        <w:t xml:space="preserve"> </w:t>
      </w:r>
      <w:r>
        <w:rPr>
          <w:rStyle w:val="FunctionTok"/>
        </w:rPr>
        <w:t xml:space="preserve">coef</w:t>
      </w:r>
      <w:r>
        <w:rPr>
          <w:rStyle w:val="NormalTok"/>
        </w:rPr>
        <w:t xml:space="preserve">(mod_null)</w:t>
      </w:r>
      <w:r>
        <w:rPr>
          <w:rStyle w:val="SpecialCharTok"/>
        </w:rPr>
        <w:t xml:space="preserve">$</w:t>
      </w:r>
      <w:r>
        <w:rPr>
          <w:rStyle w:val="NormalTok"/>
        </w:rPr>
        <w:t xml:space="preserve">Stratum</w:t>
      </w:r>
      <w:r>
        <w:br/>
      </w:r>
      <w:r>
        <w:rPr>
          <w:rStyle w:val="NormalTok"/>
        </w:rPr>
        <w:t xml:space="preserve">coef_mod_null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9" w:name="tbl-interceptos-nulos"/>
          <w:p>
            <w:pPr>
              <w:jc w:val="center"/>
            </w:pPr>
            <w:pPr>
              <w:jc w:val="left"/>
              <w:spacing w:before="200"/>
              <w:pStyle w:val="ImageCaption"/>
            </w:pPr>
            <w:r>
              <w:t xml:space="preserve">Tabla 7.1: Interceptos estimados por estrato bajo pesos q-weighted (modelo nulo, primeros 12 estratos)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(Intercept)</w:t>
                  </w:r>
                </w:p>
              </w:tc>
            </w:tr>
            <w:tr>
              <w:tc>
                <w:tcPr/>
                <w:p>
                  <w:pPr>
                    <w:pStyle w:val="Compact"/>
                    <w:jc w:val="left"/>
                    <w:jc w:val="center"/>
                  </w:pPr>
                  <w:r>
                    <w:t xml:space="preserve">idStrt001</w:t>
                  </w:r>
                </w:p>
              </w:tc>
              <w:tc>
                <w:tcPr/>
                <w:p>
                  <w:pPr>
                    <w:pStyle w:val="Compact"/>
                    <w:jc w:val="right"/>
                    <w:jc w:val="center"/>
                  </w:pPr>
                  <w:r>
                    <w:t xml:space="preserve">635</w:t>
                  </w:r>
                </w:p>
              </w:tc>
            </w:tr>
            <w:tr>
              <w:tc>
                <w:tcPr/>
                <w:p>
                  <w:pPr>
                    <w:pStyle w:val="Compact"/>
                    <w:jc w:val="left"/>
                    <w:jc w:val="center"/>
                  </w:pPr>
                  <w:r>
                    <w:t xml:space="preserve">idStrt002</w:t>
                  </w:r>
                </w:p>
              </w:tc>
              <w:tc>
                <w:tcPr/>
                <w:p>
                  <w:pPr>
                    <w:pStyle w:val="Compact"/>
                    <w:jc w:val="right"/>
                    <w:jc w:val="center"/>
                  </w:pPr>
                  <w:r>
                    <w:t xml:space="preserve">507</w:t>
                  </w:r>
                </w:p>
              </w:tc>
            </w:tr>
            <w:tr>
              <w:tc>
                <w:tcPr/>
                <w:p>
                  <w:pPr>
                    <w:pStyle w:val="Compact"/>
                    <w:jc w:val="left"/>
                    <w:jc w:val="center"/>
                  </w:pPr>
                  <w:r>
                    <w:t xml:space="preserve">idStrt003</w:t>
                  </w:r>
                </w:p>
              </w:tc>
              <w:tc>
                <w:tcPr/>
                <w:p>
                  <w:pPr>
                    <w:pStyle w:val="Compact"/>
                    <w:jc w:val="right"/>
                    <w:jc w:val="center"/>
                  </w:pPr>
                  <w:r>
                    <w:t xml:space="preserve">486</w:t>
                  </w:r>
                </w:p>
              </w:tc>
            </w:tr>
            <w:tr>
              <w:tc>
                <w:tcPr/>
                <w:p>
                  <w:pPr>
                    <w:pStyle w:val="Compact"/>
                    <w:jc w:val="left"/>
                    <w:jc w:val="center"/>
                  </w:pPr>
                  <w:r>
                    <w:t xml:space="preserve">idStrt004</w:t>
                  </w:r>
                </w:p>
              </w:tc>
              <w:tc>
                <w:tcPr/>
                <w:p>
                  <w:pPr>
                    <w:pStyle w:val="Compact"/>
                    <w:jc w:val="right"/>
                    <w:jc w:val="center"/>
                  </w:pPr>
                  <w:r>
                    <w:t xml:space="preserve">960</w:t>
                  </w:r>
                </w:p>
              </w:tc>
            </w:tr>
            <w:tr>
              <w:tc>
                <w:tcPr/>
                <w:p>
                  <w:pPr>
                    <w:pStyle w:val="Compact"/>
                    <w:jc w:val="left"/>
                    <w:jc w:val="center"/>
                  </w:pPr>
                  <w:r>
                    <w:t xml:space="preserve">idStrt005</w:t>
                  </w:r>
                </w:p>
              </w:tc>
              <w:tc>
                <w:tcPr/>
                <w:p>
                  <w:pPr>
                    <w:pStyle w:val="Compact"/>
                    <w:jc w:val="right"/>
                    <w:jc w:val="center"/>
                  </w:pPr>
                  <w:r>
                    <w:t xml:space="preserve">518</w:t>
                  </w:r>
                </w:p>
              </w:tc>
            </w:tr>
            <w:tr>
              <w:tc>
                <w:tcPr/>
                <w:p>
                  <w:pPr>
                    <w:pStyle w:val="Compact"/>
                    <w:jc w:val="left"/>
                    <w:jc w:val="center"/>
                  </w:pPr>
                  <w:r>
                    <w:t xml:space="preserve">idStrt006</w:t>
                  </w:r>
                </w:p>
              </w:tc>
              <w:tc>
                <w:tcPr/>
                <w:p>
                  <w:pPr>
                    <w:pStyle w:val="Compact"/>
                    <w:jc w:val="right"/>
                    <w:jc w:val="center"/>
                  </w:pPr>
                  <w:r>
                    <w:t xml:space="preserve">439</w:t>
                  </w:r>
                </w:p>
              </w:tc>
            </w:tr>
            <w:tr>
              <w:tc>
                <w:tcPr/>
                <w:p>
                  <w:pPr>
                    <w:pStyle w:val="Compact"/>
                    <w:jc w:val="left"/>
                    <w:jc w:val="center"/>
                  </w:pPr>
                  <w:r>
                    <w:t xml:space="preserve">idStrt007</w:t>
                  </w:r>
                </w:p>
              </w:tc>
              <w:tc>
                <w:tcPr/>
                <w:p>
                  <w:pPr>
                    <w:pStyle w:val="Compact"/>
                    <w:jc w:val="right"/>
                    <w:jc w:val="center"/>
                  </w:pPr>
                  <w:r>
                    <w:t xml:space="preserve">477</w:t>
                  </w:r>
                </w:p>
              </w:tc>
            </w:tr>
            <w:tr>
              <w:tc>
                <w:tcPr/>
                <w:p>
                  <w:pPr>
                    <w:pStyle w:val="Compact"/>
                    <w:jc w:val="left"/>
                    <w:jc w:val="center"/>
                  </w:pPr>
                  <w:r>
                    <w:t xml:space="preserve">idStrt008</w:t>
                  </w:r>
                </w:p>
              </w:tc>
              <w:tc>
                <w:tcPr/>
                <w:p>
                  <w:pPr>
                    <w:pStyle w:val="Compact"/>
                    <w:jc w:val="right"/>
                    <w:jc w:val="center"/>
                  </w:pPr>
                  <w:r>
                    <w:t xml:space="preserve">377</w:t>
                  </w:r>
                </w:p>
              </w:tc>
            </w:tr>
            <w:tr>
              <w:tc>
                <w:tcPr/>
                <w:p>
                  <w:pPr>
                    <w:pStyle w:val="Compact"/>
                    <w:jc w:val="left"/>
                    <w:jc w:val="center"/>
                  </w:pPr>
                  <w:r>
                    <w:t xml:space="preserve">idStrt009</w:t>
                  </w:r>
                </w:p>
              </w:tc>
              <w:tc>
                <w:tcPr/>
                <w:p>
                  <w:pPr>
                    <w:pStyle w:val="Compact"/>
                    <w:jc w:val="right"/>
                    <w:jc w:val="center"/>
                  </w:pPr>
                  <w:r>
                    <w:t xml:space="preserve">218</w:t>
                  </w:r>
                </w:p>
              </w:tc>
            </w:tr>
            <w:tr>
              <w:tc>
                <w:tcPr/>
                <w:p>
                  <w:pPr>
                    <w:pStyle w:val="Compact"/>
                    <w:jc w:val="left"/>
                    <w:jc w:val="center"/>
                  </w:pPr>
                  <w:r>
                    <w:t xml:space="preserve">idStrt010</w:t>
                  </w:r>
                </w:p>
              </w:tc>
              <w:tc>
                <w:tcPr/>
                <w:p>
                  <w:pPr>
                    <w:pStyle w:val="Compact"/>
                    <w:jc w:val="right"/>
                    <w:jc w:val="center"/>
                  </w:pPr>
                  <w:r>
                    <w:t xml:space="preserve">594</w:t>
                  </w:r>
                </w:p>
              </w:tc>
            </w:tr>
            <w:tr>
              <w:tc>
                <w:tcPr/>
                <w:p>
                  <w:pPr>
                    <w:pStyle w:val="Compact"/>
                    <w:jc w:val="left"/>
                    <w:jc w:val="center"/>
                  </w:pPr>
                  <w:r>
                    <w:t xml:space="preserve">idStrt011</w:t>
                  </w:r>
                </w:p>
              </w:tc>
              <w:tc>
                <w:tcPr/>
                <w:p>
                  <w:pPr>
                    <w:pStyle w:val="Compact"/>
                    <w:jc w:val="right"/>
                    <w:jc w:val="center"/>
                  </w:pPr>
                  <w:r>
                    <w:t xml:space="preserve">590</w:t>
                  </w:r>
                </w:p>
              </w:tc>
            </w:tr>
            <w:tr>
              <w:tc>
                <w:tcPr/>
                <w:p>
                  <w:pPr>
                    <w:pStyle w:val="Compact"/>
                    <w:jc w:val="left"/>
                    <w:jc w:val="center"/>
                  </w:pPr>
                  <w:r>
                    <w:t xml:space="preserve">idStrt012</w:t>
                  </w:r>
                </w:p>
              </w:tc>
              <w:tc>
                <w:tcPr/>
                <w:p>
                  <w:pPr>
                    <w:pStyle w:val="Compact"/>
                    <w:jc w:val="right"/>
                    <w:jc w:val="center"/>
                  </w:pPr>
                  <w:r>
                    <w:t xml:space="preserve">362</w:t>
                  </w:r>
                </w:p>
              </w:tc>
            </w:tr>
          </w:tbl>
          <w:bookmarkEnd w:id="259"/>
          <w:p/>
        </w:tc>
      </w:tr>
    </w:tbl>
    <w:p>
      <w:pPr>
        <w:pStyle w:val="BodyText"/>
      </w:pPr>
      <w:r>
        <w:t xml:space="preserve">De acuerdo con</w:t>
      </w:r>
      <w:r>
        <w:t xml:space="preserve"> </w:t>
      </w:r>
      <w:r>
        <w:t xml:space="preserve">Lüdecke et al. (2026)</w:t>
      </w:r>
      <w:r>
        <w:t xml:space="preserve">, a partir de los componentes de varianza estimados en el modelo nulo, la correlación intraclase se calcula mediante la función</w:t>
      </w:r>
      <w:r>
        <w:t xml:space="preserve"> </w:t>
      </w:r>
      <w:r>
        <w:rPr>
          <w:rStyle w:val="VerbatimChar"/>
        </w:rPr>
        <w:t xml:space="preserve">icc()</w:t>
      </w:r>
      <w:r>
        <w:t xml:space="preserve"> </w:t>
      </w:r>
      <w:r>
        <w:t xml:space="preserve">del paquete</w:t>
      </w:r>
      <w:r>
        <w:t xml:space="preserve"> </w:t>
      </w:r>
      <w:r>
        <w:rPr>
          <w:rStyle w:val="VerbatimChar"/>
        </w:rPr>
        <w:t xml:space="preserve">performance</w:t>
      </w:r>
      <w:r>
        <w:t xml:space="preserve">. Este indicador cuantifica la proporción de la variabilidad total del ingreso que puede atribuirse a diferencias entre estratos, constituyendo una medida de la dependencia existente entre observaciones pertenecientes a un mismo grupo. Los resultados obtenidos se presentan en la</w:t>
      </w:r>
      <w:r>
        <w:t xml:space="preserve"> </w:t>
      </w:r>
      <w:hyperlink w:anchor="tbl-icc-nulo">
        <w:r>
          <w:rPr>
            <w:rStyle w:val="Hyperlink"/>
          </w:rPr>
          <w:t xml:space="preserve">tabla 7.2</w:t>
        </w:r>
      </w:hyperlink>
      <w:r>
        <w:t xml:space="preserve">.</w:t>
      </w:r>
    </w:p>
    <w:p>
      <w:pPr>
        <w:pStyle w:val="SourceCode"/>
      </w:pPr>
      <w:r>
        <w:rPr>
          <w:rStyle w:val="NormalTok"/>
        </w:rPr>
        <w:t xml:space="preserve">performance</w:t>
      </w:r>
      <w:r>
        <w:rPr>
          <w:rStyle w:val="SpecialCharTok"/>
        </w:rPr>
        <w:t xml:space="preserve">::</w:t>
      </w:r>
      <w:r>
        <w:rPr>
          <w:rStyle w:val="FunctionTok"/>
        </w:rPr>
        <w:t xml:space="preserve">icc</w:t>
      </w:r>
      <w:r>
        <w:rPr>
          <w:rStyle w:val="NormalTok"/>
        </w:rPr>
        <w:t xml:space="preserve">(mod_null) </w:t>
      </w:r>
      <w:r>
        <w:rPr>
          <w:rStyle w:val="SpecialCharTok"/>
        </w:rPr>
        <w:t xml:space="preserve">%&gt;%</w:t>
      </w:r>
      <w:r>
        <w:br/>
      </w:r>
      <w:r>
        <w:rPr>
          <w:rStyle w:val="NormalTok"/>
        </w:rPr>
        <w:t xml:space="preserve">  </w:t>
      </w:r>
      <w:r>
        <w:rPr>
          <w:rStyle w:val="FunctionTok"/>
        </w:rPr>
        <w:t xml:space="preserve">as.data.frame</w:t>
      </w:r>
      <w:r>
        <w:rPr>
          <w:rStyle w:val="NormalTok"/>
        </w:rPr>
        <w:t xml:space="preserve">()</w:t>
      </w:r>
    </w:p>
    <w:p>
      <w:pPr>
        <w:pStyle w:val="SourceCode"/>
      </w:pPr>
      <w:r>
        <w:rPr>
          <w:rStyle w:val="NormalTok"/>
        </w:rPr>
        <w:t xml:space="preserve">performance</w:t>
      </w:r>
      <w:r>
        <w:rPr>
          <w:rStyle w:val="SpecialCharTok"/>
        </w:rPr>
        <w:t xml:space="preserve">::</w:t>
      </w:r>
      <w:r>
        <w:rPr>
          <w:rStyle w:val="FunctionTok"/>
        </w:rPr>
        <w:t xml:space="preserve">icc</w:t>
      </w:r>
      <w:r>
        <w:rPr>
          <w:rStyle w:val="NormalTok"/>
        </w:rPr>
        <w:t xml:space="preserve">(mod_null)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0" w:name="tbl-icc-nulo"/>
          <w:p>
            <w:pPr>
              <w:jc w:val="center"/>
            </w:pPr>
            <w:pPr>
              <w:jc w:val="left"/>
              <w:spacing w:before="200"/>
              <w:pStyle w:val="ImageCaption"/>
            </w:pPr>
            <w:r>
              <w:t xml:space="preserve">Tabla 7.2: Correlación intraclase del modelo nulo (ingreso por estrato)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ICC_adjusted</w:t>
                  </w:r>
                </w:p>
              </w:tc>
              <w:tc>
                <w:tcPr/>
                <w:p>
                  <w:pPr>
                    <w:pStyle w:val="Compact"/>
                    <w:jc w:val="right"/>
                    <w:jc w:val="center"/>
                  </w:pPr>
                  <w:r>
                    <w:t xml:space="preserve">ICC_unadjusted</w:t>
                  </w:r>
                </w:p>
              </w:tc>
              <w:tc>
                <w:tcPr/>
                <w:p>
                  <w:pPr>
                    <w:pStyle w:val="Compact"/>
                    <w:jc w:val="left"/>
                    <w:jc w:val="center"/>
                  </w:pPr>
                  <w:r>
                    <w:t xml:space="preserve">optional</w:t>
                  </w:r>
                </w:p>
              </w:tc>
            </w:tr>
            <w:tr>
              <w:tc>
                <w:tcPr/>
                <w:p>
                  <w:pPr>
                    <w:pStyle w:val="Compact"/>
                    <w:jc w:val="right"/>
                    <w:jc w:val="center"/>
                  </w:pPr>
                  <w:r>
                    <w:t xml:space="preserve">0.329</w:t>
                  </w:r>
                </w:p>
              </w:tc>
              <w:tc>
                <w:tcPr/>
                <w:p>
                  <w:pPr>
                    <w:pStyle w:val="Compact"/>
                    <w:jc w:val="right"/>
                    <w:jc w:val="center"/>
                  </w:pPr>
                  <w:r>
                    <w:t xml:space="preserve">0.329</w:t>
                  </w:r>
                </w:p>
              </w:tc>
              <w:tc>
                <w:tcPr/>
                <w:p>
                  <w:pPr>
                    <w:pStyle w:val="Compact"/>
                    <w:jc w:val="left"/>
                    <w:jc w:val="center"/>
                  </w:pPr>
                  <w:r>
                    <w:t xml:space="preserve">FALSE</w:t>
                  </w:r>
                </w:p>
              </w:tc>
            </w:tr>
          </w:tbl>
          <w:bookmarkEnd w:id="260"/>
          <w:p/>
        </w:tc>
      </w:tr>
    </w:tbl>
    <w:p>
      <w:pPr>
        <w:pStyle w:val="BodyText"/>
      </w:pPr>
      <w:r>
        <w:t xml:space="preserve">La correlación intraclase estimada de 32% indica que aproximadamente un tercio de la variabilidad total observada en el ingreso se debe a diferencias entre estratos, mientras que el porcentaje restante corresponde a diferencias entre hogares dentro de los mismos estratos. Por último, como el modelo nulo no incluye ningún predictor, la estimación del ingreso dentro de cada estrato es constante e igual al intercepto estimado para ese estrato.</w:t>
      </w:r>
    </w:p>
    <w:bookmarkEnd w:id="261"/>
    <w:bookmarkStart w:id="267" w:name="sec-intercepto-aleatorio"/>
    <w:p>
      <w:pPr>
        <w:pStyle w:val="Heading3"/>
      </w:pPr>
      <w:r>
        <w:t xml:space="preserve">7.3.2 Modelo con intercepto aleatorio</w:t>
      </w:r>
    </w:p>
    <w:p>
      <w:pPr>
        <w:pStyle w:val="FirstParagraph"/>
      </w:pPr>
      <w:r>
        <w:t xml:space="preserve">De acuerdo con</w:t>
      </w:r>
      <w:r>
        <w:t xml:space="preserve"> </w:t>
      </w:r>
      <w:r>
        <w:t xml:space="preserve">Goldstein (2011)</w:t>
      </w:r>
      <w:r>
        <w:t xml:space="preserve"> </w:t>
      </w:r>
      <w:r>
        <w:t xml:space="preserve">y</w:t>
      </w:r>
      <w:r>
        <w:t xml:space="preserve"> </w:t>
      </w:r>
      <w:r>
        <w:t xml:space="preserve">Rabe-Hesketh y Skrondal (2012)</w:t>
      </w:r>
      <w:r>
        <w:t xml:space="preserve">, el modelo multinivel más simple que incorpora covariables corresponde al modelo de intercepto aleatorio. En esta especificación, se asume que los efectos de las variables explicativas son comunes a todos los estratos, mientras que el nivel promedio de la variable respuesta puede variar entre ellos. El modelo se expresa como</w:t>
      </w:r>
    </w:p>
    <w:p>
      <w:pPr>
        <w:pStyle w:val="BodyText"/>
      </w:pPr>
      <m:oMathPara>
        <m:oMathParaPr>
          <m:jc m:val="center"/>
        </m:oMathParaPr>
        <m:oMath>
          <m:sSub>
            <m:e>
              <m:r>
                <m:t>y</m:t>
              </m:r>
            </m:e>
            <m:sub>
              <m:r>
                <m:t>k</m:t>
              </m:r>
              <m:r>
                <m:t>j</m:t>
              </m:r>
            </m:sub>
          </m:sSub>
          <m:r>
            <m:rPr>
              <m:sty m:val="p"/>
            </m:rPr>
            <m:t>=</m:t>
          </m:r>
          <m:sSub>
            <m:e>
              <m:r>
                <m:t>β</m:t>
              </m:r>
            </m:e>
            <m:sub>
              <m:r>
                <m:t>0</m:t>
              </m:r>
              <m:r>
                <m:t>j</m:t>
              </m:r>
            </m:sub>
          </m:sSub>
          <m:r>
            <m:rPr>
              <m:sty m:val="p"/>
            </m:rPr>
            <m:t>+</m:t>
          </m:r>
          <m:sSub>
            <m:e>
              <m:r>
                <m:rPr>
                  <m:sty m:val="b"/>
                </m:rPr>
                <m:t>x</m:t>
              </m:r>
            </m:e>
            <m:sub>
              <m:r>
                <m:t>k</m:t>
              </m:r>
              <m:r>
                <m:t>j</m:t>
              </m:r>
            </m:sub>
          </m:sSub>
          <m:r>
            <m:rPr>
              <m:sty m:val="b"/>
            </m:rPr>
            <m:t>β</m:t>
          </m:r>
          <m:r>
            <m:rPr>
              <m:sty m:val="p"/>
            </m:rPr>
            <m:t>+</m:t>
          </m:r>
          <m:sSub>
            <m:e>
              <m:r>
                <m:t>ϵ</m:t>
              </m:r>
            </m:e>
            <m:sub>
              <m:r>
                <m:t>k</m:t>
              </m:r>
              <m:r>
                <m:t>j</m:t>
              </m:r>
            </m:sub>
          </m:sSub>
        </m:oMath>
      </m:oMathPara>
    </w:p>
    <w:p>
      <w:pPr>
        <w:pStyle w:val="FirstParagraph"/>
      </w:pPr>
      <w:r>
        <w:t xml:space="preserve">En donde</w:t>
      </w:r>
      <w:r>
        <w:t xml:space="preserve"> </w:t>
      </w:r>
      <m:oMath>
        <m:sSub>
          <m:e>
            <m:r>
              <m:t>y</m:t>
            </m:r>
          </m:e>
          <m:sub>
            <m:r>
              <m:t>k</m:t>
            </m:r>
            <m:r>
              <m:t>j</m:t>
            </m:r>
          </m:sub>
        </m:sSub>
      </m:oMath>
      <w:r>
        <w:t xml:space="preserve"> </w:t>
      </w:r>
      <w:r>
        <w:t xml:space="preserve">representa el valor observado de la variable respuesta para la unidad</w:t>
      </w:r>
      <w:r>
        <w:t xml:space="preserve"> </w:t>
      </w:r>
      <m:oMath>
        <m:r>
          <m:t>k</m:t>
        </m:r>
      </m:oMath>
      <w:r>
        <w:t xml:space="preserve"> </w:t>
      </w:r>
      <w:r>
        <w:t xml:space="preserve">perteneciente al estrato</w:t>
      </w:r>
      <w:r>
        <w:t xml:space="preserve"> </w:t>
      </w:r>
      <m:oMath>
        <m:r>
          <m:t>j</m:t>
        </m:r>
      </m:oMath>
      <w:r>
        <w:t xml:space="preserve">,</w:t>
      </w:r>
      <w:r>
        <w:t xml:space="preserve"> </w:t>
      </w:r>
      <m:oMath>
        <m:sSub>
          <m:e>
            <m:r>
              <m:rPr>
                <m:sty m:val="b"/>
              </m:rPr>
              <m:t>x</m:t>
            </m:r>
          </m:e>
          <m:sub>
            <m:r>
              <m:t>k</m:t>
            </m:r>
            <m:r>
              <m:t>j</m:t>
            </m:r>
          </m:sub>
        </m:sSub>
      </m:oMath>
      <w:r>
        <w:t xml:space="preserve"> </w:t>
      </w:r>
      <w:r>
        <w:t xml:space="preserve">es el vector de covariables asociado a dicha unidad,</w:t>
      </w:r>
      <w:r>
        <w:t xml:space="preserve"> </w:t>
      </w:r>
      <m:oMath>
        <m:r>
          <m:rPr>
            <m:sty m:val="b"/>
          </m:rPr>
          <m:t>β</m:t>
        </m:r>
      </m:oMath>
      <w:r>
        <w:t xml:space="preserve"> </w:t>
      </w:r>
      <w:r>
        <w:t xml:space="preserve">es el vector de coeficientes de regresión comunes a todos los estratos y</w:t>
      </w:r>
      <w:r>
        <w:t xml:space="preserve"> </w:t>
      </w:r>
      <m:oMath>
        <m:sSub>
          <m:e>
            <m:r>
              <m:t>ϵ</m:t>
            </m:r>
          </m:e>
          <m:sub>
            <m:r>
              <m:t>k</m:t>
            </m:r>
            <m:r>
              <m:t>j</m:t>
            </m:r>
          </m:sub>
        </m:sSub>
      </m:oMath>
      <w:r>
        <w:t xml:space="preserve"> </w:t>
      </w:r>
      <w:r>
        <w:t xml:space="preserve">corresponde al error aleatorio a nivel de unidad.</w:t>
      </w:r>
    </w:p>
    <w:p>
      <w:pPr>
        <w:pStyle w:val="BodyText"/>
      </w:pPr>
      <w:r>
        <w:t xml:space="preserve">Al igual que en el modelo nulo, el intercepto se modela como</w:t>
      </w:r>
      <w:r>
        <w:t xml:space="preserve"> </w:t>
      </w:r>
      <m:oMath>
        <m:sSub>
          <m:e>
            <m:r>
              <m:t>β</m:t>
            </m:r>
          </m:e>
          <m:sub>
            <m:r>
              <m:t>0</m:t>
            </m:r>
            <m:r>
              <m:t>j</m:t>
            </m:r>
          </m:sub>
        </m:sSub>
        <m:r>
          <m:rPr>
            <m:sty m:val="p"/>
          </m:rPr>
          <m:t>=</m:t>
        </m:r>
        <m:sSub>
          <m:e>
            <m:r>
              <m:t>γ</m:t>
            </m:r>
          </m:e>
          <m:sub>
            <m:r>
              <m:t>00</m:t>
            </m:r>
          </m:sub>
        </m:sSub>
        <m:r>
          <m:rPr>
            <m:sty m:val="p"/>
          </m:rPr>
          <m:t>+</m:t>
        </m:r>
        <m:sSub>
          <m:e>
            <m:r>
              <m:t>τ</m:t>
            </m:r>
          </m:e>
          <m:sub>
            <m:r>
              <m:t>0</m:t>
            </m:r>
            <m:r>
              <m:t>j</m:t>
            </m:r>
          </m:sub>
        </m:sSub>
      </m:oMath>
      <w:r>
        <w:t xml:space="preserve">; en donde</w:t>
      </w:r>
      <w:r>
        <w:t xml:space="preserve"> </w:t>
      </w:r>
      <m:oMath>
        <m:sSub>
          <m:e>
            <m:r>
              <m:t>γ</m:t>
            </m:r>
          </m:e>
          <m:sub>
            <m:r>
              <m:t>00</m:t>
            </m:r>
          </m:sub>
        </m:sSub>
      </m:oMath>
      <w:r>
        <w:t xml:space="preserve"> </w:t>
      </w:r>
      <w:r>
        <w:t xml:space="preserve">representa el intercepto promedio global y</w:t>
      </w:r>
      <w:r>
        <w:t xml:space="preserve"> </w:t>
      </w:r>
      <m:oMath>
        <m:sSub>
          <m:e>
            <m:r>
              <m:t>τ</m:t>
            </m:r>
          </m:e>
          <m:sub>
            <m:r>
              <m:t>0</m:t>
            </m:r>
            <m:r>
              <m:t>j</m:t>
            </m:r>
          </m:sub>
        </m:sSub>
      </m:oMath>
      <w:r>
        <w:t xml:space="preserve"> </w:t>
      </w:r>
      <w:r>
        <w:t xml:space="preserve">es el efecto aleatorio asociado al estrato</w:t>
      </w:r>
      <w:r>
        <w:t xml:space="preserve"> </w:t>
      </w:r>
      <m:oMath>
        <m:r>
          <m:t>j</m:t>
        </m:r>
      </m:oMath>
      <w:r>
        <w:t xml:space="preserve">, que mide la desviación de dicho estrato respecto al promedio general.</w:t>
      </w:r>
    </w:p>
    <w:p>
      <w:pPr>
        <w:pStyle w:val="BodyText"/>
      </w:pPr>
      <w:r>
        <w:t xml:space="preserve">Los componentes aleatorios del modelo se asumen independientes y normalmente distribuidos, de manera que</w:t>
      </w:r>
      <w:r>
        <w:t xml:space="preserve"> </w:t>
      </w:r>
      <m:oMath>
        <m:sSub>
          <m:e>
            <m:r>
              <m:t>τ</m:t>
            </m:r>
          </m:e>
          <m:sub>
            <m:r>
              <m:t>0</m:t>
            </m:r>
            <m:r>
              <m:t>j</m:t>
            </m:r>
          </m:sub>
        </m:sSub>
        <m:r>
          <m:rPr>
            <m:sty m:val="p"/>
          </m:rPr>
          <m:t>∼</m:t>
        </m:r>
        <m:r>
          <m:t>N</m:t>
        </m:r>
        <m:r>
          <m:rPr>
            <m:sty m:val="p"/>
          </m:rPr>
          <m:t>(</m:t>
        </m:r>
        <m:r>
          <m:t>0</m:t>
        </m:r>
        <m:r>
          <m:rPr>
            <m:sty m:val="p"/>
          </m:rPr>
          <m:t>,</m:t>
        </m:r>
        <m:sSubSup>
          <m:e>
            <m:r>
              <m:t>σ</m:t>
            </m:r>
          </m:e>
          <m:sub>
            <m:r>
              <m:t>τ</m:t>
            </m:r>
          </m:sub>
          <m:sup>
            <m:r>
              <m:t>2</m:t>
            </m:r>
          </m:sup>
        </m:sSubSup>
        <m:r>
          <m:rPr>
            <m:sty m:val="p"/>
          </m:rPr>
          <m:t>)</m:t>
        </m:r>
      </m:oMath>
      <w:r>
        <w:t xml:space="preserve"> </w:t>
      </w:r>
      <w:r>
        <w:t xml:space="preserve">y</w:t>
      </w:r>
      <w:r>
        <w:t xml:space="preserve"> </w:t>
      </w:r>
      <m:oMath>
        <m:sSub>
          <m:e>
            <m:r>
              <m:t>ϵ</m:t>
            </m:r>
          </m:e>
          <m:sub>
            <m:r>
              <m:t>k</m:t>
            </m:r>
            <m:r>
              <m:t>j</m:t>
            </m:r>
          </m:sub>
        </m:sSub>
        <m:r>
          <m:rPr>
            <m:sty m:val="p"/>
          </m:rPr>
          <m:t>∼</m:t>
        </m:r>
        <m:r>
          <m:t>N</m:t>
        </m:r>
        <m:r>
          <m:rPr>
            <m:sty m:val="p"/>
          </m:rPr>
          <m:t>(</m:t>
        </m:r>
        <m:r>
          <m:t>0</m:t>
        </m:r>
        <m:r>
          <m:rPr>
            <m:sty m:val="p"/>
          </m:rPr>
          <m:t>,</m:t>
        </m:r>
        <m:sSubSup>
          <m:e>
            <m:r>
              <m:t>σ</m:t>
            </m:r>
          </m:e>
          <m:sub>
            <m:r>
              <m:t>ϵ</m:t>
            </m:r>
          </m:sub>
          <m:sup>
            <m:r>
              <m:t>2</m:t>
            </m:r>
          </m:sup>
        </m:sSubSup>
        <m:r>
          <m:rPr>
            <m:sty m:val="p"/>
          </m:rPr>
          <m:t>)</m:t>
        </m:r>
      </m:oMath>
      <w:r>
        <w:t xml:space="preserve">. Bajo estas condiciones, la variabilidad total de la variable respuesta puede descomponerse en una componente entre estratos, cuantificada por</w:t>
      </w:r>
      <w:r>
        <w:t xml:space="preserve"> </w:t>
      </w:r>
      <m:oMath>
        <m:sSubSup>
          <m:e>
            <m:r>
              <m:t>σ</m:t>
            </m:r>
          </m:e>
          <m:sub>
            <m:r>
              <m:t>τ</m:t>
            </m:r>
          </m:sub>
          <m:sup>
            <m:r>
              <m:t>2</m:t>
            </m:r>
          </m:sup>
        </m:sSubSup>
      </m:oMath>
      <w:r>
        <w:t xml:space="preserve">, y una componente dentro de los estratos, representada por</w:t>
      </w:r>
      <w:r>
        <w:t xml:space="preserve"> </w:t>
      </w:r>
      <m:oMath>
        <m:sSubSup>
          <m:e>
            <m:r>
              <m:t>σ</m:t>
            </m:r>
          </m:e>
          <m:sub>
            <m:r>
              <m:t>ϵ</m:t>
            </m:r>
          </m:sub>
          <m:sup>
            <m:r>
              <m:t>2</m:t>
            </m:r>
          </m:sup>
        </m:sSubSup>
      </m:oMath>
      <w:r>
        <w:t xml:space="preserve">.</w:t>
      </w:r>
    </w:p>
    <w:p>
      <w:pPr>
        <w:pStyle w:val="BodyText"/>
      </w:pPr>
      <w:r>
        <w:t xml:space="preserve">El siguiente código ajusta un modelo multinivel de intercepto aleatorio, en donde el ingreso (</w:t>
      </w:r>
      <w:r>
        <w:rPr>
          <w:rStyle w:val="VerbatimChar"/>
        </w:rPr>
        <w:t xml:space="preserve">Income</w:t>
      </w:r>
      <w:r>
        <w:t xml:space="preserve">) se explica a partir del gasto del hogar (</w:t>
      </w:r>
      <w:r>
        <w:rPr>
          <w:rStyle w:val="VerbatimChar"/>
        </w:rPr>
        <w:t xml:space="preserve">Expenditure</w:t>
      </w:r>
      <w:r>
        <w:t xml:space="preserve">), incorporando además un efecto aleatorio asociado al estrato (</w:t>
      </w:r>
      <w:r>
        <w:rPr>
          <w:rStyle w:val="VerbatimChar"/>
        </w:rPr>
        <w:t xml:space="preserve">Stratum</w:t>
      </w:r>
      <w:r>
        <w:t xml:space="preserve">) y utilizando los pesos</w:t>
      </w:r>
      <w:r>
        <w:t xml:space="preserve"> </w:t>
      </w:r>
      <w:r>
        <w:rPr>
          <w:i/>
          <w:iCs/>
        </w:rPr>
        <w:t xml:space="preserve">q-weighted</w:t>
      </w:r>
      <w:r>
        <w:t xml:space="preserve"> </w:t>
      </w:r>
      <w:r>
        <w:t xml:space="preserve">almacenados en la variable</w:t>
      </w:r>
      <w:r>
        <w:t xml:space="preserve"> </w:t>
      </w:r>
      <w:r>
        <w:rPr>
          <w:rStyle w:val="VerbatimChar"/>
        </w:rPr>
        <w:t xml:space="preserve">qk</w:t>
      </w:r>
      <w:r>
        <w:t xml:space="preserve">. Una vez ajustado el modelo, se estima la correlación intraclase (ICC) a partir de los componentes de varianza estimados.</w:t>
      </w:r>
    </w:p>
    <w:p>
      <w:pPr>
        <w:pStyle w:val="SourceCode"/>
      </w:pPr>
      <w:r>
        <w:rPr>
          <w:rStyle w:val="NormalTok"/>
        </w:rPr>
        <w:t xml:space="preserve">random_intercept_model </w:t>
      </w:r>
      <w:r>
        <w:rPr>
          <w:rStyle w:val="OtherTok"/>
        </w:rPr>
        <w:t xml:space="preserve">&lt;-</w:t>
      </w:r>
      <w:r>
        <w:rPr>
          <w:rStyle w:val="NormalTok"/>
        </w:rPr>
        <w:t xml:space="preserve"> </w:t>
      </w:r>
      <w:r>
        <w:rPr>
          <w:rStyle w:val="FunctionTok"/>
        </w:rPr>
        <w:t xml:space="preserve">lmer</w:t>
      </w:r>
      <w:r>
        <w:rPr>
          <w:rStyle w:val="NormalTok"/>
        </w:rPr>
        <w:t xml:space="preserve">(</w:t>
      </w:r>
      <w:r>
        <w:br/>
      </w:r>
      <w:r>
        <w:rPr>
          <w:rStyle w:val="NormalTok"/>
        </w:rPr>
        <w:t xml:space="preserve">  Income </w:t>
      </w:r>
      <w:r>
        <w:rPr>
          <w:rStyle w:val="SpecialCharTok"/>
        </w:rPr>
        <w:t xml:space="preserve">~</w:t>
      </w:r>
      <w:r>
        <w:rPr>
          <w:rStyle w:val="NormalTok"/>
        </w:rPr>
        <w:t xml:space="preserve"> Expenditure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Stratum),</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AttributeTok"/>
        </w:rPr>
        <w:t xml:space="preserve">weights =</w:t>
      </w:r>
      <w:r>
        <w:rPr>
          <w:rStyle w:val="NormalTok"/>
        </w:rPr>
        <w:t xml:space="preserve"> qk</w:t>
      </w:r>
      <w:r>
        <w:br/>
      </w:r>
      <w:r>
        <w:rPr>
          <w:rStyle w:val="NormalTok"/>
        </w:rPr>
        <w:t xml:space="preserve">)</w:t>
      </w:r>
      <w:r>
        <w:br/>
      </w:r>
      <w:r>
        <w:rPr>
          <w:rStyle w:val="NormalTok"/>
        </w:rPr>
        <w:t xml:space="preserve">performance</w:t>
      </w:r>
      <w:r>
        <w:rPr>
          <w:rStyle w:val="SpecialCharTok"/>
        </w:rPr>
        <w:t xml:space="preserve">::</w:t>
      </w:r>
      <w:r>
        <w:rPr>
          <w:rStyle w:val="FunctionTok"/>
        </w:rPr>
        <w:t xml:space="preserve">icc</w:t>
      </w:r>
      <w:r>
        <w:rPr>
          <w:rStyle w:val="NormalTok"/>
        </w:rPr>
        <w:t xml:space="preserve">(random_intercept_model)</w:t>
      </w:r>
    </w:p>
    <w:p>
      <w:pPr>
        <w:pStyle w:val="SourceCode"/>
      </w:pPr>
      <w:r>
        <w:rPr>
          <w:rStyle w:val="VerbatimChar"/>
        </w:rPr>
        <w:t xml:space="preserve"># Intraclass Correlation Coefficient</w:t>
      </w:r>
      <w:r>
        <w:br/>
      </w:r>
      <w:r>
        <w:br/>
      </w:r>
      <w:r>
        <w:rPr>
          <w:rStyle w:val="VerbatimChar"/>
        </w:rPr>
        <w:t xml:space="preserve">    Adjusted ICC: 0.203</w:t>
      </w:r>
      <w:r>
        <w:br/>
      </w:r>
      <w:r>
        <w:rPr>
          <w:rStyle w:val="VerbatimChar"/>
        </w:rPr>
        <w:t xml:space="preserve">  Unadjusted ICC: 0.109</w:t>
      </w:r>
    </w:p>
    <w:p>
      <w:pPr>
        <w:pStyle w:val="FirstParagraph"/>
      </w:pPr>
      <w:r>
        <w:t xml:space="preserve">Según</w:t>
      </w:r>
      <w:r>
        <w:t xml:space="preserve"> </w:t>
      </w:r>
      <w:r>
        <w:t xml:space="preserve">Snijders y Bosker (2011)</w:t>
      </w:r>
      <w:r>
        <w:t xml:space="preserve">, la correlación intraclase ajustada de 0.196 indica que, después de controlar por el gasto del hogar (</w:t>
      </w:r>
      <w:r>
        <w:rPr>
          <w:rStyle w:val="VerbatimChar"/>
        </w:rPr>
        <w:t xml:space="preserve">Expenditure</w:t>
      </w:r>
      <w:r>
        <w:t xml:space="preserve">), aproximadamente el 20% de la variabilidad residual del ingreso sigue siendo atribuible a diferencias entre estratos. Aunque este valor evidencia agrupamiento residual, el ICC por sí solo no justifica una especificación multinivel concreta; también deben considerarse la definición sustantiva de los grupos, el ajuste y los diagnósticos del modelo. Los coeficientes estimados por estrato se presentan en la</w:t>
      </w:r>
      <w:r>
        <w:t xml:space="preserve"> </w:t>
      </w:r>
      <w:hyperlink w:anchor="tbl-coef-intercepto-aleatorio">
        <w:r>
          <w:rPr>
            <w:rStyle w:val="Hyperlink"/>
          </w:rPr>
          <w:t xml:space="preserve">tabla 7.3</w:t>
        </w:r>
      </w:hyperlink>
      <w:r>
        <w:t xml:space="preserve">:</w:t>
      </w:r>
    </w:p>
    <w:p>
      <w:pPr>
        <w:pStyle w:val="SourceCode"/>
      </w:pPr>
      <w:r>
        <w:rPr>
          <w:rStyle w:val="FunctionTok"/>
        </w:rPr>
        <w:t xml:space="preserve">coef</w:t>
      </w:r>
      <w:r>
        <w:rPr>
          <w:rStyle w:val="NormalTok"/>
        </w:rPr>
        <w:t xml:space="preserve">(random_intercept_model)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L)</w:t>
      </w:r>
    </w:p>
    <w:p>
      <w:pPr>
        <w:pStyle w:val="SourceCode"/>
      </w:pPr>
      <w:r>
        <w:rPr>
          <w:rStyle w:val="FunctionTok"/>
        </w:rPr>
        <w:t xml:space="preserve">coef</w:t>
      </w:r>
      <w:r>
        <w:rPr>
          <w:rStyle w:val="NormalTok"/>
        </w:rPr>
        <w:t xml:space="preserve">(random_intercept_model)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tbl-coef-intercepto-aleatorio"/>
          <w:p>
            <w:pPr>
              <w:jc w:val="center"/>
            </w:pPr>
            <w:pPr>
              <w:jc w:val="left"/>
              <w:spacing w:before="200"/>
              <w:pStyle w:val="ImageCaption"/>
            </w:pPr>
            <w:r>
              <w:t xml:space="preserve">Tabla 7.3: Coeficientes del modelo con intercepto aleatorio por estrato (primeros 8 estratos)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(Intercept)</w:t>
                  </w:r>
                </w:p>
              </w:tc>
              <w:tc>
                <w:tcPr/>
                <w:p>
                  <w:pPr>
                    <w:pStyle w:val="Compact"/>
                    <w:jc w:val="right"/>
                    <w:jc w:val="center"/>
                  </w:pPr>
                  <w:r>
                    <w:t xml:space="preserve">Expenditure</w:t>
                  </w:r>
                </w:p>
              </w:tc>
            </w:tr>
            <w:tr>
              <w:tc>
                <w:tcPr/>
                <w:p>
                  <w:pPr>
                    <w:pStyle w:val="Compact"/>
                    <w:jc w:val="left"/>
                    <w:jc w:val="center"/>
                  </w:pPr>
                  <w:r>
                    <w:t xml:space="preserve">idStrt001</w:t>
                  </w:r>
                </w:p>
              </w:tc>
              <w:tc>
                <w:tcPr/>
                <w:p>
                  <w:pPr>
                    <w:pStyle w:val="Compact"/>
                    <w:jc w:val="right"/>
                    <w:jc w:val="center"/>
                  </w:pPr>
                  <w:r>
                    <w:t xml:space="preserve">250.4</w:t>
                  </w:r>
                </w:p>
              </w:tc>
              <w:tc>
                <w:tcPr/>
                <w:p>
                  <w:pPr>
                    <w:pStyle w:val="Compact"/>
                    <w:jc w:val="right"/>
                    <w:jc w:val="center"/>
                  </w:pPr>
                  <w:r>
                    <w:t xml:space="preserve">1.19</w:t>
                  </w:r>
                </w:p>
              </w:tc>
            </w:tr>
            <w:tr>
              <w:tc>
                <w:tcPr/>
                <w:p>
                  <w:pPr>
                    <w:pStyle w:val="Compact"/>
                    <w:jc w:val="left"/>
                    <w:jc w:val="center"/>
                  </w:pPr>
                  <w:r>
                    <w:t xml:space="preserve">idStrt002</w:t>
                  </w:r>
                </w:p>
              </w:tc>
              <w:tc>
                <w:tcPr/>
                <w:p>
                  <w:pPr>
                    <w:pStyle w:val="Compact"/>
                    <w:jc w:val="right"/>
                    <w:jc w:val="center"/>
                  </w:pPr>
                  <w:r>
                    <w:t xml:space="preserve">156.8</w:t>
                  </w:r>
                </w:p>
              </w:tc>
              <w:tc>
                <w:tcPr/>
                <w:p>
                  <w:pPr>
                    <w:pStyle w:val="Compact"/>
                    <w:jc w:val="right"/>
                    <w:jc w:val="center"/>
                  </w:pPr>
                  <w:r>
                    <w:t xml:space="preserve">1.19</w:t>
                  </w:r>
                </w:p>
              </w:tc>
            </w:tr>
            <w:tr>
              <w:tc>
                <w:tcPr/>
                <w:p>
                  <w:pPr>
                    <w:pStyle w:val="Compact"/>
                    <w:jc w:val="left"/>
                    <w:jc w:val="center"/>
                  </w:pPr>
                  <w:r>
                    <w:t xml:space="preserve">idStrt003</w:t>
                  </w:r>
                </w:p>
              </w:tc>
              <w:tc>
                <w:tcPr/>
                <w:p>
                  <w:pPr>
                    <w:pStyle w:val="Compact"/>
                    <w:jc w:val="right"/>
                    <w:jc w:val="center"/>
                  </w:pPr>
                  <w:r>
                    <w:t xml:space="preserve">142.9</w:t>
                  </w:r>
                </w:p>
              </w:tc>
              <w:tc>
                <w:tcPr/>
                <w:p>
                  <w:pPr>
                    <w:pStyle w:val="Compact"/>
                    <w:jc w:val="right"/>
                    <w:jc w:val="center"/>
                  </w:pPr>
                  <w:r>
                    <w:t xml:space="preserve">1.19</w:t>
                  </w:r>
                </w:p>
              </w:tc>
            </w:tr>
            <w:tr>
              <w:tc>
                <w:tcPr/>
                <w:p>
                  <w:pPr>
                    <w:pStyle w:val="Compact"/>
                    <w:jc w:val="left"/>
                    <w:jc w:val="center"/>
                  </w:pPr>
                  <w:r>
                    <w:t xml:space="preserve">idStrt004</w:t>
                  </w:r>
                </w:p>
              </w:tc>
              <w:tc>
                <w:tcPr/>
                <w:p>
                  <w:pPr>
                    <w:pStyle w:val="Compact"/>
                    <w:jc w:val="right"/>
                    <w:jc w:val="center"/>
                  </w:pPr>
                  <w:r>
                    <w:t xml:space="preserve">296.8</w:t>
                  </w:r>
                </w:p>
              </w:tc>
              <w:tc>
                <w:tcPr/>
                <w:p>
                  <w:pPr>
                    <w:pStyle w:val="Compact"/>
                    <w:jc w:val="right"/>
                    <w:jc w:val="center"/>
                  </w:pPr>
                  <w:r>
                    <w:t xml:space="preserve">1.19</w:t>
                  </w:r>
                </w:p>
              </w:tc>
            </w:tr>
            <w:tr>
              <w:tc>
                <w:tcPr/>
                <w:p>
                  <w:pPr>
                    <w:pStyle w:val="Compact"/>
                    <w:jc w:val="left"/>
                    <w:jc w:val="center"/>
                  </w:pPr>
                  <w:r>
                    <w:t xml:space="preserve">idStrt005</w:t>
                  </w:r>
                </w:p>
              </w:tc>
              <w:tc>
                <w:tcPr/>
                <w:p>
                  <w:pPr>
                    <w:pStyle w:val="Compact"/>
                    <w:jc w:val="right"/>
                    <w:jc w:val="center"/>
                  </w:pPr>
                  <w:r>
                    <w:t xml:space="preserve">-32.4</w:t>
                  </w:r>
                </w:p>
              </w:tc>
              <w:tc>
                <w:tcPr/>
                <w:p>
                  <w:pPr>
                    <w:pStyle w:val="Compact"/>
                    <w:jc w:val="right"/>
                    <w:jc w:val="center"/>
                  </w:pPr>
                  <w:r>
                    <w:t xml:space="preserve">1.19</w:t>
                  </w:r>
                </w:p>
              </w:tc>
            </w:tr>
            <w:tr>
              <w:tc>
                <w:tcPr/>
                <w:p>
                  <w:pPr>
                    <w:pStyle w:val="Compact"/>
                    <w:jc w:val="left"/>
                    <w:jc w:val="center"/>
                  </w:pPr>
                  <w:r>
                    <w:t xml:space="preserve">idStrt006</w:t>
                  </w:r>
                </w:p>
              </w:tc>
              <w:tc>
                <w:tcPr/>
                <w:p>
                  <w:pPr>
                    <w:pStyle w:val="Compact"/>
                    <w:jc w:val="right"/>
                    <w:jc w:val="center"/>
                  </w:pPr>
                  <w:r>
                    <w:t xml:space="preserve">53.8</w:t>
                  </w:r>
                </w:p>
              </w:tc>
              <w:tc>
                <w:tcPr/>
                <w:p>
                  <w:pPr>
                    <w:pStyle w:val="Compact"/>
                    <w:jc w:val="right"/>
                    <w:jc w:val="center"/>
                  </w:pPr>
                  <w:r>
                    <w:t xml:space="preserve">1.19</w:t>
                  </w:r>
                </w:p>
              </w:tc>
            </w:tr>
            <w:tr>
              <w:tc>
                <w:tcPr/>
                <w:p>
                  <w:pPr>
                    <w:pStyle w:val="Compact"/>
                    <w:jc w:val="left"/>
                    <w:jc w:val="center"/>
                  </w:pPr>
                  <w:r>
                    <w:t xml:space="preserve">idStrt007</w:t>
                  </w:r>
                </w:p>
              </w:tc>
              <w:tc>
                <w:tcPr/>
                <w:p>
                  <w:pPr>
                    <w:pStyle w:val="Compact"/>
                    <w:jc w:val="right"/>
                    <w:jc w:val="center"/>
                  </w:pPr>
                  <w:r>
                    <w:t xml:space="preserve">12.5</w:t>
                  </w:r>
                </w:p>
              </w:tc>
              <w:tc>
                <w:tcPr/>
                <w:p>
                  <w:pPr>
                    <w:pStyle w:val="Compact"/>
                    <w:jc w:val="right"/>
                    <w:jc w:val="center"/>
                  </w:pPr>
                  <w:r>
                    <w:t xml:space="preserve">1.19</w:t>
                  </w:r>
                </w:p>
              </w:tc>
            </w:tr>
            <w:tr>
              <w:tc>
                <w:tcPr/>
                <w:p>
                  <w:pPr>
                    <w:pStyle w:val="Compact"/>
                    <w:jc w:val="left"/>
                    <w:jc w:val="center"/>
                  </w:pPr>
                  <w:r>
                    <w:t xml:space="preserve">idStrt008</w:t>
                  </w:r>
                </w:p>
              </w:tc>
              <w:tc>
                <w:tcPr/>
                <w:p>
                  <w:pPr>
                    <w:pStyle w:val="Compact"/>
                    <w:jc w:val="right"/>
                    <w:jc w:val="center"/>
                  </w:pPr>
                  <w:r>
                    <w:t xml:space="preserve">107.1</w:t>
                  </w:r>
                </w:p>
              </w:tc>
              <w:tc>
                <w:tcPr/>
                <w:p>
                  <w:pPr>
                    <w:pStyle w:val="Compact"/>
                    <w:jc w:val="right"/>
                    <w:jc w:val="center"/>
                  </w:pPr>
                  <w:r>
                    <w:t xml:space="preserve">1.19</w:t>
                  </w:r>
                </w:p>
              </w:tc>
            </w:tr>
          </w:tbl>
          <w:bookmarkEnd w:id="262"/>
          <w:p/>
        </w:tc>
      </w:tr>
    </w:tbl>
    <w:p>
      <w:pPr>
        <w:pStyle w:val="BodyText"/>
      </w:pPr>
      <w:r>
        <w:t xml:space="preserve">Con el fin de facilitar la visualización de los resultados del modelo, se utiliza la submuestra reducida presentada anteriormente, la cual contiene únicamente tres estratos seleccionados.</w:t>
      </w:r>
    </w:p>
    <w:p>
      <w:pPr>
        <w:pStyle w:val="SourceCode"/>
      </w:pPr>
      <w:r>
        <w:rPr>
          <w:rStyle w:val="NormalTok"/>
        </w:rPr>
        <w:t xml:space="preserve">estimated_coef </w:t>
      </w:r>
      <w:r>
        <w:rPr>
          <w:rStyle w:val="OtherTok"/>
        </w:rPr>
        <w:t xml:space="preserve">&lt;-</w:t>
      </w:r>
      <w:r>
        <w:rPr>
          <w:rStyle w:val="NormalTok"/>
        </w:rPr>
        <w:t xml:space="preserve"> </w:t>
      </w:r>
      <w:r>
        <w:rPr>
          <w:rStyle w:val="FunctionTok"/>
        </w:rPr>
        <w:t xml:space="preserve">inner_join</w:t>
      </w:r>
      <w:r>
        <w:rPr>
          <w:rStyle w:val="NormalTok"/>
        </w:rPr>
        <w:t xml:space="preserve">(</w:t>
      </w:r>
      <w:r>
        <w:br/>
      </w:r>
      <w:r>
        <w:rPr>
          <w:rStyle w:val="NormalTok"/>
        </w:rPr>
        <w:t xml:space="preserve">  </w:t>
      </w:r>
      <w:r>
        <w:rPr>
          <w:rStyle w:val="FunctionTok"/>
        </w:rPr>
        <w:t xml:space="preserve">coef</w:t>
      </w:r>
      <w:r>
        <w:rPr>
          <w:rStyle w:val="NormalTok"/>
        </w:rPr>
        <w:t xml:space="preserve">(random_intercept_model)</w:t>
      </w:r>
      <w:r>
        <w:rPr>
          <w:rStyle w:val="SpecialCharTok"/>
        </w:rPr>
        <w:t xml:space="preserve">$</w:t>
      </w:r>
      <w:r>
        <w:rPr>
          <w:rStyle w:val="NormalTok"/>
        </w:rPr>
        <w:t xml:space="preserve">Stratum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"Stratum"</w:t>
      </w:r>
      <w:r>
        <w:rPr>
          <w:rStyle w:val="NormalTok"/>
        </w:rPr>
        <w:t xml:space="preserve">),</w:t>
      </w:r>
      <w:r>
        <w:br/>
      </w:r>
      <w:r>
        <w:rPr>
          <w:rStyle w:val="NormalTok"/>
        </w:rPr>
        <w:t xml:space="preserve">  plot_data </w:t>
      </w:r>
      <w:r>
        <w:rPr>
          <w:rStyle w:val="SpecialCharTok"/>
        </w:rPr>
        <w:t xml:space="preserve">%&gt;%</w:t>
      </w:r>
      <w:r>
        <w:br/>
      </w:r>
      <w:r>
        <w:rPr>
          <w:rStyle w:val="NormalTok"/>
        </w:rPr>
        <w:t xml:space="preserve">    </w:t>
      </w:r>
      <w:r>
        <w:rPr>
          <w:rStyle w:val="FunctionTok"/>
        </w:rPr>
        <w:t xml:space="preserve">select</w:t>
      </w:r>
      <w:r>
        <w:rPr>
          <w:rStyle w:val="NormalTok"/>
        </w:rPr>
        <w:t xml:space="preserve">(Stratum)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rPr>
          <w:rStyle w:val="NormalTok"/>
        </w:rPr>
        <w:t xml:space="preserve">)</w:t>
      </w:r>
    </w:p>
    <w:p>
      <w:pPr>
        <w:pStyle w:val="FirstParagraph"/>
      </w:pPr>
      <w:r>
        <w:t xml:space="preserve">La</w:t>
      </w:r>
      <w:r>
        <w:t xml:space="preserve"> </w:t>
      </w:r>
      <w:hyperlink w:anchor="fig-intercepto-aleatorio">
        <w:r>
          <w:rPr>
            <w:rStyle w:val="Hyperlink"/>
          </w:rPr>
          <w:t xml:space="preserve">figura 7.5</w:t>
        </w:r>
      </w:hyperlink>
      <w:r>
        <w:t xml:space="preserve"> </w:t>
      </w:r>
      <w:r>
        <w:t xml:space="preserve">muestra las rectas de regresión estimadas para cada estrato bajo el modelo de intercepto aleatorio. Se observa que las rectas comparten una misma pendiente, reflejando el efecto común del gasto sobre el ingreso, pero difieren en su posición vertical debido a los interceptos específicos estimados para cada estrato.</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data =</w:t>
      </w:r>
      <w:r>
        <w:rPr>
          <w:rStyle w:val="NormalTok"/>
        </w:rPr>
        <w:t xml:space="preserve"> estimated_coef,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slope =</w:t>
      </w:r>
      <w:r>
        <w:rPr>
          <w:rStyle w:val="NormalTok"/>
        </w:rPr>
        <w:t xml:space="preserve"> Expenditure,</w:t>
      </w:r>
      <w:r>
        <w:br/>
      </w:r>
      <w:r>
        <w:rPr>
          <w:rStyle w:val="NormalTok"/>
        </w:rPr>
        <w:t xml:space="preserve">                            </w:t>
      </w:r>
      <w:r>
        <w:rPr>
          <w:rStyle w:val="AttributeTok"/>
        </w:rPr>
        <w:t xml:space="preserve">intercept =</w:t>
      </w:r>
      <w:r>
        <w:rPr>
          <w:rStyle w:val="NormalTok"/>
        </w:rPr>
        <w:t xml:space="preserve"> </w:t>
      </w:r>
      <w:r>
        <w:rPr>
          <w:rStyle w:val="StringTok"/>
        </w:rPr>
        <w:t xml:space="preserve">`</w:t>
      </w:r>
      <w:r>
        <w:rPr>
          <w:rStyle w:val="AttributeTok"/>
        </w:rPr>
        <w:t xml:space="preserve">(Intercept)</w:t>
      </w:r>
      <w:r>
        <w:rPr>
          <w:rStyle w:val="StringTok"/>
        </w:rPr>
        <w:t xml:space="preserve">`</w:t>
      </w:r>
      <w:r>
        <w:rPr>
          <w:rStyle w:val="NormalTok"/>
        </w:rPr>
        <w:t xml:space="preserve">,</w:t>
      </w:r>
      <w:r>
        <w:br/>
      </w:r>
      <w:r>
        <w:rPr>
          <w:rStyle w:val="NormalTok"/>
        </w:rPr>
        <w:t xml:space="preserv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66" w:name="fig-intercepto-aleatorio"/>
          <w:p>
            <w:pPr>
              <w:pStyle w:val="Compact"/>
              <w:jc w:val="center"/>
            </w:pPr>
            <w:r>
              <w:drawing>
                <wp:inline>
                  <wp:extent cx="3733800" cy="2489200"/>
                  <wp:effectExtent b="0" l="0" r="0" t="0"/>
                  <wp:docPr descr="" title="" id="264" name="Picture"/>
                  <a:graphic>
                    <a:graphicData uri="http://schemas.openxmlformats.org/drawingml/2006/picture">
                      <pic:pic>
                        <pic:nvPicPr>
                          <pic:cNvPr descr="chapters/../figures/fig-intercepto-aleatorio-1.png" id="265" name="Picture"/>
                          <pic:cNvPicPr>
                            <a:picLocks noChangeArrowheads="1" noChangeAspect="1"/>
                          </pic:cNvPicPr>
                        </pic:nvPicPr>
                        <pic:blipFill>
                          <a:blip r:embed="rId263"/>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7.5: Rectas de regresión estimadas por estrato: modelo con intercepto aleatorio</w:t>
            </w:r>
          </w:p>
          <w:bookmarkEnd w:id="266"/>
        </w:tc>
      </w:tr>
    </w:tbl>
    <w:bookmarkEnd w:id="267"/>
    <w:bookmarkStart w:id="273" w:name="sec-intercepto-pendiente-aleatorios"/>
    <w:p>
      <w:pPr>
        <w:pStyle w:val="Heading3"/>
      </w:pPr>
      <w:r>
        <w:t xml:space="preserve">7.3.3 Modelo con intercepto y pendiente aleatoria</w:t>
      </w:r>
    </w:p>
    <w:p>
      <w:pPr>
        <w:pStyle w:val="FirstParagraph"/>
      </w:pPr>
      <w:r>
        <w:t xml:space="preserve">De acuerdo con</w:t>
      </w:r>
      <w:r>
        <w:t xml:space="preserve"> </w:t>
      </w:r>
      <w:r>
        <w:t xml:space="preserve">Goldstein (2011)</w:t>
      </w:r>
      <w:r>
        <w:t xml:space="preserve"> </w:t>
      </w:r>
      <w:r>
        <w:t xml:space="preserve">y</w:t>
      </w:r>
      <w:r>
        <w:t xml:space="preserve"> </w:t>
      </w:r>
      <w:r>
        <w:t xml:space="preserve">Snijders y Bosker (2011)</w:t>
      </w:r>
      <w:r>
        <w:t xml:space="preserve">, una extensión natural del modelo anterior es el modelo de intercepto y pendiente aleatorios. En esta especificación, no sólo se permite que el nivel promedio de la variable respuesta varíe entre estratos, sino también que el efecto de una o más covariables difiera entre grupos. De esta manera, cada estrato puede tener su propia recta de regresión, tanto en términos de intercepto como de pendiente. El modelo puede expresarse como</w:t>
      </w:r>
    </w:p>
    <w:p>
      <w:pPr>
        <w:pStyle w:val="BodyText"/>
      </w:pPr>
      <m:oMathPara>
        <m:oMathParaPr>
          <m:jc m:val="center"/>
        </m:oMathParaPr>
        <m:oMath>
          <m:sSub>
            <m:e>
              <m:r>
                <m:t>y</m:t>
              </m:r>
            </m:e>
            <m:sub>
              <m:r>
                <m:t>k</m:t>
              </m:r>
              <m:r>
                <m:t>j</m:t>
              </m:r>
            </m:sub>
          </m:sSub>
          <m:r>
            <m:rPr>
              <m:sty m:val="p"/>
            </m:rPr>
            <m:t>=</m:t>
          </m:r>
          <m:sSub>
            <m:e>
              <m:r>
                <m:t>β</m:t>
              </m:r>
            </m:e>
            <m:sub>
              <m:r>
                <m:t>0</m:t>
              </m:r>
              <m:r>
                <m:t>j</m:t>
              </m:r>
            </m:sub>
          </m:sSub>
          <m:r>
            <m:rPr>
              <m:sty m:val="p"/>
            </m:rPr>
            <m:t>+</m:t>
          </m:r>
          <m:sSub>
            <m:e>
              <m:r>
                <m:t>x</m:t>
              </m:r>
            </m:e>
            <m:sub>
              <m:r>
                <m:t>k</m:t>
              </m:r>
              <m:r>
                <m:t>j</m:t>
              </m:r>
            </m:sub>
          </m:sSub>
          <m:sSub>
            <m:e>
              <m:r>
                <m:t>β</m:t>
              </m:r>
            </m:e>
            <m:sub>
              <m:r>
                <m:t>1</m:t>
              </m:r>
              <m:r>
                <m:t>j</m:t>
              </m:r>
            </m:sub>
          </m:sSub>
          <m:r>
            <m:rPr>
              <m:sty m:val="p"/>
            </m:rPr>
            <m:t>+</m:t>
          </m:r>
          <m:sSub>
            <m:e>
              <m:r>
                <m:rPr>
                  <m:sty m:val="b"/>
                </m:rPr>
                <m:t>z</m:t>
              </m:r>
            </m:e>
            <m:sub>
              <m:r>
                <m:t>k</m:t>
              </m:r>
              <m:r>
                <m:t>j</m:t>
              </m:r>
            </m:sub>
          </m:sSub>
          <m:r>
            <m:rPr>
              <m:sty m:val="b"/>
            </m:rPr>
            <m:t>β</m:t>
          </m:r>
          <m:r>
            <m:rPr>
              <m:sty m:val="p"/>
            </m:rPr>
            <m:t>+</m:t>
          </m:r>
          <m:sSub>
            <m:e>
              <m:r>
                <m:t>ϵ</m:t>
              </m:r>
            </m:e>
            <m:sub>
              <m:r>
                <m:t>k</m:t>
              </m:r>
              <m:r>
                <m:t>j</m:t>
              </m:r>
            </m:sub>
          </m:sSub>
          <m:r>
            <m:rPr>
              <m:sty m:val="p"/>
            </m:rPr>
            <m:t>,</m:t>
          </m:r>
        </m:oMath>
      </m:oMathPara>
    </w:p>
    <w:p>
      <w:pPr>
        <w:pStyle w:val="FirstParagraph"/>
      </w:pPr>
      <w:r>
        <w:t xml:space="preserve">donde</w:t>
      </w:r>
      <w:r>
        <w:t xml:space="preserve"> </w:t>
      </w:r>
      <m:oMath>
        <m:sSub>
          <m:e>
            <m:r>
              <m:t>y</m:t>
            </m:r>
          </m:e>
          <m:sub>
            <m:r>
              <m:t>k</m:t>
            </m:r>
            <m:r>
              <m:t>j</m:t>
            </m:r>
          </m:sub>
        </m:sSub>
      </m:oMath>
      <w:r>
        <w:t xml:space="preserve"> </w:t>
      </w:r>
      <w:r>
        <w:t xml:space="preserve">representa el valor observado de la variable respuesta para la unidad</w:t>
      </w:r>
      <w:r>
        <w:t xml:space="preserve"> </w:t>
      </w:r>
      <m:oMath>
        <m:r>
          <m:t>k</m:t>
        </m:r>
      </m:oMath>
      <w:r>
        <w:t xml:space="preserve"> </w:t>
      </w:r>
      <w:r>
        <w:t xml:space="preserve">perteneciente al estrato</w:t>
      </w:r>
      <w:r>
        <w:t xml:space="preserve"> </w:t>
      </w:r>
      <m:oMath>
        <m:r>
          <m:t>j</m:t>
        </m:r>
      </m:oMath>
      <w:r>
        <w:t xml:space="preserve">,</w:t>
      </w:r>
      <w:r>
        <w:t xml:space="preserve"> </w:t>
      </w:r>
      <m:oMath>
        <m:sSub>
          <m:e>
            <m:r>
              <m:t>x</m:t>
            </m:r>
          </m:e>
          <m:sub>
            <m:r>
              <m:t>k</m:t>
            </m:r>
            <m:r>
              <m:t>j</m:t>
            </m:r>
          </m:sub>
        </m:sSub>
      </m:oMath>
      <w:r>
        <w:t xml:space="preserve"> </w:t>
      </w:r>
      <w:r>
        <w:t xml:space="preserve">corresponde a la covariable cuya pendiente se permite variar entre estratos,</w:t>
      </w:r>
      <w:r>
        <w:t xml:space="preserve"> </w:t>
      </w:r>
      <m:oMath>
        <m:sSub>
          <m:e>
            <m:r>
              <m:rPr>
                <m:sty m:val="b"/>
              </m:rPr>
              <m:t>z</m:t>
            </m:r>
          </m:e>
          <m:sub>
            <m:r>
              <m:t>k</m:t>
            </m:r>
            <m:r>
              <m:t>j</m:t>
            </m:r>
          </m:sub>
        </m:sSub>
      </m:oMath>
      <w:r>
        <w:t xml:space="preserve"> </w:t>
      </w:r>
      <w:r>
        <w:t xml:space="preserve">contiene las covariables con efectos fijos comunes a todos los grupos, y</w:t>
      </w:r>
      <w:r>
        <w:t xml:space="preserve"> </w:t>
      </w:r>
      <m:oMath>
        <m:sSub>
          <m:e>
            <m:r>
              <m:t>ϵ</m:t>
            </m:r>
          </m:e>
          <m:sub>
            <m:r>
              <m:t>k</m:t>
            </m:r>
            <m:r>
              <m:t>j</m:t>
            </m:r>
          </m:sub>
        </m:sSub>
      </m:oMath>
      <w:r>
        <w:t xml:space="preserve"> </w:t>
      </w:r>
      <w:r>
        <w:t xml:space="preserve">es el término de error a nivel de unidad. En este modelo, tanto el intercepto como la pendiente asociada a</w:t>
      </w:r>
      <w:r>
        <w:t xml:space="preserve"> </w:t>
      </w:r>
      <m:oMath>
        <m:sSub>
          <m:e>
            <m:r>
              <m:t>x</m:t>
            </m:r>
          </m:e>
          <m:sub>
            <m:r>
              <m:t>k</m:t>
            </m:r>
            <m:r>
              <m:t>j</m:t>
            </m:r>
          </m:sub>
        </m:sSub>
      </m:oMath>
      <w:r>
        <w:t xml:space="preserve"> </w:t>
      </w:r>
      <w:r>
        <w:t xml:space="preserve">se consideran aleatorios y se descomponen de la siguiente forma:</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τ</m:t>
              </m:r>
            </m:e>
            <m:sub>
              <m:r>
                <m:t>0</m:t>
              </m:r>
              <m:r>
                <m:t>j</m:t>
              </m:r>
            </m:sub>
          </m:sSub>
          <m:r>
            <m:rPr>
              <m:sty m:val="p"/>
            </m:rPr>
            <m:t>,</m:t>
          </m:r>
          <m:r>
            <m:t>  </m:t>
          </m:r>
          <m:sSub>
            <m:e>
              <m:r>
                <m:t>β</m:t>
              </m:r>
            </m:e>
            <m:sub>
              <m:r>
                <m:t>1</m:t>
              </m:r>
              <m:r>
                <m:t>j</m:t>
              </m:r>
            </m:sub>
          </m:sSub>
          <m:r>
            <m:rPr>
              <m:sty m:val="p"/>
            </m:rPr>
            <m:t>=</m:t>
          </m:r>
          <m:sSub>
            <m:e>
              <m:r>
                <m:t>γ</m:t>
              </m:r>
            </m:e>
            <m:sub>
              <m:r>
                <m:t>10</m:t>
              </m:r>
            </m:sub>
          </m:sSub>
          <m:r>
            <m:rPr>
              <m:sty m:val="p"/>
            </m:rPr>
            <m:t>+</m:t>
          </m:r>
          <m:sSub>
            <m:e>
              <m:r>
                <m:t>τ</m:t>
              </m:r>
            </m:e>
            <m:sub>
              <m:r>
                <m:t>1</m:t>
              </m:r>
              <m:r>
                <m:t>j</m:t>
              </m:r>
            </m:sub>
          </m:sSub>
        </m:oMath>
      </m:oMathPara>
    </w:p>
    <w:p>
      <w:pPr>
        <w:pStyle w:val="FirstParagraph"/>
      </w:pPr>
      <w:r>
        <w:t xml:space="preserve">donde</w:t>
      </w:r>
      <w:r>
        <w:t xml:space="preserve"> </w:t>
      </w:r>
      <m:oMath>
        <m:sSub>
          <m:e>
            <m:r>
              <m:t>γ</m:t>
            </m:r>
          </m:e>
          <m:sub>
            <m:r>
              <m:t>00</m:t>
            </m:r>
          </m:sub>
        </m:sSub>
      </m:oMath>
      <w:r>
        <w:t xml:space="preserve"> </w:t>
      </w:r>
      <w:r>
        <w:t xml:space="preserve">y</w:t>
      </w:r>
      <w:r>
        <w:t xml:space="preserve"> </w:t>
      </w:r>
      <m:oMath>
        <m:sSub>
          <m:e>
            <m:r>
              <m:t>γ</m:t>
            </m:r>
          </m:e>
          <m:sub>
            <m:r>
              <m:t>10</m:t>
            </m:r>
          </m:sub>
        </m:sSub>
      </m:oMath>
      <w:r>
        <w:t xml:space="preserve"> </w:t>
      </w:r>
      <w:r>
        <w:t xml:space="preserve">representan, respectivamente, el intercepto y la pendiente promedio en la población, mientras que</w:t>
      </w:r>
      <w:r>
        <w:t xml:space="preserve"> </w:t>
      </w:r>
      <m:oMath>
        <m:sSub>
          <m:e>
            <m:r>
              <m:t>τ</m:t>
            </m:r>
          </m:e>
          <m:sub>
            <m:r>
              <m:t>0</m:t>
            </m:r>
            <m:r>
              <m:t>j</m:t>
            </m:r>
          </m:sub>
        </m:sSub>
      </m:oMath>
      <w:r>
        <w:t xml:space="preserve"> </w:t>
      </w:r>
      <w:r>
        <w:t xml:space="preserve">y</w:t>
      </w:r>
      <w:r>
        <w:t xml:space="preserve"> </w:t>
      </w:r>
      <m:oMath>
        <m:sSub>
          <m:e>
            <m:r>
              <m:t>τ</m:t>
            </m:r>
          </m:e>
          <m:sub>
            <m:r>
              <m:t>1</m:t>
            </m:r>
            <m:r>
              <m:t>j</m:t>
            </m:r>
          </m:sub>
        </m:sSub>
      </m:oMath>
      <w:r>
        <w:t xml:space="preserve"> </w:t>
      </w:r>
      <w:r>
        <w:t xml:space="preserve">capturan las desviaciones específicas del estrato</w:t>
      </w:r>
      <w:r>
        <w:t xml:space="preserve"> </w:t>
      </w:r>
      <m:oMath>
        <m:r>
          <m:t>j</m:t>
        </m:r>
      </m:oMath>
      <w:r>
        <w:t xml:space="preserve"> </w:t>
      </w:r>
      <w:r>
        <w:t xml:space="preserve">respecto a dichos promedios. Estos efectos aleatorios se asumen normalmente distribuidos como se indica a continuación:</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τ</m:t>
                        </m:r>
                      </m:e>
                      <m:sub>
                        <m:r>
                          <m:t>0</m:t>
                        </m:r>
                        <m:r>
                          <m:t>j</m:t>
                        </m:r>
                      </m:sub>
                    </m:sSub>
                  </m:e>
                </m:mr>
                <m:mr>
                  <m:e>
                    <m:sSub>
                      <m:e>
                        <m:r>
                          <m:t>τ</m:t>
                        </m:r>
                      </m:e>
                      <m:sub>
                        <m:r>
                          <m:t>1</m:t>
                        </m:r>
                        <m:r>
                          <m:t>j</m:t>
                        </m:r>
                      </m:sub>
                    </m:sSub>
                  </m:e>
                </m:mr>
              </m:m>
            </m:e>
          </m:d>
          <m:r>
            <m:rPr>
              <m:sty m:val="p"/>
            </m:rPr>
            <m:t>∼</m:t>
          </m:r>
          <m: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sSub>
                              <m:e>
                                <m:r>
                                  <m:t>τ</m:t>
                                </m:r>
                              </m:e>
                              <m:sub>
                                <m:r>
                                  <m:t>0</m:t>
                                </m:r>
                              </m:sub>
                            </m:sSub>
                          </m:sub>
                          <m:sup>
                            <m:r>
                              <m:t>2</m:t>
                            </m:r>
                          </m:sup>
                        </m:sSubSup>
                      </m:e>
                      <m:e>
                        <m:sSub>
                          <m:e>
                            <m:r>
                              <m:t>σ</m:t>
                            </m:r>
                          </m:e>
                          <m:sub>
                            <m:sSub>
                              <m:e>
                                <m:r>
                                  <m:t>τ</m:t>
                                </m:r>
                              </m:e>
                              <m:sub>
                                <m:r>
                                  <m:t>01</m:t>
                                </m:r>
                              </m:sub>
                            </m:sSub>
                          </m:sub>
                        </m:sSub>
                      </m:e>
                    </m:mr>
                    <m:mr>
                      <m:e>
                        <m:sSub>
                          <m:e>
                            <m:r>
                              <m:t>σ</m:t>
                            </m:r>
                          </m:e>
                          <m:sub>
                            <m:sSub>
                              <m:e>
                                <m:r>
                                  <m:t>τ</m:t>
                                </m:r>
                              </m:e>
                              <m:sub>
                                <m:r>
                                  <m:t>01</m:t>
                                </m:r>
                              </m:sub>
                            </m:sSub>
                          </m:sub>
                        </m:sSub>
                      </m:e>
                      <m:e>
                        <m:sSubSup>
                          <m:e>
                            <m:r>
                              <m:t>σ</m:t>
                            </m:r>
                          </m:e>
                          <m:sub>
                            <m:sSub>
                              <m:e>
                                <m:r>
                                  <m:t>τ</m:t>
                                </m:r>
                              </m:e>
                              <m:sub>
                                <m:r>
                                  <m:t>1</m:t>
                                </m:r>
                              </m:sub>
                            </m:sSub>
                          </m:sub>
                          <m:sup>
                            <m:r>
                              <m:t>2</m:t>
                            </m:r>
                          </m:sup>
                        </m:sSubSup>
                      </m:e>
                    </m:mr>
                  </m:m>
                </m:e>
              </m:d>
            </m:e>
          </m:d>
          <m:r>
            <m:rPr>
              <m:sty m:val="p"/>
            </m:rPr>
            <m:t>,</m:t>
          </m:r>
        </m:oMath>
      </m:oMathPara>
    </w:p>
    <w:p>
      <w:pPr>
        <w:pStyle w:val="FirstParagraph"/>
      </w:pPr>
      <w:r>
        <w:t xml:space="preserve">mientras que el error a nivel de unidad satisface</w:t>
      </w:r>
      <w:r>
        <w:t xml:space="preserve"> </w:t>
      </w:r>
      <m:oMath>
        <m:sSub>
          <m:e>
            <m:r>
              <m:t>ϵ</m:t>
            </m:r>
          </m:e>
          <m:sub>
            <m:r>
              <m:t>k</m:t>
            </m:r>
            <m:r>
              <m:t>j</m:t>
            </m:r>
          </m:sub>
        </m:sSub>
        <m:r>
          <m:rPr>
            <m:sty m:val="p"/>
          </m:rPr>
          <m:t>∼</m:t>
        </m:r>
        <m:r>
          <m:t>N</m:t>
        </m:r>
        <m:r>
          <m:rPr>
            <m:sty m:val="p"/>
          </m:rPr>
          <m:t>(</m:t>
        </m:r>
        <m:r>
          <m:t>0</m:t>
        </m:r>
        <m:r>
          <m:rPr>
            <m:sty m:val="p"/>
          </m:rPr>
          <m:t>,</m:t>
        </m:r>
        <m:sSubSup>
          <m:e>
            <m:r>
              <m:t>σ</m:t>
            </m:r>
          </m:e>
          <m:sub>
            <m:r>
              <m:t>ϵ</m:t>
            </m:r>
          </m:sub>
          <m:sup>
            <m:r>
              <m:t>2</m:t>
            </m:r>
          </m:sup>
        </m:sSubSup>
        <m:r>
          <m:rPr>
            <m:sty m:val="p"/>
          </m:rPr>
          <m:t>)</m:t>
        </m:r>
      </m:oMath>
      <w:r>
        <w:t xml:space="preserve">. En consecuencia, el modelo permite cuantificar no sólo la variabilidad entre estratos en los niveles promedio de la variable respuesta, sino también la heterogeneidad existente en el efecto de la covariable cuyo coeficiente se modela como aleatorio.</w:t>
      </w:r>
    </w:p>
    <w:p>
      <w:pPr>
        <w:pStyle w:val="BodyText"/>
      </w:pPr>
      <w:r>
        <w:t xml:space="preserve">El siguiente código ajusta un modelo multinivel con intercepto y pendiente aleatorios en el que el ingreso (</w:t>
      </w:r>
      <w:r>
        <w:rPr>
          <w:rStyle w:val="VerbatimChar"/>
        </w:rPr>
        <w:t xml:space="preserve">Income</w:t>
      </w:r>
      <w:r>
        <w:t xml:space="preserve">) se explica a partir del gasto del hogar (</w:t>
      </w:r>
      <w:r>
        <w:rPr>
          <w:rStyle w:val="VerbatimChar"/>
        </w:rPr>
        <w:t xml:space="preserve">Expenditure</w:t>
      </w:r>
      <w:r>
        <w:t xml:space="preserve">); aunque la redacción anterior mencionaba</w:t>
      </w:r>
      <w:r>
        <w:t xml:space="preserve"> </w:t>
      </w:r>
      <w:r>
        <w:rPr>
          <w:rStyle w:val="VerbatimChar"/>
        </w:rPr>
        <w:t xml:space="preserve">Zone</w:t>
      </w:r>
      <w:r>
        <w:t xml:space="preserve">, esa variable no aparece en la fórmula estimada. En este caso, tanto el intercepto como el efecto del gasto pueden variar entre estratos mediante efectos aleatorios asociados a</w:t>
      </w:r>
      <w:r>
        <w:t xml:space="preserve"> </w:t>
      </w:r>
      <w:r>
        <w:rPr>
          <w:rStyle w:val="VerbatimChar"/>
        </w:rPr>
        <w:t xml:space="preserve">Stratum</w:t>
      </w:r>
      <w:r>
        <w:t xml:space="preserve">, empleando además los pesos</w:t>
      </w:r>
      <w:r>
        <w:t xml:space="preserve"> </w:t>
      </w:r>
      <w:r>
        <w:rPr>
          <w:i/>
          <w:iCs/>
        </w:rPr>
        <w:t xml:space="preserve">q-weighted</w:t>
      </w:r>
      <w:r>
        <w:t xml:space="preserve"> </w:t>
      </w:r>
      <w:r>
        <w:t xml:space="preserve">almacenados en la variable</w:t>
      </w:r>
      <w:r>
        <w:t xml:space="preserve"> </w:t>
      </w:r>
      <w:r>
        <w:rPr>
          <w:rStyle w:val="VerbatimChar"/>
        </w:rPr>
        <w:t xml:space="preserve">qk</w:t>
      </w:r>
      <w:r>
        <w:t xml:space="preserve">.</w:t>
      </w:r>
    </w:p>
    <w:p>
      <w:pPr>
        <w:pStyle w:val="SourceCode"/>
      </w:pPr>
      <w:r>
        <w:rPr>
          <w:rStyle w:val="NormalTok"/>
        </w:rPr>
        <w:t xml:space="preserve">random_slope_model </w:t>
      </w:r>
      <w:r>
        <w:rPr>
          <w:rStyle w:val="OtherTok"/>
        </w:rPr>
        <w:t xml:space="preserve">&lt;-</w:t>
      </w:r>
      <w:r>
        <w:rPr>
          <w:rStyle w:val="NormalTok"/>
        </w:rPr>
        <w:t xml:space="preserve"> </w:t>
      </w:r>
      <w:r>
        <w:rPr>
          <w:rStyle w:val="FunctionTok"/>
        </w:rPr>
        <w:t xml:space="preserve">lmer</w:t>
      </w:r>
      <w:r>
        <w:rPr>
          <w:rStyle w:val="NormalTok"/>
        </w:rPr>
        <w:t xml:space="preserve">(</w:t>
      </w:r>
      <w:r>
        <w:br/>
      </w:r>
      <w:r>
        <w:rPr>
          <w:rStyle w:val="NormalTok"/>
        </w:rPr>
        <w:t xml:space="preserve">  Income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Expenditure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Expenditure </w:t>
      </w:r>
      <w:r>
        <w:rPr>
          <w:rStyle w:val="SpecialCharTok"/>
        </w:rPr>
        <w:t xml:space="preserve">|</w:t>
      </w:r>
      <w:r>
        <w:rPr>
          <w:rStyle w:val="NormalTok"/>
        </w:rPr>
        <w:t xml:space="preserve"> Stratum),</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AttributeTok"/>
        </w:rPr>
        <w:t xml:space="preserve">weights =</w:t>
      </w:r>
      <w:r>
        <w:rPr>
          <w:rStyle w:val="NormalTok"/>
        </w:rPr>
        <w:t xml:space="preserve"> qk</w:t>
      </w:r>
      <w:r>
        <w:br/>
      </w:r>
      <w:r>
        <w:rPr>
          <w:rStyle w:val="NormalTok"/>
        </w:rPr>
        <w:t xml:space="preserve">)</w:t>
      </w:r>
      <w:r>
        <w:br/>
      </w:r>
      <w:r>
        <w:br/>
      </w:r>
      <w:r>
        <w:rPr>
          <w:rStyle w:val="NormalTok"/>
        </w:rPr>
        <w:t xml:space="preserve">performance</w:t>
      </w:r>
      <w:r>
        <w:rPr>
          <w:rStyle w:val="SpecialCharTok"/>
        </w:rPr>
        <w:t xml:space="preserve">::</w:t>
      </w:r>
      <w:r>
        <w:rPr>
          <w:rStyle w:val="FunctionTok"/>
        </w:rPr>
        <w:t xml:space="preserve">icc</w:t>
      </w:r>
      <w:r>
        <w:rPr>
          <w:rStyle w:val="NormalTok"/>
        </w:rPr>
        <w:t xml:space="preserve">(random_slope_model)</w:t>
      </w:r>
    </w:p>
    <w:p>
      <w:pPr>
        <w:pStyle w:val="SourceCode"/>
      </w:pPr>
      <w:r>
        <w:rPr>
          <w:rStyle w:val="VerbatimChar"/>
        </w:rPr>
        <w:t xml:space="preserve"># Intraclass Correlation Coefficient</w:t>
      </w:r>
      <w:r>
        <w:br/>
      </w:r>
      <w:r>
        <w:br/>
      </w:r>
      <w:r>
        <w:rPr>
          <w:rStyle w:val="VerbatimChar"/>
        </w:rPr>
        <w:t xml:space="preserve">    Adjusted ICC: 0.690</w:t>
      </w:r>
      <w:r>
        <w:br/>
      </w:r>
      <w:r>
        <w:rPr>
          <w:rStyle w:val="VerbatimChar"/>
        </w:rPr>
        <w:t xml:space="preserve">  Unadjusted ICC: 0.457</w:t>
      </w:r>
    </w:p>
    <w:p>
      <w:pPr>
        <w:pStyle w:val="FirstParagraph"/>
      </w:pPr>
      <w:r>
        <w:t xml:space="preserve">Nótese que en la especificación del código se incluye simultáneamente efectos fijos y efectos aleatorios para el intercepto y la variable</w:t>
      </w:r>
      <w:r>
        <w:t xml:space="preserve"> </w:t>
      </w:r>
      <w:r>
        <w:rPr>
          <w:rStyle w:val="VerbatimChar"/>
        </w:rPr>
        <w:t xml:space="preserve">Expenditure</w:t>
      </w:r>
      <w:r>
        <w:t xml:space="preserve">. Los términos ubicados fuera del paréntesis,</w:t>
      </w:r>
      <w:r>
        <w:t xml:space="preserve"> </w:t>
      </w:r>
      <w:r>
        <w:rPr>
          <w:rStyle w:val="VerbatimChar"/>
        </w:rPr>
        <w:t xml:space="preserve">1 + Expenditure</w:t>
      </w:r>
      <w:r>
        <w:t xml:space="preserve">, corresponden a los efectos fijos del modelo y permiten estimar el intercepto promedio global y la pendiente promedio global asociada al gasto. Por su parte, la expresión</w:t>
      </w:r>
      <w:r>
        <w:t xml:space="preserve"> </w:t>
      </w:r>
      <w:r>
        <w:rPr>
          <w:rStyle w:val="VerbatimChar"/>
        </w:rPr>
        <w:t xml:space="preserve">(1 + Expenditure | Stratum)</w:t>
      </w:r>
      <w:r>
        <w:t xml:space="preserve"> </w:t>
      </w:r>
      <w:r>
        <w:t xml:space="preserve">incorpora las desviaciones específicas de cada estrato respecto a dichos promedios. La inclusión explícita de los efectos fijos es fundamental, ya que los efectos aleatorios se interpretan como desviaciones alrededor de una media poblacional. Los coeficientes del modelo por estrato se presentan en la</w:t>
      </w:r>
      <w:r>
        <w:t xml:space="preserve"> </w:t>
      </w:r>
      <w:hyperlink w:anchor="tbl-coef-pendiente-aleatoria">
        <w:r>
          <w:rPr>
            <w:rStyle w:val="Hyperlink"/>
          </w:rPr>
          <w:t xml:space="preserve">tabla 7.4</w:t>
        </w:r>
      </w:hyperlink>
      <w:r>
        <w:t xml:space="preserve">:</w:t>
      </w:r>
    </w:p>
    <w:p>
      <w:pPr>
        <w:pStyle w:val="BodyText"/>
      </w:pPr>
      <w:r>
        <w:t xml:space="preserve">Como recomiendan</w:t>
      </w:r>
      <w:r>
        <w:t xml:space="preserve"> </w:t>
      </w:r>
      <w:r>
        <w:t xml:space="preserve">Bates et al. (2015)</w:t>
      </w:r>
      <w:r>
        <w:t xml:space="preserve">, los modelos con pendientes aleatorias requieren suficientes grupos y variación interna para estimar de manera estable la varianza y la covarianza de los efectos aleatorios; por ello, conviene revisar advertencias de convergencia y ajustes singulares antes de interpretar estos componentes.</w:t>
      </w:r>
    </w:p>
    <w:p>
      <w:pPr>
        <w:pStyle w:val="SourceCode"/>
      </w:pPr>
      <w:r>
        <w:rPr>
          <w:rStyle w:val="FunctionTok"/>
        </w:rPr>
        <w:t xml:space="preserve">coef</w:t>
      </w:r>
      <w:r>
        <w:rPr>
          <w:rStyle w:val="NormalTok"/>
        </w:rPr>
        <w:t xml:space="preserve">(random_slope_model)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w:t>
      </w:r>
    </w:p>
    <w:p>
      <w:pPr>
        <w:pStyle w:val="SourceCode"/>
      </w:pPr>
      <w:r>
        <w:rPr>
          <w:rStyle w:val="FunctionTok"/>
        </w:rPr>
        <w:t xml:space="preserve">coef</w:t>
      </w:r>
      <w:r>
        <w:rPr>
          <w:rStyle w:val="NormalTok"/>
        </w:rPr>
        <w:t xml:space="preserve">(random_slope_model)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8" w:name="tbl-coef-pendiente-aleatoria"/>
          <w:p>
            <w:pPr>
              <w:jc w:val="center"/>
            </w:pPr>
            <w:pPr>
              <w:jc w:val="left"/>
              <w:spacing w:before="200"/>
              <w:pStyle w:val="ImageCaption"/>
            </w:pPr>
            <w:r>
              <w:t xml:space="preserve">Tabla 7.4: Coeficientes del modelo con intercepto y pendiente aleatoria por estrato (primeros 10 estratos)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(Intercept)</w:t>
                  </w:r>
                </w:p>
              </w:tc>
              <w:tc>
                <w:tcPr/>
                <w:p>
                  <w:pPr>
                    <w:pStyle w:val="Compact"/>
                    <w:jc w:val="right"/>
                    <w:jc w:val="center"/>
                  </w:pPr>
                  <w:r>
                    <w:t xml:space="preserve">Expenditure</w:t>
                  </w:r>
                </w:p>
              </w:tc>
            </w:tr>
            <w:tr>
              <w:tc>
                <w:tcPr/>
                <w:p>
                  <w:pPr>
                    <w:pStyle w:val="Compact"/>
                    <w:jc w:val="left"/>
                    <w:jc w:val="center"/>
                  </w:pPr>
                  <w:r>
                    <w:t xml:space="preserve">idStrt001</w:t>
                  </w:r>
                </w:p>
              </w:tc>
              <w:tc>
                <w:tcPr/>
                <w:p>
                  <w:pPr>
                    <w:pStyle w:val="Compact"/>
                    <w:jc w:val="right"/>
                    <w:jc w:val="center"/>
                  </w:pPr>
                  <w:r>
                    <w:t xml:space="preserve">-222.8</w:t>
                  </w:r>
                </w:p>
              </w:tc>
              <w:tc>
                <w:tcPr/>
                <w:p>
                  <w:pPr>
                    <w:pStyle w:val="Compact"/>
                    <w:jc w:val="right"/>
                    <w:jc w:val="center"/>
                  </w:pPr>
                  <w:r>
                    <w:t xml:space="preserve">2.730</w:t>
                  </w:r>
                </w:p>
              </w:tc>
            </w:tr>
            <w:tr>
              <w:tc>
                <w:tcPr/>
                <w:p>
                  <w:pPr>
                    <w:pStyle w:val="Compact"/>
                    <w:jc w:val="left"/>
                    <w:jc w:val="center"/>
                  </w:pPr>
                  <w:r>
                    <w:t xml:space="preserve">idStrt002</w:t>
                  </w:r>
                </w:p>
              </w:tc>
              <w:tc>
                <w:tcPr/>
                <w:p>
                  <w:pPr>
                    <w:pStyle w:val="Compact"/>
                    <w:jc w:val="right"/>
                    <w:jc w:val="center"/>
                  </w:pPr>
                  <w:r>
                    <w:t xml:space="preserve">35.5</w:t>
                  </w:r>
                </w:p>
              </w:tc>
              <w:tc>
                <w:tcPr/>
                <w:p>
                  <w:pPr>
                    <w:pStyle w:val="Compact"/>
                    <w:jc w:val="right"/>
                    <w:jc w:val="center"/>
                  </w:pPr>
                  <w:r>
                    <w:t xml:space="preserve">1.607</w:t>
                  </w:r>
                </w:p>
              </w:tc>
            </w:tr>
            <w:tr>
              <w:tc>
                <w:tcPr/>
                <w:p>
                  <w:pPr>
                    <w:pStyle w:val="Compact"/>
                    <w:jc w:val="left"/>
                    <w:jc w:val="center"/>
                  </w:pPr>
                  <w:r>
                    <w:t xml:space="preserve">idStrt003</w:t>
                  </w:r>
                </w:p>
              </w:tc>
              <w:tc>
                <w:tcPr/>
                <w:p>
                  <w:pPr>
                    <w:pStyle w:val="Compact"/>
                    <w:jc w:val="right"/>
                    <w:jc w:val="center"/>
                  </w:pPr>
                  <w:r>
                    <w:t xml:space="preserve">151.9</w:t>
                  </w:r>
                </w:p>
              </w:tc>
              <w:tc>
                <w:tcPr/>
                <w:p>
                  <w:pPr>
                    <w:pStyle w:val="Compact"/>
                    <w:jc w:val="right"/>
                    <w:jc w:val="center"/>
                  </w:pPr>
                  <w:r>
                    <w:t xml:space="preserve">1.164</w:t>
                  </w:r>
                </w:p>
              </w:tc>
            </w:tr>
            <w:tr>
              <w:tc>
                <w:tcPr/>
                <w:p>
                  <w:pPr>
                    <w:pStyle w:val="Compact"/>
                    <w:jc w:val="left"/>
                    <w:jc w:val="center"/>
                  </w:pPr>
                  <w:r>
                    <w:t xml:space="preserve">idStrt004</w:t>
                  </w:r>
                </w:p>
              </w:tc>
              <w:tc>
                <w:tcPr/>
                <w:p>
                  <w:pPr>
                    <w:pStyle w:val="Compact"/>
                    <w:jc w:val="right"/>
                    <w:jc w:val="center"/>
                  </w:pPr>
                  <w:r>
                    <w:t xml:space="preserve">224.2</w:t>
                  </w:r>
                </w:p>
              </w:tc>
              <w:tc>
                <w:tcPr/>
                <w:p>
                  <w:pPr>
                    <w:pStyle w:val="Compact"/>
                    <w:jc w:val="right"/>
                    <w:jc w:val="center"/>
                  </w:pPr>
                  <w:r>
                    <w:t xml:space="preserve">1.353</w:t>
                  </w:r>
                </w:p>
              </w:tc>
            </w:tr>
            <w:tr>
              <w:tc>
                <w:tcPr/>
                <w:p>
                  <w:pPr>
                    <w:pStyle w:val="Compact"/>
                    <w:jc w:val="left"/>
                    <w:jc w:val="center"/>
                  </w:pPr>
                  <w:r>
                    <w:t xml:space="preserve">idStrt005</w:t>
                  </w:r>
                </w:p>
              </w:tc>
              <w:tc>
                <w:tcPr/>
                <w:p>
                  <w:pPr>
                    <w:pStyle w:val="Compact"/>
                    <w:jc w:val="right"/>
                    <w:jc w:val="center"/>
                  </w:pPr>
                  <w:r>
                    <w:t xml:space="preserve">-89.7</w:t>
                  </w:r>
                </w:p>
              </w:tc>
              <w:tc>
                <w:tcPr/>
                <w:p>
                  <w:pPr>
                    <w:pStyle w:val="Compact"/>
                    <w:jc w:val="right"/>
                    <w:jc w:val="center"/>
                  </w:pPr>
                  <w:r>
                    <w:t xml:space="preserve">1.286</w:t>
                  </w:r>
                </w:p>
              </w:tc>
            </w:tr>
            <w:tr>
              <w:tc>
                <w:tcPr/>
                <w:p>
                  <w:pPr>
                    <w:pStyle w:val="Compact"/>
                    <w:jc w:val="left"/>
                    <w:jc w:val="center"/>
                  </w:pPr>
                  <w:r>
                    <w:t xml:space="preserve">idStrt006</w:t>
                  </w:r>
                </w:p>
              </w:tc>
              <w:tc>
                <w:tcPr/>
                <w:p>
                  <w:pPr>
                    <w:pStyle w:val="Compact"/>
                    <w:jc w:val="right"/>
                    <w:jc w:val="center"/>
                  </w:pPr>
                  <w:r>
                    <w:t xml:space="preserve">28.6</w:t>
                  </w:r>
                </w:p>
              </w:tc>
              <w:tc>
                <w:tcPr/>
                <w:p>
                  <w:pPr>
                    <w:pStyle w:val="Compact"/>
                    <w:jc w:val="right"/>
                    <w:jc w:val="center"/>
                  </w:pPr>
                  <w:r>
                    <w:t xml:space="preserve">1.217</w:t>
                  </w:r>
                </w:p>
              </w:tc>
            </w:tr>
            <w:tr>
              <w:tc>
                <w:tcPr/>
                <w:p>
                  <w:pPr>
                    <w:pStyle w:val="Compact"/>
                    <w:jc w:val="left"/>
                    <w:jc w:val="center"/>
                  </w:pPr>
                  <w:r>
                    <w:t xml:space="preserve">idStrt007</w:t>
                  </w:r>
                </w:p>
              </w:tc>
              <w:tc>
                <w:tcPr/>
                <w:p>
                  <w:pPr>
                    <w:pStyle w:val="Compact"/>
                    <w:jc w:val="right"/>
                    <w:jc w:val="center"/>
                  </w:pPr>
                  <w:r>
                    <w:t xml:space="preserve">41.0</w:t>
                  </w:r>
                </w:p>
              </w:tc>
              <w:tc>
                <w:tcPr/>
                <w:p>
                  <w:pPr>
                    <w:pStyle w:val="Compact"/>
                    <w:jc w:val="right"/>
                    <w:jc w:val="center"/>
                  </w:pPr>
                  <w:r>
                    <w:t xml:space="preserve">1.079</w:t>
                  </w:r>
                </w:p>
              </w:tc>
            </w:tr>
            <w:tr>
              <w:tc>
                <w:tcPr/>
                <w:p>
                  <w:pPr>
                    <w:pStyle w:val="Compact"/>
                    <w:jc w:val="left"/>
                    <w:jc w:val="center"/>
                  </w:pPr>
                  <w:r>
                    <w:t xml:space="preserve">idStrt008</w:t>
                  </w:r>
                </w:p>
              </w:tc>
              <w:tc>
                <w:tcPr/>
                <w:p>
                  <w:pPr>
                    <w:pStyle w:val="Compact"/>
                    <w:jc w:val="right"/>
                    <w:jc w:val="center"/>
                  </w:pPr>
                  <w:r>
                    <w:t xml:space="preserve">163.8</w:t>
                  </w:r>
                </w:p>
              </w:tc>
              <w:tc>
                <w:tcPr/>
                <w:p>
                  <w:pPr>
                    <w:pStyle w:val="Compact"/>
                    <w:jc w:val="right"/>
                    <w:jc w:val="center"/>
                  </w:pPr>
                  <w:r>
                    <w:t xml:space="preserve">0.928</w:t>
                  </w:r>
                </w:p>
              </w:tc>
            </w:tr>
            <w:tr>
              <w:tc>
                <w:tcPr/>
                <w:p>
                  <w:pPr>
                    <w:pStyle w:val="Compact"/>
                    <w:jc w:val="left"/>
                    <w:jc w:val="center"/>
                  </w:pPr>
                  <w:r>
                    <w:t xml:space="preserve">idStrt009</w:t>
                  </w:r>
                </w:p>
              </w:tc>
              <w:tc>
                <w:tcPr/>
                <w:p>
                  <w:pPr>
                    <w:pStyle w:val="Compact"/>
                    <w:jc w:val="right"/>
                    <w:jc w:val="center"/>
                  </w:pPr>
                  <w:r>
                    <w:t xml:space="preserve">16.5</w:t>
                  </w:r>
                </w:p>
              </w:tc>
              <w:tc>
                <w:tcPr/>
                <w:p>
                  <w:pPr>
                    <w:pStyle w:val="Compact"/>
                    <w:jc w:val="right"/>
                    <w:jc w:val="center"/>
                  </w:pPr>
                  <w:r>
                    <w:t xml:space="preserve">0.838</w:t>
                  </w:r>
                </w:p>
              </w:tc>
            </w:tr>
            <w:tr>
              <w:tc>
                <w:tcPr/>
                <w:p>
                  <w:pPr>
                    <w:pStyle w:val="Compact"/>
                    <w:jc w:val="left"/>
                    <w:jc w:val="center"/>
                  </w:pPr>
                  <w:r>
                    <w:t xml:space="preserve">idStrt010</w:t>
                  </w:r>
                </w:p>
              </w:tc>
              <w:tc>
                <w:tcPr/>
                <w:p>
                  <w:pPr>
                    <w:pStyle w:val="Compact"/>
                    <w:jc w:val="right"/>
                    <w:jc w:val="center"/>
                  </w:pPr>
                  <w:r>
                    <w:t xml:space="preserve">89.9</w:t>
                  </w:r>
                </w:p>
              </w:tc>
              <w:tc>
                <w:tcPr/>
                <w:p>
                  <w:pPr>
                    <w:pStyle w:val="Compact"/>
                    <w:jc w:val="right"/>
                    <w:jc w:val="center"/>
                  </w:pPr>
                  <w:r>
                    <w:t xml:space="preserve">1.830</w:t>
                  </w:r>
                </w:p>
              </w:tc>
            </w:tr>
          </w:tbl>
          <w:bookmarkEnd w:id="268"/>
          <w:p/>
        </w:tc>
      </w:tr>
    </w:tbl>
    <w:p>
      <w:pPr>
        <w:pStyle w:val="BodyText"/>
      </w:pPr>
      <w:r>
        <w:t xml:space="preserve">Una vez más, con el propósito de facilitar la visualización de los resultados, se utiliza la submuestra reducida definida previamente, la cual considera únicamente tres estratos seleccionados.</w:t>
      </w:r>
    </w:p>
    <w:p>
      <w:pPr>
        <w:pStyle w:val="SourceCode"/>
      </w:pPr>
      <w:r>
        <w:rPr>
          <w:rStyle w:val="NormalTok"/>
        </w:rPr>
        <w:t xml:space="preserve">estimated_coef </w:t>
      </w:r>
      <w:r>
        <w:rPr>
          <w:rStyle w:val="OtherTok"/>
        </w:rPr>
        <w:t xml:space="preserve">&lt;-</w:t>
      </w:r>
      <w:r>
        <w:rPr>
          <w:rStyle w:val="NormalTok"/>
        </w:rPr>
        <w:t xml:space="preserve"> </w:t>
      </w:r>
      <w:r>
        <w:rPr>
          <w:rStyle w:val="FunctionTok"/>
        </w:rPr>
        <w:t xml:space="preserve">inner_join</w:t>
      </w:r>
      <w:r>
        <w:rPr>
          <w:rStyle w:val="NormalTok"/>
        </w:rPr>
        <w:t xml:space="preserve">(</w:t>
      </w:r>
      <w:r>
        <w:br/>
      </w:r>
      <w:r>
        <w:rPr>
          <w:rStyle w:val="NormalTok"/>
        </w:rPr>
        <w:t xml:space="preserve">  </w:t>
      </w:r>
      <w:r>
        <w:rPr>
          <w:rStyle w:val="FunctionTok"/>
        </w:rPr>
        <w:t xml:space="preserve">coef</w:t>
      </w:r>
      <w:r>
        <w:rPr>
          <w:rStyle w:val="NormalTok"/>
        </w:rPr>
        <w:t xml:space="preserve">(random_slope_model)</w:t>
      </w:r>
      <w:r>
        <w:rPr>
          <w:rStyle w:val="SpecialCharTok"/>
        </w:rPr>
        <w:t xml:space="preserve">$</w:t>
      </w:r>
      <w:r>
        <w:rPr>
          <w:rStyle w:val="NormalTok"/>
        </w:rPr>
        <w:t xml:space="preserve">Stratum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"Stratum"</w:t>
      </w:r>
      <w:r>
        <w:rPr>
          <w:rStyle w:val="NormalTok"/>
        </w:rPr>
        <w:t xml:space="preserve">),</w:t>
      </w:r>
      <w:r>
        <w:br/>
      </w:r>
      <w:r>
        <w:rPr>
          <w:rStyle w:val="NormalTok"/>
        </w:rPr>
        <w:t xml:space="preserve">  plot_data </w:t>
      </w:r>
      <w:r>
        <w:rPr>
          <w:rStyle w:val="SpecialCharTok"/>
        </w:rPr>
        <w:t xml:space="preserve">%&gt;%</w:t>
      </w:r>
      <w:r>
        <w:br/>
      </w:r>
      <w:r>
        <w:rPr>
          <w:rStyle w:val="NormalTok"/>
        </w:rPr>
        <w:t xml:space="preserve">    </w:t>
      </w:r>
      <w:r>
        <w:rPr>
          <w:rStyle w:val="FunctionTok"/>
        </w:rPr>
        <w:t xml:space="preserve">select</w:t>
      </w:r>
      <w:r>
        <w:rPr>
          <w:rStyle w:val="NormalTok"/>
        </w:rPr>
        <w:t xml:space="preserve">(Stratum)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rPr>
          <w:rStyle w:val="NormalTok"/>
        </w:rPr>
        <w:t xml:space="preserve">)</w:t>
      </w:r>
    </w:p>
    <w:p>
      <w:pPr>
        <w:pStyle w:val="FirstParagraph"/>
      </w:pPr>
      <w:r>
        <w:t xml:space="preserve">La</w:t>
      </w:r>
      <w:r>
        <w:t xml:space="preserve"> </w:t>
      </w:r>
      <w:hyperlink w:anchor="fig-pendiente-aleatoria">
        <w:r>
          <w:rPr>
            <w:rStyle w:val="Hyperlink"/>
          </w:rPr>
          <w:t xml:space="preserve">figura 7.6</w:t>
        </w:r>
      </w:hyperlink>
      <w:r>
        <w:t xml:space="preserve"> </w:t>
      </w:r>
      <w:r>
        <w:t xml:space="preserve">presenta las rectas de regresión estimadas para cada estrato bajo el modelo de intercepto y pendiente aleatorios. A diferencia del modelo de intercepto aleatorio, en este caso las rectas difieren tanto en su posición vertical como en su inclinación, reflejando que los estratos no sólo presentan niveles promedio de ingreso distintos, sino también diferentes intensidades en la relación entre ingreso y gasto.</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data =</w:t>
      </w:r>
      <w:r>
        <w:rPr>
          <w:rStyle w:val="NormalTok"/>
        </w:rPr>
        <w:t xml:space="preserve"> estimated_coef,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slope =</w:t>
      </w:r>
      <w:r>
        <w:rPr>
          <w:rStyle w:val="NormalTok"/>
        </w:rPr>
        <w:t xml:space="preserve"> Expenditure,</w:t>
      </w:r>
      <w:r>
        <w:br/>
      </w:r>
      <w:r>
        <w:rPr>
          <w:rStyle w:val="NormalTok"/>
        </w:rPr>
        <w:t xml:space="preserve">                            </w:t>
      </w:r>
      <w:r>
        <w:rPr>
          <w:rStyle w:val="AttributeTok"/>
        </w:rPr>
        <w:t xml:space="preserve">intercept =</w:t>
      </w:r>
      <w:r>
        <w:rPr>
          <w:rStyle w:val="NormalTok"/>
        </w:rPr>
        <w:t xml:space="preserve"> </w:t>
      </w:r>
      <w:r>
        <w:rPr>
          <w:rStyle w:val="StringTok"/>
        </w:rPr>
        <w:t xml:space="preserve">`</w:t>
      </w:r>
      <w:r>
        <w:rPr>
          <w:rStyle w:val="AttributeTok"/>
        </w:rPr>
        <w:t xml:space="preserve">(Intercept)</w:t>
      </w:r>
      <w:r>
        <w:rPr>
          <w:rStyle w:val="StringTok"/>
        </w:rPr>
        <w:t xml:space="preserve">`</w:t>
      </w:r>
      <w:r>
        <w:rPr>
          <w:rStyle w:val="NormalTok"/>
        </w:rPr>
        <w:t xml:space="preserve">,</w:t>
      </w:r>
      <w:r>
        <w:br/>
      </w:r>
      <w:r>
        <w:rPr>
          <w:rStyle w:val="NormalTok"/>
        </w:rPr>
        <w:t xml:space="preserv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72" w:name="fig-pendiente-aleatoria"/>
          <w:p>
            <w:pPr>
              <w:pStyle w:val="Compact"/>
              <w:jc w:val="center"/>
            </w:pPr>
            <w:r>
              <w:drawing>
                <wp:inline>
                  <wp:extent cx="3733800" cy="2489200"/>
                  <wp:effectExtent b="0" l="0" r="0" t="0"/>
                  <wp:docPr descr="" title="" id="270" name="Picture"/>
                  <a:graphic>
                    <a:graphicData uri="http://schemas.openxmlformats.org/drawingml/2006/picture">
                      <pic:pic>
                        <pic:nvPicPr>
                          <pic:cNvPr descr="chapters/../figures/fig-pendiente-aleatoria-1.png" id="271" name="Picture"/>
                          <pic:cNvPicPr>
                            <a:picLocks noChangeArrowheads="1" noChangeAspect="1"/>
                          </pic:cNvPicPr>
                        </pic:nvPicPr>
                        <pic:blipFill>
                          <a:blip r:embed="rId269"/>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7.6: Rectas de regresión estimadas por estrato: modelo con intercepto y pendiente aleatoria</w:t>
            </w:r>
          </w:p>
          <w:bookmarkEnd w:id="272"/>
        </w:tc>
      </w:tr>
    </w:tbl>
    <w:bookmarkEnd w:id="273"/>
    <w:bookmarkEnd w:id="274"/>
    <w:bookmarkStart w:id="293" w:name="sec-logistica-multinivel"/>
    <w:p>
      <w:pPr>
        <w:pStyle w:val="Heading2"/>
      </w:pPr>
      <w:r>
        <w:t xml:space="preserve">7.4 Modelo logístico multinivel</w:t>
      </w:r>
    </w:p>
    <w:p>
      <w:pPr>
        <w:pStyle w:val="FirstParagraph"/>
      </w:pPr>
      <w:r>
        <w:t xml:space="preserve">De acuerdo con</w:t>
      </w:r>
      <w:r>
        <w:t xml:space="preserve"> </w:t>
      </w:r>
      <w:r>
        <w:t xml:space="preserve">Snijders y Bosker (2011)</w:t>
      </w:r>
      <w:r>
        <w:t xml:space="preserve"> </w:t>
      </w:r>
      <w:r>
        <w:t xml:space="preserve">y</w:t>
      </w:r>
      <w:r>
        <w:t xml:space="preserve"> </w:t>
      </w:r>
      <w:r>
        <w:t xml:space="preserve">Rabe-Hesketh y Skrondal (2012)</w:t>
      </w:r>
      <w:r>
        <w:t xml:space="preserve">, los modelos logísticos multinivel constituyen una extensión de los modelos multinivel para variables continuas al caso en que la variable respuesta es dicotómica. En lugar de modelar directamente el valor esperado de una variable continua, estos modelos estiman la probabilidad de ocurrencia de un evento, incorporando simultáneamente covariables individuales y efectos aleatorios asociados a los grupos de pertenencia. En el contexto de encuestas de hogares, esta formulación es especialmente útil cuando se analizan resultados binarios, como encontrarse o no en condición de pobreza, acceder o no a un servicio, participar o no en el mercado laboral, o presentar determinada característica sociodemográfica.</w:t>
      </w:r>
    </w:p>
    <w:p>
      <w:pPr>
        <w:pStyle w:val="BodyText"/>
      </w:pPr>
      <w:r>
        <w:t xml:space="preserve">Al igual que en los modelos multinivel para variables continuas, el punto de partida consiste en reconocer que las unidades de observación no son independientes cuando pertenecen a un mismo grupo sustantivo. Como se advirtió al inicio, un estrato, conglomerado o dominio del diseño solo debe emplearse como nivel aleatorio cuando corresponda al contexto que se desea modelar y el supuesto de efectos intercambiables sea defendible. Sin embargo, en el caso logístico la respuesta no se representa mediante una distribución normal con un error residual aditivo, sino mediante una distribución Bernoulli condicional a la probabilidad de ocurrencia del evento. Esta probabilidad se vincula con los predictores a través de la función logit, lo que permite expresar el modelo en una escala lineal.</w:t>
      </w:r>
    </w:p>
    <w:p>
      <w:pPr>
        <w:pStyle w:val="BodyText"/>
      </w:pPr>
      <m:oMathPara>
        <m:oMathParaPr>
          <m:jc m:val="center"/>
        </m:oMathParaPr>
        <m:oMath>
          <m:sSub>
            <m:e>
              <m:r>
                <m:t>y</m:t>
              </m:r>
            </m:e>
            <m:sub>
              <m:r>
                <m:t>k</m:t>
              </m:r>
              <m:r>
                <m:t>j</m:t>
              </m:r>
            </m:sub>
          </m:sSub>
          <m:r>
            <m:rPr>
              <m:sty m:val="p"/>
            </m:rPr>
            <m:t>∣</m:t>
          </m:r>
          <m:sSub>
            <m:e>
              <m:r>
                <m:t>π</m:t>
              </m:r>
            </m:e>
            <m:sub>
              <m:r>
                <m:t>k</m:t>
              </m:r>
              <m:r>
                <m:t>j</m:t>
              </m:r>
            </m:sub>
          </m:sSub>
          <m:r>
            <m:rPr>
              <m:sty m:val="p"/>
            </m:rPr>
            <m:t>∼</m:t>
          </m:r>
          <m:r>
            <m:rPr>
              <m:nor/>
              <m:sty m:val="p"/>
            </m:rPr>
            <m:t>Bernoulli</m:t>
          </m:r>
          <m:r>
            <m:rPr>
              <m:sty m:val="p"/>
            </m:rPr>
            <m:t>(</m:t>
          </m:r>
          <m:sSub>
            <m:e>
              <m:r>
                <m:t>π</m:t>
              </m:r>
            </m:e>
            <m:sub>
              <m:r>
                <m:t>k</m:t>
              </m:r>
              <m:r>
                <m:t>j</m:t>
              </m:r>
            </m:sub>
          </m:sSub>
          <m:r>
            <m:rPr>
              <m:sty m:val="p"/>
            </m:rPr>
            <m:t>)</m:t>
          </m:r>
        </m:oMath>
      </m:oMathPara>
    </w:p>
    <w:p>
      <w:pPr>
        <w:pStyle w:val="FirstParagraph"/>
      </w:pPr>
      <w:r>
        <w:t xml:space="preserve">donde</w:t>
      </w:r>
      <w:r>
        <w:t xml:space="preserve"> </w:t>
      </w:r>
      <m:oMath>
        <m:sSub>
          <m:e>
            <m:r>
              <m:t>y</m:t>
            </m:r>
          </m:e>
          <m:sub>
            <m:r>
              <m:t>k</m:t>
            </m:r>
            <m:r>
              <m:t>j</m:t>
            </m:r>
          </m:sub>
        </m:sSub>
      </m:oMath>
      <w:r>
        <w:t xml:space="preserve"> </w:t>
      </w:r>
      <w:r>
        <w:t xml:space="preserve">toma el valor uno si la unidad</w:t>
      </w:r>
      <w:r>
        <w:t xml:space="preserve"> </w:t>
      </w:r>
      <m:oMath>
        <m:r>
          <m:t>k</m:t>
        </m:r>
      </m:oMath>
      <w:r>
        <w:t xml:space="preserve"> </w:t>
      </w:r>
      <w:r>
        <w:t xml:space="preserve">del estrato</w:t>
      </w:r>
      <w:r>
        <w:t xml:space="preserve"> </w:t>
      </w:r>
      <m:oMath>
        <m:r>
          <m:t>j</m:t>
        </m:r>
      </m:oMath>
      <w:r>
        <w:t xml:space="preserve"> </w:t>
      </w:r>
      <w:r>
        <w:t xml:space="preserve">presenta el evento de interés y cero en caso contrario. La probabilidad condicional del evento se denota por</w:t>
      </w:r>
      <w:r>
        <w:t xml:space="preserve"> </w:t>
      </w:r>
      <m:oMath>
        <m:sSub>
          <m:e>
            <m:r>
              <m:t>π</m:t>
            </m:r>
          </m:e>
          <m:sub>
            <m:r>
              <m:t>k</m:t>
            </m:r>
            <m:r>
              <m:t>j</m:t>
            </m:r>
          </m:sub>
        </m:sSub>
        <m:r>
          <m:rPr>
            <m:sty m:val="p"/>
          </m:rPr>
          <m:t>=</m:t>
        </m:r>
        <m:r>
          <m:t>P</m:t>
        </m:r>
        <m:r>
          <m:t>r</m:t>
        </m:r>
        <m:r>
          <m:rPr>
            <m:sty m:val="p"/>
          </m:rPr>
          <m:t>(</m:t>
        </m:r>
        <m:sSub>
          <m:e>
            <m:r>
              <m:t>y</m:t>
            </m:r>
          </m:e>
          <m:sub>
            <m:r>
              <m:t>k</m:t>
            </m:r>
            <m:r>
              <m:t>j</m:t>
            </m:r>
          </m:sub>
        </m:sSub>
        <m:r>
          <m:rPr>
            <m:sty m:val="p"/>
          </m:rPr>
          <m:t>=</m:t>
        </m:r>
        <m:r>
          <m:t>1</m:t>
        </m:r>
        <m:r>
          <m:rPr>
            <m:sty m:val="p"/>
          </m:rPr>
          <m:t>)</m:t>
        </m:r>
      </m:oMath>
      <w:r>
        <w:t xml:space="preserve"> </w:t>
      </w:r>
      <w:r>
        <w:t xml:space="preserve">y se relaciona con el predictor lineal mediante</w:t>
      </w:r>
    </w:p>
    <w:p>
      <w:pPr>
        <w:pStyle w:val="BodyText"/>
      </w:pPr>
      <m:oMathPara>
        <m:oMathParaPr>
          <m:jc m:val="center"/>
        </m:oMathParaPr>
        <m:oMath>
          <m:r>
            <m:rPr>
              <m:nor/>
              <m:sty m:val="p"/>
            </m:rPr>
            <m:t>logit</m:t>
          </m:r>
          <m:r>
            <m:rPr>
              <m:sty m:val="p"/>
            </m:rPr>
            <m:t>(</m:t>
          </m:r>
          <m:sSub>
            <m:e>
              <m:r>
                <m:t>π</m:t>
              </m:r>
            </m:e>
            <m:sub>
              <m:r>
                <m:t>k</m:t>
              </m:r>
              <m:r>
                <m:t>j</m:t>
              </m:r>
            </m:sub>
          </m:sSub>
          <m:r>
            <m:rPr>
              <m:sty m:val="p"/>
            </m:rPr>
            <m:t>)</m:t>
          </m:r>
          <m:r>
            <m:rPr>
              <m:sty m:val="p"/>
            </m:rPr>
            <m:t>=</m:t>
          </m:r>
          <m:r>
            <m:rPr>
              <m:sty m:val="p"/>
            </m:rPr>
            <m:t>log</m:t>
          </m:r>
          <m:d>
            <m:dPr>
              <m:begChr m:val="("/>
              <m:sepChr m:val=""/>
              <m:endChr m:val=")"/>
              <m:grow/>
            </m:dPr>
            <m:e>
              <m:f>
                <m:fPr>
                  <m:type m:val="bar"/>
                </m:fPr>
                <m:num>
                  <m:sSub>
                    <m:e>
                      <m:r>
                        <m:t>π</m:t>
                      </m:r>
                    </m:e>
                    <m:sub>
                      <m:r>
                        <m:t>k</m:t>
                      </m:r>
                      <m:r>
                        <m:t>j</m:t>
                      </m:r>
                    </m:sub>
                  </m:sSub>
                </m:num>
                <m:den>
                  <m:r>
                    <m:t>1</m:t>
                  </m:r>
                  <m:r>
                    <m:rPr>
                      <m:sty m:val="p"/>
                    </m:rPr>
                    <m:t>−</m:t>
                  </m:r>
                  <m:sSub>
                    <m:e>
                      <m:r>
                        <m:t>π</m:t>
                      </m:r>
                    </m:e>
                    <m:sub>
                      <m:r>
                        <m:t>k</m:t>
                      </m:r>
                      <m:r>
                        <m:t>j</m:t>
                      </m:r>
                    </m:sub>
                  </m:sSub>
                </m:den>
              </m:f>
            </m:e>
          </m:d>
          <m:r>
            <m:rPr>
              <m:sty m:val="p"/>
            </m:rPr>
            <m:t>=</m:t>
          </m:r>
          <m:sSub>
            <m:e>
              <m:r>
                <m:t>η</m:t>
              </m:r>
            </m:e>
            <m:sub>
              <m:r>
                <m:t>k</m:t>
              </m:r>
              <m:r>
                <m:t>j</m:t>
              </m:r>
            </m:sub>
          </m:sSub>
        </m:oMath>
      </m:oMathPara>
    </w:p>
    <w:p>
      <w:pPr>
        <w:pStyle w:val="FirstParagraph"/>
      </w:pPr>
      <w:r>
        <w:t xml:space="preserve">En esta formulación,</w:t>
      </w:r>
      <w:r>
        <w:t xml:space="preserve"> </w:t>
      </w:r>
      <m:oMath>
        <m:sSub>
          <m:e>
            <m:r>
              <m:t>η</m:t>
            </m:r>
          </m:e>
          <m:sub>
            <m:r>
              <m:t>k</m:t>
            </m:r>
            <m:r>
              <m:t>j</m:t>
            </m:r>
          </m:sub>
        </m:sSub>
      </m:oMath>
      <w:r>
        <w:t xml:space="preserve"> </w:t>
      </w:r>
      <w:r>
        <w:t xml:space="preserve">cumple un papel análogo al valor esperado lineal de los modelos para variables continuas. La diferencia central es que los efectos fijos y aleatorios actúan sobre la escala logit y no directamente sobre la probabilidad. Por tanto, las diferencias entre estratos se interpretan como desplazamientos en los</w:t>
      </w:r>
      <w:r>
        <w:t xml:space="preserve"> </w:t>
      </w:r>
      <w:r>
        <w:rPr>
          <w:i/>
          <w:iCs/>
        </w:rPr>
        <w:t xml:space="preserve">log-odds</w:t>
      </w:r>
      <w:r>
        <w:t xml:space="preserve"> </w:t>
      </w:r>
      <w:r>
        <w:t xml:space="preserve">del evento, los cuales luego se transforman a probabilidades mediante la función logística. La</w:t>
      </w:r>
      <w:r>
        <w:t xml:space="preserve"> </w:t>
      </w:r>
      <w:hyperlink w:anchor="fig-logit-pobreza-gasto">
        <w:r>
          <w:rPr>
            <w:rStyle w:val="Hyperlink"/>
          </w:rPr>
          <w:t xml:space="preserve">figura 7.7</w:t>
        </w:r>
      </w:hyperlink>
      <w:r>
        <w:t xml:space="preserve"> </w:t>
      </w:r>
      <w:r>
        <w:t xml:space="preserve">presenta la relación entre gasto y probabilidad de pobreza, con una curva logística ajustada.</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survey_data,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poor, </w:t>
      </w:r>
      <w:r>
        <w:rPr>
          <w:rStyle w:val="AttributeTok"/>
        </w:rPr>
        <w:t xml:space="preserve">x =</w:t>
      </w:r>
      <w:r>
        <w:rPr>
          <w:rStyle w:val="NormalTok"/>
        </w:rPr>
        <w:t xml:space="preserve"> Expenditure))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w:t>
      </w:r>
      <w:r>
        <w:br/>
      </w:r>
      <w:r>
        <w:rPr>
          <w:rStyle w:val="NormalTok"/>
        </w:rPr>
        <w:t xml:space="preserve">    </w:t>
      </w:r>
      <w:r>
        <w:rPr>
          <w:rStyle w:val="AttributeTok"/>
        </w:rPr>
        <w:t xml:space="preserve">method =</w:t>
      </w:r>
      <w:r>
        <w:rPr>
          <w:rStyle w:val="NormalTok"/>
        </w:rPr>
        <w:t xml:space="preserve"> </w:t>
      </w:r>
      <w:r>
        <w:rPr>
          <w:rStyle w:val="StringTok"/>
        </w:rPr>
        <w:t xml:space="preserve">"glm"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"Poverty (1 = poor)"</w:t>
      </w:r>
      <w:r>
        <w:rPr>
          <w:rStyle w:val="NormalTok"/>
        </w:rPr>
        <w:t xml:space="preserve">, </w:t>
      </w:r>
      <w:r>
        <w:rPr>
          <w:rStyle w:val="AttributeTok"/>
        </w:rPr>
        <w:t xml:space="preserve">x =</w:t>
      </w:r>
      <w:r>
        <w:rPr>
          <w:rStyle w:val="NormalTok"/>
        </w:rPr>
        <w:t xml:space="preserve"> </w:t>
      </w:r>
      <w:r>
        <w:rPr>
          <w:rStyle w:val="StringTok"/>
        </w:rPr>
        <w:t xml:space="preserve">"Expenditure"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8" w:name="fig-logit-pobreza-gasto"/>
          <w:p>
            <w:pPr>
              <w:pStyle w:val="Compact"/>
              <w:jc w:val="center"/>
            </w:pPr>
            <w:r>
              <w:drawing>
                <wp:inline>
                  <wp:extent cx="3733800" cy="2489200"/>
                  <wp:effectExtent b="0" l="0" r="0" t="0"/>
                  <wp:docPr descr="" title="" id="276" name="Picture"/>
                  <a:graphic>
                    <a:graphicData uri="http://schemas.openxmlformats.org/drawingml/2006/picture">
                      <pic:pic>
                        <pic:nvPicPr>
                          <pic:cNvPr descr="chapters/../figures/fig-logit-pobreza-gasto-1.png" id="277" name="Picture"/>
                          <pic:cNvPicPr>
                            <a:picLocks noChangeArrowheads="1" noChangeAspect="1"/>
                          </pic:cNvPicPr>
                        </pic:nvPicPr>
                        <pic:blipFill>
                          <a:blip r:embed="rId275"/>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7.7: Relación entre gasto y condición de pobreza con curva logística ajustada</w:t>
            </w:r>
          </w:p>
          <w:bookmarkEnd w:id="278"/>
        </w:tc>
      </w:tr>
    </w:tbl>
    <w:p>
      <w:pPr>
        <w:pStyle w:val="BodyText"/>
      </w:pPr>
      <w:r>
        <w:t xml:space="preserve">La curva ajustada resume la asociación marginal entre el gasto y la condición de pobreza, sin incorporar todavía la estructura jerárquica de los estratos. En términos generales, la forma descendente de la curva indica que, a medida que aumenta el gasto del hogar, disminuye la probabilidad estimada de encontrarse en condición de pobreza. Sin embargo, esta relación promedio puede ocultar diferencias relevantes entre estratos, especialmente cuando los hogares pertenecen a contextos socioeconómicos distintos.</w:t>
      </w:r>
    </w:p>
    <w:bookmarkStart w:id="280" w:name="modelo-nulo-logistico"/>
    <w:p>
      <w:pPr>
        <w:pStyle w:val="Heading3"/>
      </w:pPr>
      <w:r>
        <w:t xml:space="preserve">7.4.1 Modelo nulo logístico</w:t>
      </w:r>
    </w:p>
    <w:p>
      <w:pPr>
        <w:pStyle w:val="FirstParagraph"/>
      </w:pPr>
      <w:r>
        <w:t xml:space="preserve">Según</w:t>
      </w:r>
      <w:r>
        <w:t xml:space="preserve"> </w:t>
      </w:r>
      <w:r>
        <w:t xml:space="preserve">Snijders y Bosker (2011)</w:t>
      </w:r>
      <w:r>
        <w:t xml:space="preserve">, como en el caso de variables continuas, el modelo nulo logístico constituye el punto de partida para estudiar la estructura jerárquica de la variable respuesta. Este modelo no incorpora covariables y permite evaluar si la probabilidad promedio del evento varía entre estratos. En el ejemplo considerado, el evento de interés corresponde a la condición de pobreza, de modo que el modelo permite separar la heterogeneidad atribuible a diferencias entre estratos de la variación individual propia de una respuesta binaria.</w:t>
      </w:r>
    </w:p>
    <w:p>
      <w:pPr>
        <w:pStyle w:val="BodyText"/>
      </w:pPr>
      <w:r>
        <w:t xml:space="preserve">En el modelo nulo, la variable de interés sigue la siguiente distribución Bernoulli:</w:t>
      </w:r>
    </w:p>
    <w:p>
      <w:pPr>
        <w:pStyle w:val="BodyText"/>
      </w:pPr>
      <m:oMathPara>
        <m:oMathParaPr>
          <m:jc m:val="center"/>
        </m:oMathParaPr>
        <m:oMath>
          <m:sSub>
            <m:e>
              <m:r>
                <m:t>y</m:t>
              </m:r>
            </m:e>
            <m:sub>
              <m:r>
                <m:t>k</m:t>
              </m:r>
              <m:r>
                <m:t>j</m:t>
              </m:r>
            </m:sub>
          </m:sSub>
          <m:r>
            <m:rPr>
              <m:sty m:val="p"/>
            </m:rPr>
            <m:t>∣</m:t>
          </m:r>
          <m:sSub>
            <m:e>
              <m:r>
                <m:t>π</m:t>
              </m:r>
            </m:e>
            <m:sub>
              <m:r>
                <m:t>k</m:t>
              </m:r>
              <m:r>
                <m:t>j</m:t>
              </m:r>
            </m:sub>
          </m:sSub>
          <m:r>
            <m:rPr>
              <m:sty m:val="p"/>
            </m:rPr>
            <m:t>∼</m:t>
          </m:r>
          <m:r>
            <m:rPr>
              <m:nor/>
              <m:sty m:val="p"/>
            </m:rPr>
            <m:t>Bernoulli</m:t>
          </m:r>
          <m:r>
            <m:rPr>
              <m:sty m:val="p"/>
            </m:rPr>
            <m:t>(</m:t>
          </m:r>
          <m:sSub>
            <m:e>
              <m:r>
                <m:t>π</m:t>
              </m:r>
            </m:e>
            <m:sub>
              <m:r>
                <m:t>k</m:t>
              </m:r>
              <m:r>
                <m:t>j</m:t>
              </m:r>
            </m:sub>
          </m:sSub>
          <m:r>
            <m:rPr>
              <m:sty m:val="p"/>
            </m:rPr>
            <m:t>)</m:t>
          </m:r>
        </m:oMath>
      </m:oMathPara>
    </w:p>
    <w:p>
      <w:pPr>
        <w:pStyle w:val="FirstParagraph"/>
      </w:pPr>
      <w:r>
        <w:t xml:space="preserve">En donde la probabilidad de éxito para la unidad</w:t>
      </w:r>
      <w:r>
        <w:t xml:space="preserve"> </w:t>
      </w:r>
      <m:oMath>
        <m:r>
          <m:t>k</m:t>
        </m:r>
      </m:oMath>
      <w:r>
        <w:t xml:space="preserve"> </w:t>
      </w:r>
      <w:r>
        <w:t xml:space="preserve">perteneciente al grupo</w:t>
      </w:r>
      <w:r>
        <w:t xml:space="preserve"> </w:t>
      </w:r>
      <m:oMath>
        <m:r>
          <m:t>j</m:t>
        </m:r>
      </m:oMath>
      <w:r>
        <w:t xml:space="preserve"> </w:t>
      </w:r>
      <w:r>
        <w:t xml:space="preserve">se modela mediante</w:t>
      </w:r>
    </w:p>
    <w:p>
      <w:pPr>
        <w:pStyle w:val="BodyText"/>
      </w:pPr>
      <m:oMathPara>
        <m:oMathParaPr>
          <m:jc m:val="center"/>
        </m:oMathParaPr>
        <m:oMath>
          <m:r>
            <m:rPr>
              <m:nor/>
              <m:sty m:val="p"/>
            </m:rPr>
            <m:t>logit</m:t>
          </m:r>
          <m:r>
            <m:rPr>
              <m:sty m:val="p"/>
            </m:rPr>
            <m:t>(</m:t>
          </m:r>
          <m:sSub>
            <m:e>
              <m:r>
                <m:t>π</m:t>
              </m:r>
            </m:e>
            <m:sub>
              <m:r>
                <m:t>k</m:t>
              </m:r>
              <m:r>
                <m:t>j</m:t>
              </m:r>
            </m:sub>
          </m:sSub>
          <m:r>
            <m:rPr>
              <m:sty m:val="p"/>
            </m:rPr>
            <m:t>)</m:t>
          </m:r>
          <m:r>
            <m:rPr>
              <m:sty m:val="p"/>
            </m:rPr>
            <m:t>=</m:t>
          </m:r>
          <m:sSub>
            <m:e>
              <m:r>
                <m:t>β</m:t>
              </m:r>
            </m:e>
            <m:sub>
              <m:r>
                <m:t>0</m:t>
              </m:r>
              <m:r>
                <m:t>j</m:t>
              </m:r>
            </m:sub>
          </m:sSub>
          <m:r>
            <m:rPr>
              <m:sty m:val="p"/>
            </m:rPr>
            <m:t>,</m:t>
          </m:r>
        </m:oMath>
      </m:oMathPara>
    </w:p>
    <w:p>
      <w:pPr>
        <w:pStyle w:val="FirstParagraph"/>
      </w:pPr>
      <w:r>
        <w:t xml:space="preserve">donde</w:t>
      </w:r>
      <w:r>
        <w:t xml:space="preserve"> </w:t>
      </w:r>
      <m:oMath>
        <m:sSub>
          <m:e>
            <m:r>
              <m:t>β</m:t>
            </m:r>
          </m:e>
          <m:sub>
            <m:r>
              <m:t>0</m:t>
            </m:r>
            <m:r>
              <m:t>j</m:t>
            </m:r>
          </m:sub>
        </m:sSub>
      </m:oMath>
      <w:r>
        <w:t xml:space="preserve"> </w:t>
      </w:r>
      <w:r>
        <w:t xml:space="preserve">representa el intercepto específico del estrato</w:t>
      </w:r>
      <w:r>
        <w:t xml:space="preserve"> </w:t>
      </w:r>
      <m:oMath>
        <m:r>
          <m:t>j</m:t>
        </m:r>
      </m:oMath>
      <w:r>
        <w:t xml:space="preserve"> </w:t>
      </w:r>
      <w:r>
        <w:t xml:space="preserve">en escala logit. A su vez, dicho intercepto se descompone como</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τ</m:t>
              </m:r>
            </m:e>
            <m:sub>
              <m:r>
                <m:t>0</m:t>
              </m:r>
              <m:r>
                <m:t>j</m:t>
              </m:r>
            </m:sub>
          </m:sSub>
        </m:oMath>
      </m:oMathPara>
    </w:p>
    <w:p>
      <w:pPr>
        <w:pStyle w:val="FirstParagraph"/>
      </w:pPr>
      <w:r>
        <w:t xml:space="preserve">siendo</w:t>
      </w:r>
      <w:r>
        <w:t xml:space="preserve"> </w:t>
      </w:r>
      <m:oMath>
        <m:sSub>
          <m:e>
            <m:r>
              <m:t>γ</m:t>
            </m:r>
          </m:e>
          <m:sub>
            <m:r>
              <m:t>00</m:t>
            </m:r>
          </m:sub>
        </m:sSub>
      </m:oMath>
      <w:r>
        <w:t xml:space="preserve"> </w:t>
      </w:r>
      <w:r>
        <w:t xml:space="preserve">el intercepto promedio global de la población y</w:t>
      </w:r>
      <w:r>
        <w:t xml:space="preserve"> </w:t>
      </w:r>
      <m:oMath>
        <m:sSub>
          <m:e>
            <m:r>
              <m:t>τ</m:t>
            </m:r>
          </m:e>
          <m:sub>
            <m:r>
              <m:t>0</m:t>
            </m:r>
            <m:r>
              <m:t>j</m:t>
            </m:r>
          </m:sub>
        </m:sSub>
      </m:oMath>
      <w:r>
        <w:t xml:space="preserve"> </w:t>
      </w:r>
      <w:r>
        <w:t xml:space="preserve">el efecto aleatorio asociado al estrato</w:t>
      </w:r>
      <w:r>
        <w:t xml:space="preserve"> </w:t>
      </w:r>
      <m:oMath>
        <m:r>
          <m:t>j</m:t>
        </m:r>
      </m:oMath>
      <w:r>
        <w:t xml:space="preserve">, el cual captura las desviaciones de cada grupo respecto al promedio general. Al igual que en el modelo nulo para variables continuas, este efecto aleatorio permite modelar explícitamente la heterogeneidad entre grupos:</w:t>
      </w:r>
    </w:p>
    <w:p>
      <w:pPr>
        <w:pStyle w:val="BodyText"/>
      </w:pPr>
      <m:oMathPara>
        <m:oMathParaPr>
          <m:jc m:val="center"/>
        </m:oMathParaPr>
        <m:oMath>
          <m:sSub>
            <m:e>
              <m:r>
                <m:t>τ</m:t>
              </m:r>
            </m:e>
            <m:sub>
              <m:r>
                <m:t>0</m:t>
              </m:r>
              <m:r>
                <m:t>j</m:t>
              </m:r>
            </m:sub>
          </m:sSub>
          <m:r>
            <m:rPr>
              <m:sty m:val="p"/>
            </m:rPr>
            <m:t>∼</m:t>
          </m:r>
          <m:r>
            <m:t>N</m:t>
          </m:r>
          <m:r>
            <m:rPr>
              <m:sty m:val="p"/>
            </m:rPr>
            <m:t>(</m:t>
          </m:r>
          <m:r>
            <m:t>0</m:t>
          </m:r>
          <m:r>
            <m:rPr>
              <m:sty m:val="p"/>
            </m:rPr>
            <m:t>,</m:t>
          </m:r>
          <m:sSubSup>
            <m:e>
              <m:r>
                <m:t>σ</m:t>
              </m:r>
            </m:e>
            <m:sub>
              <m:r>
                <m:t>τ</m:t>
              </m:r>
            </m:sub>
            <m:sup>
              <m:r>
                <m:t>2</m:t>
              </m:r>
            </m:sup>
          </m:sSubSup>
          <m:r>
            <m:rPr>
              <m:sty m:val="p"/>
            </m:rPr>
            <m:t>)</m:t>
          </m:r>
        </m:oMath>
      </m:oMathPara>
    </w:p>
    <w:p>
      <w:pPr>
        <w:pStyle w:val="FirstParagraph"/>
      </w:pPr>
      <w:r>
        <w:t xml:space="preserve">De acuerdo con</w:t>
      </w:r>
      <w:r>
        <w:t xml:space="preserve"> </w:t>
      </w:r>
      <w:r>
        <w:t xml:space="preserve">Merlo et al. (2006)</w:t>
      </w:r>
      <w:r>
        <w:t xml:space="preserve">, a diferencia del modelo lineal multinivel, aquí no se incorpora un término residual aditivo</w:t>
      </w:r>
      <w:r>
        <w:t xml:space="preserve"> </w:t>
      </w:r>
      <m:oMath>
        <m:sSub>
          <m:e>
            <m:r>
              <m:t>ϵ</m:t>
            </m:r>
          </m:e>
          <m:sub>
            <m:r>
              <m:t>k</m:t>
            </m:r>
            <m:r>
              <m:t>j</m:t>
            </m:r>
          </m:sub>
        </m:sSub>
      </m:oMath>
      <w:r>
        <w:t xml:space="preserve"> </w:t>
      </w:r>
      <w:r>
        <w:t xml:space="preserve">en la ecuación del nivel individual. La variabilidad interna en el grupo está determinada por la distribución Bernoulli de la respuesta. Para cuantificar la dependencia entre unidades pertenecientes al mismo estrato, puede utilizarse el enfoque de variable latente, bajo el cual esta varianza residual se aproxima por la varianza de la distribución logística estándar, es decir,</w:t>
      </w:r>
      <w:r>
        <w:t xml:space="preserve"> </w:t>
      </w:r>
      <m:oMath>
        <m:sSup>
          <m:e>
            <m:r>
              <m:t>π</m:t>
            </m:r>
          </m:e>
          <m:sup>
            <m:r>
              <m:t>2</m:t>
            </m:r>
          </m:sup>
        </m:sSup>
        <m:r>
          <m:rPr>
            <m:sty m:val="p"/>
          </m:rPr>
          <m:t>/</m:t>
        </m:r>
        <m:r>
          <m:t>3</m:t>
        </m:r>
      </m:oMath>
      <w:r>
        <w:t xml:space="preserve">. Así, la correlación intraclase del modelo logístico se expresa como</w:t>
      </w:r>
    </w:p>
    <w:p>
      <w:pPr>
        <w:pStyle w:val="BodyText"/>
      </w:pPr>
      <m:oMathPara>
        <m:oMathParaPr>
          <m:jc m:val="center"/>
        </m:oMathParaPr>
        <m:oMath>
          <m:r>
            <m:t>ρ</m:t>
          </m:r>
          <m:r>
            <m:rPr>
              <m:sty m:val="p"/>
            </m:rPr>
            <m:t>=</m:t>
          </m:r>
          <m:f>
            <m:fPr>
              <m:type m:val="bar"/>
            </m:fPr>
            <m:num>
              <m:sSubSup>
                <m:e>
                  <m:r>
                    <m:t>σ</m:t>
                  </m:r>
                </m:e>
                <m:sub>
                  <m:r>
                    <m:t>τ</m:t>
                  </m:r>
                </m:sub>
                <m:sup>
                  <m:r>
                    <m:t>2</m:t>
                  </m:r>
                </m:sup>
              </m:sSubSup>
            </m:num>
            <m:den>
              <m:sSubSup>
                <m:e>
                  <m:r>
                    <m:t>σ</m:t>
                  </m:r>
                </m:e>
                <m:sub>
                  <m:r>
                    <m:t>τ</m:t>
                  </m:r>
                </m:sub>
                <m:sup>
                  <m:r>
                    <m:t>2</m:t>
                  </m:r>
                </m:sup>
              </m:sSubSup>
              <m:r>
                <m:rPr>
                  <m:sty m:val="p"/>
                </m:rPr>
                <m:t>+</m:t>
              </m:r>
              <m:f>
                <m:fPr>
                  <m:type m:val="bar"/>
                </m:fPr>
                <m:num>
                  <m:sSup>
                    <m:e>
                      <m:r>
                        <m:t>π</m:t>
                      </m:r>
                    </m:e>
                    <m:sup>
                      <m:r>
                        <m:t>2</m:t>
                      </m:r>
                    </m:sup>
                  </m:sSup>
                </m:num>
                <m:den>
                  <m:r>
                    <m:t>3</m:t>
                  </m:r>
                </m:den>
              </m:f>
            </m:den>
          </m:f>
        </m:oMath>
      </m:oMathPara>
    </w:p>
    <w:p>
      <w:pPr>
        <w:pStyle w:val="FirstParagraph"/>
      </w:pPr>
      <w:r>
        <w:t xml:space="preserve">De acuerdo con</w:t>
      </w:r>
      <w:r>
        <w:t xml:space="preserve"> </w:t>
      </w:r>
      <w:r>
        <w:t xml:space="preserve">Bates et al. (2015)</w:t>
      </w:r>
      <w:r>
        <w:t xml:space="preserve">, un valor elevado de</w:t>
      </w:r>
      <w:r>
        <w:t xml:space="preserve"> </w:t>
      </w:r>
      <m:oMath>
        <m:r>
          <m:t>ρ</m:t>
        </m:r>
      </m:oMath>
      <w:r>
        <w:t xml:space="preserve"> </w:t>
      </w:r>
      <w:r>
        <w:t xml:space="preserve">indica que la probabilidad del evento presenta una estructura de agrupamiento importante, es decir, que dos unidades pertenecientes al mismo estrato tienden a parecerse más entre sí que dos unidades tomadas de estratos distintos. En contraste, un valor bajo sugiere que la mayor parte de la variación se concentra a nivel individual. Este ICC es una medida en escala latente y no equivale directamente a una correlación de respuestas binarias observadas. El ajuste en</w:t>
      </w:r>
      <w:r>
        <w:t xml:space="preserve"> </w:t>
      </w:r>
      <w:r>
        <w:rPr>
          <w:rStyle w:val="VerbatimChar"/>
        </w:rPr>
        <w:t xml:space="preserve">R</w:t>
      </w:r>
      <w:r>
        <w:t xml:space="preserve">, mediante</w:t>
      </w:r>
      <w:r>
        <w:t xml:space="preserve"> </w:t>
      </w:r>
      <w:r>
        <w:rPr>
          <w:rStyle w:val="VerbatimChar"/>
        </w:rPr>
        <w:t xml:space="preserve">glmer()</w:t>
      </w:r>
      <w:r>
        <w:t xml:space="preserve">, se realiza de la siguiente manera:</w:t>
      </w:r>
    </w:p>
    <w:p>
      <w:pPr>
        <w:pStyle w:val="SourceCode"/>
      </w:pPr>
      <w:r>
        <w:rPr>
          <w:rStyle w:val="NormalTok"/>
        </w:rPr>
        <w:t xml:space="preserve">logistic_null_model </w:t>
      </w:r>
      <w:r>
        <w:rPr>
          <w:rStyle w:val="OtherTok"/>
        </w:rPr>
        <w:t xml:space="preserve">&lt;-</w:t>
      </w:r>
      <w:r>
        <w:rPr>
          <w:rStyle w:val="NormalTok"/>
        </w:rPr>
        <w:t xml:space="preserve"> </w:t>
      </w:r>
      <w:r>
        <w:rPr>
          <w:rStyle w:val="FunctionTok"/>
        </w:rPr>
        <w:t xml:space="preserve">glmer</w:t>
      </w:r>
      <w:r>
        <w:rPr>
          <w:rStyle w:val="NormalTok"/>
        </w:rPr>
        <w:t xml:space="preserve">(</w:t>
      </w:r>
      <w:r>
        <w:br/>
      </w:r>
      <w:r>
        <w:rPr>
          <w:rStyle w:val="NormalTok"/>
        </w:rPr>
        <w:t xml:space="preserve">  poor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Stratum),</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AttributeTok"/>
        </w:rPr>
        <w:t xml:space="preserve">weights =</w:t>
      </w:r>
      <w:r>
        <w:rPr>
          <w:rStyle w:val="NormalTok"/>
        </w:rPr>
        <w:t xml:space="preserve"> qk,</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p>
    <w:p>
      <w:pPr>
        <w:pStyle w:val="FirstParagraph"/>
      </w:pPr>
      <w:r>
        <w:t xml:space="preserve">Los coeficientes del modelo nulo logístico por estrato se presentan en la</w:t>
      </w:r>
      <w:r>
        <w:t xml:space="preserve"> </w:t>
      </w:r>
      <w:hyperlink w:anchor="tbl-coef-logit-nulo">
        <w:r>
          <w:rPr>
            <w:rStyle w:val="Hyperlink"/>
          </w:rPr>
          <w:t xml:space="preserve">tabla 7.5</w:t>
        </w:r>
      </w:hyperlink>
      <w:r>
        <w:t xml:space="preserve">. Los interceptos estimados en el modelo nulo muestran una heterogeneidad considerable entre estratos. En los primeros estratos reportados, algunos interceptos son fuertemente negativos, como</w:t>
      </w:r>
      <w:r>
        <w:t xml:space="preserve"> </w:t>
      </w:r>
      <w:r>
        <w:rPr>
          <w:rStyle w:val="VerbatimChar"/>
        </w:rPr>
        <w:t xml:space="preserve">idStrt004</w:t>
      </w:r>
      <w:r>
        <w:t xml:space="preserve"> </w:t>
      </w:r>
      <w:r>
        <w:t xml:space="preserve">e</w:t>
      </w:r>
      <w:r>
        <w:t xml:space="preserve"> </w:t>
      </w:r>
      <w:r>
        <w:rPr>
          <w:rStyle w:val="VerbatimChar"/>
        </w:rPr>
        <w:t xml:space="preserve">idStrt003</w:t>
      </w:r>
      <w:r>
        <w:t xml:space="preserve">, lo que corresponde a probabilidades base muy bajas de pobreza. En contraste, estratos como</w:t>
      </w:r>
      <w:r>
        <w:t xml:space="preserve"> </w:t>
      </w:r>
      <w:r>
        <w:rPr>
          <w:rStyle w:val="VerbatimChar"/>
        </w:rPr>
        <w:t xml:space="preserve">idStrt009</w:t>
      </w:r>
      <w:r>
        <w:t xml:space="preserve"> </w:t>
      </w:r>
      <w:r>
        <w:t xml:space="preserve">e</w:t>
      </w:r>
      <w:r>
        <w:t xml:space="preserve"> </w:t>
      </w:r>
      <w:r>
        <w:rPr>
          <w:rStyle w:val="VerbatimChar"/>
        </w:rPr>
        <w:t xml:space="preserve">idStrt006</w:t>
      </w:r>
      <w:r>
        <w:t xml:space="preserve"> </w:t>
      </w:r>
      <w:r>
        <w:t xml:space="preserve">presentan interceptos positivos y elevados, asociados con probabilidades base mucho mayores.</w:t>
      </w:r>
    </w:p>
    <w:p>
      <w:pPr>
        <w:pStyle w:val="SourceCode"/>
      </w:pPr>
      <w:r>
        <w:rPr>
          <w:rStyle w:val="FunctionTok"/>
        </w:rPr>
        <w:t xml:space="preserve">coef</w:t>
      </w:r>
      <w:r>
        <w:rPr>
          <w:rStyle w:val="NormalTok"/>
        </w:rPr>
        <w:t xml:space="preserve">(logistic_null_model)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L)</w:t>
      </w:r>
    </w:p>
    <w:p>
      <w:pPr>
        <w:pStyle w:val="SourceCode"/>
      </w:pPr>
      <w:r>
        <w:rPr>
          <w:rStyle w:val="FunctionTok"/>
        </w:rPr>
        <w:t xml:space="preserve">coef</w:t>
      </w:r>
      <w:r>
        <w:rPr>
          <w:rStyle w:val="NormalTok"/>
        </w:rPr>
        <w:t xml:space="preserve">(logistic_null_model)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9" w:name="tbl-coef-logit-nulo"/>
          <w:p>
            <w:pPr>
              <w:jc w:val="center"/>
            </w:pPr>
            <w:pPr>
              <w:jc w:val="left"/>
              <w:spacing w:before="200"/>
              <w:pStyle w:val="ImageCaption"/>
            </w:pPr>
            <w:r>
              <w:t xml:space="preserve">Tabla 7.5: Interceptos estimados por estrato en el modelo logístico nulo (primeros 12 estratos)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(Intercept)</w:t>
                  </w:r>
                </w:p>
              </w:tc>
            </w:tr>
            <w:tr>
              <w:tc>
                <w:tcPr/>
                <w:p>
                  <w:pPr>
                    <w:pStyle w:val="Compact"/>
                    <w:jc w:val="left"/>
                    <w:jc w:val="center"/>
                  </w:pPr>
                  <w:r>
                    <w:t xml:space="preserve">idStrt001</w:t>
                  </w:r>
                </w:p>
              </w:tc>
              <w:tc>
                <w:tcPr/>
                <w:p>
                  <w:pPr>
                    <w:pStyle w:val="Compact"/>
                    <w:jc w:val="right"/>
                    <w:jc w:val="center"/>
                  </w:pPr>
                  <w:r>
                    <w:t xml:space="preserve">-0.852</w:t>
                  </w:r>
                </w:p>
              </w:tc>
            </w:tr>
            <w:tr>
              <w:tc>
                <w:tcPr/>
                <w:p>
                  <w:pPr>
                    <w:pStyle w:val="Compact"/>
                    <w:jc w:val="left"/>
                    <w:jc w:val="center"/>
                  </w:pPr>
                  <w:r>
                    <w:t xml:space="preserve">idStrt002</w:t>
                  </w:r>
                </w:p>
              </w:tc>
              <w:tc>
                <w:tcPr/>
                <w:p>
                  <w:pPr>
                    <w:pStyle w:val="Compact"/>
                    <w:jc w:val="right"/>
                    <w:jc w:val="center"/>
                  </w:pPr>
                  <w:r>
                    <w:t xml:space="preserve">-0.038</w:t>
                  </w:r>
                </w:p>
              </w:tc>
            </w:tr>
            <w:tr>
              <w:tc>
                <w:tcPr/>
                <w:p>
                  <w:pPr>
                    <w:pStyle w:val="Compact"/>
                    <w:jc w:val="left"/>
                    <w:jc w:val="center"/>
                  </w:pPr>
                  <w:r>
                    <w:t xml:space="preserve">idStrt003</w:t>
                  </w:r>
                </w:p>
              </w:tc>
              <w:tc>
                <w:tcPr/>
                <w:p>
                  <w:pPr>
                    <w:pStyle w:val="Compact"/>
                    <w:jc w:val="right"/>
                    <w:jc w:val="center"/>
                  </w:pPr>
                  <w:r>
                    <w:t xml:space="preserve">-2.378</w:t>
                  </w:r>
                </w:p>
              </w:tc>
            </w:tr>
            <w:tr>
              <w:tc>
                <w:tcPr/>
                <w:p>
                  <w:pPr>
                    <w:pStyle w:val="Compact"/>
                    <w:jc w:val="left"/>
                    <w:jc w:val="center"/>
                  </w:pPr>
                  <w:r>
                    <w:t xml:space="preserve">idStrt004</w:t>
                  </w:r>
                </w:p>
              </w:tc>
              <w:tc>
                <w:tcPr/>
                <w:p>
                  <w:pPr>
                    <w:pStyle w:val="Compact"/>
                    <w:jc w:val="right"/>
                    <w:jc w:val="center"/>
                  </w:pPr>
                  <w:r>
                    <w:t xml:space="preserve">-2.618</w:t>
                  </w:r>
                </w:p>
              </w:tc>
            </w:tr>
            <w:tr>
              <w:tc>
                <w:tcPr/>
                <w:p>
                  <w:pPr>
                    <w:pStyle w:val="Compact"/>
                    <w:jc w:val="left"/>
                    <w:jc w:val="center"/>
                  </w:pPr>
                  <w:r>
                    <w:t xml:space="preserve">idStrt005</w:t>
                  </w:r>
                </w:p>
              </w:tc>
              <w:tc>
                <w:tcPr/>
                <w:p>
                  <w:pPr>
                    <w:pStyle w:val="Compact"/>
                    <w:jc w:val="right"/>
                    <w:jc w:val="center"/>
                  </w:pPr>
                  <w:r>
                    <w:t xml:space="preserve">-1.037</w:t>
                  </w:r>
                </w:p>
              </w:tc>
            </w:tr>
            <w:tr>
              <w:tc>
                <w:tcPr/>
                <w:p>
                  <w:pPr>
                    <w:pStyle w:val="Compact"/>
                    <w:jc w:val="left"/>
                    <w:jc w:val="center"/>
                  </w:pPr>
                  <w:r>
                    <w:t xml:space="preserve">idStrt006</w:t>
                  </w:r>
                </w:p>
              </w:tc>
              <w:tc>
                <w:tcPr/>
                <w:p>
                  <w:pPr>
                    <w:pStyle w:val="Compact"/>
                    <w:jc w:val="right"/>
                    <w:jc w:val="center"/>
                  </w:pPr>
                  <w:r>
                    <w:t xml:space="preserve">0.902</w:t>
                  </w:r>
                </w:p>
              </w:tc>
            </w:tr>
            <w:tr>
              <w:tc>
                <w:tcPr/>
                <w:p>
                  <w:pPr>
                    <w:pStyle w:val="Compact"/>
                    <w:jc w:val="left"/>
                    <w:jc w:val="center"/>
                  </w:pPr>
                  <w:r>
                    <w:t xml:space="preserve">idStrt007</w:t>
                  </w:r>
                </w:p>
              </w:tc>
              <w:tc>
                <w:tcPr/>
                <w:p>
                  <w:pPr>
                    <w:pStyle w:val="Compact"/>
                    <w:jc w:val="right"/>
                    <w:jc w:val="center"/>
                  </w:pPr>
                  <w:r>
                    <w:t xml:space="preserve">-1.018</w:t>
                  </w:r>
                </w:p>
              </w:tc>
            </w:tr>
            <w:tr>
              <w:tc>
                <w:tcPr/>
                <w:p>
                  <w:pPr>
                    <w:pStyle w:val="Compact"/>
                    <w:jc w:val="left"/>
                    <w:jc w:val="center"/>
                  </w:pPr>
                  <w:r>
                    <w:t xml:space="preserve">idStrt008</w:t>
                  </w:r>
                </w:p>
              </w:tc>
              <w:tc>
                <w:tcPr/>
                <w:p>
                  <w:pPr>
                    <w:pStyle w:val="Compact"/>
                    <w:jc w:val="right"/>
                    <w:jc w:val="center"/>
                  </w:pPr>
                  <w:r>
                    <w:t xml:space="preserve">0.156</w:t>
                  </w:r>
                </w:p>
              </w:tc>
            </w:tr>
            <w:tr>
              <w:tc>
                <w:tcPr/>
                <w:p>
                  <w:pPr>
                    <w:pStyle w:val="Compact"/>
                    <w:jc w:val="left"/>
                    <w:jc w:val="center"/>
                  </w:pPr>
                  <w:r>
                    <w:t xml:space="preserve">idStrt009</w:t>
                  </w:r>
                </w:p>
              </w:tc>
              <w:tc>
                <w:tcPr/>
                <w:p>
                  <w:pPr>
                    <w:pStyle w:val="Compact"/>
                    <w:jc w:val="right"/>
                    <w:jc w:val="center"/>
                  </w:pPr>
                  <w:r>
                    <w:t xml:space="preserve">1.913</w:t>
                  </w:r>
                </w:p>
              </w:tc>
            </w:tr>
            <w:tr>
              <w:tc>
                <w:tcPr/>
                <w:p>
                  <w:pPr>
                    <w:pStyle w:val="Compact"/>
                    <w:jc w:val="left"/>
                    <w:jc w:val="center"/>
                  </w:pPr>
                  <w:r>
                    <w:t xml:space="preserve">idStrt010</w:t>
                  </w:r>
                </w:p>
              </w:tc>
              <w:tc>
                <w:tcPr/>
                <w:p>
                  <w:pPr>
                    <w:pStyle w:val="Compact"/>
                    <w:jc w:val="right"/>
                    <w:jc w:val="center"/>
                  </w:pPr>
                  <w:r>
                    <w:t xml:space="preserve">-0.609</w:t>
                  </w:r>
                </w:p>
              </w:tc>
            </w:tr>
            <w:tr>
              <w:tc>
                <w:tcPr/>
                <w:p>
                  <w:pPr>
                    <w:pStyle w:val="Compact"/>
                    <w:jc w:val="left"/>
                    <w:jc w:val="center"/>
                  </w:pPr>
                  <w:r>
                    <w:t xml:space="preserve">idStrt011</w:t>
                  </w:r>
                </w:p>
              </w:tc>
              <w:tc>
                <w:tcPr/>
                <w:p>
                  <w:pPr>
                    <w:pStyle w:val="Compact"/>
                    <w:jc w:val="right"/>
                    <w:jc w:val="center"/>
                  </w:pPr>
                  <w:r>
                    <w:t xml:space="preserve">-1.275</w:t>
                  </w:r>
                </w:p>
              </w:tc>
            </w:tr>
            <w:tr>
              <w:tc>
                <w:tcPr/>
                <w:p>
                  <w:pPr>
                    <w:pStyle w:val="Compact"/>
                    <w:jc w:val="left"/>
                    <w:jc w:val="center"/>
                  </w:pPr>
                  <w:r>
                    <w:t xml:space="preserve">idStrt012</w:t>
                  </w:r>
                </w:p>
              </w:tc>
              <w:tc>
                <w:tcPr/>
                <w:p>
                  <w:pPr>
                    <w:pStyle w:val="Compact"/>
                    <w:jc w:val="right"/>
                    <w:jc w:val="center"/>
                  </w:pPr>
                  <w:r>
                    <w:t xml:space="preserve">0.203</w:t>
                  </w:r>
                </w:p>
              </w:tc>
            </w:tr>
          </w:tbl>
          <w:bookmarkEnd w:id="279"/>
          <w:p/>
        </w:tc>
      </w:tr>
    </w:tbl>
    <w:p>
      <w:pPr>
        <w:pStyle w:val="BodyText"/>
      </w:pPr>
      <w:r>
        <w:t xml:space="preserve">La correlación intraclase asciende a 0.315. Dado que el modelo no incluye covariables, estas diferencias reflejan exclusivamente la variación entre estratos en la prevalencia del evento.</w:t>
      </w:r>
    </w:p>
    <w:p>
      <w:pPr>
        <w:pStyle w:val="SourceCode"/>
      </w:pPr>
      <w:r>
        <w:rPr>
          <w:rStyle w:val="NormalTok"/>
        </w:rPr>
        <w:t xml:space="preserve">performance</w:t>
      </w:r>
      <w:r>
        <w:rPr>
          <w:rStyle w:val="SpecialCharTok"/>
        </w:rPr>
        <w:t xml:space="preserve">::</w:t>
      </w:r>
      <w:r>
        <w:rPr>
          <w:rStyle w:val="FunctionTok"/>
        </w:rPr>
        <w:t xml:space="preserve">icc</w:t>
      </w:r>
      <w:r>
        <w:rPr>
          <w:rStyle w:val="NormalTok"/>
        </w:rPr>
        <w:t xml:space="preserve">(logistic_null_model)</w:t>
      </w:r>
    </w:p>
    <w:p>
      <w:pPr>
        <w:pStyle w:val="SourceCode"/>
      </w:pPr>
      <w:r>
        <w:rPr>
          <w:rStyle w:val="VerbatimChar"/>
        </w:rPr>
        <w:t xml:space="preserve"># Intraclass Correlation Coefficient</w:t>
      </w:r>
      <w:r>
        <w:br/>
      </w:r>
      <w:r>
        <w:br/>
      </w:r>
      <w:r>
        <w:rPr>
          <w:rStyle w:val="VerbatimChar"/>
        </w:rPr>
        <w:t xml:space="preserve">    Adjusted ICC: 0.315</w:t>
      </w:r>
      <w:r>
        <w:br/>
      </w:r>
      <w:r>
        <w:rPr>
          <w:rStyle w:val="VerbatimChar"/>
        </w:rPr>
        <w:t xml:space="preserve">  Unadjusted ICC: 0.315</w:t>
      </w:r>
    </w:p>
    <w:bookmarkEnd w:id="280"/>
    <w:bookmarkStart w:id="286" w:name="X66bcd6743aa0840be929aeeeacfd1dae8952c99"/>
    <w:p>
      <w:pPr>
        <w:pStyle w:val="Heading3"/>
      </w:pPr>
      <w:r>
        <w:t xml:space="preserve">7.4.2 Modelo logístico con intercepto aleatorio</w:t>
      </w:r>
    </w:p>
    <w:p>
      <w:pPr>
        <w:pStyle w:val="FirstParagraph"/>
      </w:pPr>
      <w:r>
        <w:t xml:space="preserve">De acuerdo con</w:t>
      </w:r>
      <w:r>
        <w:t xml:space="preserve"> </w:t>
      </w:r>
      <w:r>
        <w:t xml:space="preserve">Snijders y Bosker (2011)</w:t>
      </w:r>
      <w:r>
        <w:t xml:space="preserve"> </w:t>
      </w:r>
      <w:r>
        <w:t xml:space="preserve">y</w:t>
      </w:r>
      <w:r>
        <w:t xml:space="preserve"> </w:t>
      </w:r>
      <w:r>
        <w:t xml:space="preserve">Rabe-Hesketh y Skrondal (2012)</w:t>
      </w:r>
      <w:r>
        <w:t xml:space="preserve">, el modelo logístico con intercepto aleatorio incorpora covariables individuales o del hogar, permitiendo que el nivel base del evento varíe entre estratos. Su lógica es paralela a la del modelo con intercepto aleatorio para variables continuas: los efectos de las covariables se consideran comunes a todos los grupos, mientras que cada estrato puede tener su propio intercepto. En este caso, las diferencias entre interceptos se interpretan como diferencias en los</w:t>
      </w:r>
      <w:r>
        <w:t xml:space="preserve"> </w:t>
      </w:r>
      <w:r>
        <w:rPr>
          <w:i/>
          <w:iCs/>
        </w:rPr>
        <w:t xml:space="preserve">log-odds</w:t>
      </w:r>
      <w:r>
        <w:t xml:space="preserve"> </w:t>
      </w:r>
      <w:r>
        <w:t xml:space="preserve">base del evento.</w:t>
      </w:r>
    </w:p>
    <w:p>
      <w:pPr>
        <w:pStyle w:val="BodyText"/>
      </w:pPr>
      <w:r>
        <w:t xml:space="preserve">El modelo se expresa como</w:t>
      </w:r>
      <w:r>
        <w:t xml:space="preserve"> </w:t>
      </w:r>
      <m:oMath>
        <m:sSub>
          <m:e>
            <m:r>
              <m:t>y</m:t>
            </m:r>
          </m:e>
          <m:sub>
            <m:r>
              <m:t>k</m:t>
            </m:r>
            <m:r>
              <m:t>j</m:t>
            </m:r>
          </m:sub>
        </m:sSub>
        <m:r>
          <m:rPr>
            <m:sty m:val="p"/>
          </m:rPr>
          <m:t>∣</m:t>
        </m:r>
        <m:sSub>
          <m:e>
            <m:r>
              <m:t>π</m:t>
            </m:r>
          </m:e>
          <m:sub>
            <m:r>
              <m:t>k</m:t>
            </m:r>
            <m:r>
              <m:t>j</m:t>
            </m:r>
          </m:sub>
        </m:sSub>
        <m:r>
          <m:rPr>
            <m:sty m:val="p"/>
          </m:rPr>
          <m:t>∼</m:t>
        </m:r>
        <m:r>
          <m:rPr>
            <m:nor/>
            <m:sty m:val="p"/>
          </m:rPr>
          <m:t>Bernoulli</m:t>
        </m:r>
        <m:r>
          <m:rPr>
            <m:sty m:val="p"/>
          </m:rPr>
          <m:t>(</m:t>
        </m:r>
        <m:sSub>
          <m:e>
            <m:r>
              <m:t>π</m:t>
            </m:r>
          </m:e>
          <m:sub>
            <m:r>
              <m:t>k</m:t>
            </m:r>
            <m:r>
              <m:t>j</m:t>
            </m:r>
          </m:sub>
        </m:sSub>
        <m:r>
          <m:rPr>
            <m:sty m:val="p"/>
          </m:rPr>
          <m:t>)</m:t>
        </m:r>
      </m:oMath>
      <w:r>
        <w:t xml:space="preserve">. En donde</w:t>
      </w:r>
      <w:r>
        <w:t xml:space="preserve"> </w:t>
      </w:r>
      <m:oMath>
        <m:r>
          <m:rPr>
            <m:nor/>
            <m:sty m:val="p"/>
          </m:rPr>
          <m:t>logit</m:t>
        </m:r>
        <m:r>
          <m:rPr>
            <m:sty m:val="p"/>
          </m:rPr>
          <m:t>(</m:t>
        </m:r>
        <m:sSub>
          <m:e>
            <m:r>
              <m:t>π</m:t>
            </m:r>
          </m:e>
          <m:sub>
            <m:r>
              <m:t>k</m:t>
            </m:r>
            <m:r>
              <m:t>j</m:t>
            </m:r>
          </m:sub>
        </m:sSub>
        <m:r>
          <m:rPr>
            <m:sty m:val="p"/>
          </m:rPr>
          <m:t>)</m:t>
        </m:r>
        <m:r>
          <m:rPr>
            <m:sty m:val="p"/>
          </m:rPr>
          <m:t>=</m:t>
        </m:r>
        <m:sSub>
          <m:e>
            <m:r>
              <m:t>β</m:t>
            </m:r>
          </m:e>
          <m:sub>
            <m:r>
              <m:t>0</m:t>
            </m:r>
            <m:r>
              <m:t>j</m:t>
            </m:r>
          </m:sub>
        </m:sSub>
        <m:r>
          <m:rPr>
            <m:sty m:val="p"/>
          </m:rPr>
          <m:t>+</m:t>
        </m:r>
        <m:sSub>
          <m:e>
            <m:r>
              <m:rPr>
                <m:sty m:val="b"/>
              </m:rPr>
              <m:t>x</m:t>
            </m:r>
          </m:e>
          <m:sub>
            <m:r>
              <m:t>k</m:t>
            </m:r>
            <m:r>
              <m:t>j</m:t>
            </m:r>
          </m:sub>
        </m:sSub>
        <m:r>
          <m:rPr>
            <m:sty m:val="b"/>
          </m:rPr>
          <m:t>β</m:t>
        </m:r>
      </m:oMath>
      <w:r>
        <w:t xml:space="preserve"> </w:t>
      </w:r>
      <w:r>
        <w:t xml:space="preserve">y</w:t>
      </w:r>
      <w:r>
        <w:t xml:space="preserve"> </w:t>
      </w:r>
      <m:oMath>
        <m:sSub>
          <m:e>
            <m:r>
              <m:t>β</m:t>
            </m:r>
          </m:e>
          <m:sub>
            <m:r>
              <m:t>0</m:t>
            </m:r>
            <m:r>
              <m:t>j</m:t>
            </m:r>
          </m:sub>
        </m:sSub>
        <m:r>
          <m:rPr>
            <m:sty m:val="p"/>
          </m:rPr>
          <m:t>=</m:t>
        </m:r>
        <m:sSub>
          <m:e>
            <m:r>
              <m:t>γ</m:t>
            </m:r>
          </m:e>
          <m:sub>
            <m:r>
              <m:t>00</m:t>
            </m:r>
          </m:sub>
        </m:sSub>
        <m:r>
          <m:rPr>
            <m:sty m:val="p"/>
          </m:rPr>
          <m:t>+</m:t>
        </m:r>
        <m:sSub>
          <m:e>
            <m:r>
              <m:t>τ</m:t>
            </m:r>
          </m:e>
          <m:sub>
            <m:r>
              <m:t>0</m:t>
            </m:r>
            <m:r>
              <m:t>j</m:t>
            </m:r>
          </m:sub>
        </m:sSub>
      </m:oMath>
      <w:r>
        <w:t xml:space="preserve">. En este caso,</w:t>
      </w:r>
      <w:r>
        <w:t xml:space="preserve"> </w:t>
      </w:r>
      <m:oMath>
        <m:sSub>
          <m:e>
            <m:r>
              <m:rPr>
                <m:sty m:val="b"/>
              </m:rPr>
              <m:t>x</m:t>
            </m:r>
          </m:e>
          <m:sub>
            <m:r>
              <m:t>k</m:t>
            </m:r>
            <m:r>
              <m:t>j</m:t>
            </m:r>
          </m:sub>
        </m:sSub>
      </m:oMath>
      <w:r>
        <w:t xml:space="preserve"> </w:t>
      </w:r>
      <w:r>
        <w:t xml:space="preserve">representa el vector de covariables de la unidad</w:t>
      </w:r>
      <w:r>
        <w:t xml:space="preserve"> </w:t>
      </w:r>
      <m:oMath>
        <m:r>
          <m:t>k</m:t>
        </m:r>
      </m:oMath>
      <w:r>
        <w:t xml:space="preserve"> </w:t>
      </w:r>
      <w:r>
        <w:t xml:space="preserve">en el estrato</w:t>
      </w:r>
      <w:r>
        <w:t xml:space="preserve"> </w:t>
      </w:r>
      <m:oMath>
        <m:r>
          <m:t>j</m:t>
        </m:r>
      </m:oMath>
      <w:r>
        <w:t xml:space="preserve">,</w:t>
      </w:r>
      <w:r>
        <w:t xml:space="preserve"> </w:t>
      </w:r>
      <m:oMath>
        <m:r>
          <m:rPr>
            <m:sty m:val="b"/>
          </m:rPr>
          <m:t>β</m:t>
        </m:r>
      </m:oMath>
      <w:r>
        <w:t xml:space="preserve"> </w:t>
      </w:r>
      <w:r>
        <w:t xml:space="preserve">es el vector de efectos fijos comunes a todos los estratos y</w:t>
      </w:r>
      <w:r>
        <w:t xml:space="preserve"> </w:t>
      </w:r>
      <m:oMath>
        <m:sSub>
          <m:e>
            <m:r>
              <m:t>τ</m:t>
            </m:r>
          </m:e>
          <m:sub>
            <m:r>
              <m:t>0</m:t>
            </m:r>
            <m:r>
              <m:t>j</m:t>
            </m:r>
          </m:sub>
        </m:sSub>
      </m:oMath>
      <w:r>
        <w:t xml:space="preserve"> </w:t>
      </w:r>
      <w:r>
        <w:t xml:space="preserve">captura la desviación específica del estrato respecto al intercepto promedio global. Como antes, se asume que</w:t>
      </w:r>
      <w:r>
        <w:t xml:space="preserve"> </w:t>
      </w:r>
      <m:oMath>
        <m:sSub>
          <m:e>
            <m:r>
              <m:t>τ</m:t>
            </m:r>
          </m:e>
          <m:sub>
            <m:r>
              <m:t>0</m:t>
            </m:r>
            <m:r>
              <m:t>j</m:t>
            </m:r>
          </m:sub>
        </m:sSub>
        <m:r>
          <m:rPr>
            <m:sty m:val="p"/>
          </m:rPr>
          <m:t>∼</m:t>
        </m:r>
        <m:r>
          <m:t>N</m:t>
        </m:r>
        <m:r>
          <m:rPr>
            <m:sty m:val="p"/>
          </m:rPr>
          <m:t>(</m:t>
        </m:r>
        <m:r>
          <m:t>0</m:t>
        </m:r>
        <m:r>
          <m:rPr>
            <m:sty m:val="p"/>
          </m:rPr>
          <m:t>,</m:t>
        </m:r>
        <m:sSubSup>
          <m:e>
            <m:r>
              <m:t>σ</m:t>
            </m:r>
          </m:e>
          <m:sub>
            <m:r>
              <m:t>τ</m:t>
            </m:r>
          </m:sub>
          <m:sup>
            <m:r>
              <m:t>2</m:t>
            </m:r>
          </m:sup>
        </m:sSubSup>
        <m:r>
          <m:rPr>
            <m:sty m:val="p"/>
          </m:rPr>
          <m:t>)</m:t>
        </m:r>
      </m:oMath>
      <w:r>
        <w:t xml:space="preserve">.</w:t>
      </w:r>
    </w:p>
    <w:p>
      <w:pPr>
        <w:pStyle w:val="BodyText"/>
      </w:pPr>
      <w:r>
        <w:t xml:space="preserve">Bajo esta especificación, dos estratos con los mismos valores de las covariables pueden presentar probabilidades base distintas del evento debido a sus interceptos aleatorios. Sin embargo, el efecto de cada covariable sobre la escala logit se mantiene constante entre estratos. En el ejemplo, esto equivale a permitir que la probabilidad base de pobreza cambie entre estratos, mientras que la asociación entre gasto y pobreza se resume mediante una pendiente común.</w:t>
      </w:r>
    </w:p>
    <w:p>
      <w:pPr>
        <w:pStyle w:val="SourceCode"/>
      </w:pPr>
      <w:r>
        <w:rPr>
          <w:rStyle w:val="NormalTok"/>
        </w:rPr>
        <w:t xml:space="preserve">random_intercept_logit_model </w:t>
      </w:r>
      <w:r>
        <w:rPr>
          <w:rStyle w:val="OtherTok"/>
        </w:rPr>
        <w:t xml:space="preserve">&lt;-</w:t>
      </w:r>
      <w:r>
        <w:rPr>
          <w:rStyle w:val="NormalTok"/>
        </w:rPr>
        <w:t xml:space="preserve"> </w:t>
      </w:r>
      <w:r>
        <w:rPr>
          <w:rStyle w:val="FunctionTok"/>
        </w:rPr>
        <w:t xml:space="preserve">glmer</w:t>
      </w:r>
      <w:r>
        <w:rPr>
          <w:rStyle w:val="NormalTok"/>
        </w:rPr>
        <w:t xml:space="preserve">(</w:t>
      </w:r>
      <w:r>
        <w:br/>
      </w:r>
      <w:r>
        <w:rPr>
          <w:rStyle w:val="NormalTok"/>
        </w:rPr>
        <w:t xml:space="preserve">  poor </w:t>
      </w:r>
      <w:r>
        <w:rPr>
          <w:rStyle w:val="SpecialCharTok"/>
        </w:rPr>
        <w:t xml:space="preserve">~</w:t>
      </w:r>
      <w:r>
        <w:rPr>
          <w:rStyle w:val="NormalTok"/>
        </w:rPr>
        <w:t xml:space="preserve"> Expenditure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Stratum),</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AttributeTok"/>
        </w:rPr>
        <w:t xml:space="preserve">weights =</w:t>
      </w:r>
      <w:r>
        <w:rPr>
          <w:rStyle w:val="NormalTok"/>
        </w:rPr>
        <w:t xml:space="preserve"> qk</w:t>
      </w:r>
      <w:r>
        <w:br/>
      </w:r>
      <w:r>
        <w:rPr>
          <w:rStyle w:val="NormalTok"/>
        </w:rPr>
        <w:t xml:space="preserve">)</w:t>
      </w:r>
      <w:r>
        <w:br/>
      </w:r>
      <w:r>
        <w:rPr>
          <w:rStyle w:val="NormalTok"/>
        </w:rPr>
        <w:t xml:space="preserve">performance</w:t>
      </w:r>
      <w:r>
        <w:rPr>
          <w:rStyle w:val="SpecialCharTok"/>
        </w:rPr>
        <w:t xml:space="preserve">::</w:t>
      </w:r>
      <w:r>
        <w:rPr>
          <w:rStyle w:val="FunctionTok"/>
        </w:rPr>
        <w:t xml:space="preserve">icc</w:t>
      </w:r>
      <w:r>
        <w:rPr>
          <w:rStyle w:val="NormalTok"/>
        </w:rPr>
        <w:t xml:space="preserve">(random_intercept_logit_model)</w:t>
      </w:r>
    </w:p>
    <w:p>
      <w:pPr>
        <w:pStyle w:val="SourceCode"/>
      </w:pPr>
      <w:r>
        <w:rPr>
          <w:rStyle w:val="VerbatimChar"/>
        </w:rPr>
        <w:t xml:space="preserve"># Intraclass Correlation Coefficient</w:t>
      </w:r>
      <w:r>
        <w:br/>
      </w:r>
      <w:r>
        <w:br/>
      </w:r>
      <w:r>
        <w:rPr>
          <w:rStyle w:val="VerbatimChar"/>
        </w:rPr>
        <w:t xml:space="preserve">    Adjusted ICC: 0.298</w:t>
      </w:r>
      <w:r>
        <w:br/>
      </w:r>
      <w:r>
        <w:rPr>
          <w:rStyle w:val="VerbatimChar"/>
        </w:rPr>
        <w:t xml:space="preserve">  Unadjusted ICC: 0.171</w:t>
      </w:r>
    </w:p>
    <w:p>
      <w:pPr>
        <w:pStyle w:val="FirstParagraph"/>
      </w:pPr>
      <w:r>
        <w:t xml:space="preserve">Los coeficientes estimados por estrato se recogen en la</w:t>
      </w:r>
      <w:r>
        <w:t xml:space="preserve"> </w:t>
      </w:r>
      <w:hyperlink w:anchor="tbl-coef-logit-int-aleatorio">
        <w:r>
          <w:rPr>
            <w:rStyle w:val="Hyperlink"/>
          </w:rPr>
          <w:t xml:space="preserve">tabla 7.6</w:t>
        </w:r>
      </w:hyperlink>
      <w:r>
        <w:t xml:space="preserve">. Al incorporar el gasto del hogar como covariable, el coeficiente fijo asociado a</w:t>
      </w:r>
      <w:r>
        <w:t xml:space="preserve"> </w:t>
      </w:r>
      <w:r>
        <w:rPr>
          <w:rStyle w:val="VerbatimChar"/>
        </w:rPr>
        <w:t xml:space="preserve">Expenditure</w:t>
      </w:r>
      <w:r>
        <w:t xml:space="preserve"> </w:t>
      </w:r>
      <w:r>
        <w:t xml:space="preserve">es negativo, lo que indica que mayores niveles de gasto se asocian con menores log-odds de pobreza. Esto implica una reducción progresiva de la probabilidad estimada de pobreza a medida que aumenta el gasto, manteniendo constante el efecto del estrato. En este modelo, el efecto del gasto es común, pero cada estrato tiene un nivel base propio de pobreza. Así, los estratos con interceptos positivos elevados presentan una mayor probabilidad base de pobreza para un mismo nivel de gasto, mientras que los estratos con interceptos negativos muestran una probabilidad base menor.</w:t>
      </w:r>
    </w:p>
    <w:p>
      <w:pPr>
        <w:pStyle w:val="BodyText"/>
      </w:pPr>
      <w:r>
        <w:t xml:space="preserve">Aun después de controlar por el gasto, la correlación intraclase ajustada permanece alta, alrededor de 0.298, lo que muestra que las diferencias entre estratos continúan siendo relevantes.</w:t>
      </w:r>
    </w:p>
    <w:p>
      <w:pPr>
        <w:pStyle w:val="SourceCode"/>
      </w:pPr>
      <w:r>
        <w:rPr>
          <w:rStyle w:val="FunctionTok"/>
        </w:rPr>
        <w:t xml:space="preserve">coef</w:t>
      </w:r>
      <w:r>
        <w:rPr>
          <w:rStyle w:val="NormalTok"/>
        </w:rPr>
        <w:t xml:space="preserve">(random_intercept_logit_model)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w:t>
      </w:r>
    </w:p>
    <w:p>
      <w:pPr>
        <w:pStyle w:val="SourceCode"/>
      </w:pPr>
      <w:r>
        <w:rPr>
          <w:rStyle w:val="FunctionTok"/>
        </w:rPr>
        <w:t xml:space="preserve">coef</w:t>
      </w:r>
      <w:r>
        <w:rPr>
          <w:rStyle w:val="NormalTok"/>
        </w:rPr>
        <w:t xml:space="preserve">(random_intercept_logit_model)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1" w:name="tbl-coef-logit-int-aleatorio"/>
          <w:p>
            <w:pPr>
              <w:jc w:val="center"/>
            </w:pPr>
            <w:pPr>
              <w:jc w:val="left"/>
              <w:spacing w:before="200"/>
              <w:pStyle w:val="ImageCaption"/>
            </w:pPr>
            <w:r>
              <w:t xml:space="preserve">Tabla 7.6: Coeficientes del modelo logístico con intercepto aleatorio por estrato (primeros 10 estratos)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(Intercept)</w:t>
                  </w:r>
                </w:p>
              </w:tc>
              <w:tc>
                <w:tcPr/>
                <w:p>
                  <w:pPr>
                    <w:pStyle w:val="Compact"/>
                    <w:jc w:val="right"/>
                    <w:jc w:val="center"/>
                  </w:pPr>
                  <w:r>
                    <w:t xml:space="preserve">Expenditure</w:t>
                  </w:r>
                </w:p>
              </w:tc>
            </w:tr>
            <w:tr>
              <w:tc>
                <w:tcPr/>
                <w:p>
                  <w:pPr>
                    <w:pStyle w:val="Compact"/>
                    <w:jc w:val="left"/>
                    <w:jc w:val="center"/>
                  </w:pPr>
                  <w:r>
                    <w:t xml:space="preserve">idStrt001</w:t>
                  </w:r>
                </w:p>
              </w:tc>
              <w:tc>
                <w:tcPr/>
                <w:p>
                  <w:pPr>
                    <w:pStyle w:val="Compact"/>
                    <w:jc w:val="right"/>
                    <w:jc w:val="center"/>
                  </w:pPr>
                  <w:r>
                    <w:t xml:space="preserve">1.044</w:t>
                  </w:r>
                </w:p>
              </w:tc>
              <w:tc>
                <w:tcPr/>
                <w:p>
                  <w:pPr>
                    <w:pStyle w:val="Compact"/>
                    <w:jc w:val="right"/>
                    <w:jc w:val="center"/>
                  </w:pPr>
                  <w:r>
                    <w:t xml:space="preserve">-0.007</w:t>
                  </w:r>
                </w:p>
              </w:tc>
            </w:tr>
            <w:tr>
              <w:tc>
                <w:tcPr/>
                <w:p>
                  <w:pPr>
                    <w:pStyle w:val="Compact"/>
                    <w:jc w:val="left"/>
                    <w:jc w:val="center"/>
                  </w:pPr>
                  <w:r>
                    <w:t xml:space="preserve">idStrt002</w:t>
                  </w:r>
                </w:p>
              </w:tc>
              <w:tc>
                <w:tcPr/>
                <w:p>
                  <w:pPr>
                    <w:pStyle w:val="Compact"/>
                    <w:jc w:val="right"/>
                    <w:jc w:val="center"/>
                  </w:pPr>
                  <w:r>
                    <w:t xml:space="preserve">1.918</w:t>
                  </w:r>
                </w:p>
              </w:tc>
              <w:tc>
                <w:tcPr/>
                <w:p>
                  <w:pPr>
                    <w:pStyle w:val="Compact"/>
                    <w:jc w:val="right"/>
                    <w:jc w:val="center"/>
                  </w:pPr>
                  <w:r>
                    <w:t xml:space="preserve">-0.007</w:t>
                  </w:r>
                </w:p>
              </w:tc>
            </w:tr>
            <w:tr>
              <w:tc>
                <w:tcPr/>
                <w:p>
                  <w:pPr>
                    <w:pStyle w:val="Compact"/>
                    <w:jc w:val="left"/>
                    <w:jc w:val="center"/>
                  </w:pPr>
                  <w:r>
                    <w:t xml:space="preserve">idStrt003</w:t>
                  </w:r>
                </w:p>
              </w:tc>
              <w:tc>
                <w:tcPr/>
                <w:p>
                  <w:pPr>
                    <w:pStyle w:val="Compact"/>
                    <w:jc w:val="right"/>
                    <w:jc w:val="center"/>
                  </w:pPr>
                  <w:r>
                    <w:t xml:space="preserve">-0.454</w:t>
                  </w:r>
                </w:p>
              </w:tc>
              <w:tc>
                <w:tcPr/>
                <w:p>
                  <w:pPr>
                    <w:pStyle w:val="Compact"/>
                    <w:jc w:val="right"/>
                    <w:jc w:val="center"/>
                  </w:pPr>
                  <w:r>
                    <w:t xml:space="preserve">-0.007</w:t>
                  </w:r>
                </w:p>
              </w:tc>
            </w:tr>
            <w:tr>
              <w:tc>
                <w:tcPr/>
                <w:p>
                  <w:pPr>
                    <w:pStyle w:val="Compact"/>
                    <w:jc w:val="left"/>
                    <w:jc w:val="center"/>
                  </w:pPr>
                  <w:r>
                    <w:t xml:space="preserve">idStrt004</w:t>
                  </w:r>
                </w:p>
              </w:tc>
              <w:tc>
                <w:tcPr/>
                <w:p>
                  <w:pPr>
                    <w:pStyle w:val="Compact"/>
                    <w:jc w:val="right"/>
                    <w:jc w:val="center"/>
                  </w:pPr>
                  <w:r>
                    <w:t xml:space="preserve">0.062</w:t>
                  </w:r>
                </w:p>
              </w:tc>
              <w:tc>
                <w:tcPr/>
                <w:p>
                  <w:pPr>
                    <w:pStyle w:val="Compact"/>
                    <w:jc w:val="right"/>
                    <w:jc w:val="center"/>
                  </w:pPr>
                  <w:r>
                    <w:t xml:space="preserve">-0.007</w:t>
                  </w:r>
                </w:p>
              </w:tc>
            </w:tr>
            <w:tr>
              <w:tc>
                <w:tcPr/>
                <w:p>
                  <w:pPr>
                    <w:pStyle w:val="Compact"/>
                    <w:jc w:val="left"/>
                    <w:jc w:val="center"/>
                  </w:pPr>
                  <w:r>
                    <w:t xml:space="preserve">idStrt005</w:t>
                  </w:r>
                </w:p>
              </w:tc>
              <w:tc>
                <w:tcPr/>
                <w:p>
                  <w:pPr>
                    <w:pStyle w:val="Compact"/>
                    <w:jc w:val="right"/>
                    <w:jc w:val="center"/>
                  </w:pPr>
                  <w:r>
                    <w:t xml:space="preserve">1.760</w:t>
                  </w:r>
                </w:p>
              </w:tc>
              <w:tc>
                <w:tcPr/>
                <w:p>
                  <w:pPr>
                    <w:pStyle w:val="Compact"/>
                    <w:jc w:val="right"/>
                    <w:jc w:val="center"/>
                  </w:pPr>
                  <w:r>
                    <w:t xml:space="preserve">-0.007</w:t>
                  </w:r>
                </w:p>
              </w:tc>
            </w:tr>
            <w:tr>
              <w:tc>
                <w:tcPr/>
                <w:p>
                  <w:pPr>
                    <w:pStyle w:val="Compact"/>
                    <w:jc w:val="left"/>
                    <w:jc w:val="center"/>
                  </w:pPr>
                  <w:r>
                    <w:t xml:space="preserve">idStrt006</w:t>
                  </w:r>
                </w:p>
              </w:tc>
              <w:tc>
                <w:tcPr/>
                <w:p>
                  <w:pPr>
                    <w:pStyle w:val="Compact"/>
                    <w:jc w:val="right"/>
                    <w:jc w:val="center"/>
                  </w:pPr>
                  <w:r>
                    <w:t xml:space="preserve">3.194</w:t>
                  </w:r>
                </w:p>
              </w:tc>
              <w:tc>
                <w:tcPr/>
                <w:p>
                  <w:pPr>
                    <w:pStyle w:val="Compact"/>
                    <w:jc w:val="right"/>
                    <w:jc w:val="center"/>
                  </w:pPr>
                  <w:r>
                    <w:t xml:space="preserve">-0.007</w:t>
                  </w:r>
                </w:p>
              </w:tc>
            </w:tr>
            <w:tr>
              <w:tc>
                <w:tcPr/>
                <w:p>
                  <w:pPr>
                    <w:pStyle w:val="Compact"/>
                    <w:jc w:val="left"/>
                    <w:jc w:val="center"/>
                  </w:pPr>
                  <w:r>
                    <w:t xml:space="preserve">idStrt007</w:t>
                  </w:r>
                </w:p>
              </w:tc>
              <w:tc>
                <w:tcPr/>
                <w:p>
                  <w:pPr>
                    <w:pStyle w:val="Compact"/>
                    <w:jc w:val="right"/>
                    <w:jc w:val="center"/>
                  </w:pPr>
                  <w:r>
                    <w:t xml:space="preserve">0.658</w:t>
                  </w:r>
                </w:p>
              </w:tc>
              <w:tc>
                <w:tcPr/>
                <w:p>
                  <w:pPr>
                    <w:pStyle w:val="Compact"/>
                    <w:jc w:val="right"/>
                    <w:jc w:val="center"/>
                  </w:pPr>
                  <w:r>
                    <w:t xml:space="preserve">-0.007</w:t>
                  </w:r>
                </w:p>
              </w:tc>
            </w:tr>
            <w:tr>
              <w:tc>
                <w:tcPr/>
                <w:p>
                  <w:pPr>
                    <w:pStyle w:val="Compact"/>
                    <w:jc w:val="left"/>
                    <w:jc w:val="center"/>
                  </w:pPr>
                  <w:r>
                    <w:t xml:space="preserve">idStrt008</w:t>
                  </w:r>
                </w:p>
              </w:tc>
              <w:tc>
                <w:tcPr/>
                <w:p>
                  <w:pPr>
                    <w:pStyle w:val="Compact"/>
                    <w:jc w:val="right"/>
                    <w:jc w:val="center"/>
                  </w:pPr>
                  <w:r>
                    <w:t xml:space="preserve">1.711</w:t>
                  </w:r>
                </w:p>
              </w:tc>
              <w:tc>
                <w:tcPr/>
                <w:p>
                  <w:pPr>
                    <w:pStyle w:val="Compact"/>
                    <w:jc w:val="right"/>
                    <w:jc w:val="center"/>
                  </w:pPr>
                  <w:r>
                    <w:t xml:space="preserve">-0.007</w:t>
                  </w:r>
                </w:p>
              </w:tc>
            </w:tr>
            <w:tr>
              <w:tc>
                <w:tcPr/>
                <w:p>
                  <w:pPr>
                    <w:pStyle w:val="Compact"/>
                    <w:jc w:val="left"/>
                    <w:jc w:val="center"/>
                  </w:pPr>
                  <w:r>
                    <w:t xml:space="preserve">idStrt009</w:t>
                  </w:r>
                </w:p>
              </w:tc>
              <w:tc>
                <w:tcPr/>
                <w:p>
                  <w:pPr>
                    <w:pStyle w:val="Compact"/>
                    <w:jc w:val="right"/>
                    <w:jc w:val="center"/>
                  </w:pPr>
                  <w:r>
                    <w:t xml:space="preserve">3.721</w:t>
                  </w:r>
                </w:p>
              </w:tc>
              <w:tc>
                <w:tcPr/>
                <w:p>
                  <w:pPr>
                    <w:pStyle w:val="Compact"/>
                    <w:jc w:val="right"/>
                    <w:jc w:val="center"/>
                  </w:pPr>
                  <w:r>
                    <w:t xml:space="preserve">-0.007</w:t>
                  </w:r>
                </w:p>
              </w:tc>
            </w:tr>
            <w:tr>
              <w:tc>
                <w:tcPr/>
                <w:p>
                  <w:pPr>
                    <w:pStyle w:val="Compact"/>
                    <w:jc w:val="left"/>
                    <w:jc w:val="center"/>
                  </w:pPr>
                  <w:r>
                    <w:t xml:space="preserve">idStrt010</w:t>
                  </w:r>
                </w:p>
              </w:tc>
              <w:tc>
                <w:tcPr/>
                <w:p>
                  <w:pPr>
                    <w:pStyle w:val="Compact"/>
                    <w:jc w:val="right"/>
                    <w:jc w:val="center"/>
                  </w:pPr>
                  <w:r>
                    <w:t xml:space="preserve">1.175</w:t>
                  </w:r>
                </w:p>
              </w:tc>
              <w:tc>
                <w:tcPr/>
                <w:p>
                  <w:pPr>
                    <w:pStyle w:val="Compact"/>
                    <w:jc w:val="right"/>
                    <w:jc w:val="center"/>
                  </w:pPr>
                  <w:r>
                    <w:t xml:space="preserve">-0.007</w:t>
                  </w:r>
                </w:p>
              </w:tc>
            </w:tr>
          </w:tbl>
          <w:bookmarkEnd w:id="281"/>
          <w:p/>
        </w:tc>
      </w:tr>
    </w:tbl>
    <w:p>
      <w:pPr>
        <w:pStyle w:val="BodyText"/>
      </w:pPr>
      <w:r>
        <w:t xml:space="preserve">La</w:t>
      </w:r>
      <w:r>
        <w:t xml:space="preserve"> </w:t>
      </w:r>
      <w:hyperlink w:anchor="fig-logit-int-aleatorio">
        <w:r>
          <w:rPr>
            <w:rStyle w:val="Hyperlink"/>
          </w:rPr>
          <w:t xml:space="preserve">figura 7.8</w:t>
        </w:r>
      </w:hyperlink>
      <w:r>
        <w:t xml:space="preserve"> </w:t>
      </w:r>
      <w:r>
        <w:t xml:space="preserve">presenta las curvas de probabilidad predichas mediante un modelo logístico con intercepto aleatorio por estrato. Se observa una relación inversa entre el gasto y la probabilidad de pobreza, de modo que hogares con mayores niveles de gasto presentan una menor probabilidad de ser clasificados como pobres. Asimismo, las diferencias entre las curvas reflejan la heterogeneidad existente entre estratos, capturada mediante los interceptos aleatorios del modelo.</w:t>
      </w:r>
    </w:p>
    <w:p>
      <w:pPr>
        <w:pStyle w:val="SourceCode"/>
      </w:pPr>
      <w:r>
        <w:rPr>
          <w:rStyle w:val="NormalTok"/>
        </w:rPr>
        <w:t xml:space="preserve">prediction_data </w:t>
      </w:r>
      <w:r>
        <w:rPr>
          <w:rStyle w:val="OtherTok"/>
        </w:rPr>
        <w:t xml:space="preserve">&lt;-</w:t>
      </w:r>
      <w:r>
        <w:rPr>
          <w:rStyle w:val="NormalTok"/>
        </w:rPr>
        <w:t xml:space="preserve"> plot_data </w:t>
      </w:r>
      <w:r>
        <w:rPr>
          <w:rStyle w:val="SpecialCharTok"/>
        </w:rPr>
        <w:t xml:space="preserve">%&gt;%</w:t>
      </w:r>
      <w:r>
        <w:br/>
      </w:r>
      <w:r>
        <w:rPr>
          <w:rStyle w:val="NormalTok"/>
        </w:rPr>
        <w:t xml:space="preserve">  </w:t>
      </w:r>
      <w:r>
        <w:rPr>
          <w:rStyle w:val="FunctionTok"/>
        </w:rPr>
        <w:t xml:space="preserve">group_by</w:t>
      </w:r>
      <w:r>
        <w:rPr>
          <w:rStyle w:val="NormalTok"/>
        </w:rPr>
        <w:t xml:space="preserve">(Stratum)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Expenditure =</w:t>
      </w:r>
      <w:r>
        <w:rPr>
          <w:rStyle w:val="NormalTok"/>
        </w:rPr>
        <w:t xml:space="preserve"> </w:t>
      </w:r>
      <w:r>
        <w:rPr>
          <w:rStyle w:val="FunctionTok"/>
        </w:rPr>
        <w:t xml:space="preserve">list</w:t>
      </w:r>
      <w:r>
        <w:rPr>
          <w:rStyle w:val="NormalTok"/>
        </w:rPr>
        <w:t xml:space="preserve">(</w:t>
      </w:r>
      <w:r>
        <w:rPr>
          <w:rStyle w:val="FunctionTok"/>
        </w:rPr>
        <w:t xml:space="preserve">seq</w:t>
      </w:r>
      <w:r>
        <w:rPr>
          <w:rStyle w:val="NormalTok"/>
        </w:rPr>
        <w:t xml:space="preserve">(</w:t>
      </w:r>
      <w:r>
        <w:rPr>
          <w:rStyle w:val="FunctionTok"/>
        </w:rPr>
        <w:t xml:space="preserve">min</w:t>
      </w:r>
      <w:r>
        <w:rPr>
          <w:rStyle w:val="NormalTok"/>
        </w:rPr>
        <w:t xml:space="preserve">(Expenditure), </w:t>
      </w:r>
      <w:r>
        <w:rPr>
          <w:rStyle w:val="FunctionTok"/>
        </w:rPr>
        <w:t xml:space="preserve">max</w:t>
      </w:r>
      <w:r>
        <w:rPr>
          <w:rStyle w:val="NormalTok"/>
        </w:rPr>
        <w:t xml:space="preserve">(Expenditure), </w:t>
      </w:r>
      <w:r>
        <w:rPr>
          <w:rStyle w:val="AttributeTok"/>
        </w:rPr>
        <w:t xml:space="preserve">len =</w:t>
      </w:r>
      <w:r>
        <w:rPr>
          <w:rStyle w:val="NormalTok"/>
        </w:rPr>
        <w:t xml:space="preserve"> </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unnest_legacy</w:t>
      </w:r>
      <w:r>
        <w:rPr>
          <w:rStyle w:val="NormalTok"/>
        </w:rPr>
        <w:t xml:space="preserve">()</w:t>
      </w:r>
      <w:r>
        <w:br/>
      </w:r>
      <w:r>
        <w:br/>
      </w:r>
      <w:r>
        <w:rPr>
          <w:rStyle w:val="NormalTok"/>
        </w:rPr>
        <w:t xml:space="preserve">prediction_data </w:t>
      </w:r>
      <w:r>
        <w:rPr>
          <w:rStyle w:val="OtherTok"/>
        </w:rPr>
        <w:t xml:space="preserve">&lt;-</w:t>
      </w:r>
      <w:r>
        <w:rPr>
          <w:rStyle w:val="NormalTok"/>
        </w:rPr>
        <w:t xml:space="preserve"> prediction_data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FunctionTok"/>
        </w:rPr>
        <w:t xml:space="preserve">predict</w:t>
      </w:r>
      <w:r>
        <w:rPr>
          <w:rStyle w:val="NormalTok"/>
        </w:rPr>
        <w:t xml:space="preserve">(</w:t>
      </w:r>
      <w:r>
        <w:br/>
      </w:r>
      <w:r>
        <w:rPr>
          <w:rStyle w:val="NormalTok"/>
        </w:rPr>
        <w:t xml:space="preserve">      random_intercept_logit_model,</w:t>
      </w:r>
      <w:r>
        <w:br/>
      </w:r>
      <w:r>
        <w:rPr>
          <w:rStyle w:val="NormalTok"/>
        </w:rPr>
        <w:t xml:space="preserve">      </w:t>
      </w:r>
      <w:r>
        <w:rPr>
          <w:rStyle w:val="AttributeTok"/>
        </w:rPr>
        <w:t xml:space="preserve">newdata =</w:t>
      </w:r>
      <w:r>
        <w:rPr>
          <w:rStyle w:val="NormalTok"/>
        </w:rPr>
        <w:t xml:space="preserve"> prediction_data,</w:t>
      </w:r>
      <w:r>
        <w:br/>
      </w:r>
      <w:r>
        <w:rPr>
          <w:rStyle w:val="NormalTok"/>
        </w:rPr>
        <w:t xml:space="preserve">      </w:t>
      </w:r>
      <w:r>
        <w:rPr>
          <w:rStyle w:val="AttributeTok"/>
        </w:rPr>
        <w:t xml:space="preserve">type =</w:t>
      </w:r>
      <w:r>
        <w:rPr>
          <w:rStyle w:val="NormalTok"/>
        </w:rPr>
        <w:t xml:space="preserve"> </w:t>
      </w:r>
      <w:r>
        <w:rPr>
          <w:rStyle w:val="StringTok"/>
        </w:rPr>
        <w:t xml:space="preserve">"response"</w:t>
      </w:r>
      <w:r>
        <w:br/>
      </w:r>
      <w:r>
        <w:rPr>
          <w:rStyle w:val="NormalTok"/>
        </w:rPr>
        <w:t xml:space="preserve">    )</w:t>
      </w:r>
      <w:r>
        <w:br/>
      </w:r>
      <w:r>
        <w:rPr>
          <w:rStyle w:val="NormalTok"/>
        </w:rPr>
        <w:t xml:space="preserve">  )</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prediction_data,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probability, </w:t>
      </w:r>
      <w:r>
        <w:rPr>
          <w:rStyle w:val="AttributeTok"/>
        </w:rPr>
        <w:t xml:space="preserve">x =</w:t>
      </w:r>
      <w:r>
        <w:rPr>
          <w:rStyle w:val="NormalTok"/>
        </w:rPr>
        <w:t xml:space="preserve"> Expenditure,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poor, </w:t>
      </w:r>
      <w:r>
        <w:rPr>
          <w:rStyle w:val="AttributeTok"/>
        </w:rPr>
        <w:t xml:space="preserve">x =</w:t>
      </w:r>
      <w:r>
        <w:rPr>
          <w:rStyle w:val="NormalTok"/>
        </w:rPr>
        <w:t xml:space="preserve"> Expenditure))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"Poverty probability"</w:t>
      </w:r>
      <w:r>
        <w:rPr>
          <w:rStyle w:val="NormalTok"/>
        </w:rPr>
        <w:t xml:space="preserve">, </w:t>
      </w:r>
      <w:r>
        <w:rPr>
          <w:rStyle w:val="AttributeTok"/>
        </w:rPr>
        <w:t xml:space="preserve">x =</w:t>
      </w:r>
      <w:r>
        <w:rPr>
          <w:rStyle w:val="NormalTok"/>
        </w:rPr>
        <w:t xml:space="preserve"> </w:t>
      </w:r>
      <w:r>
        <w:rPr>
          <w:rStyle w:val="StringTok"/>
        </w:rPr>
        <w:t xml:space="preserve">"Expenditure"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5" w:name="fig-logit-int-aleatorio"/>
          <w:p>
            <w:pPr>
              <w:pStyle w:val="Compact"/>
              <w:jc w:val="center"/>
            </w:pPr>
            <w:r>
              <w:drawing>
                <wp:inline>
                  <wp:extent cx="3733800" cy="2489200"/>
                  <wp:effectExtent b="0" l="0" r="0" t="0"/>
                  <wp:docPr descr="" title="" id="283" name="Picture"/>
                  <a:graphic>
                    <a:graphicData uri="http://schemas.openxmlformats.org/drawingml/2006/picture">
                      <pic:pic>
                        <pic:nvPicPr>
                          <pic:cNvPr descr="chapters/../figures/fig-logit-int-aleatorio-1.png" id="284" name="Picture"/>
                          <pic:cNvPicPr>
                            <a:picLocks noChangeArrowheads="1" noChangeAspect="1"/>
                          </pic:cNvPicPr>
                        </pic:nvPicPr>
                        <pic:blipFill>
                          <a:blip r:embed="rId282"/>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7.8: Curvas de probabilidad predichas por estrato: modelo logístico con intercepto aleatorio</w:t>
            </w:r>
          </w:p>
          <w:bookmarkEnd w:id="285"/>
        </w:tc>
      </w:tr>
    </w:tbl>
    <w:bookmarkEnd w:id="286"/>
    <w:bookmarkStart w:id="292" w:name="Xc3637cb7f2f3d2d3da255bfbffced47d2900d24"/>
    <w:p>
      <w:pPr>
        <w:pStyle w:val="Heading3"/>
      </w:pPr>
      <w:r>
        <w:t xml:space="preserve">7.4.3 Modelo logístico con intercepto y pendiente aleatoria</w:t>
      </w:r>
    </w:p>
    <w:p>
      <w:pPr>
        <w:pStyle w:val="FirstParagraph"/>
      </w:pPr>
      <w:r>
        <w:t xml:space="preserve">El modelo logístico con intercepto y pendiente aleatoria extiende la especificación anterior permitiendo que no sólo varíe el nivel base del evento entre estratos, sino también el efecto de una covariable específica. Esta formulación es análoga al modelo de intercepto y pendiente aleatorios para variables continuas, con la salvedad de que las diferencias entre estratos se expresan en la escala logit y se traducen en curvas de probabilidad no lineales.</w:t>
      </w:r>
    </w:p>
    <w:p>
      <w:pPr>
        <w:pStyle w:val="BodyText"/>
      </w:pPr>
      <w:r>
        <w:t xml:space="preserve">Sea</w:t>
      </w:r>
      <w:r>
        <w:t xml:space="preserve"> </w:t>
      </w:r>
      <m:oMath>
        <m:sSub>
          <m:e>
            <m:r>
              <m:t>x</m:t>
            </m:r>
          </m:e>
          <m:sub>
            <m:r>
              <m:t>k</m:t>
            </m:r>
            <m:r>
              <m:t>j</m:t>
            </m:r>
          </m:sub>
        </m:sSub>
      </m:oMath>
      <w:r>
        <w:t xml:space="preserve"> </w:t>
      </w:r>
      <w:r>
        <w:t xml:space="preserve">la covariable cuyo efecto se permite variar entre estratos, y sea</w:t>
      </w:r>
      <w:r>
        <w:t xml:space="preserve"> </w:t>
      </w:r>
      <m:oMath>
        <m:sSub>
          <m:e>
            <m:r>
              <m:rPr>
                <m:sty m:val="b"/>
              </m:rPr>
              <m:t>z</m:t>
            </m:r>
          </m:e>
          <m:sub>
            <m:r>
              <m:t>k</m:t>
            </m:r>
            <m:r>
              <m:t>j</m:t>
            </m:r>
          </m:sub>
        </m:sSub>
      </m:oMath>
      <w:r>
        <w:t xml:space="preserve"> </w:t>
      </w:r>
      <w:r>
        <w:t xml:space="preserve">el conjunto de covariables con efectos fijos comunes. En este modelo, la probabilidad de éxito se asume de tal forma que</w:t>
      </w:r>
      <w:r>
        <w:t xml:space="preserve"> </w:t>
      </w:r>
      <m:oMath>
        <m:r>
          <m:rPr>
            <m:nor/>
            <m:sty m:val="p"/>
          </m:rPr>
          <m:t>logit</m:t>
        </m:r>
        <m:r>
          <m:rPr>
            <m:sty m:val="p"/>
          </m:rPr>
          <m:t>(</m:t>
        </m:r>
        <m:sSub>
          <m:e>
            <m:r>
              <m:t>π</m:t>
            </m:r>
          </m:e>
          <m:sub>
            <m:r>
              <m:t>k</m:t>
            </m:r>
            <m:r>
              <m:t>j</m:t>
            </m:r>
          </m:sub>
        </m:sSub>
        <m:r>
          <m:rPr>
            <m:sty m:val="p"/>
          </m:rPr>
          <m:t>)</m:t>
        </m:r>
        <m:r>
          <m:rPr>
            <m:sty m:val="p"/>
          </m:rPr>
          <m:t>=</m:t>
        </m:r>
        <m:sSub>
          <m:e>
            <m:r>
              <m:t>β</m:t>
            </m:r>
          </m:e>
          <m:sub>
            <m:r>
              <m:t>0</m:t>
            </m:r>
            <m:r>
              <m:t>j</m:t>
            </m:r>
          </m:sub>
        </m:sSub>
        <m:r>
          <m:rPr>
            <m:sty m:val="p"/>
          </m:rPr>
          <m:t>+</m:t>
        </m:r>
        <m:sSub>
          <m:e>
            <m:r>
              <m:t>x</m:t>
            </m:r>
          </m:e>
          <m:sub>
            <m:r>
              <m:t>k</m:t>
            </m:r>
            <m:r>
              <m:t>j</m:t>
            </m:r>
          </m:sub>
        </m:sSub>
        <m:sSub>
          <m:e>
            <m:r>
              <m:t>β</m:t>
            </m:r>
          </m:e>
          <m:sub>
            <m:r>
              <m:t>1</m:t>
            </m:r>
            <m:r>
              <m:t>j</m:t>
            </m:r>
          </m:sub>
        </m:sSub>
        <m:r>
          <m:rPr>
            <m:sty m:val="p"/>
          </m:rPr>
          <m:t>+</m:t>
        </m:r>
        <m:sSub>
          <m:e>
            <m:r>
              <m:rPr>
                <m:sty m:val="b"/>
              </m:rPr>
              <m:t>z</m:t>
            </m:r>
          </m:e>
          <m:sub>
            <m:r>
              <m:t>k</m:t>
            </m:r>
            <m:r>
              <m:t>j</m:t>
            </m:r>
          </m:sub>
        </m:sSub>
        <m:r>
          <m:rPr>
            <m:sty m:val="b"/>
          </m:rPr>
          <m:t>β</m:t>
        </m:r>
      </m:oMath>
      <w:r>
        <w:t xml:space="preserve">. En donde,</w:t>
      </w:r>
      <w:r>
        <w:t xml:space="preserve"> </w:t>
      </w:r>
      <m:oMath>
        <m:sSub>
          <m:e>
            <m:r>
              <m:t>β</m:t>
            </m:r>
          </m:e>
          <m:sub>
            <m:r>
              <m:t>0</m:t>
            </m:r>
            <m:r>
              <m:t>j</m:t>
            </m:r>
          </m:sub>
        </m:sSub>
      </m:oMath>
      <w:r>
        <w:t xml:space="preserve"> </w:t>
      </w:r>
      <w:r>
        <w:t xml:space="preserve">es el intercepto específico del estrato</w:t>
      </w:r>
      <w:r>
        <w:t xml:space="preserve"> </w:t>
      </w:r>
      <m:oMath>
        <m:r>
          <m:t>j</m:t>
        </m:r>
      </m:oMath>
      <w:r>
        <w:t xml:space="preserve"> </w:t>
      </w:r>
      <w:r>
        <w:t xml:space="preserve">y</w:t>
      </w:r>
      <w:r>
        <w:t xml:space="preserve"> </w:t>
      </w:r>
      <m:oMath>
        <m:sSub>
          <m:e>
            <m:r>
              <m:t>β</m:t>
            </m:r>
          </m:e>
          <m:sub>
            <m:r>
              <m:t>1</m:t>
            </m:r>
            <m:r>
              <m:t>j</m:t>
            </m:r>
          </m:sub>
        </m:sSub>
      </m:oMath>
      <w:r>
        <w:t xml:space="preserve"> </w:t>
      </w:r>
      <w:r>
        <w:t xml:space="preserve">es la pendiente específica asociada a la covariable</w:t>
      </w:r>
      <w:r>
        <w:t xml:space="preserve"> </w:t>
      </w:r>
      <m:oMath>
        <m:sSub>
          <m:e>
            <m:r>
              <m:t>x</m:t>
            </m:r>
          </m:e>
          <m:sub>
            <m:r>
              <m:t>k</m:t>
            </m:r>
            <m:r>
              <m:t>j</m:t>
            </m:r>
          </m:sub>
        </m:sSub>
      </m:oMath>
      <w:r>
        <w:t xml:space="preserve">.</w:t>
      </w:r>
    </w:p>
    <w:p>
      <w:pPr>
        <w:pStyle w:val="BodyText"/>
      </w:pPr>
      <w:r>
        <w:t xml:space="preserve">Ambos parámetros se descomponen en una parte promedio poblacional y una desviación específica del estrato, de tal manera que</w:t>
      </w:r>
      <w:r>
        <w:t xml:space="preserve"> </w:t>
      </w:r>
      <m:oMath>
        <m:sSub>
          <m:e>
            <m:r>
              <m:t>β</m:t>
            </m:r>
          </m:e>
          <m:sub>
            <m:r>
              <m:t>0</m:t>
            </m:r>
            <m:r>
              <m:t>j</m:t>
            </m:r>
          </m:sub>
        </m:sSub>
        <m:r>
          <m:rPr>
            <m:sty m:val="p"/>
          </m:rPr>
          <m:t>=</m:t>
        </m:r>
        <m:sSub>
          <m:e>
            <m:r>
              <m:t>γ</m:t>
            </m:r>
          </m:e>
          <m:sub>
            <m:r>
              <m:t>00</m:t>
            </m:r>
          </m:sub>
        </m:sSub>
        <m:r>
          <m:rPr>
            <m:sty m:val="p"/>
          </m:rPr>
          <m:t>+</m:t>
        </m:r>
        <m:sSub>
          <m:e>
            <m:r>
              <m:t>τ</m:t>
            </m:r>
          </m:e>
          <m:sub>
            <m:r>
              <m:t>0</m:t>
            </m:r>
            <m:r>
              <m:t>j</m:t>
            </m:r>
          </m:sub>
        </m:sSub>
      </m:oMath>
      <w:r>
        <w:t xml:space="preserve"> </w:t>
      </w:r>
      <w:r>
        <w:t xml:space="preserve">y</w:t>
      </w:r>
      <w:r>
        <w:t xml:space="preserve"> </w:t>
      </w:r>
      <m:oMath>
        <m:sSub>
          <m:e>
            <m:r>
              <m:t>β</m:t>
            </m:r>
          </m:e>
          <m:sub>
            <m:r>
              <m:t>1</m:t>
            </m:r>
            <m:r>
              <m:t>j</m:t>
            </m:r>
          </m:sub>
        </m:sSub>
        <m:r>
          <m:rPr>
            <m:sty m:val="p"/>
          </m:rPr>
          <m:t>=</m:t>
        </m:r>
        <m:sSub>
          <m:e>
            <m:r>
              <m:t>γ</m:t>
            </m:r>
          </m:e>
          <m:sub>
            <m:r>
              <m:t>10</m:t>
            </m:r>
          </m:sub>
        </m:sSub>
        <m:r>
          <m:rPr>
            <m:sty m:val="p"/>
          </m:rPr>
          <m:t>+</m:t>
        </m:r>
        <m:sSub>
          <m:e>
            <m:r>
              <m:t>τ</m:t>
            </m:r>
          </m:e>
          <m:sub>
            <m:r>
              <m:t>1</m:t>
            </m:r>
            <m:r>
              <m:t>j</m:t>
            </m:r>
          </m:sub>
        </m:sSub>
      </m:oMath>
      <w:r>
        <w:t xml:space="preserve">. En donde los términos</w:t>
      </w:r>
      <w:r>
        <w:t xml:space="preserve"> </w:t>
      </w:r>
      <m:oMath>
        <m:sSub>
          <m:e>
            <m:r>
              <m:t>γ</m:t>
            </m:r>
          </m:e>
          <m:sub>
            <m:r>
              <m:t>00</m:t>
            </m:r>
          </m:sub>
        </m:sSub>
      </m:oMath>
      <w:r>
        <w:t xml:space="preserve"> </w:t>
      </w:r>
      <w:r>
        <w:t xml:space="preserve">y</w:t>
      </w:r>
      <w:r>
        <w:t xml:space="preserve"> </w:t>
      </w:r>
      <m:oMath>
        <m:sSub>
          <m:e>
            <m:r>
              <m:t>γ</m:t>
            </m:r>
          </m:e>
          <m:sub>
            <m:r>
              <m:t>10</m:t>
            </m:r>
          </m:sub>
        </m:sSub>
      </m:oMath>
      <w:r>
        <w:t xml:space="preserve"> </w:t>
      </w:r>
      <w:r>
        <w:t xml:space="preserve">representan, respectivamente, el intercepto promedio global y la pendiente promedio global en escala logit. Por su parte,</w:t>
      </w:r>
      <w:r>
        <w:t xml:space="preserve"> </w:t>
      </w:r>
      <m:oMath>
        <m:sSub>
          <m:e>
            <m:r>
              <m:t>τ</m:t>
            </m:r>
          </m:e>
          <m:sub>
            <m:r>
              <m:t>0</m:t>
            </m:r>
            <m:r>
              <m:t>j</m:t>
            </m:r>
          </m:sub>
        </m:sSub>
      </m:oMath>
      <w:r>
        <w:t xml:space="preserve"> </w:t>
      </w:r>
      <w:r>
        <w:t xml:space="preserve">y</w:t>
      </w:r>
      <w:r>
        <w:t xml:space="preserve"> </w:t>
      </w:r>
      <m:oMath>
        <m:sSub>
          <m:e>
            <m:r>
              <m:t>τ</m:t>
            </m:r>
          </m:e>
          <m:sub>
            <m:r>
              <m:t>1</m:t>
            </m:r>
            <m:r>
              <m:t>j</m:t>
            </m:r>
          </m:sub>
        </m:sSub>
      </m:oMath>
      <w:r>
        <w:t xml:space="preserve"> </w:t>
      </w:r>
      <w:r>
        <w:t xml:space="preserve">capturan cuánto se aparta el estrato</w:t>
      </w:r>
      <w:r>
        <w:t xml:space="preserve"> </w:t>
      </w:r>
      <m:oMath>
        <m:r>
          <m:t>j</m:t>
        </m:r>
      </m:oMath>
      <w:r>
        <w:t xml:space="preserve"> </w:t>
      </w:r>
      <w:r>
        <w:t xml:space="preserve">de esos promedios. La implementación en</w:t>
      </w:r>
      <w:r>
        <w:t xml:space="preserve"> </w:t>
      </w:r>
      <w:r>
        <w:rPr>
          <w:rStyle w:val="VerbatimChar"/>
        </w:rPr>
        <w:t xml:space="preserve">R</w:t>
      </w:r>
      <w:r>
        <w:t xml:space="preserve"> </w:t>
      </w:r>
      <w:r>
        <w:t xml:space="preserve">es la siguiente:</w:t>
      </w:r>
    </w:p>
    <w:p>
      <w:pPr>
        <w:pStyle w:val="SourceCode"/>
      </w:pPr>
      <w:r>
        <w:rPr>
          <w:rStyle w:val="NormalTok"/>
        </w:rPr>
        <w:t xml:space="preserve">random_slope_logit_model </w:t>
      </w:r>
      <w:r>
        <w:rPr>
          <w:rStyle w:val="OtherTok"/>
        </w:rPr>
        <w:t xml:space="preserve">&lt;-</w:t>
      </w:r>
      <w:r>
        <w:rPr>
          <w:rStyle w:val="NormalTok"/>
        </w:rPr>
        <w:t xml:space="preserve"> </w:t>
      </w:r>
      <w:r>
        <w:rPr>
          <w:rStyle w:val="FunctionTok"/>
        </w:rPr>
        <w:t xml:space="preserve">glmer</w:t>
      </w:r>
      <w:r>
        <w:rPr>
          <w:rStyle w:val="NormalTok"/>
        </w:rPr>
        <w:t xml:space="preserve">(</w:t>
      </w:r>
      <w:r>
        <w:br/>
      </w:r>
      <w:r>
        <w:rPr>
          <w:rStyle w:val="NormalTok"/>
        </w:rPr>
        <w:t xml:space="preserve">  poor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Expenditure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Expenditure </w:t>
      </w:r>
      <w:r>
        <w:rPr>
          <w:rStyle w:val="SpecialCharTok"/>
        </w:rPr>
        <w:t xml:space="preserve">|</w:t>
      </w:r>
      <w:r>
        <w:rPr>
          <w:rStyle w:val="NormalTok"/>
        </w:rPr>
        <w:t xml:space="preserve"> Stratum),</w:t>
      </w:r>
      <w:r>
        <w:br/>
      </w:r>
      <w:r>
        <w:rPr>
          <w:rStyle w:val="NormalTok"/>
        </w:rPr>
        <w:t xml:space="preserve">  </w:t>
      </w:r>
      <w:r>
        <w:rPr>
          <w:rStyle w:val="AttributeTok"/>
        </w:rPr>
        <w:t xml:space="preserve">data =</w:t>
      </w:r>
      <w:r>
        <w:rPr>
          <w:rStyle w:val="NormalTok"/>
        </w:rPr>
        <w:t xml:space="preserve"> survey_data,</w:t>
      </w:r>
      <w:r>
        <w:br/>
      </w:r>
      <w:r>
        <w:rPr>
          <w:rStyle w:val="NormalTok"/>
        </w:rPr>
        <w:t xml:space="preserve">  </w:t>
      </w:r>
      <w:r>
        <w:rPr>
          <w:rStyle w:val="AttributeTok"/>
        </w:rPr>
        <w:t xml:space="preserve">weights =</w:t>
      </w:r>
      <w:r>
        <w:rPr>
          <w:rStyle w:val="NormalTok"/>
        </w:rPr>
        <w:t xml:space="preserve"> qk,</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performance</w:t>
      </w:r>
      <w:r>
        <w:rPr>
          <w:rStyle w:val="SpecialCharTok"/>
        </w:rPr>
        <w:t xml:space="preserve">::</w:t>
      </w:r>
      <w:r>
        <w:rPr>
          <w:rStyle w:val="FunctionTok"/>
        </w:rPr>
        <w:t xml:space="preserve">icc</w:t>
      </w:r>
      <w:r>
        <w:rPr>
          <w:rStyle w:val="NormalTok"/>
        </w:rPr>
        <w:t xml:space="preserve">(random_slope_logit_model)</w:t>
      </w:r>
    </w:p>
    <w:p>
      <w:pPr>
        <w:pStyle w:val="SourceCode"/>
      </w:pPr>
      <w:r>
        <w:rPr>
          <w:rStyle w:val="VerbatimChar"/>
        </w:rPr>
        <w:t xml:space="preserve"># Intraclass Correlation Coefficient</w:t>
      </w:r>
      <w:r>
        <w:br/>
      </w:r>
      <w:r>
        <w:br/>
      </w:r>
      <w:r>
        <w:rPr>
          <w:rStyle w:val="VerbatimChar"/>
        </w:rPr>
        <w:t xml:space="preserve">    Adjusted ICC: 0.875</w:t>
      </w:r>
      <w:r>
        <w:br/>
      </w:r>
      <w:r>
        <w:rPr>
          <w:rStyle w:val="VerbatimChar"/>
        </w:rPr>
        <w:t xml:space="preserve">  Unadjusted ICC: 0.631</w:t>
      </w:r>
    </w:p>
    <w:p>
      <w:pPr>
        <w:pStyle w:val="FirstParagraph"/>
      </w:pPr>
      <w:r>
        <w:t xml:space="preserve">De acuerdo con</w:t>
      </w:r>
      <w:r>
        <w:t xml:space="preserve"> </w:t>
      </w:r>
      <w:r>
        <w:t xml:space="preserve">Bates et al. (2015)</w:t>
      </w:r>
      <w:r>
        <w:t xml:space="preserve">, la estimación del modelo con intercepto y pendiente aleatoria indica una heterogeneidad mucho más marcada entre estratos. En este caso, tanto los interceptos como las pendientes asociadas al gasto pueden cambiar entre grupos. Antes de interpretar una correlación intraclase muy alta en este modelo debe verificarse que el ajuste haya convergido y que la matriz de efectos aleatorios no sea singular; una estructura aleatoria demasiado compleja puede producir estimaciones de frontera. Los coeficientes del modelo por estrato se muestran en la</w:t>
      </w:r>
      <w:r>
        <w:t xml:space="preserve"> </w:t>
      </w:r>
      <w:hyperlink w:anchor="tbl-coef-logit-pendiente">
        <w:r>
          <w:rPr>
            <w:rStyle w:val="Hyperlink"/>
          </w:rPr>
          <w:t xml:space="preserve">tabla 7.7</w:t>
        </w:r>
      </w:hyperlink>
      <w:r>
        <w:t xml:space="preserve">.</w:t>
      </w:r>
    </w:p>
    <w:p>
      <w:pPr>
        <w:pStyle w:val="SourceCode"/>
      </w:pPr>
      <w:r>
        <w:rPr>
          <w:rStyle w:val="FunctionTok"/>
        </w:rPr>
        <w:t xml:space="preserve">coef</w:t>
      </w:r>
      <w:r>
        <w:rPr>
          <w:rStyle w:val="NormalTok"/>
        </w:rPr>
        <w:t xml:space="preserve">(random_slope_logit_model)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w:t>
      </w:r>
    </w:p>
    <w:p>
      <w:pPr>
        <w:pStyle w:val="SourceCode"/>
      </w:pPr>
      <w:r>
        <w:rPr>
          <w:rStyle w:val="FunctionTok"/>
        </w:rPr>
        <w:t xml:space="preserve">coef</w:t>
      </w:r>
      <w:r>
        <w:rPr>
          <w:rStyle w:val="NormalTok"/>
        </w:rPr>
        <w:t xml:space="preserve">(random_slope_logit_model)</w:t>
      </w:r>
      <w:r>
        <w:rPr>
          <w:rStyle w:val="SpecialCharTok"/>
        </w:rPr>
        <w:t xml:space="preserve">$</w:t>
      </w:r>
      <w:r>
        <w:rPr>
          <w:rStyle w:val="NormalTok"/>
        </w:rPr>
        <w:t xml:space="preserve">Stratum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7" w:name="tbl-coef-logit-pendiente"/>
          <w:p>
            <w:pPr>
              <w:jc w:val="center"/>
            </w:pPr>
            <w:pPr>
              <w:jc w:val="left"/>
              <w:spacing w:before="200"/>
              <w:pStyle w:val="ImageCaption"/>
            </w:pPr>
            <w:r>
              <w:t xml:space="preserve">Tabla 7.7: Coeficientes del modelo logístico con intercepto y pendiente aleatoria por estrato (primeros 10 estratos)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(Intercept)</w:t>
                  </w:r>
                </w:p>
              </w:tc>
              <w:tc>
                <w:tcPr/>
                <w:p>
                  <w:pPr>
                    <w:pStyle w:val="Compact"/>
                    <w:jc w:val="right"/>
                    <w:jc w:val="center"/>
                  </w:pPr>
                  <w:r>
                    <w:t xml:space="preserve">Expenditure</w:t>
                  </w:r>
                </w:p>
              </w:tc>
            </w:tr>
            <w:tr>
              <w:tc>
                <w:tcPr/>
                <w:p>
                  <w:pPr>
                    <w:pStyle w:val="Compact"/>
                    <w:jc w:val="left"/>
                    <w:jc w:val="center"/>
                  </w:pPr>
                  <w:r>
                    <w:t xml:space="preserve">idStrt001</w:t>
                  </w:r>
                </w:p>
              </w:tc>
              <w:tc>
                <w:tcPr/>
                <w:p>
                  <w:pPr>
                    <w:pStyle w:val="Compact"/>
                    <w:jc w:val="right"/>
                    <w:jc w:val="center"/>
                  </w:pPr>
                  <w:r>
                    <w:t xml:space="preserve">4.864</w:t>
                  </w:r>
                </w:p>
              </w:tc>
              <w:tc>
                <w:tcPr/>
                <w:p>
                  <w:pPr>
                    <w:pStyle w:val="Compact"/>
                    <w:jc w:val="right"/>
                    <w:jc w:val="center"/>
                  </w:pPr>
                  <w:r>
                    <w:t xml:space="preserve">-0.025</w:t>
                  </w:r>
                </w:p>
              </w:tc>
            </w:tr>
            <w:tr>
              <w:tc>
                <w:tcPr/>
                <w:p>
                  <w:pPr>
                    <w:pStyle w:val="Compact"/>
                    <w:jc w:val="left"/>
                    <w:jc w:val="center"/>
                  </w:pPr>
                  <w:r>
                    <w:t xml:space="preserve">idStrt002</w:t>
                  </w:r>
                </w:p>
              </w:tc>
              <w:tc>
                <w:tcPr/>
                <w:p>
                  <w:pPr>
                    <w:pStyle w:val="Compact"/>
                    <w:jc w:val="right"/>
                    <w:jc w:val="center"/>
                  </w:pPr>
                  <w:r>
                    <w:t xml:space="preserve">9.860</w:t>
                  </w:r>
                </w:p>
              </w:tc>
              <w:tc>
                <w:tcPr/>
                <w:p>
                  <w:pPr>
                    <w:pStyle w:val="Compact"/>
                    <w:jc w:val="right"/>
                    <w:jc w:val="center"/>
                  </w:pPr>
                  <w:r>
                    <w:t xml:space="preserve">-0.035</w:t>
                  </w:r>
                </w:p>
              </w:tc>
            </w:tr>
            <w:tr>
              <w:tc>
                <w:tcPr/>
                <w:p>
                  <w:pPr>
                    <w:pStyle w:val="Compact"/>
                    <w:jc w:val="left"/>
                    <w:jc w:val="center"/>
                  </w:pPr>
                  <w:r>
                    <w:t xml:space="preserve">idStrt003</w:t>
                  </w:r>
                </w:p>
              </w:tc>
              <w:tc>
                <w:tcPr/>
                <w:p>
                  <w:pPr>
                    <w:pStyle w:val="Compact"/>
                    <w:jc w:val="right"/>
                    <w:jc w:val="center"/>
                  </w:pPr>
                  <w:r>
                    <w:t xml:space="preserve">-1.133</w:t>
                  </w:r>
                </w:p>
              </w:tc>
              <w:tc>
                <w:tcPr/>
                <w:p>
                  <w:pPr>
                    <w:pStyle w:val="Compact"/>
                    <w:jc w:val="right"/>
                    <w:jc w:val="center"/>
                  </w:pPr>
                  <w:r>
                    <w:t xml:space="preserve">-0.007</w:t>
                  </w:r>
                </w:p>
              </w:tc>
            </w:tr>
            <w:tr>
              <w:tc>
                <w:tcPr/>
                <w:p>
                  <w:pPr>
                    <w:pStyle w:val="Compact"/>
                    <w:jc w:val="left"/>
                    <w:jc w:val="center"/>
                  </w:pPr>
                  <w:r>
                    <w:t xml:space="preserve">idStrt004</w:t>
                  </w:r>
                </w:p>
              </w:tc>
              <w:tc>
                <w:tcPr/>
                <w:p>
                  <w:pPr>
                    <w:pStyle w:val="Compact"/>
                    <w:jc w:val="right"/>
                    <w:jc w:val="center"/>
                  </w:pPr>
                  <w:r>
                    <w:t xml:space="preserve">1.897</w:t>
                  </w:r>
                </w:p>
              </w:tc>
              <w:tc>
                <w:tcPr/>
                <w:p>
                  <w:pPr>
                    <w:pStyle w:val="Compact"/>
                    <w:jc w:val="right"/>
                    <w:jc w:val="center"/>
                  </w:pPr>
                  <w:r>
                    <w:t xml:space="preserve">-0.015</w:t>
                  </w:r>
                </w:p>
              </w:tc>
            </w:tr>
            <w:tr>
              <w:tc>
                <w:tcPr/>
                <w:p>
                  <w:pPr>
                    <w:pStyle w:val="Compact"/>
                    <w:jc w:val="left"/>
                    <w:jc w:val="center"/>
                  </w:pPr>
                  <w:r>
                    <w:t xml:space="preserve">idStrt005</w:t>
                  </w:r>
                </w:p>
              </w:tc>
              <w:tc>
                <w:tcPr/>
                <w:p>
                  <w:pPr>
                    <w:pStyle w:val="Compact"/>
                    <w:jc w:val="right"/>
                    <w:jc w:val="center"/>
                  </w:pPr>
                  <w:r>
                    <w:t xml:space="preserve">8.029</w:t>
                  </w:r>
                </w:p>
              </w:tc>
              <w:tc>
                <w:tcPr/>
                <w:p>
                  <w:pPr>
                    <w:pStyle w:val="Compact"/>
                    <w:jc w:val="right"/>
                    <w:jc w:val="center"/>
                  </w:pPr>
                  <w:r>
                    <w:t xml:space="preserve">-0.026</w:t>
                  </w:r>
                </w:p>
              </w:tc>
            </w:tr>
            <w:tr>
              <w:tc>
                <w:tcPr/>
                <w:p>
                  <w:pPr>
                    <w:pStyle w:val="Compact"/>
                    <w:jc w:val="left"/>
                    <w:jc w:val="center"/>
                  </w:pPr>
                  <w:r>
                    <w:t xml:space="preserve">idStrt006</w:t>
                  </w:r>
                </w:p>
              </w:tc>
              <w:tc>
                <w:tcPr/>
                <w:p>
                  <w:pPr>
                    <w:pStyle w:val="Compact"/>
                    <w:jc w:val="right"/>
                    <w:jc w:val="center"/>
                  </w:pPr>
                  <w:r>
                    <w:t xml:space="preserve">-1.153</w:t>
                  </w:r>
                </w:p>
              </w:tc>
              <w:tc>
                <w:tcPr/>
                <w:p>
                  <w:pPr>
                    <w:pStyle w:val="Compact"/>
                    <w:jc w:val="right"/>
                    <w:jc w:val="center"/>
                  </w:pPr>
                  <w:r>
                    <w:t xml:space="preserve">0.009</w:t>
                  </w:r>
                </w:p>
              </w:tc>
            </w:tr>
            <w:tr>
              <w:tc>
                <w:tcPr/>
                <w:p>
                  <w:pPr>
                    <w:pStyle w:val="Compact"/>
                    <w:jc w:val="left"/>
                    <w:jc w:val="center"/>
                  </w:pPr>
                  <w:r>
                    <w:t xml:space="preserve">idStrt007</w:t>
                  </w:r>
                </w:p>
              </w:tc>
              <w:tc>
                <w:tcPr/>
                <w:p>
                  <w:pPr>
                    <w:pStyle w:val="Compact"/>
                    <w:jc w:val="right"/>
                    <w:jc w:val="center"/>
                  </w:pPr>
                  <w:r>
                    <w:t xml:space="preserve">0.973</w:t>
                  </w:r>
                </w:p>
              </w:tc>
              <w:tc>
                <w:tcPr/>
                <w:p>
                  <w:pPr>
                    <w:pStyle w:val="Compact"/>
                    <w:jc w:val="right"/>
                    <w:jc w:val="center"/>
                  </w:pPr>
                  <w:r>
                    <w:t xml:space="preserve">-0.012</w:t>
                  </w:r>
                </w:p>
              </w:tc>
            </w:tr>
            <w:tr>
              <w:tc>
                <w:tcPr/>
                <w:p>
                  <w:pPr>
                    <w:pStyle w:val="Compact"/>
                    <w:jc w:val="left"/>
                    <w:jc w:val="center"/>
                  </w:pPr>
                  <w:r>
                    <w:t xml:space="preserve">idStrt008</w:t>
                  </w:r>
                </w:p>
              </w:tc>
              <w:tc>
                <w:tcPr/>
                <w:p>
                  <w:pPr>
                    <w:pStyle w:val="Compact"/>
                    <w:jc w:val="right"/>
                    <w:jc w:val="center"/>
                  </w:pPr>
                  <w:r>
                    <w:t xml:space="preserve">1.488</w:t>
                  </w:r>
                </w:p>
              </w:tc>
              <w:tc>
                <w:tcPr/>
                <w:p>
                  <w:pPr>
                    <w:pStyle w:val="Compact"/>
                    <w:jc w:val="right"/>
                    <w:jc w:val="center"/>
                  </w:pPr>
                  <w:r>
                    <w:t xml:space="preserve">-0.006</w:t>
                  </w:r>
                </w:p>
              </w:tc>
            </w:tr>
            <w:tr>
              <w:tc>
                <w:tcPr/>
                <w:p>
                  <w:pPr>
                    <w:pStyle w:val="Compact"/>
                    <w:jc w:val="left"/>
                    <w:jc w:val="center"/>
                  </w:pPr>
                  <w:r>
                    <w:t xml:space="preserve">idStrt009</w:t>
                  </w:r>
                </w:p>
              </w:tc>
              <w:tc>
                <w:tcPr/>
                <w:p>
                  <w:pPr>
                    <w:pStyle w:val="Compact"/>
                    <w:jc w:val="right"/>
                    <w:jc w:val="center"/>
                  </w:pPr>
                  <w:r>
                    <w:t xml:space="preserve">3.660</w:t>
                  </w:r>
                </w:p>
              </w:tc>
              <w:tc>
                <w:tcPr/>
                <w:p>
                  <w:pPr>
                    <w:pStyle w:val="Compact"/>
                    <w:jc w:val="right"/>
                    <w:jc w:val="center"/>
                  </w:pPr>
                  <w:r>
                    <w:t xml:space="preserve">-0.005</w:t>
                  </w:r>
                </w:p>
              </w:tc>
            </w:tr>
            <w:tr>
              <w:tc>
                <w:tcPr/>
                <w:p>
                  <w:pPr>
                    <w:pStyle w:val="Compact"/>
                    <w:jc w:val="left"/>
                    <w:jc w:val="center"/>
                  </w:pPr>
                  <w:r>
                    <w:t xml:space="preserve">idStrt010</w:t>
                  </w:r>
                </w:p>
              </w:tc>
              <w:tc>
                <w:tcPr/>
                <w:p>
                  <w:pPr>
                    <w:pStyle w:val="Compact"/>
                    <w:jc w:val="right"/>
                    <w:jc w:val="center"/>
                  </w:pPr>
                  <w:r>
                    <w:t xml:space="preserve">4.132</w:t>
                  </w:r>
                </w:p>
              </w:tc>
              <w:tc>
                <w:tcPr/>
                <w:p>
                  <w:pPr>
                    <w:pStyle w:val="Compact"/>
                    <w:jc w:val="right"/>
                    <w:jc w:val="center"/>
                  </w:pPr>
                  <w:r>
                    <w:t xml:space="preserve">-0.020</w:t>
                  </w:r>
                </w:p>
              </w:tc>
            </w:tr>
          </w:tbl>
          <w:bookmarkEnd w:id="287"/>
          <w:p/>
        </w:tc>
      </w:tr>
    </w:tbl>
    <w:p>
      <w:pPr>
        <w:pStyle w:val="BodyText"/>
      </w:pPr>
      <w:r>
        <w:t xml:space="preserve">Los coeficientes por estrato evidencian que la relación entre gasto y pobreza no sólo cambia en el nivel base, sino también en la intensidad y dirección de la pendiente. En varios estratos la pendiente del gasto es negativa, lo que mantiene la interpretación esperada de que mayores niveles de gasto reducen la probabilidad de pobreza. Sin embargo, también aparecen pendientes cercanas a cero e incluso positivas en algunos estratos, lo que sugiere patrones locales distintos. Esta variabilidad es precisamente la que el modelo busca capturar mediante el efecto aleatorio de la pendiente. La</w:t>
      </w:r>
      <w:r>
        <w:t xml:space="preserve"> </w:t>
      </w:r>
      <w:hyperlink w:anchor="fig-logit-pendiente-aleatoria">
        <w:r>
          <w:rPr>
            <w:rStyle w:val="Hyperlink"/>
          </w:rPr>
          <w:t xml:space="preserve">figura 7.9</w:t>
        </w:r>
      </w:hyperlink>
      <w:r>
        <w:t xml:space="preserve"> </w:t>
      </w:r>
      <w:r>
        <w:t xml:space="preserve">muestra que las curvas predichas son más heterogéneas entre estratos que en el modelo anterior:</w:t>
      </w:r>
    </w:p>
    <w:p>
      <w:pPr>
        <w:pStyle w:val="SourceCode"/>
      </w:pPr>
      <w:r>
        <w:rPr>
          <w:rStyle w:val="NormalTok"/>
        </w:rPr>
        <w:t xml:space="preserve">prediction_data </w:t>
      </w:r>
      <w:r>
        <w:rPr>
          <w:rStyle w:val="OtherTok"/>
        </w:rPr>
        <w:t xml:space="preserve">&lt;-</w:t>
      </w:r>
      <w:r>
        <w:rPr>
          <w:rStyle w:val="NormalTok"/>
        </w:rPr>
        <w:t xml:space="preserve"> plot_data </w:t>
      </w:r>
      <w:r>
        <w:rPr>
          <w:rStyle w:val="SpecialCharTok"/>
        </w:rPr>
        <w:t xml:space="preserve">%&gt;%</w:t>
      </w:r>
      <w:r>
        <w:br/>
      </w:r>
      <w:r>
        <w:rPr>
          <w:rStyle w:val="NormalTok"/>
        </w:rPr>
        <w:t xml:space="preserve">  </w:t>
      </w:r>
      <w:r>
        <w:rPr>
          <w:rStyle w:val="FunctionTok"/>
        </w:rPr>
        <w:t xml:space="preserve">group_by</w:t>
      </w:r>
      <w:r>
        <w:rPr>
          <w:rStyle w:val="NormalTok"/>
        </w:rPr>
        <w:t xml:space="preserve">(Stratum)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Expenditure =</w:t>
      </w:r>
      <w:r>
        <w:rPr>
          <w:rStyle w:val="NormalTok"/>
        </w:rPr>
        <w:t xml:space="preserve"> </w:t>
      </w:r>
      <w:r>
        <w:rPr>
          <w:rStyle w:val="FunctionTok"/>
        </w:rPr>
        <w:t xml:space="preserve">list</w:t>
      </w:r>
      <w:r>
        <w:rPr>
          <w:rStyle w:val="NormalTok"/>
        </w:rPr>
        <w:t xml:space="preserve">(</w:t>
      </w:r>
      <w:r>
        <w:rPr>
          <w:rStyle w:val="FunctionTok"/>
        </w:rPr>
        <w:t xml:space="preserve">seq</w:t>
      </w:r>
      <w:r>
        <w:rPr>
          <w:rStyle w:val="NormalTok"/>
        </w:rPr>
        <w:t xml:space="preserve">(</w:t>
      </w:r>
      <w:r>
        <w:rPr>
          <w:rStyle w:val="FunctionTok"/>
        </w:rPr>
        <w:t xml:space="preserve">min</w:t>
      </w:r>
      <w:r>
        <w:rPr>
          <w:rStyle w:val="NormalTok"/>
        </w:rPr>
        <w:t xml:space="preserve">(Expenditure), </w:t>
      </w:r>
      <w:r>
        <w:rPr>
          <w:rStyle w:val="FunctionTok"/>
        </w:rPr>
        <w:t xml:space="preserve">max</w:t>
      </w:r>
      <w:r>
        <w:rPr>
          <w:rStyle w:val="NormalTok"/>
        </w:rPr>
        <w:t xml:space="preserve">(Expenditure), </w:t>
      </w:r>
      <w:r>
        <w:rPr>
          <w:rStyle w:val="AttributeTok"/>
        </w:rPr>
        <w:t xml:space="preserve">len =</w:t>
      </w:r>
      <w:r>
        <w:rPr>
          <w:rStyle w:val="NormalTok"/>
        </w:rPr>
        <w:t xml:space="preserve"> </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unnest_legacy</w:t>
      </w:r>
      <w:r>
        <w:rPr>
          <w:rStyle w:val="NormalTok"/>
        </w:rPr>
        <w:t xml:space="preserve">()</w:t>
      </w:r>
      <w:r>
        <w:br/>
      </w:r>
      <w:r>
        <w:br/>
      </w:r>
      <w:r>
        <w:rPr>
          <w:rStyle w:val="NormalTok"/>
        </w:rPr>
        <w:t xml:space="preserve">prediction_data </w:t>
      </w:r>
      <w:r>
        <w:rPr>
          <w:rStyle w:val="OtherTok"/>
        </w:rPr>
        <w:t xml:space="preserve">&lt;-</w:t>
      </w:r>
      <w:r>
        <w:rPr>
          <w:rStyle w:val="NormalTok"/>
        </w:rPr>
        <w:t xml:space="preserve"> prediction_data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FunctionTok"/>
        </w:rPr>
        <w:t xml:space="preserve">predict</w:t>
      </w:r>
      <w:r>
        <w:rPr>
          <w:rStyle w:val="NormalTok"/>
        </w:rPr>
        <w:t xml:space="preserve">(</w:t>
      </w:r>
      <w:r>
        <w:br/>
      </w:r>
      <w:r>
        <w:rPr>
          <w:rStyle w:val="NormalTok"/>
        </w:rPr>
        <w:t xml:space="preserve">      random_slope_logit_model,</w:t>
      </w:r>
      <w:r>
        <w:br/>
      </w:r>
      <w:r>
        <w:rPr>
          <w:rStyle w:val="NormalTok"/>
        </w:rPr>
        <w:t xml:space="preserve">      </w:t>
      </w:r>
      <w:r>
        <w:rPr>
          <w:rStyle w:val="AttributeTok"/>
        </w:rPr>
        <w:t xml:space="preserve">newdata =</w:t>
      </w:r>
      <w:r>
        <w:rPr>
          <w:rStyle w:val="NormalTok"/>
        </w:rPr>
        <w:t xml:space="preserve"> prediction_data,</w:t>
      </w:r>
      <w:r>
        <w:br/>
      </w:r>
      <w:r>
        <w:rPr>
          <w:rStyle w:val="NormalTok"/>
        </w:rPr>
        <w:t xml:space="preserve">      </w:t>
      </w:r>
      <w:r>
        <w:rPr>
          <w:rStyle w:val="AttributeTok"/>
        </w:rPr>
        <w:t xml:space="preserve">type =</w:t>
      </w:r>
      <w:r>
        <w:rPr>
          <w:rStyle w:val="NormalTok"/>
        </w:rPr>
        <w:t xml:space="preserve"> </w:t>
      </w:r>
      <w:r>
        <w:rPr>
          <w:rStyle w:val="StringTok"/>
        </w:rPr>
        <w:t xml:space="preserve">"response"</w:t>
      </w:r>
      <w:r>
        <w:br/>
      </w:r>
      <w:r>
        <w:rPr>
          <w:rStyle w:val="NormalTok"/>
        </w:rPr>
        <w:t xml:space="preserve">    )</w:t>
      </w:r>
      <w:r>
        <w:br/>
      </w:r>
      <w:r>
        <w:rPr>
          <w:rStyle w:val="NormalTok"/>
        </w:rPr>
        <w:t xml:space="preserve">  )</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prediction_data,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probability, </w:t>
      </w:r>
      <w:r>
        <w:rPr>
          <w:rStyle w:val="AttributeTok"/>
        </w:rPr>
        <w:t xml:space="preserve">x =</w:t>
      </w:r>
      <w:r>
        <w:rPr>
          <w:rStyle w:val="NormalTok"/>
        </w:rPr>
        <w:t xml:space="preserve"> Expenditure, </w:t>
      </w:r>
      <w:r>
        <w:rPr>
          <w:rStyle w:val="AttributeTok"/>
        </w:rPr>
        <w:t xml:space="preserve">colour =</w:t>
      </w:r>
      <w:r>
        <w:rPr>
          <w:rStyle w:val="NormalTok"/>
        </w:rPr>
        <w:t xml:space="preserve"> Stratum))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plot_data,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poor, </w:t>
      </w:r>
      <w:r>
        <w:rPr>
          <w:rStyle w:val="AttributeTok"/>
        </w:rPr>
        <w:t xml:space="preserve">x =</w:t>
      </w:r>
      <w:r>
        <w:rPr>
          <w:rStyle w:val="NormalTok"/>
        </w:rPr>
        <w:t xml:space="preserve"> Expenditure))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"Poverty probability"</w:t>
      </w:r>
      <w:r>
        <w:rPr>
          <w:rStyle w:val="NormalTok"/>
        </w:rPr>
        <w:t xml:space="preserve">, </w:t>
      </w:r>
      <w:r>
        <w:rPr>
          <w:rStyle w:val="AttributeTok"/>
        </w:rPr>
        <w:t xml:space="preserve">x =</w:t>
      </w:r>
      <w:r>
        <w:rPr>
          <w:rStyle w:val="NormalTok"/>
        </w:rPr>
        <w:t xml:space="preserve"> </w:t>
      </w:r>
      <w:r>
        <w:rPr>
          <w:rStyle w:val="StringTok"/>
        </w:rPr>
        <w:t xml:space="preserve">"Expenditure"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logit-pendiente-aleatoria"/>
          <w:p>
            <w:pPr>
              <w:pStyle w:val="Compact"/>
              <w:jc w:val="center"/>
            </w:pPr>
            <w:r>
              <w:drawing>
                <wp:inline>
                  <wp:extent cx="3733800" cy="2489200"/>
                  <wp:effectExtent b="0" l="0" r="0" t="0"/>
                  <wp:docPr descr="" title="" id="289" name="Picture"/>
                  <a:graphic>
                    <a:graphicData uri="http://schemas.openxmlformats.org/drawingml/2006/picture">
                      <pic:pic>
                        <pic:nvPicPr>
                          <pic:cNvPr descr="chapters/../figures/fig-logit-pendiente-aleatoria-1.png" id="290" name="Picture"/>
                          <pic:cNvPicPr>
                            <a:picLocks noChangeArrowheads="1" noChangeAspect="1"/>
                          </pic:cNvPicPr>
                        </pic:nvPicPr>
                        <pic:blipFill>
                          <a:blip r:embed="rId288"/>
                          <a:stretch>
                            <a:fillRect/>
                          </a:stretch>
                        </pic:blipFill>
                        <pic:spPr bwMode="auto">
                          <a:xfrm>
                            <a:off x="0" y="0"/>
                            <a:ext cx="3733800" cy="2489200"/>
                          </a:xfrm>
                          <a:prstGeom prst="rect">
                            <a:avLst/>
                          </a:prstGeom>
                          <a:noFill/>
                          <a:ln w="9525">
                            <a:noFill/>
                            <a:headEnd/>
                            <a:tailEnd/>
                          </a:ln>
                        </pic:spPr>
                      </pic:pic>
                    </a:graphicData>
                  </a:graphic>
                </wp:inline>
              </w:drawing>
            </w:r>
          </w:p>
          <w:p>
            <w:pPr>
              <w:jc w:val="center"/>
            </w:pPr>
            <w:pPr>
              <w:jc w:val="left"/>
              <w:spacing w:before="200"/>
              <w:pStyle w:val="ImageCaption"/>
            </w:pPr>
            <w:r>
              <w:t xml:space="preserve">Figura 7.9: Curvas de probabilidad predichas por estrato: modelo logístico con intercepto y pendiente aleatoria</w:t>
            </w:r>
          </w:p>
          <w:bookmarkEnd w:id="291"/>
        </w:tc>
      </w:tr>
    </w:tbl>
    <w:bookmarkEnd w:id="292"/>
    <w:bookmarkEnd w:id="293"/>
    <w:bookmarkEnd w:id="294"/>
    <w:bookmarkStart w:id="304" w:name="ap1"/>
    <w:p>
      <w:pPr>
        <w:pStyle w:val="Heading1"/>
      </w:pPr>
      <w:r>
        <w:t xml:space="preserve">8. Manejo de bases de datos con</w:t>
      </w:r>
      <w:r>
        <w:t xml:space="preserve"> </w:t>
      </w:r>
      <w:r>
        <w:rPr>
          <w:rStyle w:val="VerbatimChar"/>
        </w:rPr>
        <w:t xml:space="preserve">R</w:t>
      </w:r>
    </w:p>
    <w:p>
      <w:pPr>
        <w:pStyle w:val="FirstParagraph"/>
      </w:pPr>
      <w:r>
        <w:t xml:space="preserve">De acuerdo con</w:t>
      </w:r>
      <w:r>
        <w:t xml:space="preserve"> </w:t>
      </w:r>
      <w:r>
        <w:t xml:space="preserve">R Core Team (2026a)</w:t>
      </w:r>
      <w:r>
        <w:t xml:space="preserve">,</w:t>
      </w:r>
      <w:r>
        <w:t xml:space="preserve"> </w:t>
      </w:r>
      <w:r>
        <w:rPr>
          <w:rStyle w:val="VerbatimChar"/>
        </w:rPr>
        <w:t xml:space="preserve">R</w:t>
      </w:r>
      <w:r>
        <w:t xml:space="preserve">, descrito en la literatura es un software estadístico ampliamente utilizado para el análisis de datos y la generación de gráficos y permite un ambiente integrado para el análisis estadístico, en particular de bases de datos. Esto significa que permite realizar procesos de análisis, programación, visualización y manejo de datos dentro de un mismo entorno.</w:t>
      </w:r>
    </w:p>
    <w:p>
      <w:pPr>
        <w:pStyle w:val="BodyText"/>
      </w:pPr>
      <w:r>
        <w:t xml:space="preserve">En este anexo se utiliza el enfoque del</w:t>
      </w:r>
      <w:r>
        <w:t xml:space="preserve"> </w:t>
      </w:r>
      <w:r>
        <w:rPr>
          <w:rStyle w:val="VerbatimChar"/>
        </w:rPr>
        <w:t xml:space="preserve">tidyverse</w:t>
      </w:r>
      <w:r>
        <w:t xml:space="preserve">, cuya organización de datos se relaciona con los principios expuestos por</w:t>
      </w:r>
      <w:r>
        <w:t xml:space="preserve"> </w:t>
      </w:r>
      <w:r>
        <w:t xml:space="preserve">Wickham (2014)</w:t>
      </w:r>
      <w:r>
        <w:t xml:space="preserve">, y en particular el paquete</w:t>
      </w:r>
      <w:r>
        <w:t xml:space="preserve"> </w:t>
      </w:r>
      <w:r>
        <w:rPr>
          <w:rStyle w:val="VerbatimChar"/>
        </w:rPr>
        <w:t xml:space="preserve">dplyr</w:t>
      </w:r>
      <w:r>
        <w:t xml:space="preserve">, para organizar una secuencia lógica de trabajo con bases de datos: cargar la información, inspeccionarla, seleccionar variables, filtrar registros, ordenar filas, crear variables y producir resúmenes.</w:t>
      </w:r>
    </w:p>
    <w:bookmarkStart w:id="295" w:name="preparacion-del-entorno-de-trabajo"/>
    <w:p>
      <w:pPr>
        <w:pStyle w:val="Heading2"/>
      </w:pPr>
      <w:r>
        <w:t xml:space="preserve">8.1 Preparación del entorno de trabajo</w:t>
      </w:r>
    </w:p>
    <w:p>
      <w:pPr>
        <w:pStyle w:val="FirstParagraph"/>
      </w:pPr>
      <w:r>
        <w:rPr>
          <w:rStyle w:val="VerbatimChar"/>
        </w:rPr>
        <w:t xml:space="preserve">R</w:t>
      </w:r>
      <w:r>
        <w:t xml:space="preserve"> </w:t>
      </w:r>
      <w:r>
        <w:t xml:space="preserve">es un lenguaje de programación de carácter colaborativo, lo que permite que su comunidad de usuarios y desarrolladores contribuya continuamente mediante la creación de funciones, paquetes y librerías especializadas. Gracias a este ecosistema abierto, es posible ampliar sus capacidades para distintos tipos de análisis estadístico y procesamiento de datos. Entre las librerías más utilizadas para el análisis de bases de datos se encuentran las siguientes:</w:t>
      </w:r>
    </w:p>
    <w:p>
      <w:pPr>
        <w:numPr>
          <w:ilvl w:val="0"/>
          <w:numId w:val="1006"/>
        </w:numPr>
      </w:pPr>
      <w:r>
        <w:t xml:space="preserve">De acuerdo con</w:t>
      </w:r>
      <w:r>
        <w:t xml:space="preserve"> </w:t>
      </w:r>
      <w:r>
        <w:t xml:space="preserve">Wickham, Averick, et al. (2026)</w:t>
      </w:r>
      <w:r>
        <w:t xml:space="preserve">, la librería</w:t>
      </w:r>
      <w:r>
        <w:t xml:space="preserve"> </w:t>
      </w:r>
      <w:r>
        <w:rPr>
          <w:rStyle w:val="VerbatimChar"/>
        </w:rPr>
        <w:t xml:space="preserve">tidyverse</w:t>
      </w:r>
      <w:r>
        <w:t xml:space="preserve"> </w:t>
      </w:r>
      <w:r>
        <w:t xml:space="preserve">corresponde a un conjunto de paquetes de</w:t>
      </w:r>
      <w:r>
        <w:t xml:space="preserve"> </w:t>
      </w:r>
      <w:r>
        <w:rPr>
          <w:rStyle w:val="VerbatimChar"/>
        </w:rPr>
        <w:t xml:space="preserve">R</w:t>
      </w:r>
      <w:r>
        <w:t xml:space="preserve"> </w:t>
      </w:r>
      <w:r>
        <w:t xml:space="preserve">diseñados para apoyar distintas etapas del trabajo con datos, desde su importación y transformación hasta su exploración, análisis y visualización. Su uso se ha extendido ampliamente en ciencia de datos porque ofrece una forma de trabajo consistente y ordenada.</w:t>
      </w:r>
    </w:p>
    <w:p>
      <w:pPr>
        <w:numPr>
          <w:ilvl w:val="0"/>
          <w:numId w:val="1006"/>
        </w:numPr>
      </w:pPr>
      <w:r>
        <w:t xml:space="preserve">Según</w:t>
      </w:r>
      <w:r>
        <w:t xml:space="preserve"> </w:t>
      </w:r>
      <w:r>
        <w:t xml:space="preserve">Wickham, François, et al. (2026)</w:t>
      </w:r>
      <w:r>
        <w:t xml:space="preserve">, el paquete</w:t>
      </w:r>
      <w:r>
        <w:t xml:space="preserve"> </w:t>
      </w:r>
      <w:r>
        <w:rPr>
          <w:rStyle w:val="VerbatimChar"/>
        </w:rPr>
        <w:t xml:space="preserve">dplyr</w:t>
      </w:r>
      <w:r>
        <w:t xml:space="preserve"> </w:t>
      </w:r>
      <w:r>
        <w:t xml:space="preserve">ofrece herramientas para organizar y transformar bases de datos rectangulares. Su utilidad radica en que reúne, en una sintaxis simple y consistente, las operaciones más frecuentes del trabajo analítico con datos: seleccionar variables, filtrar registros, crear nuevas columnas, ordenar observaciones y resumir información.</w:t>
      </w:r>
    </w:p>
    <w:p>
      <w:pPr>
        <w:numPr>
          <w:ilvl w:val="0"/>
          <w:numId w:val="1006"/>
        </w:numPr>
      </w:pPr>
      <w:r>
        <w:t xml:space="preserve">De acuerdo con</w:t>
      </w:r>
      <w:r>
        <w:t xml:space="preserve"> </w:t>
      </w:r>
      <w:r>
        <w:t xml:space="preserve">Gutiérrez (2020)</w:t>
      </w:r>
      <w:r>
        <w:t xml:space="preserve">, el paquete</w:t>
      </w:r>
      <w:r>
        <w:t xml:space="preserve"> </w:t>
      </w:r>
      <w:r>
        <w:rPr>
          <w:rStyle w:val="VerbatimChar"/>
        </w:rPr>
        <w:t xml:space="preserve">TeachingSampling</w:t>
      </w:r>
      <w:r>
        <w:t xml:space="preserve"> </w:t>
      </w:r>
      <w:r>
        <w:t xml:space="preserve">ofrece funciones para seleccionar muestras probabilísticas y realizar inferencia sobre poblaciones finitas bajo diversos diseños de muestreo.</w:t>
      </w:r>
    </w:p>
    <w:p>
      <w:pPr>
        <w:pStyle w:val="FirstParagraph"/>
      </w:pPr>
      <w:r>
        <w:t xml:space="preserve">Antes de poder utilizar las diferentes funciones que cada librería tiene, es necesario descargarlas de antemano de la web. El comando</w:t>
      </w:r>
      <w:r>
        <w:t xml:space="preserve"> </w:t>
      </w:r>
      <w:r>
        <w:rPr>
          <w:rStyle w:val="VerbatimChar"/>
        </w:rPr>
        <w:t xml:space="preserve">install.packages</w:t>
      </w:r>
      <w:r>
        <w:t xml:space="preserve"> </w:t>
      </w:r>
      <w:r>
        <w:t xml:space="preserve">permite realizar esta tarea. Note que algunas librerías pueden depender de otras, así que para poder utilizarlas es necesario instalar también las dependencias adicionales.</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"TeachingSampling"</w:t>
      </w:r>
      <w:r>
        <w:rPr>
          <w:rStyle w:val="NormalTok"/>
        </w:rPr>
        <w:t xml:space="preserve">)</w:t>
      </w:r>
    </w:p>
    <w:p>
      <w:pPr>
        <w:pStyle w:val="FirstParagraph"/>
      </w:pPr>
      <w:r>
        <w:t xml:space="preserve">Según</w:t>
      </w:r>
      <w:r>
        <w:t xml:space="preserve"> </w:t>
      </w:r>
      <w:r>
        <w:t xml:space="preserve">Posit Software, PBC (2026)</w:t>
      </w:r>
      <w:r>
        <w:t xml:space="preserve">, una vez instalados los paquetes, se cargan con</w:t>
      </w:r>
      <w:r>
        <w:t xml:space="preserve"> </w:t>
      </w:r>
      <w:r>
        <w:rPr>
          <w:rStyle w:val="VerbatimChar"/>
        </w:rPr>
        <w:t xml:space="preserve">library()</w:t>
      </w:r>
      <w:r>
        <w:t xml:space="preserve">. El primer comando limpia los objetos existentes en la sesión de trabajo, lo que ayuda a que los resultados del capítulo dependan solo del código que se ejecuta aquí. Debe tenerse en cuenta que un paquete solo puede cargarse si previamente ha sido instalado en el sistema. La opción</w:t>
      </w:r>
      <w:r>
        <w:t xml:space="preserve"> </w:t>
      </w:r>
      <w:r>
        <w:rPr>
          <w:rStyle w:val="VerbatimChar"/>
        </w:rPr>
        <w:t xml:space="preserve">rm(list = ls())</w:t>
      </w:r>
      <w:r>
        <w:t xml:space="preserve"> </w:t>
      </w:r>
      <w:r>
        <w:t xml:space="preserve">no sustituye el inicio de una sesión limpia: para favorecer la reproducibilidad, conviene iniciar los proyectos con un espacio de trabajo vacío y ejecutar un guion completo y autosuficiente.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(TeachingSampling)</w:t>
      </w:r>
    </w:p>
    <w:p>
      <w:pPr>
        <w:pStyle w:val="FirstParagraph"/>
      </w:pPr>
      <w:r>
        <w:t xml:space="preserve">Una vez se descargan e instalan las librerías o paquetes en</w:t>
      </w:r>
      <w:r>
        <w:t xml:space="preserve"> </w:t>
      </w:r>
      <w:r>
        <w:rPr>
          <w:rStyle w:val="VerbatimChar"/>
        </w:rPr>
        <w:t xml:space="preserve">R</w:t>
      </w:r>
      <w:r>
        <w:t xml:space="preserve">, el paso recomendado es que todos los procesamientos se realicen mediante la creación de proyectos. Un proyecto de RStudio asocia un archivo</w:t>
      </w:r>
      <w:r>
        <w:t xml:space="preserve"> </w:t>
      </w:r>
      <w:r>
        <w:rPr>
          <w:rStyle w:val="VerbatimChar"/>
        </w:rPr>
        <w:t xml:space="preserve">.Rproj</w:t>
      </w:r>
      <w:r>
        <w:t xml:space="preserve"> </w:t>
      </w:r>
      <w:r>
        <w:t xml:space="preserve">con un directorio de trabajo y guarda opciones del proyecto; los archivos de origen, datos y resultados permanecen como archivos separados dentro de ese directorio. Adicionalmente, contiene información que permite la compilación de cada archivo de</w:t>
      </w:r>
      <w:r>
        <w:t xml:space="preserve"> </w:t>
      </w:r>
      <w:r>
        <w:rPr>
          <w:rStyle w:val="VerbatimChar"/>
        </w:rPr>
        <w:t xml:space="preserve">R</w:t>
      </w:r>
      <w:r>
        <w:t xml:space="preserve"> </w:t>
      </w:r>
      <w:r>
        <w:t xml:space="preserve">que se va a utilizar, mantiene la información para integrarse con sistemas de control de código fuente y ayuda a organizar la aplicación de los procesamientos en componentes lógicos.</w:t>
      </w:r>
    </w:p>
    <w:bookmarkEnd w:id="295"/>
    <w:bookmarkStart w:id="296" w:name="carga-e-inspeccion-inicial-de-la-base"/>
    <w:p>
      <w:pPr>
        <w:pStyle w:val="Heading2"/>
      </w:pPr>
      <w:r>
        <w:t xml:space="preserve">8.2 Carga e inspección inicial de la base</w:t>
      </w:r>
    </w:p>
    <w:p>
      <w:pPr>
        <w:pStyle w:val="FirstParagraph"/>
      </w:pPr>
      <w:r>
        <w:t xml:space="preserve">De acuerdo con</w:t>
      </w:r>
      <w:r>
        <w:t xml:space="preserve"> </w:t>
      </w:r>
      <w:r>
        <w:t xml:space="preserve">Wickham et al. (2023)</w:t>
      </w:r>
      <w:r>
        <w:t xml:space="preserve">, es muy usual que al trabajar proyectos en</w:t>
      </w:r>
      <w:r>
        <w:t xml:space="preserve"> </w:t>
      </w:r>
      <w:r>
        <w:rPr>
          <w:rStyle w:val="VerbatimChar"/>
        </w:rPr>
        <w:t xml:space="preserve">R</w:t>
      </w:r>
      <w:r>
        <w:t xml:space="preserve"> </w:t>
      </w:r>
      <w:r>
        <w:t xml:space="preserve">sea necesario importar bases de datos con información relevante para un estudio en particular. Los formatos que pueden importarse mediante</w:t>
      </w:r>
      <w:r>
        <w:t xml:space="preserve"> </w:t>
      </w:r>
      <w:r>
        <w:rPr>
          <w:rStyle w:val="VerbatimChar"/>
        </w:rPr>
        <w:t xml:space="preserve">R</w:t>
      </w:r>
      <w:r>
        <w:t xml:space="preserve"> </w:t>
      </w:r>
      <w:r>
        <w:t xml:space="preserve">y sus paquetes son diversos; entre ellos se encuentran</w:t>
      </w:r>
      <w:r>
        <w:t xml:space="preserve"> </w:t>
      </w:r>
      <w:r>
        <w:rPr>
          <w:rStyle w:val="VerbatimChar"/>
        </w:rPr>
        <w:t xml:space="preserve">.xlsx</w:t>
      </w:r>
      <w:r>
        <w:t xml:space="preserve">,</w:t>
      </w:r>
      <w:r>
        <w:t xml:space="preserve"> </w:t>
      </w:r>
      <w:r>
        <w:rPr>
          <w:rStyle w:val="VerbatimChar"/>
        </w:rPr>
        <w:t xml:space="preserve">.csv</w:t>
      </w:r>
      <w:r>
        <w:t xml:space="preserve">,</w:t>
      </w:r>
      <w:r>
        <w:t xml:space="preserve"> </w:t>
      </w:r>
      <w:r>
        <w:rPr>
          <w:rStyle w:val="VerbatimChar"/>
        </w:rPr>
        <w:t xml:space="preserve">.txt</w:t>
      </w:r>
      <w:r>
        <w:t xml:space="preserve"> </w:t>
      </w:r>
      <w:r>
        <w:t xml:space="preserve">y</w:t>
      </w:r>
      <w:r>
        <w:t xml:space="preserve"> </w:t>
      </w:r>
      <w:r>
        <w:rPr>
          <w:rStyle w:val="VerbatimChar"/>
        </w:rPr>
        <w:t xml:space="preserve">.dta</w:t>
      </w:r>
      <w:r>
        <w:t xml:space="preserve">, que es el formato utilizado por</w:t>
      </w:r>
      <w:r>
        <w:t xml:space="preserve"> </w:t>
      </w:r>
      <w:r>
        <w:rPr>
          <w:rStyle w:val="VerbatimChar"/>
        </w:rPr>
        <w:t xml:space="preserve">Stata</w:t>
      </w:r>
      <w:r>
        <w:t xml:space="preserve">. Una vez leída la base de datos en el formato pertinente es recomendable transformarla al formato nativo de</w:t>
      </w:r>
      <w:r>
        <w:t xml:space="preserve"> </w:t>
      </w:r>
      <w:r>
        <w:rPr>
          <w:rStyle w:val="VerbatimChar"/>
        </w:rPr>
        <w:t xml:space="preserve">R</w:t>
      </w:r>
      <w:r>
        <w:t xml:space="preserve">, es decir</w:t>
      </w:r>
      <w:r>
        <w:t xml:space="preserve"> </w:t>
      </w:r>
      <w:r>
        <w:rPr>
          <w:rStyle w:val="VerbatimChar"/>
        </w:rPr>
        <w:t xml:space="preserve">.RDS</w:t>
      </w:r>
      <w:r>
        <w:t xml:space="preserve">. Este es un formato más eficiente y propio de</w:t>
      </w:r>
      <w:r>
        <w:t xml:space="preserve"> </w:t>
      </w:r>
      <w:r>
        <w:rPr>
          <w:rStyle w:val="VerbatimChar"/>
        </w:rPr>
        <w:t xml:space="preserve">R</w:t>
      </w:r>
      <w:r>
        <w:t xml:space="preserve">, y su uso facilita la importación, la transformación y el almacenamiento dentro de un flujo reproducible de análisis.</w:t>
      </w:r>
    </w:p>
    <w:p>
      <w:pPr>
        <w:pStyle w:val="BodyText"/>
      </w:pPr>
      <w:r>
        <w:t xml:space="preserve">Una vez se carga la base de datos se procede a utilizar las funciones en</w:t>
      </w:r>
      <w:r>
        <w:t xml:space="preserve"> </w:t>
      </w:r>
      <w:r>
        <w:rPr>
          <w:rStyle w:val="VerbatimChar"/>
        </w:rPr>
        <w:t xml:space="preserve">R</w:t>
      </w:r>
      <w:r>
        <w:t xml:space="preserve"> </w:t>
      </w:r>
      <w:r>
        <w:t xml:space="preserve">para poder obtener resultados de los procesamientos agregados y gráficos de interés. Para ejemplificar el uso de funciones que permitan obtener resultados agregados, utilizaremos la base de datos</w:t>
      </w:r>
      <w:r>
        <w:t xml:space="preserve"> </w:t>
      </w:r>
      <w:r>
        <w:rPr>
          <w:rStyle w:val="VerbatimChar"/>
        </w:rPr>
        <w:t xml:space="preserve">BigCity</w:t>
      </w:r>
      <w:r>
        <w:t xml:space="preserve"> </w:t>
      </w:r>
      <w:r>
        <w:t xml:space="preserve">del paquete</w:t>
      </w:r>
      <w:r>
        <w:t xml:space="preserve"> </w:t>
      </w:r>
      <w:r>
        <w:rPr>
          <w:rStyle w:val="VerbatimChar"/>
        </w:rPr>
        <w:t xml:space="preserve">TeachingSampling</w:t>
      </w:r>
      <w:r>
        <w:t xml:space="preserve">. Esta base corresponde a un conjunto de variables socioeconómicas de 150266 personas en un año en particular.</w:t>
      </w:r>
    </w:p>
    <w:p>
      <w:pPr>
        <w:pStyle w:val="SourceCode"/>
      </w:pPr>
      <w:r>
        <w:rPr>
          <w:rStyle w:val="FunctionTok"/>
        </w:rPr>
        <w:t xml:space="preserve">data</w:t>
      </w:r>
      <w:r>
        <w:rPr>
          <w:rStyle w:val="NormalTok"/>
        </w:rPr>
        <w:t xml:space="preserve">(BigCity)</w:t>
      </w:r>
      <w:r>
        <w:br/>
      </w:r>
      <w:r>
        <w:rPr>
          <w:rStyle w:val="NormalTok"/>
        </w:rPr>
        <w:t xml:space="preserve">bigcity_data </w:t>
      </w:r>
      <w:r>
        <w:rPr>
          <w:rStyle w:val="OtherTok"/>
        </w:rPr>
        <w:t xml:space="preserve">&lt;-</w:t>
      </w:r>
      <w:r>
        <w:rPr>
          <w:rStyle w:val="NormalTok"/>
        </w:rPr>
        <w:t xml:space="preserve"> BigCity</w:t>
      </w:r>
    </w:p>
    <w:p>
      <w:pPr>
        <w:pStyle w:val="FirstParagraph"/>
      </w:pPr>
      <w:r>
        <w:t xml:space="preserve">El objeto</w:t>
      </w:r>
      <w:r>
        <w:t xml:space="preserve"> </w:t>
      </w:r>
      <w:r>
        <w:rPr>
          <w:rStyle w:val="VerbatimChar"/>
        </w:rPr>
        <w:t xml:space="preserve">bigcity_data</w:t>
      </w:r>
      <w:r>
        <w:t xml:space="preserve"> </w:t>
      </w:r>
      <w:r>
        <w:t xml:space="preserve">contiene una copia de</w:t>
      </w:r>
      <w:r>
        <w:t xml:space="preserve"> </w:t>
      </w:r>
      <w:r>
        <w:rPr>
          <w:rStyle w:val="VerbatimChar"/>
        </w:rPr>
        <w:t xml:space="preserve">BigCity</w:t>
      </w:r>
      <w:r>
        <w:t xml:space="preserve">. La función</w:t>
      </w:r>
      <w:r>
        <w:t xml:space="preserve"> </w:t>
      </w:r>
      <w:r>
        <w:rPr>
          <w:rStyle w:val="VerbatimChar"/>
        </w:rPr>
        <w:t xml:space="preserve">head()</w:t>
      </w:r>
      <w:r>
        <w:t xml:space="preserve"> </w:t>
      </w:r>
      <w:r>
        <w:t xml:space="preserve">permite observar las primeras filas y obtener una impresión rápida de la estructura de la base.</w:t>
      </w:r>
    </w:p>
    <w:p>
      <w:pPr>
        <w:pStyle w:val="SourceCode"/>
      </w:pPr>
      <w:r>
        <w:rPr>
          <w:rStyle w:val="FunctionTok"/>
        </w:rPr>
        <w:t xml:space="preserve">head</w:t>
      </w:r>
      <w:r>
        <w:rPr>
          <w:rStyle w:val="NormalTok"/>
        </w:rPr>
        <w:t xml:space="preserve">(bigcity_data)</w:t>
      </w:r>
    </w:p>
    <w:p>
      <w:pPr>
        <w:pStyle w:val="SourceCode"/>
      </w:pPr>
      <w:r>
        <w:rPr>
          <w:rStyle w:val="VerbatimChar"/>
        </w:rPr>
        <w:t xml:space="preserve">       HHID PersonID   Stratum     PSU  Zone    Sex Age MaritalST Income</w:t>
      </w:r>
      <w:r>
        <w:br/>
      </w:r>
      <w:r>
        <w:rPr>
          <w:rStyle w:val="VerbatimChar"/>
        </w:rPr>
        <w:t xml:space="preserve">1 idHH00001  idPer01 idStrt001 PSU0001 Rural   Male  38   Married    555</w:t>
      </w:r>
      <w:r>
        <w:br/>
      </w:r>
      <w:r>
        <w:rPr>
          <w:rStyle w:val="VerbatimChar"/>
        </w:rPr>
        <w:t xml:space="preserve">2 idHH00001  idPer02 idStrt001 PSU0001 Rural Female  40   Married    555</w:t>
      </w:r>
      <w:r>
        <w:br/>
      </w:r>
      <w:r>
        <w:rPr>
          <w:rStyle w:val="VerbatimChar"/>
        </w:rPr>
        <w:t xml:space="preserve">3 idHH00001  idPer03 idStrt001 PSU0001 Rural Female  20    Single    555</w:t>
      </w:r>
      <w:r>
        <w:br/>
      </w:r>
      <w:r>
        <w:rPr>
          <w:rStyle w:val="VerbatimChar"/>
        </w:rPr>
        <w:t xml:space="preserve">4 idHH00001  idPer04 idStrt001 PSU0001 Rural   Male  19    Single    555</w:t>
      </w:r>
      <w:r>
        <w:br/>
      </w:r>
      <w:r>
        <w:rPr>
          <w:rStyle w:val="VerbatimChar"/>
        </w:rPr>
        <w:t xml:space="preserve">5 idHH00001  idPer05 idStrt001 PSU0001 Rural   Male  18    Single    555</w:t>
      </w:r>
      <w:r>
        <w:br/>
      </w:r>
      <w:r>
        <w:rPr>
          <w:rStyle w:val="VerbatimChar"/>
        </w:rPr>
        <w:t xml:space="preserve">6 idHH00002  idPer01 idStrt001 PSU0001 Rural   Male  35   Married    298</w:t>
      </w:r>
      <w:r>
        <w:br/>
      </w:r>
      <w:r>
        <w:rPr>
          <w:rStyle w:val="VerbatimChar"/>
        </w:rPr>
        <w:t xml:space="preserve">  Expenditure Employment  Poverty</w:t>
      </w:r>
      <w:r>
        <w:br/>
      </w:r>
      <w:r>
        <w:rPr>
          <w:rStyle w:val="VerbatimChar"/>
        </w:rPr>
        <w:t xml:space="preserve">1         488   Employed  NotPoor</w:t>
      </w:r>
      <w:r>
        <w:br/>
      </w:r>
      <w:r>
        <w:rPr>
          <w:rStyle w:val="VerbatimChar"/>
        </w:rPr>
        <w:t xml:space="preserve">2         488   Employed  NotPoor</w:t>
      </w:r>
      <w:r>
        <w:br/>
      </w:r>
      <w:r>
        <w:rPr>
          <w:rStyle w:val="VerbatimChar"/>
        </w:rPr>
        <w:t xml:space="preserve">3         488   Inactive  NotPoor</w:t>
      </w:r>
      <w:r>
        <w:br/>
      </w:r>
      <w:r>
        <w:rPr>
          <w:rStyle w:val="VerbatimChar"/>
        </w:rPr>
        <w:t xml:space="preserve">4         488   Employed  NotPoor</w:t>
      </w:r>
      <w:r>
        <w:br/>
      </w:r>
      <w:r>
        <w:rPr>
          <w:rStyle w:val="VerbatimChar"/>
        </w:rPr>
        <w:t xml:space="preserve">5         488   Inactive  NotPoor</w:t>
      </w:r>
      <w:r>
        <w:br/>
      </w:r>
      <w:r>
        <w:rPr>
          <w:rStyle w:val="VerbatimChar"/>
        </w:rPr>
        <w:t xml:space="preserve">6         217   Employed Relative</w:t>
      </w:r>
    </w:p>
    <w:p>
      <w:pPr>
        <w:pStyle w:val="FirstParagraph"/>
      </w:pPr>
      <w:r>
        <w:t xml:space="preserve">Una vez cargada la base de datos en</w:t>
      </w:r>
      <w:r>
        <w:t xml:space="preserve"> </w:t>
      </w:r>
      <w:r>
        <w:rPr>
          <w:rStyle w:val="VerbatimChar"/>
        </w:rPr>
        <w:t xml:space="preserve">R</w:t>
      </w:r>
      <w:r>
        <w:t xml:space="preserve">, se puede empezar a realizar los procesamientos según las necesidades de cada investigador. En este sentido, una de las primeras revisiones que se realizan al cargar una base de datos es verificar su dimensión; es decir, identificar la cantidad de filas y columnas que contiene. Lo anterior se puede hacer con la función</w:t>
      </w:r>
      <w:r>
        <w:t xml:space="preserve"> </w:t>
      </w:r>
      <w:r>
        <w:rPr>
          <w:rStyle w:val="VerbatimChar"/>
        </w:rPr>
        <w:t xml:space="preserve">nrow</w:t>
      </w:r>
      <w:r>
        <w:t xml:space="preserve">, que identifica el número de registros en la base de datos, y con la función</w:t>
      </w:r>
      <w:r>
        <w:t xml:space="preserve"> </w:t>
      </w:r>
      <w:r>
        <w:rPr>
          <w:rStyle w:val="VerbatimChar"/>
        </w:rPr>
        <w:t xml:space="preserve">ncol</w:t>
      </w:r>
      <w:r>
        <w:t xml:space="preserve">, que muestra el número de variables. Los códigos computacionales son los siguientes:</w:t>
      </w:r>
    </w:p>
    <w:p>
      <w:pPr>
        <w:pStyle w:val="SourceCode"/>
      </w:pPr>
      <w:r>
        <w:rPr>
          <w:rStyle w:val="FunctionTok"/>
        </w:rPr>
        <w:t xml:space="preserve">nrow</w:t>
      </w:r>
      <w:r>
        <w:rPr>
          <w:rStyle w:val="NormalTok"/>
        </w:rPr>
        <w:t xml:space="preserve">(bigcity_data)</w:t>
      </w:r>
    </w:p>
    <w:p>
      <w:pPr>
        <w:pStyle w:val="SourceCode"/>
      </w:pPr>
      <w:r>
        <w:rPr>
          <w:rStyle w:val="VerbatimChar"/>
        </w:rPr>
        <w:t xml:space="preserve">[1] 150266</w:t>
      </w:r>
    </w:p>
    <w:p>
      <w:pPr>
        <w:pStyle w:val="SourceCode"/>
      </w:pPr>
      <w:r>
        <w:rPr>
          <w:rStyle w:val="FunctionTok"/>
        </w:rPr>
        <w:t xml:space="preserve">ncol</w:t>
      </w:r>
      <w:r>
        <w:rPr>
          <w:rStyle w:val="NormalTok"/>
        </w:rPr>
        <w:t xml:space="preserve">(bigcity_data)</w:t>
      </w:r>
    </w:p>
    <w:p>
      <w:pPr>
        <w:pStyle w:val="SourceCode"/>
      </w:pPr>
      <w:r>
        <w:rPr>
          <w:rStyle w:val="VerbatimChar"/>
        </w:rPr>
        <w:t xml:space="preserve">[1] 12</w:t>
      </w:r>
    </w:p>
    <w:p>
      <w:pPr>
        <w:pStyle w:val="FirstParagraph"/>
      </w:pPr>
      <w:r>
        <w:t xml:space="preserve">Una forma resumida de revisar la cantidad de filas y columnas de una base de datos es mediante la función</w:t>
      </w:r>
      <w:r>
        <w:t xml:space="preserve"> </w:t>
      </w:r>
      <w:r>
        <w:rPr>
          <w:rStyle w:val="VerbatimChar"/>
        </w:rPr>
        <w:t xml:space="preserve">dim</w:t>
      </w:r>
      <w:r>
        <w:t xml:space="preserve">, la cual devuelve un vector cuya primera componente corresponde al número de filas y cuya segunda componente indica el número de columnas.</w:t>
      </w:r>
    </w:p>
    <w:p>
      <w:pPr>
        <w:pStyle w:val="SourceCode"/>
      </w:pPr>
      <w:r>
        <w:rPr>
          <w:rStyle w:val="FunctionTok"/>
        </w:rPr>
        <w:t xml:space="preserve">dim</w:t>
      </w:r>
      <w:r>
        <w:rPr>
          <w:rStyle w:val="NormalTok"/>
        </w:rPr>
        <w:t xml:space="preserve">(bigcity_data)</w:t>
      </w:r>
    </w:p>
    <w:p>
      <w:pPr>
        <w:pStyle w:val="SourceCode"/>
      </w:pPr>
      <w:r>
        <w:rPr>
          <w:rStyle w:val="VerbatimChar"/>
        </w:rPr>
        <w:t xml:space="preserve">[1] 150266     12</w:t>
      </w:r>
    </w:p>
    <w:p>
      <w:pPr>
        <w:pStyle w:val="FirstParagraph"/>
      </w:pPr>
      <w:r>
        <w:t xml:space="preserve">En algunas ocasiones, las bases de datos pueden ser extensas, ya sea porque contienen un número considerable de variables observadas o porque el número de registros es grande. Por esta razón, para visualizarlas adecuadamente, puede ser conveniente abrirlas en una ventana independiente y explorar su contenido de forma tabular. Esto se realiza mediante la función</w:t>
      </w:r>
      <w:r>
        <w:t xml:space="preserve"> </w:t>
      </w:r>
      <w:r>
        <w:rPr>
          <w:rStyle w:val="VerbatimChar"/>
        </w:rPr>
        <w:t xml:space="preserve">View</w:t>
      </w:r>
      <w:r>
        <w:t xml:space="preserve">, como se muestra a continuación.</w:t>
      </w:r>
    </w:p>
    <w:p>
      <w:pPr>
        <w:pStyle w:val="SourceCode"/>
      </w:pPr>
      <w:r>
        <w:rPr>
          <w:rStyle w:val="FunctionTok"/>
        </w:rPr>
        <w:t xml:space="preserve">View</w:t>
      </w:r>
      <w:r>
        <w:rPr>
          <w:rStyle w:val="NormalTok"/>
        </w:rPr>
        <w:t xml:space="preserve">(bigcity_data)</w:t>
      </w:r>
    </w:p>
    <w:p>
      <w:pPr>
        <w:pStyle w:val="FirstParagraph"/>
      </w:pPr>
      <w:r>
        <w:t xml:space="preserve">Otra verificación importante al cargar una base de datos en</w:t>
      </w:r>
      <w:r>
        <w:t xml:space="preserve"> </w:t>
      </w:r>
      <w:r>
        <w:rPr>
          <w:rStyle w:val="VerbatimChar"/>
        </w:rPr>
        <w:t xml:space="preserve">R</w:t>
      </w:r>
      <w:r>
        <w:t xml:space="preserve"> </w:t>
      </w:r>
      <w:r>
        <w:t xml:space="preserve">consiste en identificar las variables que contiene. Para ello, se puede utilizar la función</w:t>
      </w:r>
      <w:r>
        <w:t xml:space="preserve"> </w:t>
      </w:r>
      <w:r>
        <w:rPr>
          <w:rStyle w:val="VerbatimChar"/>
        </w:rPr>
        <w:t xml:space="preserve">names</w:t>
      </w:r>
      <w:r>
        <w:t xml:space="preserve">, la cual muestra los nombres de las variables incluidas en la base de datos.</w:t>
      </w:r>
    </w:p>
    <w:p>
      <w:pPr>
        <w:pStyle w:val="SourceCode"/>
      </w:pPr>
      <w:r>
        <w:rPr>
          <w:rStyle w:val="FunctionTok"/>
        </w:rPr>
        <w:t xml:space="preserve">names</w:t>
      </w:r>
      <w:r>
        <w:rPr>
          <w:rStyle w:val="NormalTok"/>
        </w:rPr>
        <w:t xml:space="preserve">(bigcity_data)</w:t>
      </w:r>
    </w:p>
    <w:p>
      <w:pPr>
        <w:pStyle w:val="SourceCode"/>
      </w:pPr>
      <w:r>
        <w:rPr>
          <w:rStyle w:val="VerbatimChar"/>
        </w:rPr>
        <w:t xml:space="preserve"> [1] "HHID"        "PersonID"    "Stratum"     "PSU"         "Zone"       </w:t>
      </w:r>
      <w:r>
        <w:br/>
      </w:r>
      <w:r>
        <w:rPr>
          <w:rStyle w:val="VerbatimChar"/>
        </w:rPr>
        <w:t xml:space="preserve"> [6] "Sex"         "Age"         "MaritalST"   "Income"      "Expenditure"</w:t>
      </w:r>
      <w:r>
        <w:br/>
      </w:r>
      <w:r>
        <w:rPr>
          <w:rStyle w:val="VerbatimChar"/>
        </w:rPr>
        <w:t xml:space="preserve">[11] "Employment"  "Poverty"    </w:t>
      </w:r>
    </w:p>
    <w:p>
      <w:pPr>
        <w:pStyle w:val="FirstParagraph"/>
      </w:pPr>
      <w:r>
        <w:t xml:space="preserve">La salida anterior muestra los nombres de las variables contenidas en la base de datos. En este caso, la base cuenta con 12 variables. Las primeras variables corresponden a identificadores y elementos del diseño muestral, como</w:t>
      </w:r>
      <w:r>
        <w:t xml:space="preserve"> </w:t>
      </w:r>
      <w:r>
        <w:rPr>
          <w:rStyle w:val="VerbatimChar"/>
        </w:rPr>
        <w:t xml:space="preserve">HHID</w:t>
      </w:r>
      <w:r>
        <w:t xml:space="preserve">,</w:t>
      </w:r>
      <w:r>
        <w:t xml:space="preserve"> </w:t>
      </w:r>
      <w:r>
        <w:rPr>
          <w:rStyle w:val="VerbatimChar"/>
        </w:rPr>
        <w:t xml:space="preserve">PersonID</w:t>
      </w:r>
      <w:r>
        <w:t xml:space="preserve">,</w:t>
      </w:r>
      <w:r>
        <w:t xml:space="preserve"> </w:t>
      </w:r>
      <w:r>
        <w:rPr>
          <w:rStyle w:val="VerbatimChar"/>
        </w:rPr>
        <w:t xml:space="preserve">Stratum</w:t>
      </w:r>
      <w:r>
        <w:t xml:space="preserve">,</w:t>
      </w:r>
      <w:r>
        <w:t xml:space="preserve"> </w:t>
      </w:r>
      <w:r>
        <w:rPr>
          <w:rStyle w:val="VerbatimChar"/>
        </w:rPr>
        <w:t xml:space="preserve">PSU</w:t>
      </w:r>
      <w:r>
        <w:t xml:space="preserve"> </w:t>
      </w:r>
      <w:r>
        <w:t xml:space="preserve">y</w:t>
      </w:r>
      <w:r>
        <w:t xml:space="preserve"> </w:t>
      </w:r>
      <w:r>
        <w:rPr>
          <w:rStyle w:val="VerbatimChar"/>
        </w:rPr>
        <w:t xml:space="preserve">Zone</w:t>
      </w:r>
      <w:r>
        <w:t xml:space="preserve">. Luego aparecen variables sociodemográficas, como</w:t>
      </w:r>
      <w:r>
        <w:t xml:space="preserve"> </w:t>
      </w:r>
      <w:r>
        <w:rPr>
          <w:rStyle w:val="VerbatimChar"/>
        </w:rPr>
        <w:t xml:space="preserve">Sex</w:t>
      </w:r>
      <w:r>
        <w:t xml:space="preserve">,</w:t>
      </w:r>
      <w:r>
        <w:t xml:space="preserve"> </w:t>
      </w:r>
      <w:r>
        <w:rPr>
          <w:rStyle w:val="VerbatimChar"/>
        </w:rPr>
        <w:t xml:space="preserve">Age</w:t>
      </w:r>
      <w:r>
        <w:t xml:space="preserve"> </w:t>
      </w:r>
      <w:r>
        <w:t xml:space="preserve">y</w:t>
      </w:r>
      <w:r>
        <w:t xml:space="preserve"> </w:t>
      </w:r>
      <w:r>
        <w:rPr>
          <w:rStyle w:val="VerbatimChar"/>
        </w:rPr>
        <w:t xml:space="preserve">MaritalST</w:t>
      </w:r>
      <w:r>
        <w:t xml:space="preserve">. Finalmente, se incluyen variables económicas y de condición laboral o social, como</w:t>
      </w:r>
      <w:r>
        <w:t xml:space="preserve"> </w:t>
      </w:r>
      <w:r>
        <w:rPr>
          <w:rStyle w:val="VerbatimChar"/>
        </w:rPr>
        <w:t xml:space="preserve">Income</w:t>
      </w:r>
      <w:r>
        <w:t xml:space="preserve">,</w:t>
      </w:r>
      <w:r>
        <w:t xml:space="preserve"> </w:t>
      </w:r>
      <w:r>
        <w:rPr>
          <w:rStyle w:val="VerbatimChar"/>
        </w:rPr>
        <w:t xml:space="preserve">Expenditure</w:t>
      </w:r>
      <w:r>
        <w:t xml:space="preserve">,</w:t>
      </w:r>
      <w:r>
        <w:t xml:space="preserve"> </w:t>
      </w:r>
      <w:r>
        <w:rPr>
          <w:rStyle w:val="VerbatimChar"/>
        </w:rPr>
        <w:t xml:space="preserve">Employment</w:t>
      </w:r>
      <w:r>
        <w:t xml:space="preserve"> </w:t>
      </w:r>
      <w:r>
        <w:t xml:space="preserve">y</w:t>
      </w:r>
      <w:r>
        <w:t xml:space="preserve"> </w:t>
      </w:r>
      <w:r>
        <w:rPr>
          <w:rStyle w:val="VerbatimChar"/>
        </w:rPr>
        <w:t xml:space="preserve">Poverty</w:t>
      </w:r>
      <w:r>
        <w:t xml:space="preserve">.</w:t>
      </w:r>
    </w:p>
    <w:p>
      <w:pPr>
        <w:pStyle w:val="BodyText"/>
      </w:pPr>
      <w:r>
        <w:t xml:space="preserve">Si se desea profundizar en el tipo de información que almacena cada variable, puede utilizarse la función</w:t>
      </w:r>
      <w:r>
        <w:t xml:space="preserve"> </w:t>
      </w:r>
      <w:r>
        <w:rPr>
          <w:rStyle w:val="VerbatimChar"/>
        </w:rPr>
        <w:t xml:space="preserve">str</w:t>
      </w:r>
      <w:r>
        <w:t xml:space="preserve">, la cual muestra de manera compacta la estructura de un objeto y sus componentes. Para nuestra base de datos, esta función se utilizaría de la siguiente manera:</w:t>
      </w:r>
    </w:p>
    <w:p>
      <w:pPr>
        <w:pStyle w:val="SourceCode"/>
      </w:pPr>
      <w:r>
        <w:rPr>
          <w:rStyle w:val="FunctionTok"/>
        </w:rPr>
        <w:t xml:space="preserve">str</w:t>
      </w:r>
      <w:r>
        <w:rPr>
          <w:rStyle w:val="NormalTok"/>
        </w:rPr>
        <w:t xml:space="preserve">(bigcity_data)</w:t>
      </w:r>
    </w:p>
    <w:p>
      <w:pPr>
        <w:pStyle w:val="SourceCode"/>
      </w:pPr>
      <w:r>
        <w:rPr>
          <w:rStyle w:val="VerbatimChar"/>
        </w:rPr>
        <w:t xml:space="preserve">'data.frame':   150266 obs. of  12 variables:</w:t>
      </w:r>
      <w:r>
        <w:br/>
      </w:r>
      <w:r>
        <w:rPr>
          <w:rStyle w:val="VerbatimChar"/>
        </w:rPr>
        <w:t xml:space="preserve"> $ HHID       : chr  "idHH00001" "idHH00001" "idHH00001" "idHH00001" ...</w:t>
      </w:r>
      <w:r>
        <w:br/>
      </w:r>
      <w:r>
        <w:rPr>
          <w:rStyle w:val="VerbatimChar"/>
        </w:rPr>
        <w:t xml:space="preserve"> $ PersonID   : chr  "idPer01" "idPer02" "idPer03" "idPer04" ...</w:t>
      </w:r>
      <w:r>
        <w:br/>
      </w:r>
      <w:r>
        <w:rPr>
          <w:rStyle w:val="VerbatimChar"/>
        </w:rPr>
        <w:t xml:space="preserve"> $ Stratum    : chr  "idStrt001" "idStrt001" "idStrt001" "idStrt001" ...</w:t>
      </w:r>
      <w:r>
        <w:br/>
      </w:r>
      <w:r>
        <w:rPr>
          <w:rStyle w:val="VerbatimChar"/>
        </w:rPr>
        <w:t xml:space="preserve"> $ PSU        : chr  "PSU0001" "PSU0001" "PSU0001" "PSU0001" ...</w:t>
      </w:r>
      <w:r>
        <w:br/>
      </w:r>
      <w:r>
        <w:rPr>
          <w:rStyle w:val="VerbatimChar"/>
        </w:rPr>
        <w:t xml:space="preserve"> $ Zone       : chr  "Rural" "Rural" "Rural" "Rural" ...</w:t>
      </w:r>
      <w:r>
        <w:br/>
      </w:r>
      <w:r>
        <w:rPr>
          <w:rStyle w:val="VerbatimChar"/>
        </w:rPr>
        <w:t xml:space="preserve"> $ Sex        : chr  "Male" "Female" "Female" "Male" ...</w:t>
      </w:r>
      <w:r>
        <w:br/>
      </w:r>
      <w:r>
        <w:rPr>
          <w:rStyle w:val="VerbatimChar"/>
        </w:rPr>
        <w:t xml:space="preserve"> $ Age        : int  38 40 20 19 18 35 29 14 13 6 ...</w:t>
      </w:r>
      <w:r>
        <w:br/>
      </w:r>
      <w:r>
        <w:rPr>
          <w:rStyle w:val="VerbatimChar"/>
        </w:rPr>
        <w:t xml:space="preserve"> $ MaritalST  : Factor w/ 6 levels "Partner","Married",..: 2 2 5 5 5 2 2 5 5 NA ...</w:t>
      </w:r>
      <w:r>
        <w:br/>
      </w:r>
      <w:r>
        <w:rPr>
          <w:rStyle w:val="VerbatimChar"/>
        </w:rPr>
        <w:t xml:space="preserve"> $ Income     : num  555 555 555 555 555 ...</w:t>
      </w:r>
      <w:r>
        <w:br/>
      </w:r>
      <w:r>
        <w:rPr>
          <w:rStyle w:val="VerbatimChar"/>
        </w:rPr>
        <w:t xml:space="preserve"> $ Expenditure: num  488 488 488 488 488 ...</w:t>
      </w:r>
      <w:r>
        <w:br/>
      </w:r>
      <w:r>
        <w:rPr>
          <w:rStyle w:val="VerbatimChar"/>
        </w:rPr>
        <w:t xml:space="preserve"> $ Employment : Factor w/ 3 levels "Unemployed","Inactive",..: 3 3 2 3 2 3 3 NA NA NA ...</w:t>
      </w:r>
      <w:r>
        <w:br/>
      </w:r>
      <w:r>
        <w:rPr>
          <w:rStyle w:val="VerbatimChar"/>
        </w:rPr>
        <w:t xml:space="preserve"> $ Poverty    : Factor w/ 3 levels "NotPoor","Extreme",..: 1 1 1 1 1 3 3 3 3 3 ...</w:t>
      </w:r>
    </w:p>
    <w:p>
      <w:pPr>
        <w:pStyle w:val="FirstParagraph"/>
      </w:pPr>
      <w:r>
        <w:t xml:space="preserve">Como se observa en la salida anterior, la función</w:t>
      </w:r>
      <w:r>
        <w:t xml:space="preserve"> </w:t>
      </w:r>
      <w:r>
        <w:rPr>
          <w:rStyle w:val="VerbatimChar"/>
        </w:rPr>
        <w:t xml:space="preserve">str</w:t>
      </w:r>
      <w:r>
        <w:t xml:space="preserve"> </w:t>
      </w:r>
      <w:r>
        <w:t xml:space="preserve">permite identificar la clase de cada variable incluida en la base de datos. Por ejemplo, la variable</w:t>
      </w:r>
      <w:r>
        <w:t xml:space="preserve"> </w:t>
      </w:r>
      <w:r>
        <w:rPr>
          <w:rStyle w:val="VerbatimChar"/>
        </w:rPr>
        <w:t xml:space="preserve">HHID</w:t>
      </w:r>
      <w:r>
        <w:t xml:space="preserve"> </w:t>
      </w:r>
      <w:r>
        <w:t xml:space="preserve">es de tipo carácter, al igual que la variable</w:t>
      </w:r>
      <w:r>
        <w:t xml:space="preserve"> </w:t>
      </w:r>
      <w:r>
        <w:rPr>
          <w:rStyle w:val="VerbatimChar"/>
        </w:rPr>
        <w:t xml:space="preserve">Sex</w:t>
      </w:r>
      <w:r>
        <w:t xml:space="preserve">, mientras que las variables</w:t>
      </w:r>
      <w:r>
        <w:t xml:space="preserve"> </w:t>
      </w:r>
      <w:r>
        <w:rPr>
          <w:rStyle w:val="VerbatimChar"/>
        </w:rPr>
        <w:t xml:space="preserve">Income</w:t>
      </w:r>
      <w:r>
        <w:t xml:space="preserve"> </w:t>
      </w:r>
      <w:r>
        <w:t xml:space="preserve">y</w:t>
      </w:r>
      <w:r>
        <w:t xml:space="preserve"> </w:t>
      </w:r>
      <w:r>
        <w:rPr>
          <w:rStyle w:val="VerbatimChar"/>
        </w:rPr>
        <w:t xml:space="preserve">Expenditure</w:t>
      </w:r>
      <w:r>
        <w:t xml:space="preserve"> </w:t>
      </w:r>
      <w:r>
        <w:t xml:space="preserve">son de tipo numérico. Los demás atributos asociados con las variables también pueden revisarse directamente en la salida del código. Esta función resulta especialmente útil para obtener una visión general del contenido y la estructura de una base de datos.</w:t>
      </w:r>
    </w:p>
    <w:bookmarkEnd w:id="296"/>
    <w:bookmarkStart w:id="303" w:name="encadenamiento-de-operaciones"/>
    <w:p>
      <w:pPr>
        <w:pStyle w:val="Heading2"/>
      </w:pPr>
      <w:r>
        <w:t xml:space="preserve">8.3 Encadenamiento de operaciones</w:t>
      </w:r>
    </w:p>
    <w:p>
      <w:pPr>
        <w:pStyle w:val="FirstParagraph"/>
      </w:pPr>
      <w:r>
        <w:t xml:space="preserve">Según</w:t>
      </w:r>
      <w:r>
        <w:t xml:space="preserve"> </w:t>
      </w:r>
      <w:r>
        <w:t xml:space="preserve">Bache y Wickham (2026)</w:t>
      </w:r>
      <w:r>
        <w:t xml:space="preserve">, una de las contribuciones más útiles de</w:t>
      </w:r>
      <w:r>
        <w:t xml:space="preserve"> </w:t>
      </w:r>
      <w:r>
        <w:rPr>
          <w:rStyle w:val="VerbatimChar"/>
        </w:rPr>
        <w:t xml:space="preserve">R</w:t>
      </w:r>
      <w:r>
        <w:t xml:space="preserve"> </w:t>
      </w:r>
      <w:r>
        <w:t xml:space="preserve">es la incorporación de las tuberías (</w:t>
      </w:r>
      <w:r>
        <w:rPr>
          <w:i/>
          <w:iCs/>
        </w:rPr>
        <w:t xml:space="preserve">pipelines</w:t>
      </w:r>
      <w:r>
        <w:t xml:space="preserve">), las cuales permiten construir consultas, transformaciones y nuevos objetos a partir de una base de datos de manera más intuitiva, ordenada y fácil de interpretar. El operador de encadenamiento</w:t>
      </w:r>
      <w:r>
        <w:t xml:space="preserve"> </w:t>
      </w:r>
      <w:r>
        <w:rPr>
          <w:rStyle w:val="VerbatimChar"/>
        </w:rPr>
        <w:t xml:space="preserve">%&gt;%</w:t>
      </w:r>
      <w:r>
        <w:t xml:space="preserve">, parte del paquete</w:t>
      </w:r>
      <w:r>
        <w:t xml:space="preserve"> </w:t>
      </w:r>
      <w:r>
        <w:rPr>
          <w:rStyle w:val="VerbatimChar"/>
        </w:rPr>
        <w:t xml:space="preserve">magrittr</w:t>
      </w:r>
      <w:r>
        <w:t xml:space="preserve"> </w:t>
      </w:r>
      <w:r>
        <w:t xml:space="preserve">y cargado automáticamente al utilizar la librería</w:t>
      </w:r>
      <w:r>
        <w:t xml:space="preserve"> </w:t>
      </w:r>
      <w:r>
        <w:rPr>
          <w:rStyle w:val="VerbatimChar"/>
        </w:rPr>
        <w:t xml:space="preserve">tidyverse</w:t>
      </w:r>
      <w:r>
        <w:t xml:space="preserve">, permite enlazar varias operaciones sucesivas, de modo que el resultado obtenido en un paso se convierte en el insumo del paso siguiente. A continuación, se presenta un ejemplo sencillo de su uso con la base de datos</w:t>
      </w:r>
      <w:r>
        <w:t xml:space="preserve"> </w:t>
      </w:r>
      <w:r>
        <w:rPr>
          <w:rStyle w:val="VerbatimChar"/>
        </w:rPr>
        <w:t xml:space="preserve">BigCity</w:t>
      </w:r>
      <w:r>
        <w:t xml:space="preserve">, en el cual se calcula el número total de elementos que contiene la base mediante la función</w:t>
      </w:r>
      <w:r>
        <w:t xml:space="preserve"> </w:t>
      </w:r>
      <w:r>
        <w:rPr>
          <w:rStyle w:val="VerbatimChar"/>
        </w:rPr>
        <w:t xml:space="preserve">count</w:t>
      </w:r>
      <w:r>
        <w:t xml:space="preserve">.</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count</w:t>
      </w:r>
      <w:r>
        <w:rPr>
          <w:rStyle w:val="NormalTok"/>
        </w:rPr>
        <w:t xml:space="preserve">()</w:t>
      </w:r>
    </w:p>
    <w:p>
      <w:pPr>
        <w:pStyle w:val="SourceCode"/>
      </w:pPr>
      <w:r>
        <w:rPr>
          <w:rStyle w:val="VerbatimChar"/>
        </w:rPr>
        <w:t xml:space="preserve">       n</w:t>
      </w:r>
      <w:r>
        <w:br/>
      </w:r>
      <w:r>
        <w:rPr>
          <w:rStyle w:val="VerbatimChar"/>
        </w:rPr>
        <w:t xml:space="preserve">1 150266</w:t>
      </w:r>
    </w:p>
    <w:p>
      <w:pPr>
        <w:pStyle w:val="FirstParagraph"/>
      </w:pPr>
      <w:r>
        <w:t xml:space="preserve">La línea de código anterior puede interpretarse de forma sencilla: se toma la base de datos como punto de partida y, sobre ella, se realiza un conteo de sus registros. Además de la función</w:t>
      </w:r>
      <w:r>
        <w:t xml:space="preserve"> </w:t>
      </w:r>
      <w:r>
        <w:rPr>
          <w:rStyle w:val="VerbatimChar"/>
        </w:rPr>
        <w:t xml:space="preserve">count</w:t>
      </w:r>
      <w:r>
        <w:t xml:space="preserve">, existe una amplia variedad de funciones que pueden combinarse con el operador</w:t>
      </w:r>
      <w:r>
        <w:t xml:space="preserve"> </w:t>
      </w:r>
      <w:r>
        <w:rPr>
          <w:rStyle w:val="VerbatimChar"/>
        </w:rPr>
        <w:t xml:space="preserve">%&gt;%</w:t>
      </w:r>
      <w:r>
        <w:t xml:space="preserve"> </w:t>
      </w:r>
      <w:r>
        <w:t xml:space="preserve">para realizar consultas, transformaciones y resúmenes sobre los datos. El paquete</w:t>
      </w:r>
      <w:r>
        <w:t xml:space="preserve"> </w:t>
      </w:r>
      <w:r>
        <w:rPr>
          <w:rStyle w:val="VerbatimChar"/>
        </w:rPr>
        <w:t xml:space="preserve">dplyr</w:t>
      </w:r>
      <w:r>
        <w:t xml:space="preserve"> </w:t>
      </w:r>
      <w:r>
        <w:t xml:space="preserve">toma ventaja de este operador, permitiendo organizar las operaciones más comunes sobre una base rectangular. En las siguientes subsecciones se presentan algunas de ellas, siguiendo un orden típico de trabajo: reducir observaciones, conservar variables, ordenar la información, crear nuevas columnas y producir resultados agregados.</w:t>
      </w:r>
    </w:p>
    <w:bookmarkStart w:id="297" w:name="filter-seleccion-de-registros"/>
    <w:p>
      <w:pPr>
        <w:pStyle w:val="Heading3"/>
      </w:pPr>
      <w:r>
        <w:t xml:space="preserve">8.3.1</w:t>
      </w:r>
      <w:r>
        <w:t xml:space="preserve"> </w:t>
      </w:r>
      <w:r>
        <w:rPr>
          <w:rStyle w:val="VerbatimChar"/>
        </w:rPr>
        <w:t xml:space="preserve">filter</w:t>
      </w:r>
      <w:r>
        <w:t xml:space="preserve">: selección de registros</w:t>
      </w:r>
    </w:p>
    <w:p>
      <w:pPr>
        <w:pStyle w:val="FirstParagraph"/>
      </w:pPr>
      <w:r>
        <w:rPr>
          <w:rStyle w:val="VerbatimChar"/>
        </w:rPr>
        <w:t xml:space="preserve">filter()</w:t>
      </w:r>
      <w:r>
        <w:t xml:space="preserve">, una de las funciones de transformación de</w:t>
      </w:r>
      <w:r>
        <w:t xml:space="preserve"> </w:t>
      </w:r>
      <w:r>
        <w:rPr>
          <w:rStyle w:val="VerbatimChar"/>
        </w:rPr>
        <w:t xml:space="preserve">dplyr</w:t>
      </w:r>
      <w:r>
        <w:t xml:space="preserve">, conserva las filas que cumplen una o varias condiciones. En el siguiente ejemplo se crean dos subconjuntos de</w:t>
      </w:r>
      <w:r>
        <w:t xml:space="preserve"> </w:t>
      </w:r>
      <w:r>
        <w:rPr>
          <w:rStyle w:val="VerbatimChar"/>
        </w:rPr>
        <w:t xml:space="preserve">bigcity_data</w:t>
      </w:r>
      <w:r>
        <w:t xml:space="preserve">: uno con los hombres y otro con las mujeres. El resultado son dos objetos nuevos.</w:t>
      </w:r>
      <w:r>
        <w:t xml:space="preserve"> </w:t>
      </w:r>
      <w:r>
        <w:rPr>
          <w:rStyle w:val="VerbatimChar"/>
        </w:rPr>
        <w:t xml:space="preserve">male_data</w:t>
      </w:r>
      <w:r>
        <w:t xml:space="preserve"> </w:t>
      </w:r>
      <w:r>
        <w:t xml:space="preserve">contiene únicamente registros con</w:t>
      </w:r>
      <w:r>
        <w:t xml:space="preserve"> </w:t>
      </w:r>
      <w:r>
        <w:rPr>
          <w:rStyle w:val="VerbatimChar"/>
        </w:rPr>
        <w:t xml:space="preserve">Sex == "Male"</w:t>
      </w:r>
      <w:r>
        <w:t xml:space="preserve">, mientras que</w:t>
      </w:r>
      <w:r>
        <w:t xml:space="preserve"> </w:t>
      </w:r>
      <w:r>
        <w:rPr>
          <w:rStyle w:val="VerbatimChar"/>
        </w:rPr>
        <w:t xml:space="preserve">female_data</w:t>
      </w:r>
      <w:r>
        <w:t xml:space="preserve"> </w:t>
      </w:r>
      <w:r>
        <w:t xml:space="preserve">contiene registros con</w:t>
      </w:r>
      <w:r>
        <w:t xml:space="preserve"> </w:t>
      </w:r>
      <w:r>
        <w:rPr>
          <w:rStyle w:val="VerbatimChar"/>
        </w:rPr>
        <w:t xml:space="preserve">Sex == "Female"</w:t>
      </w:r>
      <w:r>
        <w:t xml:space="preserve">.</w:t>
      </w:r>
    </w:p>
    <w:p>
      <w:pPr>
        <w:pStyle w:val="SourceCode"/>
      </w:pPr>
      <w:r>
        <w:rPr>
          <w:rStyle w:val="NormalTok"/>
        </w:rPr>
        <w:t xml:space="preserve">male_data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w:t>
      </w:r>
      <w:r>
        <w:br/>
      </w:r>
      <w:r>
        <w:rPr>
          <w:rStyle w:val="NormalTok"/>
        </w:rPr>
        <w:t xml:space="preserve">female_data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w:t>
      </w:r>
    </w:p>
    <w:p>
      <w:pPr>
        <w:pStyle w:val="FirstParagraph"/>
      </w:pPr>
      <w:r>
        <w:t xml:space="preserve">También puede filtrarse por condición de pobreza. En este caso se conservan solo las personas clasificadas como no pobres. El objeto</w:t>
      </w:r>
      <w:r>
        <w:t xml:space="preserve"> </w:t>
      </w:r>
      <w:r>
        <w:rPr>
          <w:rStyle w:val="VerbatimChar"/>
        </w:rPr>
        <w:t xml:space="preserve">nonpoor_data</w:t>
      </w:r>
      <w:r>
        <w:t xml:space="preserve"> </w:t>
      </w:r>
      <w:r>
        <w:t xml:space="preserve">contiene el subconjunto de registros cuya variable</w:t>
      </w:r>
      <w:r>
        <w:t xml:space="preserve"> </w:t>
      </w:r>
      <w:r>
        <w:rPr>
          <w:rStyle w:val="VerbatimChar"/>
        </w:rPr>
        <w:t xml:space="preserve">Poverty</w:t>
      </w:r>
      <w:r>
        <w:t xml:space="preserve"> </w:t>
      </w:r>
      <w:r>
        <w:t xml:space="preserve">toma el valor</w:t>
      </w:r>
      <w:r>
        <w:t xml:space="preserve"> </w:t>
      </w:r>
      <w:r>
        <w:rPr>
          <w:rStyle w:val="VerbatimChar"/>
        </w:rPr>
        <w:t xml:space="preserve">"NotPoor"</w:t>
      </w:r>
      <w:r>
        <w:t xml:space="preserve">.</w:t>
      </w:r>
    </w:p>
    <w:p>
      <w:pPr>
        <w:pStyle w:val="SourceCode"/>
      </w:pPr>
      <w:r>
        <w:rPr>
          <w:rStyle w:val="NormalTok"/>
        </w:rPr>
        <w:t xml:space="preserve">nonpoor_data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filter</w:t>
      </w:r>
      <w:r>
        <w:rPr>
          <w:rStyle w:val="NormalTok"/>
        </w:rPr>
        <w:t xml:space="preserve">(Poverty </w:t>
      </w:r>
      <w:r>
        <w:rPr>
          <w:rStyle w:val="SpecialCharTok"/>
        </w:rPr>
        <w:t xml:space="preserve">==</w:t>
      </w:r>
      <w:r>
        <w:rPr>
          <w:rStyle w:val="NormalTok"/>
        </w:rPr>
        <w:t xml:space="preserve"> </w:t>
      </w:r>
      <w:r>
        <w:rPr>
          <w:rStyle w:val="StringTok"/>
        </w:rPr>
        <w:t xml:space="preserve">"NotPoor"</w:t>
      </w:r>
      <w:r>
        <w:rPr>
          <w:rStyle w:val="NormalTok"/>
        </w:rPr>
        <w:t xml:space="preserve">)</w:t>
      </w:r>
    </w:p>
    <w:p>
      <w:pPr>
        <w:pStyle w:val="FirstParagraph"/>
      </w:pPr>
      <w:r>
        <w:t xml:space="preserve">La función</w:t>
      </w:r>
      <w:r>
        <w:t xml:space="preserve"> </w:t>
      </w:r>
      <w:r>
        <w:rPr>
          <w:rStyle w:val="VerbatimChar"/>
        </w:rPr>
        <w:t xml:space="preserve">filter()</w:t>
      </w:r>
      <w:r>
        <w:t xml:space="preserve"> </w:t>
      </w:r>
      <w:r>
        <w:t xml:space="preserve">también permite conservar registros cuyos valores pertenecen a un conjunto específico. En los siguientes ejemplos se filtra por valores particulares de ingreso. Note que</w:t>
      </w:r>
      <w:r>
        <w:t xml:space="preserve"> </w:t>
      </w:r>
      <w:r>
        <w:rPr>
          <w:rStyle w:val="VerbatimChar"/>
        </w:rPr>
        <w:t xml:space="preserve">%in%</w:t>
      </w:r>
      <w:r>
        <w:t xml:space="preserve"> </w:t>
      </w:r>
      <w:r>
        <w:t xml:space="preserve">evalúa si</w:t>
      </w:r>
      <w:r>
        <w:t xml:space="preserve"> </w:t>
      </w:r>
      <w:r>
        <w:rPr>
          <w:rStyle w:val="VerbatimChar"/>
        </w:rPr>
        <w:t xml:space="preserve">Income</w:t>
      </w:r>
      <w:r>
        <w:t xml:space="preserve"> </w:t>
      </w:r>
      <w:r>
        <w:t xml:space="preserve">pertenece al conjunto indicado. Así,</w:t>
      </w:r>
      <w:r>
        <w:t xml:space="preserve"> </w:t>
      </w:r>
      <w:r>
        <w:rPr>
          <w:rStyle w:val="VerbatimChar"/>
        </w:rPr>
        <w:t xml:space="preserve">working_data</w:t>
      </w:r>
      <w:r>
        <w:t xml:space="preserve"> </w:t>
      </w:r>
      <w:r>
        <w:t xml:space="preserve">conserva ingresos iguales a 265 o 600, y</w:t>
      </w:r>
      <w:r>
        <w:t xml:space="preserve"> </w:t>
      </w:r>
      <w:r>
        <w:rPr>
          <w:rStyle w:val="VerbatimChar"/>
        </w:rPr>
        <w:t xml:space="preserve">income_filter_data</w:t>
      </w:r>
      <w:r>
        <w:t xml:space="preserve"> </w:t>
      </w:r>
      <w:r>
        <w:t xml:space="preserve">conserva ingresos iguales a 1000 o 2000.</w:t>
      </w:r>
    </w:p>
    <w:p>
      <w:pPr>
        <w:pStyle w:val="SourceCode"/>
      </w:pPr>
      <w:r>
        <w:rPr>
          <w:rStyle w:val="NormalTok"/>
        </w:rPr>
        <w:t xml:space="preserve">working_data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filter</w:t>
      </w:r>
      <w:r>
        <w:rPr>
          <w:rStyle w:val="NormalTok"/>
        </w:rPr>
        <w:t xml:space="preserve">(Income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265</w:t>
      </w:r>
      <w:r>
        <w:rPr>
          <w:rStyle w:val="NormalTok"/>
        </w:rPr>
        <w:t xml:space="preserve">, </w:t>
      </w:r>
      <w:r>
        <w:rPr>
          <w:rStyle w:val="DecValTok"/>
        </w:rPr>
        <w:t xml:space="preserve">600</w:t>
      </w:r>
      <w:r>
        <w:rPr>
          <w:rStyle w:val="NormalTok"/>
        </w:rPr>
        <w:t xml:space="preserve">))</w:t>
      </w:r>
      <w:r>
        <w:br/>
      </w:r>
      <w:r>
        <w:br/>
      </w:r>
      <w:r>
        <w:rPr>
          <w:rStyle w:val="NormalTok"/>
        </w:rPr>
        <w:t xml:space="preserve">income_filter_data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filter</w:t>
      </w:r>
      <w:r>
        <w:rPr>
          <w:rStyle w:val="NormalTok"/>
        </w:rPr>
        <w:t xml:space="preserve">(Income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2000</w:t>
      </w:r>
      <w:r>
        <w:rPr>
          <w:rStyle w:val="NormalTok"/>
        </w:rPr>
        <w:t xml:space="preserve">))</w:t>
      </w:r>
    </w:p>
    <w:bookmarkEnd w:id="297"/>
    <w:bookmarkStart w:id="298" w:name="select-seleccionar-variables"/>
    <w:p>
      <w:pPr>
        <w:pStyle w:val="Heading3"/>
      </w:pPr>
      <w:r>
        <w:t xml:space="preserve">8.3.2</w:t>
      </w:r>
      <w:r>
        <w:t xml:space="preserve"> </w:t>
      </w:r>
      <w:r>
        <w:rPr>
          <w:rStyle w:val="VerbatimChar"/>
        </w:rPr>
        <w:t xml:space="preserve">select</w:t>
      </w:r>
      <w:r>
        <w:t xml:space="preserve">: seleccionar variables</w:t>
      </w:r>
    </w:p>
    <w:p>
      <w:pPr>
        <w:pStyle w:val="FirstParagraph"/>
      </w:pPr>
      <w:r>
        <w:t xml:space="preserve">La función</w:t>
      </w:r>
      <w:r>
        <w:t xml:space="preserve"> </w:t>
      </w:r>
      <w:r>
        <w:rPr>
          <w:rStyle w:val="VerbatimChar"/>
        </w:rPr>
        <w:t xml:space="preserve">select()</w:t>
      </w:r>
      <w:r>
        <w:t xml:space="preserve"> </w:t>
      </w:r>
      <w:r>
        <w:t xml:space="preserve">conserva columnas específicas. Para continuar con los ejemplos, se seleccionan variables de identificación de la persona y el hogar y otras como zona, sexo, edad e ingreso. El resultado es una base más reducida en columnas. Se mantiene</w:t>
      </w:r>
      <w:r>
        <w:t xml:space="preserve"> </w:t>
      </w:r>
      <w:r>
        <w:rPr>
          <w:rStyle w:val="VerbatimChar"/>
        </w:rPr>
        <w:t xml:space="preserve">Age</w:t>
      </w:r>
      <w:r>
        <w:t xml:space="preserve"> </w:t>
      </w:r>
      <w:r>
        <w:t xml:space="preserve">porque será utilizada posteriormente para ordenar registros por edad.</w:t>
      </w:r>
    </w:p>
    <w:p>
      <w:pPr>
        <w:pStyle w:val="SourceCode"/>
      </w:pPr>
      <w:r>
        <w:rPr>
          <w:rStyle w:val="NormalTok"/>
        </w:rPr>
        <w:t xml:space="preserve">working_data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select</w:t>
      </w:r>
      <w:r>
        <w:rPr>
          <w:rStyle w:val="NormalTok"/>
        </w:rPr>
        <w:t xml:space="preserve">(PersonID, HHID, PSU, Zone, Sex, Age, Income)</w:t>
      </w:r>
    </w:p>
    <w:p>
      <w:pPr>
        <w:pStyle w:val="FirstParagraph"/>
      </w:pPr>
      <w:r>
        <w:t xml:space="preserve">Adicionalmente,</w:t>
      </w:r>
      <w:r>
        <w:t xml:space="preserve"> </w:t>
      </w:r>
      <w:r>
        <w:rPr>
          <w:rStyle w:val="VerbatimChar"/>
        </w:rPr>
        <w:t xml:space="preserve">select()</w:t>
      </w:r>
      <w:r>
        <w:t xml:space="preserve"> </w:t>
      </w:r>
      <w:r>
        <w:t xml:space="preserve">también permite excluir variables. Para eliminar columnas, se antepone el signo menos (</w:t>
      </w:r>
      <w:r>
        <w:rPr>
          <w:rStyle w:val="VerbatimChar"/>
        </w:rPr>
        <w:t xml:space="preserve">-</w:t>
      </w:r>
      <w:r>
        <w:t xml:space="preserve">) al nombre de cada variable. El objeto</w:t>
      </w:r>
      <w:r>
        <w:t xml:space="preserve"> </w:t>
      </w:r>
      <w:r>
        <w:rPr>
          <w:rStyle w:val="VerbatimChar"/>
        </w:rPr>
        <w:t xml:space="preserve">compact_data</w:t>
      </w:r>
      <w:r>
        <w:t xml:space="preserve"> </w:t>
      </w:r>
      <w:r>
        <w:t xml:space="preserve">conserva las variables de</w:t>
      </w:r>
      <w:r>
        <w:t xml:space="preserve"> </w:t>
      </w:r>
      <w:r>
        <w:rPr>
          <w:rStyle w:val="VerbatimChar"/>
        </w:rPr>
        <w:t xml:space="preserve">working_data</w:t>
      </w:r>
      <w:r>
        <w:t xml:space="preserve">, excepto</w:t>
      </w:r>
      <w:r>
        <w:t xml:space="preserve"> </w:t>
      </w:r>
      <w:r>
        <w:rPr>
          <w:rStyle w:val="VerbatimChar"/>
        </w:rPr>
        <w:t xml:space="preserve">HHID</w:t>
      </w:r>
      <w:r>
        <w:t xml:space="preserve"> </w:t>
      </w:r>
      <w:r>
        <w:t xml:space="preserve">y</w:t>
      </w:r>
      <w:r>
        <w:t xml:space="preserve"> </w:t>
      </w:r>
      <w:r>
        <w:rPr>
          <w:rStyle w:val="VerbatimChar"/>
        </w:rPr>
        <w:t xml:space="preserve">PersonID</w:t>
      </w:r>
      <w:r>
        <w:t xml:space="preserve">. Esta operación es útil cuando se desea trabajar con una base más compacta.</w:t>
      </w:r>
    </w:p>
    <w:p>
      <w:pPr>
        <w:pStyle w:val="SourceCode"/>
      </w:pPr>
      <w:r>
        <w:rPr>
          <w:rStyle w:val="NormalTok"/>
        </w:rPr>
        <w:t xml:space="preserve">compact_data </w:t>
      </w:r>
      <w:r>
        <w:rPr>
          <w:rStyle w:val="OtherTok"/>
        </w:rPr>
        <w:t xml:space="preserve">&lt;-</w:t>
      </w:r>
      <w:r>
        <w:rPr>
          <w:rStyle w:val="NormalTok"/>
        </w:rPr>
        <w:t xml:space="preserve"> working_data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HHID, </w:t>
      </w:r>
      <w:r>
        <w:rPr>
          <w:rStyle w:val="SpecialCharTok"/>
        </w:rPr>
        <w:t xml:space="preserve">-</w:t>
      </w:r>
      <w:r>
        <w:rPr>
          <w:rStyle w:val="NormalTok"/>
        </w:rPr>
        <w:t xml:space="preserve">PersonID)</w:t>
      </w:r>
    </w:p>
    <w:bookmarkEnd w:id="298"/>
    <w:bookmarkStart w:id="299" w:name="arrange-ordenamiento-de-filas"/>
    <w:p>
      <w:pPr>
        <w:pStyle w:val="Heading3"/>
      </w:pPr>
      <w:r>
        <w:t xml:space="preserve">8.3.3</w:t>
      </w:r>
      <w:r>
        <w:t xml:space="preserve"> </w:t>
      </w:r>
      <w:r>
        <w:rPr>
          <w:rStyle w:val="VerbatimChar"/>
        </w:rPr>
        <w:t xml:space="preserve">arrange</w:t>
      </w:r>
      <w:r>
        <w:t xml:space="preserve">: ordenamiento de filas</w:t>
      </w:r>
    </w:p>
    <w:p>
      <w:pPr>
        <w:pStyle w:val="FirstParagraph"/>
      </w:pPr>
      <w:r>
        <w:t xml:space="preserve">La función</w:t>
      </w:r>
      <w:r>
        <w:t xml:space="preserve"> </w:t>
      </w:r>
      <w:r>
        <w:rPr>
          <w:rStyle w:val="VerbatimChar"/>
        </w:rPr>
        <w:t xml:space="preserve">arrange()</w:t>
      </w:r>
      <w:r>
        <w:t xml:space="preserve"> </w:t>
      </w:r>
      <w:r>
        <w:t xml:space="preserve">ordena las filas de una base según una o más variables. En el primer ejemplo,</w:t>
      </w:r>
      <w:r>
        <w:t xml:space="preserve"> </w:t>
      </w:r>
      <w:r>
        <w:rPr>
          <w:rStyle w:val="VerbatimChar"/>
        </w:rPr>
        <w:t xml:space="preserve">working_data</w:t>
      </w:r>
      <w:r>
        <w:t xml:space="preserve"> </w:t>
      </w:r>
      <w:r>
        <w:t xml:space="preserve">se ordena de menor a mayor ingreso, mientras que</w:t>
      </w:r>
      <w:r>
        <w:t xml:space="preserve"> </w:t>
      </w:r>
      <w:r>
        <w:rPr>
          <w:rStyle w:val="VerbatimChar"/>
        </w:rPr>
        <w:t xml:space="preserve">sorted_data</w:t>
      </w:r>
      <w:r>
        <w:t xml:space="preserve"> </w:t>
      </w:r>
      <w:r>
        <w:t xml:space="preserve">contiene las mismas columnas que</w:t>
      </w:r>
      <w:r>
        <w:t xml:space="preserve"> </w:t>
      </w:r>
      <w:r>
        <w:rPr>
          <w:rStyle w:val="VerbatimChar"/>
        </w:rPr>
        <w:t xml:space="preserve">working_data</w:t>
      </w:r>
      <w:r>
        <w:t xml:space="preserve">, pero sus filas quedan ordenadas por</w:t>
      </w:r>
      <w:r>
        <w:t xml:space="preserve"> </w:t>
      </w:r>
      <w:r>
        <w:rPr>
          <w:rStyle w:val="VerbatimChar"/>
        </w:rPr>
        <w:t xml:space="preserve">Income</w:t>
      </w:r>
      <w:r>
        <w:t xml:space="preserve">. La función</w:t>
      </w:r>
      <w:r>
        <w:t xml:space="preserve"> </w:t>
      </w:r>
      <w:r>
        <w:rPr>
          <w:rStyle w:val="VerbatimChar"/>
        </w:rPr>
        <w:t xml:space="preserve">head()</w:t>
      </w:r>
      <w:r>
        <w:t xml:space="preserve"> </w:t>
      </w:r>
      <w:r>
        <w:t xml:space="preserve">muestra los primeros registros después del ordenamiento.</w:t>
      </w:r>
    </w:p>
    <w:p>
      <w:pPr>
        <w:pStyle w:val="SourceCode"/>
      </w:pPr>
      <w:r>
        <w:rPr>
          <w:rStyle w:val="NormalTok"/>
        </w:rPr>
        <w:t xml:space="preserve">sorted_data </w:t>
      </w:r>
      <w:r>
        <w:rPr>
          <w:rStyle w:val="OtherTok"/>
        </w:rPr>
        <w:t xml:space="preserve">&lt;-</w:t>
      </w:r>
      <w:r>
        <w:rPr>
          <w:rStyle w:val="NormalTok"/>
        </w:rPr>
        <w:t xml:space="preserve"> working_data </w:t>
      </w:r>
      <w:r>
        <w:rPr>
          <w:rStyle w:val="SpecialCharTok"/>
        </w:rPr>
        <w:t xml:space="preserve">%&gt;%</w:t>
      </w:r>
      <w:r>
        <w:br/>
      </w:r>
      <w:r>
        <w:rPr>
          <w:rStyle w:val="NormalTok"/>
        </w:rPr>
        <w:t xml:space="preserve">  </w:t>
      </w:r>
      <w:r>
        <w:rPr>
          <w:rStyle w:val="FunctionTok"/>
        </w:rPr>
        <w:t xml:space="preserve">arrange</w:t>
      </w:r>
      <w:r>
        <w:rPr>
          <w:rStyle w:val="NormalTok"/>
        </w:rPr>
        <w:t xml:space="preserve">(Income)</w:t>
      </w:r>
      <w:r>
        <w:br/>
      </w:r>
      <w:r>
        <w:br/>
      </w:r>
      <w:r>
        <w:rPr>
          <w:rStyle w:val="NormalTok"/>
        </w:rPr>
        <w:t xml:space="preserve">sorted_data </w:t>
      </w:r>
      <w:r>
        <w:rPr>
          <w:rStyle w:val="SpecialCharTok"/>
        </w:rPr>
        <w:t xml:space="preserve">%&gt;%</w:t>
      </w:r>
      <w:r>
        <w:br/>
      </w:r>
      <w:r>
        <w:rPr>
          <w:rStyle w:val="NormalTok"/>
        </w:rPr>
        <w:t xml:space="preserve">  </w:t>
      </w:r>
      <w:r>
        <w:rPr>
          <w:rStyle w:val="FunctionTok"/>
        </w:rPr>
        <w:t xml:space="preserve">head</w:t>
      </w:r>
      <w:r>
        <w:rPr>
          <w:rStyle w:val="NormalTok"/>
        </w:rPr>
        <w:t xml:space="preserve">()</w:t>
      </w:r>
    </w:p>
    <w:p>
      <w:pPr>
        <w:pStyle w:val="SourceCode"/>
      </w:pPr>
      <w:r>
        <w:rPr>
          <w:rStyle w:val="VerbatimChar"/>
        </w:rPr>
        <w:t xml:space="preserve">  PersonID      HHID     PSU  Zone    Sex Age Income</w:t>
      </w:r>
      <w:r>
        <w:br/>
      </w:r>
      <w:r>
        <w:rPr>
          <w:rStyle w:val="VerbatimChar"/>
        </w:rPr>
        <w:t xml:space="preserve">1  idPer01 idHH01522 PSU0112 Rural Female  82   10.0</w:t>
      </w:r>
      <w:r>
        <w:br/>
      </w:r>
      <w:r>
        <w:rPr>
          <w:rStyle w:val="VerbatimChar"/>
        </w:rPr>
        <w:t xml:space="preserve">2  idPer01 idHH22167 PSU0112 Rural Female  82   10.0</w:t>
      </w:r>
      <w:r>
        <w:br/>
      </w:r>
      <w:r>
        <w:rPr>
          <w:rStyle w:val="VerbatimChar"/>
        </w:rPr>
        <w:t xml:space="preserve">3  idPer01 idHH10745 PSU0893 Rural   Male  68   11.9</w:t>
      </w:r>
      <w:r>
        <w:br/>
      </w:r>
      <w:r>
        <w:rPr>
          <w:rStyle w:val="VerbatimChar"/>
        </w:rPr>
        <w:t xml:space="preserve">4  idPer01 idHH31390 PSU0893 Rural   Male  68   11.9</w:t>
      </w:r>
      <w:r>
        <w:br/>
      </w:r>
      <w:r>
        <w:rPr>
          <w:rStyle w:val="VerbatimChar"/>
        </w:rPr>
        <w:t xml:space="preserve">5  idPer01 idHH17632 PSU1432 Rural   Male  58   12.1</w:t>
      </w:r>
      <w:r>
        <w:br/>
      </w:r>
      <w:r>
        <w:rPr>
          <w:rStyle w:val="VerbatimChar"/>
        </w:rPr>
        <w:t xml:space="preserve">6  idPer02 idHH17632 PSU1432 Rural Female  50   12.1</w:t>
      </w:r>
    </w:p>
    <w:p>
      <w:pPr>
        <w:pStyle w:val="FirstParagraph"/>
      </w:pPr>
      <w:r>
        <w:t xml:space="preserve">El ordenamiento también puede realizarse considerando más de una variable. En este ejemplo, la base se organiza primero según la variable</w:t>
      </w:r>
      <w:r>
        <w:t xml:space="preserve"> </w:t>
      </w:r>
      <w:r>
        <w:rPr>
          <w:rStyle w:val="VerbatimChar"/>
        </w:rPr>
        <w:t xml:space="preserve">Sex</w:t>
      </w:r>
      <w:r>
        <w:t xml:space="preserve"> </w:t>
      </w:r>
      <w:r>
        <w:t xml:space="preserve">y, posteriormente, dentro de cada grupo, de acuerdo con la variable</w:t>
      </w:r>
      <w:r>
        <w:t xml:space="preserve"> </w:t>
      </w:r>
      <w:r>
        <w:rPr>
          <w:rStyle w:val="VerbatimChar"/>
        </w:rPr>
        <w:t xml:space="preserve">Age</w:t>
      </w:r>
      <w:r>
        <w:t xml:space="preserve">. La siguiente salida permite revisar los primeros registros después de aplicar este criterio de ordenamiento.</w:t>
      </w:r>
    </w:p>
    <w:p>
      <w:pPr>
        <w:pStyle w:val="SourceCode"/>
      </w:pPr>
      <w:r>
        <w:rPr>
          <w:rStyle w:val="NormalTok"/>
        </w:rPr>
        <w:t xml:space="preserve">working_data </w:t>
      </w:r>
      <w:r>
        <w:rPr>
          <w:rStyle w:val="SpecialCharTok"/>
        </w:rPr>
        <w:t xml:space="preserve">%&gt;%</w:t>
      </w:r>
      <w:r>
        <w:br/>
      </w:r>
      <w:r>
        <w:rPr>
          <w:rStyle w:val="NormalTok"/>
        </w:rPr>
        <w:t xml:space="preserve">  </w:t>
      </w:r>
      <w:r>
        <w:rPr>
          <w:rStyle w:val="FunctionTok"/>
        </w:rPr>
        <w:t xml:space="preserve">arrange</w:t>
      </w:r>
      <w:r>
        <w:rPr>
          <w:rStyle w:val="NormalTok"/>
        </w:rPr>
        <w:t xml:space="preserve">(Sex, Age) </w:t>
      </w:r>
      <w:r>
        <w:rPr>
          <w:rStyle w:val="SpecialCharTok"/>
        </w:rPr>
        <w:t xml:space="preserve">%&gt;%</w:t>
      </w:r>
      <w:r>
        <w:br/>
      </w:r>
      <w:r>
        <w:rPr>
          <w:rStyle w:val="NormalTok"/>
        </w:rPr>
        <w:t xml:space="preserve">  </w:t>
      </w:r>
      <w:r>
        <w:rPr>
          <w:rStyle w:val="FunctionTok"/>
        </w:rPr>
        <w:t xml:space="preserve">head</w:t>
      </w:r>
      <w:r>
        <w:rPr>
          <w:rStyle w:val="NormalTok"/>
        </w:rPr>
        <w:t xml:space="preserve">()</w:t>
      </w:r>
    </w:p>
    <w:p>
      <w:pPr>
        <w:pStyle w:val="SourceCode"/>
      </w:pPr>
      <w:r>
        <w:rPr>
          <w:rStyle w:val="VerbatimChar"/>
        </w:rPr>
        <w:t xml:space="preserve">  PersonID      HHID     PSU  Zone    Sex Age Income</w:t>
      </w:r>
      <w:r>
        <w:br/>
      </w:r>
      <w:r>
        <w:rPr>
          <w:rStyle w:val="VerbatimChar"/>
        </w:rPr>
        <w:t xml:space="preserve">1  idPer04 idHH00009 PSU0001 Rural Female   0    152</w:t>
      </w:r>
      <w:r>
        <w:br/>
      </w:r>
      <w:r>
        <w:rPr>
          <w:rStyle w:val="VerbatimChar"/>
        </w:rPr>
        <w:t xml:space="preserve">2  idPer04 idHH20654 PSU0001 Rural Female   0    152</w:t>
      </w:r>
      <w:r>
        <w:br/>
      </w:r>
      <w:r>
        <w:rPr>
          <w:rStyle w:val="VerbatimChar"/>
        </w:rPr>
        <w:t xml:space="preserve">3  idPer06 idHH00042 PSU0004 Rural Female   0    528</w:t>
      </w:r>
      <w:r>
        <w:br/>
      </w:r>
      <w:r>
        <w:rPr>
          <w:rStyle w:val="VerbatimChar"/>
        </w:rPr>
        <w:t xml:space="preserve">4  idPer06 idHH20687 PSU0004 Rural Female   0    528</w:t>
      </w:r>
      <w:r>
        <w:br/>
      </w:r>
      <w:r>
        <w:rPr>
          <w:rStyle w:val="VerbatimChar"/>
        </w:rPr>
        <w:t xml:space="preserve">5  idPer04 idHH00191 PSU0014 Urban Female   0    355</w:t>
      </w:r>
      <w:r>
        <w:br/>
      </w:r>
      <w:r>
        <w:rPr>
          <w:rStyle w:val="VerbatimChar"/>
        </w:rPr>
        <w:t xml:space="preserve">6  idPer04 idHH20836 PSU0014 Urban Female   0    355</w:t>
      </w:r>
    </w:p>
    <w:p>
      <w:pPr>
        <w:pStyle w:val="FirstParagraph"/>
      </w:pPr>
      <w:r>
        <w:t xml:space="preserve">Para ordenar los registros de mayor a menor, se utiliza la opción</w:t>
      </w:r>
      <w:r>
        <w:t xml:space="preserve"> </w:t>
      </w:r>
      <w:r>
        <w:rPr>
          <w:rStyle w:val="VerbatimChar"/>
        </w:rPr>
        <w:t xml:space="preserve">desc()</w:t>
      </w:r>
      <w:r>
        <w:t xml:space="preserve"> </w:t>
      </w:r>
      <w:r>
        <w:t xml:space="preserve">dentro de la función</w:t>
      </w:r>
      <w:r>
        <w:t xml:space="preserve"> </w:t>
      </w:r>
      <w:r>
        <w:rPr>
          <w:rStyle w:val="VerbatimChar"/>
        </w:rPr>
        <w:t xml:space="preserve">arrange()</w:t>
      </w:r>
      <w:r>
        <w:t xml:space="preserve">. En el siguiente ejemplo, la base se organiza de manera que las personas con mayor edad aparezcan en los primeros registros. Este tipo de ordenamiento permite identificar rápidamente los valores más altos de una variable dentro de la base reducida.</w:t>
      </w:r>
    </w:p>
    <w:p>
      <w:pPr>
        <w:pStyle w:val="SourceCode"/>
      </w:pPr>
      <w:r>
        <w:rPr>
          <w:rStyle w:val="NormalTok"/>
        </w:rPr>
        <w:t xml:space="preserve">working_data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(Age)) </w:t>
      </w:r>
      <w:r>
        <w:rPr>
          <w:rStyle w:val="SpecialCharTok"/>
        </w:rPr>
        <w:t xml:space="preserve">%&gt;%</w:t>
      </w:r>
      <w:r>
        <w:br/>
      </w:r>
      <w:r>
        <w:rPr>
          <w:rStyle w:val="NormalTok"/>
        </w:rPr>
        <w:t xml:space="preserve">  </w:t>
      </w:r>
      <w:r>
        <w:rPr>
          <w:rStyle w:val="FunctionTok"/>
        </w:rPr>
        <w:t xml:space="preserve">head</w:t>
      </w:r>
      <w:r>
        <w:rPr>
          <w:rStyle w:val="NormalTok"/>
        </w:rPr>
        <w:t xml:space="preserve">()</w:t>
      </w:r>
    </w:p>
    <w:p>
      <w:pPr>
        <w:pStyle w:val="SourceCode"/>
      </w:pPr>
      <w:r>
        <w:rPr>
          <w:rStyle w:val="VerbatimChar"/>
        </w:rPr>
        <w:t xml:space="preserve">  PersonID      HHID     PSU  Zone    Sex Age Income</w:t>
      </w:r>
      <w:r>
        <w:br/>
      </w:r>
      <w:r>
        <w:rPr>
          <w:rStyle w:val="VerbatimChar"/>
        </w:rPr>
        <w:t xml:space="preserve">1  idPer02 idHH01024 PSU0076 Urban Female  98    135</w:t>
      </w:r>
      <w:r>
        <w:br/>
      </w:r>
      <w:r>
        <w:rPr>
          <w:rStyle w:val="VerbatimChar"/>
        </w:rPr>
        <w:t xml:space="preserve">2  idPer02 idHH21669 PSU0076 Urban Female  98    135</w:t>
      </w:r>
      <w:r>
        <w:br/>
      </w:r>
      <w:r>
        <w:rPr>
          <w:rStyle w:val="VerbatimChar"/>
        </w:rPr>
        <w:t xml:space="preserve">3  idPer01 idHH02916 PSU0219 Rural Female  98    137</w:t>
      </w:r>
      <w:r>
        <w:br/>
      </w:r>
      <w:r>
        <w:rPr>
          <w:rStyle w:val="VerbatimChar"/>
        </w:rPr>
        <w:t xml:space="preserve">4  idPer01 idHH23561 PSU0219 Rural Female  98    137</w:t>
      </w:r>
      <w:r>
        <w:br/>
      </w:r>
      <w:r>
        <w:rPr>
          <w:rStyle w:val="VerbatimChar"/>
        </w:rPr>
        <w:t xml:space="preserve">5  idPer01 idHH03863 PSU0290 Rural   Male  98    245</w:t>
      </w:r>
      <w:r>
        <w:br/>
      </w:r>
      <w:r>
        <w:rPr>
          <w:rStyle w:val="VerbatimChar"/>
        </w:rPr>
        <w:t xml:space="preserve">6  idPer01 idHH24508 PSU0290 Rural   Male  98    245</w:t>
      </w:r>
    </w:p>
    <w:bookmarkEnd w:id="299"/>
    <w:bookmarkStart w:id="300" w:name="X219834027b11268c6c10a1a293ff52d48a9b340"/>
    <w:p>
      <w:pPr>
        <w:pStyle w:val="Heading3"/>
      </w:pPr>
      <w:r>
        <w:t xml:space="preserve">8.3.4</w:t>
      </w:r>
      <w:r>
        <w:t xml:space="preserve"> </w:t>
      </w:r>
      <w:r>
        <w:rPr>
          <w:rStyle w:val="VerbatimChar"/>
        </w:rPr>
        <w:t xml:space="preserve">mutate</w:t>
      </w:r>
      <w:r>
        <w:t xml:space="preserve">: creación o transformación de variables</w:t>
      </w:r>
    </w:p>
    <w:p>
      <w:pPr>
        <w:pStyle w:val="FirstParagraph"/>
      </w:pPr>
      <w:r>
        <w:t xml:space="preserve">La función</w:t>
      </w:r>
      <w:r>
        <w:t xml:space="preserve"> </w:t>
      </w:r>
      <w:r>
        <w:rPr>
          <w:rStyle w:val="VerbatimChar"/>
        </w:rPr>
        <w:t xml:space="preserve">mutate()</w:t>
      </w:r>
      <w:r>
        <w:t xml:space="preserve"> </w:t>
      </w:r>
      <w:r>
        <w:t xml:space="preserve">crea nuevas variables o modifica variables existentes. Dado que</w:t>
      </w:r>
      <w:r>
        <w:t xml:space="preserve"> </w:t>
      </w:r>
      <w:r>
        <w:rPr>
          <w:rStyle w:val="VerbatimChar"/>
        </w:rPr>
        <w:t xml:space="preserve">BigCity</w:t>
      </w:r>
      <w:r>
        <w:t xml:space="preserve"> </w:t>
      </w:r>
      <w:r>
        <w:t xml:space="preserve">no incluye una variable de región geográfica explícita, se construye</w:t>
      </w:r>
      <w:r>
        <w:t xml:space="preserve"> </w:t>
      </w:r>
      <w:r>
        <w:rPr>
          <w:rStyle w:val="VerbatimChar"/>
        </w:rPr>
        <w:t xml:space="preserve">Region</w:t>
      </w:r>
      <w:r>
        <w:t xml:space="preserve"> </w:t>
      </w:r>
      <w:r>
        <w:t xml:space="preserve">a partir de</w:t>
      </w:r>
      <w:r>
        <w:t xml:space="preserve"> </w:t>
      </w:r>
      <w:r>
        <w:rPr>
          <w:rStyle w:val="VerbatimChar"/>
        </w:rPr>
        <w:t xml:space="preserve">Stratum</w:t>
      </w:r>
      <w:r>
        <w:t xml:space="preserve">. Primero se extrae la parte numérica del estrato con</w:t>
      </w:r>
      <w:r>
        <w:t xml:space="preserve"> </w:t>
      </w:r>
      <w:r>
        <w:rPr>
          <w:rStyle w:val="VerbatimChar"/>
        </w:rPr>
        <w:t xml:space="preserve">gsub("\\D", "", Stratum)</w:t>
      </w:r>
      <w:r>
        <w:t xml:space="preserve">, luego se convierte a número con</w:t>
      </w:r>
      <w:r>
        <w:t xml:space="preserve"> </w:t>
      </w:r>
      <w:r>
        <w:rPr>
          <w:rStyle w:val="VerbatimChar"/>
        </w:rPr>
        <w:t xml:space="preserve">as.numeric()</w:t>
      </w:r>
      <w:r>
        <w:t xml:space="preserve"> </w:t>
      </w:r>
      <w:r>
        <w:t xml:space="preserve">y finalmente se divide en cinco intervalos con</w:t>
      </w:r>
      <w:r>
        <w:t xml:space="preserve"> </w:t>
      </w:r>
      <w:r>
        <w:rPr>
          <w:rStyle w:val="VerbatimChar"/>
        </w:rPr>
        <w:t xml:space="preserve">cut()</w:t>
      </w:r>
      <w:r>
        <w:t xml:space="preserve">. El resultado es una nueva columna</w:t>
      </w:r>
      <w:r>
        <w:t xml:space="preserve"> </w:t>
      </w:r>
      <w:r>
        <w:rPr>
          <w:rStyle w:val="VerbatimChar"/>
        </w:rPr>
        <w:t xml:space="preserve">Region</w:t>
      </w:r>
      <w:r>
        <w:t xml:space="preserve"> </w:t>
      </w:r>
      <w:r>
        <w:t xml:space="preserve">dentro de</w:t>
      </w:r>
      <w:r>
        <w:t xml:space="preserve"> </w:t>
      </w:r>
      <w:r>
        <w:rPr>
          <w:rStyle w:val="VerbatimChar"/>
        </w:rPr>
        <w:t xml:space="preserve">bigcity_data</w:t>
      </w:r>
      <w:r>
        <w:t xml:space="preserve">, en la que sus categorías permiten producir resúmenes regionales en los pasos siguientes. Esta variable es únicamente una recodificación didáctica de los identificadores numéricos de</w:t>
      </w:r>
      <w:r>
        <w:t xml:space="preserve"> </w:t>
      </w:r>
      <w:r>
        <w:rPr>
          <w:rStyle w:val="VerbatimChar"/>
        </w:rPr>
        <w:t xml:space="preserve">Stratum</w:t>
      </w:r>
      <w:r>
        <w:t xml:space="preserve">; no debe interpretarse como una región geográfica observada ni emplearse como tal en un análisis sustantivo.</w:t>
      </w:r>
    </w:p>
    <w:p>
      <w:pPr>
        <w:pStyle w:val="SourceCode"/>
      </w:pPr>
      <w:r>
        <w:rPr>
          <w:rStyle w:val="NormalTok"/>
        </w:rPr>
        <w:t xml:space="preserve">bigcity_data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Region =</w:t>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Stratum)),</w:t>
      </w:r>
      <w:r>
        <w:br/>
      </w:r>
      <w:r>
        <w:rPr>
          <w:rStyle w:val="NormalTok"/>
        </w:rPr>
        <w:t xml:space="preserve">      </w:t>
      </w:r>
      <w:r>
        <w:rPr>
          <w:rStyle w:val="AttributeTok"/>
        </w:rPr>
        <w:t xml:space="preserve">breaks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"North"</w:t>
      </w:r>
      <w:r>
        <w:rPr>
          <w:rStyle w:val="NormalTok"/>
        </w:rPr>
        <w:t xml:space="preserve">, </w:t>
      </w:r>
      <w:r>
        <w:rPr>
          <w:rStyle w:val="StringTok"/>
        </w:rPr>
        <w:t xml:space="preserve">"South"</w:t>
      </w:r>
      <w:r>
        <w:rPr>
          <w:rStyle w:val="NormalTok"/>
        </w:rPr>
        <w:t xml:space="preserve">, </w:t>
      </w:r>
      <w:r>
        <w:rPr>
          <w:rStyle w:val="StringTok"/>
        </w:rPr>
        <w:t xml:space="preserve">"Center"</w:t>
      </w:r>
      <w:r>
        <w:rPr>
          <w:rStyle w:val="NormalTok"/>
        </w:rPr>
        <w:t xml:space="preserve">, </w:t>
      </w:r>
      <w:r>
        <w:rPr>
          <w:rStyle w:val="StringTok"/>
        </w:rPr>
        <w:t xml:space="preserve">"West"</w:t>
      </w:r>
      <w:r>
        <w:rPr>
          <w:rStyle w:val="NormalTok"/>
        </w:rPr>
        <w:t xml:space="preserve">, </w:t>
      </w:r>
      <w:r>
        <w:rPr>
          <w:rStyle w:val="StringTok"/>
        </w:rPr>
        <w:t xml:space="preserve">"East"</w:t>
      </w:r>
      <w:r>
        <w:rPr>
          <w:rStyle w:val="NormalTok"/>
        </w:rPr>
        <w:t xml:space="preserve">)</w:t>
      </w:r>
      <w:r>
        <w:br/>
      </w:r>
      <w:r>
        <w:rPr>
          <w:rStyle w:val="NormalTok"/>
        </w:rPr>
        <w:t xml:space="preserve">    )</w:t>
      </w:r>
      <w:r>
        <w:br/>
      </w:r>
      <w:r>
        <w:rPr>
          <w:rStyle w:val="NormalTok"/>
        </w:rPr>
        <w:t xml:space="preserve">  )</w:t>
      </w:r>
    </w:p>
    <w:p>
      <w:pPr>
        <w:pStyle w:val="FirstParagraph"/>
      </w:pPr>
      <w:r>
        <w:t xml:space="preserve">En el análisis de bases de datos también es frecuente recodificar variables categóricas. El siguiente código crea</w:t>
      </w:r>
      <w:r>
        <w:t xml:space="preserve"> </w:t>
      </w:r>
      <w:r>
        <w:rPr>
          <w:rStyle w:val="VerbatimChar"/>
        </w:rPr>
        <w:t xml:space="preserve">region_id</w:t>
      </w:r>
      <w:r>
        <w:t xml:space="preserve">, una versión codificada de</w:t>
      </w:r>
      <w:r>
        <w:t xml:space="preserve"> </w:t>
      </w:r>
      <w:r>
        <w:rPr>
          <w:rStyle w:val="VerbatimChar"/>
        </w:rPr>
        <w:t xml:space="preserve">Region</w:t>
      </w:r>
      <w:r>
        <w:t xml:space="preserve"> </w:t>
      </w:r>
      <w:r>
        <w:t xml:space="preserve">que conserva el orden de las regiones y asigna códigos de dos dígitos. Esta forma de recodificación facilita la presentación o el cruce con otras fuentes de información.</w:t>
      </w:r>
    </w:p>
    <w:p>
      <w:pPr>
        <w:pStyle w:val="SourceCode"/>
      </w:pPr>
      <w:r>
        <w:rPr>
          <w:rStyle w:val="NormalTok"/>
        </w:rPr>
        <w:t xml:space="preserve">bigcity_data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region_id =</w:t>
      </w:r>
      <w:r>
        <w:rPr>
          <w:rStyle w:val="NormalTok"/>
        </w:rPr>
        <w:t xml:space="preserve"> </w:t>
      </w:r>
      <w:r>
        <w:rPr>
          <w:rStyle w:val="FunctionTok"/>
        </w:rPr>
        <w:t xml:space="preserve">factor</w:t>
      </w:r>
      <w:r>
        <w:rPr>
          <w:rStyle w:val="NormalTok"/>
        </w:rPr>
        <w:t xml:space="preserve">(</w:t>
      </w:r>
      <w:r>
        <w:br/>
      </w:r>
      <w:r>
        <w:rPr>
          <w:rStyle w:val="NormalTok"/>
        </w:rPr>
        <w:t xml:space="preserve">      Region,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"North"</w:t>
      </w:r>
      <w:r>
        <w:rPr>
          <w:rStyle w:val="NormalTok"/>
        </w:rPr>
        <w:t xml:space="preserve">, </w:t>
      </w:r>
      <w:r>
        <w:rPr>
          <w:rStyle w:val="StringTok"/>
        </w:rPr>
        <w:t xml:space="preserve">"South"</w:t>
      </w:r>
      <w:r>
        <w:rPr>
          <w:rStyle w:val="NormalTok"/>
        </w:rPr>
        <w:t xml:space="preserve">, </w:t>
      </w:r>
      <w:r>
        <w:rPr>
          <w:rStyle w:val="StringTok"/>
        </w:rPr>
        <w:t xml:space="preserve">"Center"</w:t>
      </w:r>
      <w:r>
        <w:rPr>
          <w:rStyle w:val="NormalTok"/>
        </w:rPr>
        <w:t xml:space="preserve">, </w:t>
      </w:r>
      <w:r>
        <w:rPr>
          <w:rStyle w:val="StringTok"/>
        </w:rPr>
        <w:t xml:space="preserve">"West"</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p>
    <w:p>
      <w:pPr>
        <w:pStyle w:val="FirstParagraph"/>
      </w:pPr>
      <w:r>
        <w:t xml:space="preserve">El siguiente ejemplo crea</w:t>
      </w:r>
      <w:r>
        <w:t xml:space="preserve"> </w:t>
      </w:r>
      <w:r>
        <w:rPr>
          <w:rStyle w:val="VerbatimChar"/>
        </w:rPr>
        <w:t xml:space="preserve">log_income</w:t>
      </w:r>
      <w:r>
        <w:t xml:space="preserve">, que corresponde al logaritmo natural del ingreso (transformación de la escala del ingreso). Esta operación se usa con frecuencia cuando una variable monetaria presenta alta dispersión. Luego se muestran las primeras filas de las variables relevantes. Como el logaritmo no está definido para ingresos iguales o menores que cero, esos casos se convierten explícitamente en valores faltantes antes de calcular la transformación.</w:t>
      </w:r>
    </w:p>
    <w:p>
      <w:pPr>
        <w:pStyle w:val="SourceCode"/>
      </w:pPr>
      <w:r>
        <w:rPr>
          <w:rStyle w:val="NormalTok"/>
        </w:rPr>
        <w:t xml:space="preserve">log_income_data </w:t>
      </w:r>
      <w:r>
        <w:rPr>
          <w:rStyle w:val="OtherTok"/>
        </w:rPr>
        <w:t xml:space="preserve">&lt;-</w:t>
      </w:r>
      <w:r>
        <w:rPr>
          <w:rStyle w:val="NormalTok"/>
        </w:rPr>
        <w:t xml:space="preserve"> working_data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log_income =</w:t>
      </w:r>
      <w:r>
        <w:rPr>
          <w:rStyle w:val="NormalTok"/>
        </w:rPr>
        <w:t xml:space="preserve"> </w:t>
      </w:r>
      <w:r>
        <w:rPr>
          <w:rStyle w:val="FunctionTok"/>
        </w:rPr>
        <w:t xml:space="preserve">if_else</w:t>
      </w:r>
      <w:r>
        <w:rPr>
          <w:rStyle w:val="NormalTok"/>
        </w:rPr>
        <w:t xml:space="preserve">(</w:t>
      </w:r>
      <w:r>
        <w:br/>
      </w:r>
      <w:r>
        <w:rPr>
          <w:rStyle w:val="NormalTok"/>
        </w:rPr>
        <w:t xml:space="preserve">      Income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log</w:t>
      </w:r>
      <w:r>
        <w:rPr>
          <w:rStyle w:val="NormalTok"/>
        </w:rPr>
        <w:t xml:space="preserve">(Income),</w:t>
      </w:r>
      <w:r>
        <w:br/>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br/>
      </w:r>
      <w:r>
        <w:rPr>
          <w:rStyle w:val="NormalTok"/>
        </w:rPr>
        <w:t xml:space="preserve">log_income_data </w:t>
      </w:r>
      <w:r>
        <w:rPr>
          <w:rStyle w:val="SpecialCharTok"/>
        </w:rPr>
        <w:t xml:space="preserve">%&gt;%</w:t>
      </w:r>
      <w:r>
        <w:br/>
      </w:r>
      <w:r>
        <w:rPr>
          <w:rStyle w:val="NormalTok"/>
        </w:rPr>
        <w:t xml:space="preserve">  </w:t>
      </w:r>
      <w:r>
        <w:rPr>
          <w:rStyle w:val="FunctionTok"/>
        </w:rPr>
        <w:t xml:space="preserve">select</w:t>
      </w:r>
      <w:r>
        <w:rPr>
          <w:rStyle w:val="NormalTok"/>
        </w:rPr>
        <w:t xml:space="preserve">(PersonID, Income, log_income) </w:t>
      </w:r>
      <w:r>
        <w:rPr>
          <w:rStyle w:val="SpecialCharTok"/>
        </w:rPr>
        <w:t xml:space="preserve">%&gt;%</w:t>
      </w:r>
      <w:r>
        <w:br/>
      </w:r>
      <w:r>
        <w:rPr>
          <w:rStyle w:val="NormalTok"/>
        </w:rPr>
        <w:t xml:space="preserve">  </w:t>
      </w:r>
      <w:r>
        <w:rPr>
          <w:rStyle w:val="FunctionTok"/>
        </w:rPr>
        <w:t xml:space="preserve">head</w:t>
      </w:r>
      <w:r>
        <w:rPr>
          <w:rStyle w:val="NormalTok"/>
        </w:rPr>
        <w:t xml:space="preserve">()</w:t>
      </w:r>
    </w:p>
    <w:p>
      <w:pPr>
        <w:pStyle w:val="SourceCode"/>
      </w:pPr>
      <w:r>
        <w:rPr>
          <w:rStyle w:val="VerbatimChar"/>
        </w:rPr>
        <w:t xml:space="preserve">  PersonID Income log_income</w:t>
      </w:r>
      <w:r>
        <w:br/>
      </w:r>
      <w:r>
        <w:rPr>
          <w:rStyle w:val="VerbatimChar"/>
        </w:rPr>
        <w:t xml:space="preserve">1  idPer01    555       6.32</w:t>
      </w:r>
      <w:r>
        <w:br/>
      </w:r>
      <w:r>
        <w:rPr>
          <w:rStyle w:val="VerbatimChar"/>
        </w:rPr>
        <w:t xml:space="preserve">2  idPer02    555       6.32</w:t>
      </w:r>
      <w:r>
        <w:br/>
      </w:r>
      <w:r>
        <w:rPr>
          <w:rStyle w:val="VerbatimChar"/>
        </w:rPr>
        <w:t xml:space="preserve">3  idPer03    555       6.32</w:t>
      </w:r>
      <w:r>
        <w:br/>
      </w:r>
      <w:r>
        <w:rPr>
          <w:rStyle w:val="VerbatimChar"/>
        </w:rPr>
        <w:t xml:space="preserve">4  idPer04    555       6.32</w:t>
      </w:r>
      <w:r>
        <w:br/>
      </w:r>
      <w:r>
        <w:rPr>
          <w:rStyle w:val="VerbatimChar"/>
        </w:rPr>
        <w:t xml:space="preserve">5  idPer05    555       6.32</w:t>
      </w:r>
      <w:r>
        <w:br/>
      </w:r>
      <w:r>
        <w:rPr>
          <w:rStyle w:val="VerbatimChar"/>
        </w:rPr>
        <w:t xml:space="preserve">6  idPer01    298       5.70</w:t>
      </w:r>
    </w:p>
    <w:p>
      <w:pPr>
        <w:pStyle w:val="FirstParagraph"/>
      </w:pPr>
      <w:r>
        <w:t xml:space="preserve">Note que</w:t>
      </w:r>
      <w:r>
        <w:t xml:space="preserve"> </w:t>
      </w:r>
      <w:r>
        <w:rPr>
          <w:rStyle w:val="VerbatimChar"/>
        </w:rPr>
        <w:t xml:space="preserve">mutate()</w:t>
      </w:r>
      <w:r>
        <w:t xml:space="preserve"> </w:t>
      </w:r>
      <w:r>
        <w:t xml:space="preserve">puede crear más de una variable en el mismo paso. Además, las variables creadas al inicio de</w:t>
      </w:r>
      <w:r>
        <w:t xml:space="preserve"> </w:t>
      </w:r>
      <w:r>
        <w:rPr>
          <w:rStyle w:val="VerbatimChar"/>
        </w:rPr>
        <w:t xml:space="preserve">mutate()</w:t>
      </w:r>
      <w:r>
        <w:t xml:space="preserve"> </w:t>
      </w:r>
      <w:r>
        <w:t xml:space="preserve">pueden ser utilizadas en cálculos posteriores dentro del mismo llamado. Por ejemplo,</w:t>
      </w:r>
      <w:r>
        <w:t xml:space="preserve"> </w:t>
      </w:r>
      <w:r>
        <w:rPr>
          <w:rStyle w:val="VerbatimChar"/>
        </w:rPr>
        <w:t xml:space="preserve">income_2</w:t>
      </w:r>
      <w:r>
        <w:t xml:space="preserve"> </w:t>
      </w:r>
      <w:r>
        <w:t xml:space="preserve">duplica el ingreso original e</w:t>
      </w:r>
      <w:r>
        <w:t xml:space="preserve"> </w:t>
      </w:r>
      <w:r>
        <w:rPr>
          <w:rStyle w:val="VerbatimChar"/>
        </w:rPr>
        <w:t xml:space="preserve">income_4</w:t>
      </w:r>
      <w:r>
        <w:t xml:space="preserve"> </w:t>
      </w:r>
      <w:r>
        <w:t xml:space="preserve">duplica</w:t>
      </w:r>
      <w:r>
        <w:t xml:space="preserve"> </w:t>
      </w:r>
      <w:r>
        <w:rPr>
          <w:rStyle w:val="VerbatimChar"/>
        </w:rPr>
        <w:t xml:space="preserve">income_2</w:t>
      </w:r>
      <w:r>
        <w:t xml:space="preserve">. La siguiente salida muestra que</w:t>
      </w:r>
      <w:r>
        <w:t xml:space="preserve"> </w:t>
      </w:r>
      <w:r>
        <w:rPr>
          <w:rStyle w:val="VerbatimChar"/>
        </w:rPr>
        <w:t xml:space="preserve">income_4</w:t>
      </w:r>
      <w:r>
        <w:t xml:space="preserve"> </w:t>
      </w:r>
      <w:r>
        <w:t xml:space="preserve">equivale a cuatro veces el ingreso inicial.</w:t>
      </w:r>
    </w:p>
    <w:p>
      <w:pPr>
        <w:pStyle w:val="SourceCode"/>
      </w:pPr>
      <w:r>
        <w:rPr>
          <w:rStyle w:val="NormalTok"/>
        </w:rPr>
        <w:t xml:space="preserve">income_transform_data </w:t>
      </w:r>
      <w:r>
        <w:rPr>
          <w:rStyle w:val="OtherTok"/>
        </w:rPr>
        <w:t xml:space="preserve">&lt;-</w:t>
      </w:r>
      <w:r>
        <w:rPr>
          <w:rStyle w:val="NormalTok"/>
        </w:rPr>
        <w:t xml:space="preserve"> log_income_data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income_2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Income,</w:t>
      </w:r>
      <w:r>
        <w:br/>
      </w:r>
      <w:r>
        <w:rPr>
          <w:rStyle w:val="NormalTok"/>
        </w:rPr>
        <w:t xml:space="preserve">    </w:t>
      </w:r>
      <w:r>
        <w:rPr>
          <w:rStyle w:val="AttributeTok"/>
        </w:rPr>
        <w:t xml:space="preserve">income_4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income_2</w:t>
      </w:r>
      <w:r>
        <w:br/>
      </w:r>
      <w:r>
        <w:rPr>
          <w:rStyle w:val="NormalTok"/>
        </w:rPr>
        <w:t xml:space="preserve">  )</w:t>
      </w:r>
      <w:r>
        <w:br/>
      </w:r>
      <w:r>
        <w:br/>
      </w:r>
      <w:r>
        <w:rPr>
          <w:rStyle w:val="NormalTok"/>
        </w:rPr>
        <w:t xml:space="preserve">income_transform_data </w:t>
      </w:r>
      <w:r>
        <w:rPr>
          <w:rStyle w:val="SpecialCharTok"/>
        </w:rPr>
        <w:t xml:space="preserve">%&gt;%</w:t>
      </w:r>
      <w:r>
        <w:br/>
      </w:r>
      <w:r>
        <w:rPr>
          <w:rStyle w:val="NormalTok"/>
        </w:rPr>
        <w:t xml:space="preserve">  </w:t>
      </w:r>
      <w:r>
        <w:rPr>
          <w:rStyle w:val="FunctionTok"/>
        </w:rPr>
        <w:t xml:space="preserve">select</w:t>
      </w:r>
      <w:r>
        <w:rPr>
          <w:rStyle w:val="NormalTok"/>
        </w:rPr>
        <w:t xml:space="preserve">(PersonID, income_2, income_4) </w:t>
      </w:r>
      <w:r>
        <w:rPr>
          <w:rStyle w:val="SpecialCharTok"/>
        </w:rPr>
        <w:t xml:space="preserve">%&gt;%</w:t>
      </w:r>
      <w:r>
        <w:br/>
      </w:r>
      <w:r>
        <w:rPr>
          <w:rStyle w:val="NormalTok"/>
        </w:rPr>
        <w:t xml:space="preserve">  </w:t>
      </w:r>
      <w:r>
        <w:rPr>
          <w:rStyle w:val="FunctionTok"/>
        </w:rPr>
        <w:t xml:space="preserve">head</w:t>
      </w:r>
      <w:r>
        <w:rPr>
          <w:rStyle w:val="NormalTok"/>
        </w:rPr>
        <w:t xml:space="preserve">()</w:t>
      </w:r>
    </w:p>
    <w:p>
      <w:pPr>
        <w:pStyle w:val="SourceCode"/>
      </w:pPr>
      <w:r>
        <w:rPr>
          <w:rStyle w:val="VerbatimChar"/>
        </w:rPr>
        <w:t xml:space="preserve">  PersonID income_2 income_4</w:t>
      </w:r>
      <w:r>
        <w:br/>
      </w:r>
      <w:r>
        <w:rPr>
          <w:rStyle w:val="VerbatimChar"/>
        </w:rPr>
        <w:t xml:space="preserve">1  idPer01     1110     2220</w:t>
      </w:r>
      <w:r>
        <w:br/>
      </w:r>
      <w:r>
        <w:rPr>
          <w:rStyle w:val="VerbatimChar"/>
        </w:rPr>
        <w:t xml:space="preserve">2  idPer02     1110     2220</w:t>
      </w:r>
      <w:r>
        <w:br/>
      </w:r>
      <w:r>
        <w:rPr>
          <w:rStyle w:val="VerbatimChar"/>
        </w:rPr>
        <w:t xml:space="preserve">3  idPer03     1110     2220</w:t>
      </w:r>
      <w:r>
        <w:br/>
      </w:r>
      <w:r>
        <w:rPr>
          <w:rStyle w:val="VerbatimChar"/>
        </w:rPr>
        <w:t xml:space="preserve">4  idPer04     1110     2220</w:t>
      </w:r>
      <w:r>
        <w:br/>
      </w:r>
      <w:r>
        <w:rPr>
          <w:rStyle w:val="VerbatimChar"/>
        </w:rPr>
        <w:t xml:space="preserve">5  idPer05     1110     2220</w:t>
      </w:r>
      <w:r>
        <w:br/>
      </w:r>
      <w:r>
        <w:rPr>
          <w:rStyle w:val="VerbatimChar"/>
        </w:rPr>
        <w:t xml:space="preserve">6  idPer01      597     1193</w:t>
      </w:r>
    </w:p>
    <w:p>
      <w:pPr>
        <w:pStyle w:val="FirstParagraph"/>
      </w:pPr>
      <w:r>
        <w:t xml:space="preserve">También se puede crear una variable categórica mediante condiciones. En este ejemplo, la función</w:t>
      </w:r>
      <w:r>
        <w:t xml:space="preserve"> </w:t>
      </w:r>
      <w:r>
        <w:rPr>
          <w:rStyle w:val="VerbatimChar"/>
        </w:rPr>
        <w:t xml:space="preserve">case_when()</w:t>
      </w:r>
      <w:r>
        <w:t xml:space="preserve"> </w:t>
      </w:r>
      <w:r>
        <w:t xml:space="preserve">clasifica la edad en rangos y luego convierte el resultado en un factor ordenado. El resultado es</w:t>
      </w:r>
      <w:r>
        <w:t xml:space="preserve"> </w:t>
      </w:r>
      <w:r>
        <w:rPr>
          <w:rStyle w:val="VerbatimChar"/>
        </w:rPr>
        <w:t xml:space="preserve">age_group</w:t>
      </w:r>
      <w:r>
        <w:t xml:space="preserve">, una variable de grupos etarios ordenados. Esta transformación facilita la producción de tablas por tramos de edad.</w:t>
      </w:r>
    </w:p>
    <w:p>
      <w:pPr>
        <w:pStyle w:val="SourceCode"/>
      </w:pPr>
      <w:r>
        <w:rPr>
          <w:rStyle w:val="NormalTok"/>
        </w:rPr>
        <w:t xml:space="preserve">bigcity_data </w:t>
      </w:r>
      <w:r>
        <w:rPr>
          <w:rStyle w:val="OtherTok"/>
        </w:rPr>
        <w:t xml:space="preserve">&lt;-</w:t>
      </w:r>
      <w:r>
        <w:rPr>
          <w:rStyle w:val="NormalTok"/>
        </w:rPr>
        <w:t xml:space="preserve"> bigcity_data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"0-5"</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StringTok"/>
        </w:rPr>
        <w:t xml:space="preserve">"6-15"</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"16-30"</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45</w:t>
      </w:r>
      <w:r>
        <w:rPr>
          <w:rStyle w:val="NormalTok"/>
        </w:rPr>
        <w:t xml:space="preserve"> </w:t>
      </w:r>
      <w:r>
        <w:rPr>
          <w:rStyle w:val="SpecialCharTok"/>
        </w:rPr>
        <w:t xml:space="preserve">~</w:t>
      </w:r>
      <w:r>
        <w:rPr>
          <w:rStyle w:val="NormalTok"/>
        </w:rPr>
        <w:t xml:space="preserve"> </w:t>
      </w:r>
      <w:r>
        <w:rPr>
          <w:rStyle w:val="StringTok"/>
        </w:rPr>
        <w:t xml:space="preserve">"31-45"</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StringTok"/>
        </w:rPr>
        <w:t xml:space="preserve">"46-60"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"Over 60"</w:t>
      </w:r>
      <w:r>
        <w:br/>
      </w:r>
      <w:r>
        <w:rPr>
          <w:rStyle w:val="NormalTok"/>
        </w:rPr>
        <w:t xml:space="preserve">    ),</w:t>
      </w:r>
      <w:r>
        <w:br/>
      </w:r>
      <w:r>
        <w:rPr>
          <w:rStyle w:val="NormalTok"/>
        </w:rPr>
        <w:t xml:space="preserve">    </w:t>
      </w:r>
      <w:r>
        <w:rPr>
          <w:rStyle w:val="AttributeTok"/>
        </w:rPr>
        <w:t xml:space="preserve">age_group =</w:t>
      </w:r>
      <w:r>
        <w:rPr>
          <w:rStyle w:val="NormalTok"/>
        </w:rPr>
        <w:t xml:space="preserve"> </w:t>
      </w:r>
      <w:r>
        <w:rPr>
          <w:rStyle w:val="FunctionTok"/>
        </w:rPr>
        <w:t xml:space="preserve">factor</w:t>
      </w:r>
      <w:r>
        <w:rPr>
          <w:rStyle w:val="NormalTok"/>
        </w:rPr>
        <w:t xml:space="preserve">(</w:t>
      </w:r>
      <w:r>
        <w:br/>
      </w:r>
      <w:r>
        <w:rPr>
          <w:rStyle w:val="NormalTok"/>
        </w:rPr>
        <w:t xml:space="preserve">      age_group,</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"0-5"</w:t>
      </w:r>
      <w:r>
        <w:rPr>
          <w:rStyle w:val="NormalTok"/>
        </w:rPr>
        <w:t xml:space="preserve">, </w:t>
      </w:r>
      <w:r>
        <w:rPr>
          <w:rStyle w:val="StringTok"/>
        </w:rPr>
        <w:t xml:space="preserve">"6-15"</w:t>
      </w:r>
      <w:r>
        <w:rPr>
          <w:rStyle w:val="NormalTok"/>
        </w:rPr>
        <w:t xml:space="preserve">, </w:t>
      </w:r>
      <w:r>
        <w:rPr>
          <w:rStyle w:val="StringTok"/>
        </w:rPr>
        <w:t xml:space="preserve">"16-30"</w:t>
      </w:r>
      <w:r>
        <w:rPr>
          <w:rStyle w:val="NormalTok"/>
        </w:rPr>
        <w:t xml:space="preserve">,</w:t>
      </w:r>
      <w:r>
        <w:br/>
      </w:r>
      <w:r>
        <w:rPr>
          <w:rStyle w:val="NormalTok"/>
        </w:rPr>
        <w:t xml:space="preserve">        </w:t>
      </w:r>
      <w:r>
        <w:rPr>
          <w:rStyle w:val="StringTok"/>
        </w:rPr>
        <w:t xml:space="preserve">"31-45"</w:t>
      </w:r>
      <w:r>
        <w:rPr>
          <w:rStyle w:val="NormalTok"/>
        </w:rPr>
        <w:t xml:space="preserve">, </w:t>
      </w:r>
      <w:r>
        <w:rPr>
          <w:rStyle w:val="StringTok"/>
        </w:rPr>
        <w:t xml:space="preserve">"46-60"</w:t>
      </w:r>
      <w:r>
        <w:rPr>
          <w:rStyle w:val="NormalTok"/>
        </w:rPr>
        <w:t xml:space="preserve">, </w:t>
      </w:r>
      <w:r>
        <w:rPr>
          <w:rStyle w:val="StringTok"/>
        </w:rPr>
        <w:t xml:space="preserve">"Over 60"</w:t>
      </w:r>
      <w:r>
        <w:br/>
      </w:r>
      <w:r>
        <w:rPr>
          <w:rStyle w:val="NormalTok"/>
        </w:rPr>
        <w:t xml:space="preserve">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rPr>
          <w:rStyle w:val="NormalTok"/>
        </w:rPr>
        <w:t xml:space="preserve">  )</w:t>
      </w:r>
    </w:p>
    <w:bookmarkEnd w:id="300"/>
    <w:bookmarkStart w:id="301" w:name="summarise-resumenes-descriptivos"/>
    <w:p>
      <w:pPr>
        <w:pStyle w:val="Heading3"/>
      </w:pPr>
      <w:r>
        <w:t xml:space="preserve">8.3.5</w:t>
      </w:r>
      <w:r>
        <w:t xml:space="preserve"> </w:t>
      </w:r>
      <w:r>
        <w:rPr>
          <w:rStyle w:val="VerbatimChar"/>
        </w:rPr>
        <w:t xml:space="preserve">summarise</w:t>
      </w:r>
      <w:r>
        <w:t xml:space="preserve">: resúmenes descriptivos</w:t>
      </w:r>
    </w:p>
    <w:p>
      <w:pPr>
        <w:pStyle w:val="FirstParagraph"/>
      </w:pPr>
      <w:r>
        <w:t xml:space="preserve">De acuerdo con</w:t>
      </w:r>
      <w:r>
        <w:t xml:space="preserve"> </w:t>
      </w:r>
      <w:r>
        <w:t xml:space="preserve">Heeringa et al. (2017)</w:t>
      </w:r>
      <w:r>
        <w:t xml:space="preserve">, la función</w:t>
      </w:r>
      <w:r>
        <w:t xml:space="preserve"> </w:t>
      </w:r>
      <w:r>
        <w:rPr>
          <w:rStyle w:val="VerbatimChar"/>
        </w:rPr>
        <w:t xml:space="preserve">summarise()</w:t>
      </w:r>
      <w:r>
        <w:t xml:space="preserve"> </w:t>
      </w:r>
      <w:r>
        <w:t xml:space="preserve">permite construir una tabla resumen a partir de una o varias variables de la base de datos. En el siguiente ejemplo se calculan dos estadísticas descriptivas de la variable</w:t>
      </w:r>
      <w:r>
        <w:t xml:space="preserve"> </w:t>
      </w:r>
      <w:r>
        <w:rPr>
          <w:rStyle w:val="VerbatimChar"/>
        </w:rPr>
        <w:t xml:space="preserve">Income</w:t>
      </w:r>
      <w:r>
        <w:t xml:space="preserve">: el total y la media. Como resultado, se obtiene una tabla con una sola fila que contiene la suma de los ingresos observados y el ingreso promedio de los registros incluidos en la base. Estos cálculos no incorporan pesos, estratos ni conglomerados; por tanto, describen los registros de</w:t>
      </w:r>
      <w:r>
        <w:t xml:space="preserve"> </w:t>
      </w:r>
      <w:r>
        <w:rPr>
          <w:rStyle w:val="VerbatimChar"/>
        </w:rPr>
        <w:t xml:space="preserve">BigCity</w:t>
      </w:r>
      <w:r>
        <w:t xml:space="preserve">, pero no deben interpretarse como estimaciones de una población obtenidas bajo un diseño muestral complejo.</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total_income =</w:t>
      </w:r>
      <w:r>
        <w:rPr>
          <w:rStyle w:val="NormalTok"/>
        </w:rPr>
        <w:t xml:space="preserve"> </w:t>
      </w:r>
      <w:r>
        <w:rPr>
          <w:rStyle w:val="FunctionTok"/>
        </w:rPr>
        <w:t xml:space="preserve">sum</w:t>
      </w:r>
      <w:r>
        <w:rPr>
          <w:rStyle w:val="NormalTok"/>
        </w:rPr>
        <w:t xml:space="preserve">(Income),</w:t>
      </w:r>
      <w:r>
        <w:br/>
      </w:r>
      <w:r>
        <w:rPr>
          <w:rStyle w:val="NormalTok"/>
        </w:rPr>
        <w:t xml:space="preserve">    </w:t>
      </w:r>
      <w:r>
        <w:rPr>
          <w:rStyle w:val="AttributeTok"/>
        </w:rPr>
        <w:t xml:space="preserve">mean_income =</w:t>
      </w:r>
      <w:r>
        <w:rPr>
          <w:rStyle w:val="NormalTok"/>
        </w:rPr>
        <w:t xml:space="preserve"> </w:t>
      </w:r>
      <w:r>
        <w:rPr>
          <w:rStyle w:val="FunctionTok"/>
        </w:rPr>
        <w:t xml:space="preserve">mean</w:t>
      </w:r>
      <w:r>
        <w:rPr>
          <w:rStyle w:val="NormalTok"/>
        </w:rPr>
        <w:t xml:space="preserve">(Income)</w:t>
      </w:r>
      <w:r>
        <w:br/>
      </w:r>
      <w:r>
        <w:rPr>
          <w:rStyle w:val="NormalTok"/>
        </w:rPr>
        <w:t xml:space="preserve">  )</w:t>
      </w:r>
    </w:p>
    <w:p>
      <w:pPr>
        <w:pStyle w:val="SourceCode"/>
      </w:pPr>
      <w:r>
        <w:rPr>
          <w:rStyle w:val="VerbatimChar"/>
        </w:rPr>
        <w:t xml:space="preserve">  total_income mean_income</w:t>
      </w:r>
      <w:r>
        <w:br/>
      </w:r>
      <w:r>
        <w:rPr>
          <w:rStyle w:val="VerbatimChar"/>
        </w:rPr>
        <w:t xml:space="preserve">1     87893117         585</w:t>
      </w:r>
    </w:p>
    <w:p>
      <w:pPr>
        <w:pStyle w:val="FirstParagraph"/>
      </w:pPr>
      <w:r>
        <w:t xml:space="preserve">También pueden calcularse medidas de localización para describir la posición de los valores dentro de la distribución. En este caso, se obtiene la mediana, el primer decil, el noveno decil y la diferencia entre estos dos últimos. El resultado permite resumir distintos puntos de la distribución del ingreso, mientras que el rango decílico muestra la distancia entre el 10% inferior y el 10% superior de los ingresos observados.</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median_income =</w:t>
      </w:r>
      <w:r>
        <w:rPr>
          <w:rStyle w:val="NormalTok"/>
        </w:rPr>
        <w:t xml:space="preserve"> </w:t>
      </w:r>
      <w:r>
        <w:rPr>
          <w:rStyle w:val="FunctionTok"/>
        </w:rPr>
        <w:t xml:space="preserve">median</w:t>
      </w:r>
      <w:r>
        <w:rPr>
          <w:rStyle w:val="NormalTok"/>
        </w:rPr>
        <w:t xml:space="preserve">(Income),</w:t>
      </w:r>
      <w:r>
        <w:br/>
      </w:r>
      <w:r>
        <w:rPr>
          <w:rStyle w:val="NormalTok"/>
        </w:rPr>
        <w:t xml:space="preserve">    </w:t>
      </w:r>
      <w:r>
        <w:rPr>
          <w:rStyle w:val="AttributeTok"/>
        </w:rPr>
        <w:t xml:space="preserve">decile_1 =</w:t>
      </w:r>
      <w:r>
        <w:rPr>
          <w:rStyle w:val="NormalTok"/>
        </w:rPr>
        <w:t xml:space="preserve"> </w:t>
      </w:r>
      <w:r>
        <w:rPr>
          <w:rStyle w:val="FunctionTok"/>
        </w:rPr>
        <w:t xml:space="preserve">quantile</w:t>
      </w:r>
      <w:r>
        <w:rPr>
          <w:rStyle w:val="NormalTok"/>
        </w:rPr>
        <w:t xml:space="preserve">(Income, </w:t>
      </w:r>
      <w:r>
        <w:rPr>
          <w:rStyle w:val="FloatTok"/>
        </w:rPr>
        <w:t xml:space="preserve">0.1</w:t>
      </w:r>
      <w:r>
        <w:rPr>
          <w:rStyle w:val="NormalTok"/>
        </w:rPr>
        <w:t xml:space="preserve">),</w:t>
      </w:r>
      <w:r>
        <w:br/>
      </w:r>
      <w:r>
        <w:rPr>
          <w:rStyle w:val="NormalTok"/>
        </w:rPr>
        <w:t xml:space="preserve">    </w:t>
      </w:r>
      <w:r>
        <w:rPr>
          <w:rStyle w:val="AttributeTok"/>
        </w:rPr>
        <w:t xml:space="preserve">decile_9 =</w:t>
      </w:r>
      <w:r>
        <w:rPr>
          <w:rStyle w:val="NormalTok"/>
        </w:rPr>
        <w:t xml:space="preserve"> </w:t>
      </w:r>
      <w:r>
        <w:rPr>
          <w:rStyle w:val="FunctionTok"/>
        </w:rPr>
        <w:t xml:space="preserve">quantile</w:t>
      </w:r>
      <w:r>
        <w:rPr>
          <w:rStyle w:val="NormalTok"/>
        </w:rPr>
        <w:t xml:space="preserve">(Income, </w:t>
      </w:r>
      <w:r>
        <w:rPr>
          <w:rStyle w:val="FloatTok"/>
        </w:rPr>
        <w:t xml:space="preserve">0.9</w:t>
      </w:r>
      <w:r>
        <w:rPr>
          <w:rStyle w:val="NormalTok"/>
        </w:rPr>
        <w:t xml:space="preserve">),</w:t>
      </w:r>
      <w:r>
        <w:br/>
      </w:r>
      <w:r>
        <w:rPr>
          <w:rStyle w:val="NormalTok"/>
        </w:rPr>
        <w:t xml:space="preserve">    </w:t>
      </w:r>
      <w:r>
        <w:rPr>
          <w:rStyle w:val="AttributeTok"/>
        </w:rPr>
        <w:t xml:space="preserve">decile_range =</w:t>
      </w:r>
      <w:r>
        <w:rPr>
          <w:rStyle w:val="NormalTok"/>
        </w:rPr>
        <w:t xml:space="preserve"> decile_9 </w:t>
      </w:r>
      <w:r>
        <w:rPr>
          <w:rStyle w:val="SpecialCharTok"/>
        </w:rPr>
        <w:t xml:space="preserve">-</w:t>
      </w:r>
      <w:r>
        <w:rPr>
          <w:rStyle w:val="NormalTok"/>
        </w:rPr>
        <w:t xml:space="preserve"> decile_1</w:t>
      </w:r>
      <w:r>
        <w:br/>
      </w:r>
      <w:r>
        <w:rPr>
          <w:rStyle w:val="NormalTok"/>
        </w:rPr>
        <w:t xml:space="preserve">  )</w:t>
      </w:r>
    </w:p>
    <w:p>
      <w:pPr>
        <w:pStyle w:val="SourceCode"/>
      </w:pPr>
      <w:r>
        <w:rPr>
          <w:rStyle w:val="VerbatimChar"/>
        </w:rPr>
        <w:t xml:space="preserve">  median_income decile_1 decile_9 decile_range</w:t>
      </w:r>
      <w:r>
        <w:br/>
      </w:r>
      <w:r>
        <w:rPr>
          <w:rStyle w:val="VerbatimChar"/>
        </w:rPr>
        <w:t xml:space="preserve">1           449      165     1126          961</w:t>
      </w:r>
    </w:p>
    <w:p>
      <w:pPr>
        <w:pStyle w:val="FirstParagraph"/>
      </w:pPr>
      <w:r>
        <w:t xml:space="preserve">Con</w:t>
      </w:r>
      <w:r>
        <w:t xml:space="preserve"> </w:t>
      </w:r>
      <w:r>
        <w:rPr>
          <w:rStyle w:val="VerbatimChar"/>
        </w:rPr>
        <w:t xml:space="preserve">summarise()</w:t>
      </w:r>
      <w:r>
        <w:t xml:space="preserve"> </w:t>
      </w:r>
      <w:r>
        <w:t xml:space="preserve">también es posible calcular medidas de dispersión, tales como la varianza, la desviación estándar, el valor mínimo, el valor máximo, el rango y el rango intercuartílico. Estas estadísticas permiten describir el grado de variabilidad de los ingresos observados en la muestra. En particular, el rango se obtiene como la diferencia entre el valor máximo y el valor mínimo, mientras que el rango intercuartílico resume la dispersión del 50% central de la distribución.</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variance_income =</w:t>
      </w:r>
      <w:r>
        <w:rPr>
          <w:rStyle w:val="NormalTok"/>
        </w:rPr>
        <w:t xml:space="preserve"> </w:t>
      </w:r>
      <w:r>
        <w:rPr>
          <w:rStyle w:val="FunctionTok"/>
        </w:rPr>
        <w:t xml:space="preserve">var</w:t>
      </w:r>
      <w:r>
        <w:rPr>
          <w:rStyle w:val="NormalTok"/>
        </w:rPr>
        <w:t xml:space="preserve">(Income),</w:t>
      </w:r>
      <w:r>
        <w:br/>
      </w:r>
      <w:r>
        <w:rPr>
          <w:rStyle w:val="NormalTok"/>
        </w:rPr>
        <w:t xml:space="preserve">    </w:t>
      </w:r>
      <w:r>
        <w:rPr>
          <w:rStyle w:val="AttributeTok"/>
        </w:rPr>
        <w:t xml:space="preserve">sd_income =</w:t>
      </w:r>
      <w:r>
        <w:rPr>
          <w:rStyle w:val="NormalTok"/>
        </w:rPr>
        <w:t xml:space="preserve"> </w:t>
      </w:r>
      <w:r>
        <w:rPr>
          <w:rStyle w:val="FunctionTok"/>
        </w:rPr>
        <w:t xml:space="preserve">sd</w:t>
      </w:r>
      <w:r>
        <w:rPr>
          <w:rStyle w:val="NormalTok"/>
        </w:rPr>
        <w:t xml:space="preserve">(Income),</w:t>
      </w:r>
      <w:r>
        <w:br/>
      </w:r>
      <w:r>
        <w:rPr>
          <w:rStyle w:val="NormalTok"/>
        </w:rPr>
        <w:t xml:space="preserve">    </w:t>
      </w:r>
      <w:r>
        <w:rPr>
          <w:rStyle w:val="AttributeTok"/>
        </w:rPr>
        <w:t xml:space="preserve">min_income =</w:t>
      </w:r>
      <w:r>
        <w:rPr>
          <w:rStyle w:val="NormalTok"/>
        </w:rPr>
        <w:t xml:space="preserve"> </w:t>
      </w:r>
      <w:r>
        <w:rPr>
          <w:rStyle w:val="FunctionTok"/>
        </w:rPr>
        <w:t xml:space="preserve">min</w:t>
      </w:r>
      <w:r>
        <w:rPr>
          <w:rStyle w:val="NormalTok"/>
        </w:rPr>
        <w:t xml:space="preserve">(Income),</w:t>
      </w:r>
      <w:r>
        <w:br/>
      </w:r>
      <w:r>
        <w:rPr>
          <w:rStyle w:val="NormalTok"/>
        </w:rPr>
        <w:t xml:space="preserve">    </w:t>
      </w:r>
      <w:r>
        <w:rPr>
          <w:rStyle w:val="AttributeTok"/>
        </w:rPr>
        <w:t xml:space="preserve">max_income =</w:t>
      </w:r>
      <w:r>
        <w:rPr>
          <w:rStyle w:val="NormalTok"/>
        </w:rPr>
        <w:t xml:space="preserve"> </w:t>
      </w:r>
      <w:r>
        <w:rPr>
          <w:rStyle w:val="FunctionTok"/>
        </w:rPr>
        <w:t xml:space="preserve">max</w:t>
      </w:r>
      <w:r>
        <w:rPr>
          <w:rStyle w:val="NormalTok"/>
        </w:rPr>
        <w:t xml:space="preserve">(Income),</w:t>
      </w:r>
      <w:r>
        <w:br/>
      </w:r>
      <w:r>
        <w:rPr>
          <w:rStyle w:val="NormalTok"/>
        </w:rPr>
        <w:t xml:space="preserve">    </w:t>
      </w:r>
      <w:r>
        <w:rPr>
          <w:rStyle w:val="AttributeTok"/>
        </w:rPr>
        <w:t xml:space="preserve">range_income =</w:t>
      </w:r>
      <w:r>
        <w:rPr>
          <w:rStyle w:val="NormalTok"/>
        </w:rPr>
        <w:t xml:space="preserve"> max_income </w:t>
      </w:r>
      <w:r>
        <w:rPr>
          <w:rStyle w:val="SpecialCharTok"/>
        </w:rPr>
        <w:t xml:space="preserve">-</w:t>
      </w:r>
      <w:r>
        <w:rPr>
          <w:rStyle w:val="NormalTok"/>
        </w:rPr>
        <w:t xml:space="preserve"> min_income,</w:t>
      </w:r>
      <w:r>
        <w:br/>
      </w:r>
      <w:r>
        <w:rPr>
          <w:rStyle w:val="NormalTok"/>
        </w:rPr>
        <w:t xml:space="preserve">    </w:t>
      </w:r>
      <w:r>
        <w:rPr>
          <w:rStyle w:val="AttributeTok"/>
        </w:rPr>
        <w:t xml:space="preserve">iqr_income =</w:t>
      </w:r>
      <w:r>
        <w:rPr>
          <w:rStyle w:val="NormalTok"/>
        </w:rPr>
        <w:t xml:space="preserve"> </w:t>
      </w:r>
      <w:r>
        <w:rPr>
          <w:rStyle w:val="FunctionTok"/>
        </w:rPr>
        <w:t xml:space="preserve">IQR</w:t>
      </w:r>
      <w:r>
        <w:rPr>
          <w:rStyle w:val="NormalTok"/>
        </w:rPr>
        <w:t xml:space="preserve">(Income)</w:t>
      </w:r>
      <w:r>
        <w:br/>
      </w:r>
      <w:r>
        <w:rPr>
          <w:rStyle w:val="NormalTok"/>
        </w:rPr>
        <w:t xml:space="preserve">  )</w:t>
      </w:r>
    </w:p>
    <w:p>
      <w:pPr>
        <w:pStyle w:val="SourceCode"/>
      </w:pPr>
      <w:r>
        <w:rPr>
          <w:rStyle w:val="VerbatimChar"/>
        </w:rPr>
        <w:t xml:space="preserve">  variance_income sd_income min_income max_income range_income iqr_income</w:t>
      </w:r>
      <w:r>
        <w:br/>
      </w:r>
      <w:r>
        <w:rPr>
          <w:rStyle w:val="VerbatimChar"/>
        </w:rPr>
        <w:t xml:space="preserve">1          332463       577         10      32920        32910        468</w:t>
      </w:r>
    </w:p>
    <w:bookmarkEnd w:id="301"/>
    <w:bookmarkStart w:id="302" w:name="group-by-agrupacion-de-casos"/>
    <w:p>
      <w:pPr>
        <w:pStyle w:val="Heading3"/>
      </w:pPr>
      <w:r>
        <w:t xml:space="preserve">8.3.6</w:t>
      </w:r>
      <w:r>
        <w:t xml:space="preserve"> </w:t>
      </w:r>
      <w:r>
        <w:rPr>
          <w:rStyle w:val="VerbatimChar"/>
        </w:rPr>
        <w:t xml:space="preserve">group_by</w:t>
      </w:r>
      <w:r>
        <w:t xml:space="preserve">: agrupación de casos</w:t>
      </w:r>
    </w:p>
    <w:p>
      <w:pPr>
        <w:pStyle w:val="FirstParagraph"/>
      </w:pPr>
      <w:r>
        <w:t xml:space="preserve">La función</w:t>
      </w:r>
      <w:r>
        <w:t xml:space="preserve"> </w:t>
      </w:r>
      <w:r>
        <w:rPr>
          <w:rStyle w:val="VerbatimChar"/>
        </w:rPr>
        <w:t xml:space="preserve">group_by()</w:t>
      </w:r>
      <w:r>
        <w:t xml:space="preserve"> </w:t>
      </w:r>
      <w:r>
        <w:t xml:space="preserve">permite agrupar la base de datos de acuerdo con una o más variables. Al combinarla con</w:t>
      </w:r>
      <w:r>
        <w:t xml:space="preserve"> </w:t>
      </w:r>
      <w:r>
        <w:rPr>
          <w:rStyle w:val="VerbatimChar"/>
        </w:rPr>
        <w:t xml:space="preserve">summarise()</w:t>
      </w:r>
      <w:r>
        <w:t xml:space="preserve">, las estadísticas se calculan de manera independiente dentro de cada grupo definido. En el siguiente ejemplo, se cuenta el número de registros por región y luego se ordena el resultado de mayor a menor. La siguiente salida permite identificar cuántos registros están asociados con cada región de la base de datos.</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p>
    <w:p>
      <w:pPr>
        <w:pStyle w:val="SourceCode"/>
      </w:pPr>
      <w:r>
        <w:rPr>
          <w:rStyle w:val="VerbatimChar"/>
        </w:rPr>
        <w:t xml:space="preserve"># A tibble: 5 × 2</w:t>
      </w:r>
      <w:r>
        <w:br/>
      </w:r>
      <w:r>
        <w:rPr>
          <w:rStyle w:val="VerbatimChar"/>
        </w:rPr>
        <w:t xml:space="preserve">  Region     n</w:t>
      </w:r>
      <w:r>
        <w:br/>
      </w:r>
      <w:r>
        <w:rPr>
          <w:rStyle w:val="VerbatimChar"/>
        </w:rPr>
        <w:t xml:space="preserve">  &lt;fct&gt;  &lt;int&gt;</w:t>
      </w:r>
      <w:r>
        <w:br/>
      </w:r>
      <w:r>
        <w:rPr>
          <w:rStyle w:val="VerbatimChar"/>
        </w:rPr>
        <w:t xml:space="preserve">1 East   39160</w:t>
      </w:r>
      <w:r>
        <w:br/>
      </w:r>
      <w:r>
        <w:rPr>
          <w:rStyle w:val="VerbatimChar"/>
        </w:rPr>
        <w:t xml:space="preserve">2 West   33868</w:t>
      </w:r>
      <w:r>
        <w:br/>
      </w:r>
      <w:r>
        <w:rPr>
          <w:rStyle w:val="VerbatimChar"/>
        </w:rPr>
        <w:t xml:space="preserve">3 Center 25944</w:t>
      </w:r>
      <w:r>
        <w:br/>
      </w:r>
      <w:r>
        <w:rPr>
          <w:rStyle w:val="VerbatimChar"/>
        </w:rPr>
        <w:t xml:space="preserve">4 South  25898</w:t>
      </w:r>
      <w:r>
        <w:br/>
      </w:r>
      <w:r>
        <w:rPr>
          <w:rStyle w:val="VerbatimChar"/>
        </w:rPr>
        <w:t xml:space="preserve">5 North  25396</w:t>
      </w:r>
    </w:p>
    <w:p>
      <w:pPr>
        <w:pStyle w:val="FirstParagraph"/>
      </w:pPr>
      <w:r>
        <w:t xml:space="preserve">Para los conteos simples,</w:t>
      </w:r>
      <w:r>
        <w:t xml:space="preserve"> </w:t>
      </w:r>
      <w:r>
        <w:rPr>
          <w:rStyle w:val="VerbatimChar"/>
        </w:rPr>
        <w:t xml:space="preserve">count()</w:t>
      </w:r>
      <w:r>
        <w:t xml:space="preserve"> </w:t>
      </w:r>
      <w:r>
        <w:t xml:space="preserve">ofrece una forma abreviada de escribir la combinación entre</w:t>
      </w:r>
      <w:r>
        <w:t xml:space="preserve"> </w:t>
      </w:r>
      <w:r>
        <w:rPr>
          <w:rStyle w:val="VerbatimChar"/>
        </w:rPr>
        <w:t xml:space="preserve">group_by()</w:t>
      </w:r>
      <w:r>
        <w:t xml:space="preserve"> </w:t>
      </w:r>
      <w:r>
        <w:t xml:space="preserve">y</w:t>
      </w:r>
      <w:r>
        <w:t xml:space="preserve"> </w:t>
      </w:r>
      <w:r>
        <w:rPr>
          <w:rStyle w:val="VerbatimChar"/>
        </w:rPr>
        <w:t xml:space="preserve">summarise(n = n())</w:t>
      </w:r>
      <w:r>
        <w:t xml:space="preserve">. En la práctica, ambas alternativas producen el mismo resultado, pues agrupan la base de datos según una variable categórica y calculan cuántos registros pertenecen a cada grupo. Por ejemplo, el siguiente código reproduce los mismos resultados que el código anterior.</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count</w:t>
      </w:r>
      <w:r>
        <w:rPr>
          <w:rStyle w:val="NormalTok"/>
        </w:rPr>
        <w:t xml:space="preserve">(Region)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p>
    <w:p>
      <w:pPr>
        <w:pStyle w:val="SourceCode"/>
      </w:pPr>
      <w:r>
        <w:rPr>
          <w:rStyle w:val="VerbatimChar"/>
        </w:rPr>
        <w:t xml:space="preserve">  Region     n</w:t>
      </w:r>
      <w:r>
        <w:br/>
      </w:r>
      <w:r>
        <w:rPr>
          <w:rStyle w:val="VerbatimChar"/>
        </w:rPr>
        <w:t xml:space="preserve">1   East 39160</w:t>
      </w:r>
      <w:r>
        <w:br/>
      </w:r>
      <w:r>
        <w:rPr>
          <w:rStyle w:val="VerbatimChar"/>
        </w:rPr>
        <w:t xml:space="preserve">2   West 33868</w:t>
      </w:r>
      <w:r>
        <w:br/>
      </w:r>
      <w:r>
        <w:rPr>
          <w:rStyle w:val="VerbatimChar"/>
        </w:rPr>
        <w:t xml:space="preserve">3 Center 25944</w:t>
      </w:r>
      <w:r>
        <w:br/>
      </w:r>
      <w:r>
        <w:rPr>
          <w:rStyle w:val="VerbatimChar"/>
        </w:rPr>
        <w:t xml:space="preserve">4  South 25898</w:t>
      </w:r>
      <w:r>
        <w:br/>
      </w:r>
      <w:r>
        <w:rPr>
          <w:rStyle w:val="VerbatimChar"/>
        </w:rPr>
        <w:t xml:space="preserve">5  North 25396</w:t>
      </w:r>
    </w:p>
    <w:p>
      <w:pPr>
        <w:pStyle w:val="FirstParagraph"/>
      </w:pPr>
      <w:r>
        <w:t xml:space="preserve">Para obtener el número de registros por sexo, se aplica la misma lógica de agrupación y conteo. En este caso, la base se agrupa según la variable</w:t>
      </w:r>
      <w:r>
        <w:t xml:space="preserve"> </w:t>
      </w:r>
      <w:r>
        <w:rPr>
          <w:rStyle w:val="VerbatimChar"/>
        </w:rPr>
        <w:t xml:space="preserve">Sex</w:t>
      </w:r>
      <w:r>
        <w:t xml:space="preserve"> </w:t>
      </w:r>
      <w:r>
        <w:t xml:space="preserve">y luego se calcula el número de registros asociados con cada una de sus categorías. El resultado permite identificar cuántas observaciones corresponden a cada sexo dentro de la base de datos.</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count</w:t>
      </w:r>
      <w:r>
        <w:rPr>
          <w:rStyle w:val="NormalTok"/>
        </w:rPr>
        <w:t xml:space="preserve">(Sex)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p>
    <w:p>
      <w:pPr>
        <w:pStyle w:val="SourceCode"/>
      </w:pPr>
      <w:r>
        <w:rPr>
          <w:rStyle w:val="VerbatimChar"/>
        </w:rPr>
        <w:t xml:space="preserve">     Sex     n</w:t>
      </w:r>
      <w:r>
        <w:br/>
      </w:r>
      <w:r>
        <w:rPr>
          <w:rStyle w:val="VerbatimChar"/>
        </w:rPr>
        <w:t xml:space="preserve">1 Female 79190</w:t>
      </w:r>
      <w:r>
        <w:br/>
      </w:r>
      <w:r>
        <w:rPr>
          <w:rStyle w:val="VerbatimChar"/>
        </w:rPr>
        <w:t xml:space="preserve">2   Male 71076</w:t>
      </w:r>
    </w:p>
    <w:p>
      <w:pPr>
        <w:pStyle w:val="FirstParagraph"/>
      </w:pPr>
      <w:r>
        <w:t xml:space="preserve">El conteo también puede realizarse según la zona geográfica. En este caso, la base se agrupa por la variable</w:t>
      </w:r>
      <w:r>
        <w:t xml:space="preserve"> </w:t>
      </w:r>
      <w:r>
        <w:rPr>
          <w:rStyle w:val="VerbatimChar"/>
        </w:rPr>
        <w:t xml:space="preserve">Zone</w:t>
      </w:r>
      <w:r>
        <w:t xml:space="preserve"> </w:t>
      </w:r>
      <w:r>
        <w:t xml:space="preserve">y se calcula el número de registros correspondiente a cada una de sus categorías. La siguiente salida permite conocer cómo se distribuyen las observaciones entre las distintas zonas de la base de datos.</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count</w:t>
      </w:r>
      <w:r>
        <w:rPr>
          <w:rStyle w:val="NormalTok"/>
        </w:rPr>
        <w:t xml:space="preserve">(Zone)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p>
    <w:p>
      <w:pPr>
        <w:pStyle w:val="SourceCode"/>
      </w:pPr>
      <w:r>
        <w:rPr>
          <w:rStyle w:val="VerbatimChar"/>
        </w:rPr>
        <w:t xml:space="preserve">   Zone     n</w:t>
      </w:r>
      <w:r>
        <w:br/>
      </w:r>
      <w:r>
        <w:rPr>
          <w:rStyle w:val="VerbatimChar"/>
        </w:rPr>
        <w:t xml:space="preserve">1 Urban 78164</w:t>
      </w:r>
      <w:r>
        <w:br/>
      </w:r>
      <w:r>
        <w:rPr>
          <w:rStyle w:val="VerbatimChar"/>
        </w:rPr>
        <w:t xml:space="preserve">2 Rural 72102</w:t>
      </w:r>
    </w:p>
    <w:p>
      <w:pPr>
        <w:pStyle w:val="FirstParagraph"/>
      </w:pPr>
      <w:r>
        <w:t xml:space="preserve">Además de los conteos, también es posible calcular medidas resumen por grupo, como la media. En este caso, para obtener el ingreso promedio por región junto con el número total de registros, se agrupa la base según la variable</w:t>
      </w:r>
      <w:r>
        <w:t xml:space="preserve"> </w:t>
      </w:r>
      <w:r>
        <w:rPr>
          <w:rStyle w:val="VerbatimChar"/>
        </w:rPr>
        <w:t xml:space="preserve">Region</w:t>
      </w:r>
      <w:r>
        <w:t xml:space="preserve"> </w:t>
      </w:r>
      <w:r>
        <w:t xml:space="preserve">y luego se aplica</w:t>
      </w:r>
      <w:r>
        <w:t xml:space="preserve"> </w:t>
      </w:r>
      <w:r>
        <w:rPr>
          <w:rStyle w:val="VerbatimChar"/>
        </w:rPr>
        <w:t xml:space="preserve">summarise()</w:t>
      </w:r>
      <w:r>
        <w:t xml:space="preserve">. El resultado es una tabla regional que presenta, para cada región, el total de observaciones y el ingreso medio correspondiente.</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mean_income =</w:t>
      </w:r>
      <w:r>
        <w:rPr>
          <w:rStyle w:val="NormalTok"/>
        </w:rPr>
        <w:t xml:space="preserve"> </w:t>
      </w:r>
      <w:r>
        <w:rPr>
          <w:rStyle w:val="FunctionTok"/>
        </w:rPr>
        <w:t xml:space="preserve">mean</w:t>
      </w:r>
      <w:r>
        <w:rPr>
          <w:rStyle w:val="NormalTok"/>
        </w:rPr>
        <w:t xml:space="preserve">(Income)</w:t>
      </w:r>
      <w:r>
        <w:br/>
      </w:r>
      <w:r>
        <w:rPr>
          <w:rStyle w:val="NormalTok"/>
        </w:rPr>
        <w:t xml:space="preserve">  )</w:t>
      </w:r>
    </w:p>
    <w:p>
      <w:pPr>
        <w:pStyle w:val="SourceCode"/>
      </w:pPr>
      <w:r>
        <w:rPr>
          <w:rStyle w:val="VerbatimChar"/>
        </w:rPr>
        <w:t xml:space="preserve"># A tibble: 5 × 3</w:t>
      </w:r>
      <w:r>
        <w:br/>
      </w:r>
      <w:r>
        <w:rPr>
          <w:rStyle w:val="VerbatimChar"/>
        </w:rPr>
        <w:t xml:space="preserve">  Region     n mean_income</w:t>
      </w:r>
      <w:r>
        <w:br/>
      </w:r>
      <w:r>
        <w:rPr>
          <w:rStyle w:val="VerbatimChar"/>
        </w:rPr>
        <w:t xml:space="preserve">  &lt;fct&gt;  &lt;int&gt;       &lt;dbl&gt;</w:t>
      </w:r>
      <w:r>
        <w:br/>
      </w:r>
      <w:r>
        <w:rPr>
          <w:rStyle w:val="VerbatimChar"/>
        </w:rPr>
        <w:t xml:space="preserve">1 North  25396        509.</w:t>
      </w:r>
      <w:r>
        <w:br/>
      </w:r>
      <w:r>
        <w:rPr>
          <w:rStyle w:val="VerbatimChar"/>
        </w:rPr>
        <w:t xml:space="preserve">2 South  25898        644.</w:t>
      </w:r>
      <w:r>
        <w:br/>
      </w:r>
      <w:r>
        <w:rPr>
          <w:rStyle w:val="VerbatimChar"/>
        </w:rPr>
        <w:t xml:space="preserve">3 Center 25944        701.</w:t>
      </w:r>
      <w:r>
        <w:br/>
      </w:r>
      <w:r>
        <w:rPr>
          <w:rStyle w:val="VerbatimChar"/>
        </w:rPr>
        <w:t xml:space="preserve">4 West   33868        571.</w:t>
      </w:r>
      <w:r>
        <w:br/>
      </w:r>
      <w:r>
        <w:rPr>
          <w:rStyle w:val="VerbatimChar"/>
        </w:rPr>
        <w:t xml:space="preserve">5 East   39160        530.</w:t>
      </w:r>
    </w:p>
    <w:p>
      <w:pPr>
        <w:pStyle w:val="FirstParagraph"/>
      </w:pPr>
      <w:r>
        <w:t xml:space="preserve">El mismo procedimiento puede aplicarse para calcular el ingreso medio por sexo. En este caso, la base se agrupa según la variable</w:t>
      </w:r>
      <w:r>
        <w:t xml:space="preserve"> </w:t>
      </w:r>
      <w:r>
        <w:rPr>
          <w:rStyle w:val="VerbatimChar"/>
        </w:rPr>
        <w:t xml:space="preserve">Sex</w:t>
      </w:r>
      <w:r>
        <w:t xml:space="preserve"> </w:t>
      </w:r>
      <w:r>
        <w:t xml:space="preserve">y luego se obtiene el promedio de</w:t>
      </w:r>
      <w:r>
        <w:t xml:space="preserve"> </w:t>
      </w:r>
      <w:r>
        <w:rPr>
          <w:rStyle w:val="VerbatimChar"/>
        </w:rPr>
        <w:t xml:space="preserve">Income</w:t>
      </w:r>
      <w:r>
        <w:t xml:space="preserve"> </w:t>
      </w:r>
      <w:r>
        <w:t xml:space="preserve">para cada categoría. La tabla resultante permite comparar el ingreso medio observado entre los distintos grupos definidos por el sexo.</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mean_income =</w:t>
      </w:r>
      <w:r>
        <w:rPr>
          <w:rStyle w:val="NormalTok"/>
        </w:rPr>
        <w:t xml:space="preserve"> </w:t>
      </w:r>
      <w:r>
        <w:rPr>
          <w:rStyle w:val="FunctionTok"/>
        </w:rPr>
        <w:t xml:space="preserve">mean</w:t>
      </w:r>
      <w:r>
        <w:rPr>
          <w:rStyle w:val="NormalTok"/>
        </w:rPr>
        <w:t xml:space="preserve">(Income)</w:t>
      </w:r>
      <w:r>
        <w:br/>
      </w:r>
      <w:r>
        <w:rPr>
          <w:rStyle w:val="NormalTok"/>
        </w:rPr>
        <w:t xml:space="preserve">  )</w:t>
      </w:r>
    </w:p>
    <w:p>
      <w:pPr>
        <w:pStyle w:val="SourceCode"/>
      </w:pPr>
      <w:r>
        <w:rPr>
          <w:rStyle w:val="VerbatimChar"/>
        </w:rPr>
        <w:t xml:space="preserve"># A tibble: 2 × 3</w:t>
      </w:r>
      <w:r>
        <w:br/>
      </w:r>
      <w:r>
        <w:rPr>
          <w:rStyle w:val="VerbatimChar"/>
        </w:rPr>
        <w:t xml:space="preserve">  Sex        n mean_income</w:t>
      </w:r>
      <w:r>
        <w:br/>
      </w:r>
      <w:r>
        <w:rPr>
          <w:rStyle w:val="VerbatimChar"/>
        </w:rPr>
        <w:t xml:space="preserve">  &lt;chr&gt;  &lt;int&gt;       &lt;dbl&gt;</w:t>
      </w:r>
      <w:r>
        <w:br/>
      </w:r>
      <w:r>
        <w:rPr>
          <w:rStyle w:val="VerbatimChar"/>
        </w:rPr>
        <w:t xml:space="preserve">1 Female 79190        579.</w:t>
      </w:r>
      <w:r>
        <w:br/>
      </w:r>
      <w:r>
        <w:rPr>
          <w:rStyle w:val="VerbatimChar"/>
        </w:rPr>
        <w:t xml:space="preserve">2 Male   71076        591.</w:t>
      </w:r>
    </w:p>
    <w:p>
      <w:pPr>
        <w:pStyle w:val="FirstParagraph"/>
      </w:pPr>
      <w:r>
        <w:t xml:space="preserve">Por último, se calculan la media, la desviación estándar y el rango intercuartílico de los ingresos según la condición de ocupación. Para ello, la base se agrupa por la variable</w:t>
      </w:r>
      <w:r>
        <w:t xml:space="preserve"> </w:t>
      </w:r>
      <w:r>
        <w:rPr>
          <w:rStyle w:val="VerbatimChar"/>
        </w:rPr>
        <w:t xml:space="preserve">Employment</w:t>
      </w:r>
      <w:r>
        <w:t xml:space="preserve"> </w:t>
      </w:r>
      <w:r>
        <w:t xml:space="preserve">y luego se obtienen las estadísticas descriptivas de</w:t>
      </w:r>
      <w:r>
        <w:t xml:space="preserve"> </w:t>
      </w:r>
      <w:r>
        <w:rPr>
          <w:rStyle w:val="VerbatimChar"/>
        </w:rPr>
        <w:t xml:space="preserve">Income</w:t>
      </w:r>
      <w:r>
        <w:t xml:space="preserve"> </w:t>
      </w:r>
      <w:r>
        <w:t xml:space="preserve">dentro de cada grupo. La siguiente salida presenta un resumen del comportamiento de los ingresos para cada categoría de ocupación.</w:t>
      </w:r>
    </w:p>
    <w:p>
      <w:pPr>
        <w:pStyle w:val="SourceCode"/>
      </w:pPr>
      <w:r>
        <w:rPr>
          <w:rStyle w:val="NormalTok"/>
        </w:rPr>
        <w:t xml:space="preserve">bigcity_data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mean_income =</w:t>
      </w:r>
      <w:r>
        <w:rPr>
          <w:rStyle w:val="NormalTok"/>
        </w:rPr>
        <w:t xml:space="preserve"> </w:t>
      </w:r>
      <w:r>
        <w:rPr>
          <w:rStyle w:val="FunctionTok"/>
        </w:rPr>
        <w:t xml:space="preserve">mean</w:t>
      </w:r>
      <w:r>
        <w:rPr>
          <w:rStyle w:val="NormalTok"/>
        </w:rPr>
        <w:t xml:space="preserve">(Income),</w:t>
      </w:r>
      <w:r>
        <w:br/>
      </w:r>
      <w:r>
        <w:rPr>
          <w:rStyle w:val="NormalTok"/>
        </w:rPr>
        <w:t xml:space="preserve">    </w:t>
      </w:r>
      <w:r>
        <w:rPr>
          <w:rStyle w:val="AttributeTok"/>
        </w:rPr>
        <w:t xml:space="preserve">sd_income =</w:t>
      </w:r>
      <w:r>
        <w:rPr>
          <w:rStyle w:val="NormalTok"/>
        </w:rPr>
        <w:t xml:space="preserve"> </w:t>
      </w:r>
      <w:r>
        <w:rPr>
          <w:rStyle w:val="FunctionTok"/>
        </w:rPr>
        <w:t xml:space="preserve">sd</w:t>
      </w:r>
      <w:r>
        <w:rPr>
          <w:rStyle w:val="NormalTok"/>
        </w:rPr>
        <w:t xml:space="preserve">(Income),</w:t>
      </w:r>
      <w:r>
        <w:br/>
      </w:r>
      <w:r>
        <w:rPr>
          <w:rStyle w:val="NormalTok"/>
        </w:rPr>
        <w:t xml:space="preserve">    </w:t>
      </w:r>
      <w:r>
        <w:rPr>
          <w:rStyle w:val="AttributeTok"/>
        </w:rPr>
        <w:t xml:space="preserve">iqr_income =</w:t>
      </w:r>
      <w:r>
        <w:rPr>
          <w:rStyle w:val="NormalTok"/>
        </w:rPr>
        <w:t xml:space="preserve"> </w:t>
      </w:r>
      <w:r>
        <w:rPr>
          <w:rStyle w:val="FunctionTok"/>
        </w:rPr>
        <w:t xml:space="preserve">IQR</w:t>
      </w:r>
      <w:r>
        <w:rPr>
          <w:rStyle w:val="NormalTok"/>
        </w:rPr>
        <w:t xml:space="preserve">(Income)</w:t>
      </w:r>
      <w:r>
        <w:br/>
      </w:r>
      <w:r>
        <w:rPr>
          <w:rStyle w:val="NormalTok"/>
        </w:rPr>
        <w:t xml:space="preserve">  )</w:t>
      </w:r>
    </w:p>
    <w:p>
      <w:pPr>
        <w:pStyle w:val="SourceCode"/>
      </w:pPr>
      <w:r>
        <w:rPr>
          <w:rStyle w:val="VerbatimChar"/>
        </w:rPr>
        <w:t xml:space="preserve"># A tibble: 4 × 5</w:t>
      </w:r>
      <w:r>
        <w:br/>
      </w:r>
      <w:r>
        <w:rPr>
          <w:rStyle w:val="VerbatimChar"/>
        </w:rPr>
        <w:t xml:space="preserve">  Employment     n mean_income sd_income iqr_income</w:t>
      </w:r>
      <w:r>
        <w:br/>
      </w:r>
      <w:r>
        <w:rPr>
          <w:rStyle w:val="VerbatimChar"/>
        </w:rPr>
        <w:t xml:space="preserve">  &lt;fct&gt;      &lt;int&gt;       &lt;dbl&gt;     &lt;dbl&gt;      &lt;dbl&gt;</w:t>
      </w:r>
      <w:r>
        <w:br/>
      </w:r>
      <w:r>
        <w:rPr>
          <w:rStyle w:val="VerbatimChar"/>
        </w:rPr>
        <w:t xml:space="preserve">1 Unemployed  4630        429.      375.       392.</w:t>
      </w:r>
      <w:r>
        <w:br/>
      </w:r>
      <w:r>
        <w:rPr>
          <w:rStyle w:val="VerbatimChar"/>
        </w:rPr>
        <w:t xml:space="preserve">2 Inactive   44104        532.      553.       439.</w:t>
      </w:r>
      <w:r>
        <w:br/>
      </w:r>
      <w:r>
        <w:rPr>
          <w:rStyle w:val="VerbatimChar"/>
        </w:rPr>
        <w:t xml:space="preserve">3 Employed   62188        661.      606.       529.</w:t>
      </w:r>
      <w:r>
        <w:br/>
      </w:r>
      <w:r>
        <w:rPr>
          <w:rStyle w:val="VerbatimChar"/>
        </w:rPr>
        <w:t xml:space="preserve">4 &lt;NA&gt;       39344        541.      558.       407.</w:t>
      </w:r>
    </w:p>
    <w:bookmarkEnd w:id="302"/>
    <w:bookmarkEnd w:id="303"/>
    <w:bookmarkEnd w:id="304"/>
    <w:bookmarkStart w:id="309" w:name="ap2"/>
    <w:p>
      <w:pPr>
        <w:pStyle w:val="Heading1"/>
      </w:pPr>
      <w:r>
        <w:t xml:space="preserve">9. Inferencia en poblaciones finitas</w:t>
      </w:r>
    </w:p>
    <w:p>
      <w:pPr>
        <w:pStyle w:val="FirstParagraph"/>
      </w:pPr>
      <w:r>
        <w:t xml:space="preserve">De acuerdo con</w:t>
      </w:r>
      <w:r>
        <w:t xml:space="preserve"> </w:t>
      </w:r>
      <w:r>
        <w:t xml:space="preserve">Skinner et al. (1989)</w:t>
      </w:r>
      <w:r>
        <w:t xml:space="preserve"> </w:t>
      </w:r>
      <w:r>
        <w:t xml:space="preserve">y</w:t>
      </w:r>
      <w:r>
        <w:t xml:space="preserve"> </w:t>
      </w:r>
      <w:r>
        <w:t xml:space="preserve">Kish (1987)</w:t>
      </w:r>
      <w:r>
        <w:t xml:space="preserve">, una cuestión fundamental en el análisis de encuestas es identificar cuál es la medida de probabilidad que rige la inferencia. En la inferencia estadística clásica se suele asumir que las observaciones disponibles son variables aleatorias independientes e idénticamente distribuidas (IID). Bajo ese enfoque, la aleatoriedad proviene del modelo que genera los datos. Sin embargo, este supuesto no describe adecuadamente la información proveniente de encuestas con diseños muestrales complejos, donde las observaciones son seleccionadas mediante estratificación, conglomeración y probabilidades de inclusión desiguales.</w:t>
      </w:r>
    </w:p>
    <w:bookmarkStart w:id="305" w:name="dos-posibles-inferencias"/>
    <w:p>
      <w:pPr>
        <w:pStyle w:val="Heading2"/>
      </w:pPr>
      <w:r>
        <w:t xml:space="preserve">9.1 Dos posibles inferencias</w:t>
      </w:r>
    </w:p>
    <w:p>
      <w:pPr>
        <w:pStyle w:val="FirstParagraph"/>
      </w:pPr>
      <w:r>
        <w:t xml:space="preserve">Según</w:t>
      </w:r>
      <w:r>
        <w:t xml:space="preserve"> </w:t>
      </w:r>
      <w:r>
        <w:t xml:space="preserve">Särndal et al. (2003)</w:t>
      </w:r>
      <w:r>
        <w:t xml:space="preserve">, en encuestas de hogares conviene distinguir tres objetos. Primero, la población finita, denotada como</w:t>
      </w:r>
      <w:r>
        <w:t xml:space="preserve"> </w:t>
      </w:r>
      <m:oMath>
        <m:r>
          <m:t>U</m:t>
        </m:r>
        <m:r>
          <m:rPr>
            <m:sty m:val="p"/>
          </m:rPr>
          <m:t>=</m:t>
        </m:r>
        <m:r>
          <m:rPr>
            <m:sty m:val="p"/>
          </m:rPr>
          <m:t>{</m:t>
        </m:r>
        <m:r>
          <m:t>1</m:t>
        </m:r>
        <m:r>
          <m:rPr>
            <m:sty m:val="p"/>
          </m:rPr>
          <m:t>,</m:t>
        </m:r>
        <m:r>
          <m:t>2</m:t>
        </m:r>
        <m:r>
          <m:rPr>
            <m:sty m:val="p"/>
          </m:rPr>
          <m:t>,</m:t>
        </m:r>
        <m:r>
          <m:rPr>
            <m:sty m:val="p"/>
          </m:rPr>
          <m:t>…</m:t>
        </m:r>
        <m:r>
          <m:rPr>
            <m:sty m:val="p"/>
          </m:rPr>
          <m:t>,</m:t>
        </m:r>
        <m:r>
          <m:t>N</m:t>
        </m:r>
        <m:r>
          <m:rPr>
            <m:sty m:val="p"/>
          </m:rPr>
          <m:t>}</m:t>
        </m:r>
      </m:oMath>
      <w:r>
        <w:t xml:space="preserve">, la cual contiene todas las unidades de interés. Segundo, la variable de estudio</w:t>
      </w:r>
      <w:r>
        <w:t xml:space="preserve"> </w:t>
      </w:r>
      <m:oMath>
        <m:sSub>
          <m:e>
            <m:r>
              <m:t>y</m:t>
            </m:r>
          </m:e>
          <m:sub>
            <m:r>
              <m:t>k</m:t>
            </m:r>
          </m:sub>
        </m:sSub>
      </m:oMath>
      <w:r>
        <w:t xml:space="preserve">, observada o definida para cada unidad</w:t>
      </w:r>
      <w:r>
        <w:t xml:space="preserve"> </w:t>
      </w:r>
      <m:oMath>
        <m:r>
          <m:t>k</m:t>
        </m:r>
        <m:r>
          <m:rPr>
            <m:sty m:val="p"/>
          </m:rPr>
          <m:t>∈</m:t>
        </m:r>
        <m:r>
          <m:t>U</m:t>
        </m:r>
      </m:oMath>
      <w:r>
        <w:t xml:space="preserve">. Tercero, el diseño muestral</w:t>
      </w:r>
      <w:r>
        <w:t xml:space="preserve"> </w:t>
      </w:r>
      <m:oMath>
        <m:r>
          <m:t>p</m:t>
        </m:r>
        <m:r>
          <m:rPr>
            <m:sty m:val="p"/>
          </m:rPr>
          <m:t>(</m:t>
        </m:r>
        <m:r>
          <m:t>s</m:t>
        </m:r>
        <m:r>
          <m:rPr>
            <m:sty m:val="p"/>
          </m:rPr>
          <m:t>)</m:t>
        </m:r>
      </m:oMath>
      <w:r>
        <w:t xml:space="preserve">, que asigna probabilidades a las posibles muestras</w:t>
      </w:r>
      <w:r>
        <w:t xml:space="preserve"> </w:t>
      </w:r>
      <m:oMath>
        <m:r>
          <m:t>s</m:t>
        </m:r>
        <m:r>
          <m:rPr>
            <m:sty m:val="p"/>
          </m:rPr>
          <m:t>⊂</m:t>
        </m:r>
        <m:r>
          <m:t>U</m:t>
        </m:r>
      </m:oMath>
      <w:r>
        <w:t xml:space="preserve">. En la notación utilizada a lo largo de este documento, una unidad puede identificarse como</w:t>
      </w:r>
      <w:r>
        <w:t xml:space="preserve"> </w:t>
      </w:r>
      <m:oMath>
        <m:r>
          <m:t>k</m:t>
        </m:r>
      </m:oMath>
      <w:r>
        <w:t xml:space="preserve"> </w:t>
      </w:r>
      <w:r>
        <w:t xml:space="preserve">dentro del conglomerado o UPM</w:t>
      </w:r>
      <w:r>
        <w:t xml:space="preserve"> </w:t>
      </w:r>
      <m:oMath>
        <m:r>
          <m:t>i</m:t>
        </m:r>
      </m:oMath>
      <w:r>
        <w:t xml:space="preserve">, perteneciente al estrato</w:t>
      </w:r>
      <w:r>
        <w:t xml:space="preserve"> </w:t>
      </w:r>
      <m:oMath>
        <m:r>
          <m:t>h</m:t>
        </m:r>
      </m:oMath>
      <w:r>
        <w:t xml:space="preserve">, de modo que los estimadores ponderados suelen escribirse como sumas de la forma</w:t>
      </w:r>
    </w:p>
    <w:p>
      <w:pPr>
        <w:pStyle w:val="BodyText"/>
      </w:pPr>
      <m:oMathPara>
        <m:oMathParaPr>
          <m:jc m:val="center"/>
        </m:oMathParaPr>
        <m:oMath>
          <m:sSub>
            <m:e>
              <m:acc>
                <m:accPr>
                  <m:chr m:val="̂"/>
                </m:accPr>
                <m:e>
                  <m:r>
                    <m:t>t</m:t>
                  </m:r>
                </m:e>
              </m:acc>
            </m:e>
            <m:sub>
              <m:r>
                <m:t>y</m:t>
              </m:r>
            </m:sub>
          </m:sSub>
          <m:r>
            <m:rPr>
              <m:sty m:val="p"/>
            </m:rPr>
            <m:t>=</m:t>
          </m:r>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k</m:t>
                      </m:r>
                    </m:sub>
                    <m:sup>
                      <m:r>
                        <m:t>​</m:t>
                      </m:r>
                    </m:sup>
                    <m:e>
                      <m:sSub>
                        <m:e>
                          <m:r>
                            <m:t>w</m:t>
                          </m:r>
                        </m:e>
                        <m:sub>
                          <m:r>
                            <m:t>h</m:t>
                          </m:r>
                          <m:r>
                            <m:t>i</m:t>
                          </m:r>
                          <m:r>
                            <m:t>k</m:t>
                          </m:r>
                        </m:sub>
                      </m:sSub>
                    </m:e>
                  </m:nary>
                </m:e>
              </m:nary>
            </m:e>
          </m:nary>
          <m:r>
            <m:t> </m:t>
          </m:r>
          <m:sSub>
            <m:e>
              <m:r>
                <m:t>y</m:t>
              </m:r>
            </m:e>
            <m:sub>
              <m:r>
                <m:t>h</m:t>
              </m:r>
              <m:r>
                <m:t>i</m:t>
              </m:r>
              <m:r>
                <m:t>k</m:t>
              </m:r>
            </m:sub>
          </m:sSub>
        </m:oMath>
      </m:oMathPara>
    </w:p>
    <w:p>
      <w:pPr>
        <w:pStyle w:val="FirstParagraph"/>
      </w:pPr>
      <w:r>
        <w:t xml:space="preserve">donde</w:t>
      </w:r>
      <w:r>
        <w:t xml:space="preserve"> </w:t>
      </w:r>
      <m:oMath>
        <m:sSub>
          <m:e>
            <m:r>
              <m:t>w</m:t>
            </m:r>
          </m:e>
          <m:sub>
            <m:r>
              <m:t>h</m:t>
            </m:r>
            <m:r>
              <m:t>i</m:t>
            </m:r>
            <m:r>
              <m:t>k</m:t>
            </m:r>
          </m:sub>
        </m:sSub>
      </m:oMath>
      <w:r>
        <w:t xml:space="preserve"> </w:t>
      </w:r>
      <w:r>
        <w:t xml:space="preserve">representa el factor de expansión o peso muestral asociado con la unidad observada. En la teoría de muestreo, los valores</w:t>
      </w:r>
      <w:r>
        <w:t xml:space="preserve"> </w:t>
      </w:r>
      <m:oMath>
        <m:sSub>
          <m:e>
            <m:r>
              <m:t>y</m:t>
            </m:r>
          </m:e>
          <m:sub>
            <m:r>
              <m:t>k</m:t>
            </m:r>
          </m:sub>
        </m:sSub>
      </m:oMath>
      <w:r>
        <w:t xml:space="preserve"> </w:t>
      </w:r>
      <w:r>
        <w:t xml:space="preserve">se consideran fijos una vez definida la población. La aleatoriedad no está en los valores de la variable, sino en los indicadores de inclusión</w:t>
      </w:r>
    </w:p>
    <w:p>
      <w:pPr>
        <w:pStyle w:val="BodyText"/>
      </w:pPr>
      <m:oMathPara>
        <m:oMathParaPr>
          <m:jc m:val="center"/>
        </m:oMathParaPr>
        <m:oMath>
          <m:sSub>
            <m:e>
              <m:r>
                <m:t>I</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si </m:t>
                    </m:r>
                    <m:r>
                      <m:t>k</m:t>
                    </m:r>
                    <m:r>
                      <m:rPr>
                        <m:sty m:val="p"/>
                      </m:rPr>
                      <m:t>∈</m:t>
                    </m:r>
                    <m:r>
                      <m:t>s</m:t>
                    </m:r>
                    <m:r>
                      <m:rPr>
                        <m:sty m:val="p"/>
                      </m:rPr>
                      <m:t>,</m:t>
                    </m:r>
                  </m:e>
                </m:mr>
                <m:mr>
                  <m:e>
                    <m:r>
                      <m:t>0</m:t>
                    </m:r>
                    <m:r>
                      <m:rPr>
                        <m:sty m:val="p"/>
                      </m:rPr>
                      <m:t>,</m:t>
                    </m:r>
                  </m:e>
                  <m:e>
                    <m:r>
                      <m:rPr>
                        <m:nor/>
                        <m:sty m:val="p"/>
                      </m:rPr>
                      <m:t>si </m:t>
                    </m:r>
                    <m:r>
                      <m:t>k</m:t>
                    </m:r>
                    <m:r>
                      <m:rPr>
                        <m:sty m:val="p"/>
                      </m:rPr>
                      <m:t>∉</m:t>
                    </m:r>
                    <m:r>
                      <m:t>s</m:t>
                    </m:r>
                    <m:r>
                      <m:rPr>
                        <m:sty m:val="p"/>
                      </m:rPr>
                      <m:t>,</m:t>
                    </m:r>
                  </m:e>
                </m:mr>
              </m:m>
            </m:e>
          </m:d>
        </m:oMath>
      </m:oMathPara>
    </w:p>
    <w:p>
      <w:pPr>
        <w:pStyle w:val="FirstParagraph"/>
      </w:pPr>
      <w:r>
        <w:t xml:space="preserve">que inducen la probabilidad de inclusión</w:t>
      </w:r>
      <w:r>
        <w:t xml:space="preserve"> </w:t>
      </w:r>
      <m:oMath>
        <m:sSub>
          <m:e>
            <m:r>
              <m:t>π</m:t>
            </m:r>
          </m:e>
          <m:sub>
            <m:r>
              <m:t>k</m:t>
            </m:r>
          </m:sub>
        </m:sSub>
        <m:r>
          <m:rPr>
            <m:sty m:val="p"/>
          </m:rPr>
          <m:t>=</m:t>
        </m:r>
        <m:sSub>
          <m:e>
            <m:r>
              <m:rPr>
                <m:sty m:val="p"/>
              </m:rPr>
              <m:t>Pr</m:t>
            </m:r>
          </m:e>
          <m:sub>
            <m:r>
              <m:t>p</m:t>
            </m:r>
          </m:sub>
        </m:sSub>
        <m:r>
          <m:rPr>
            <m:sty m:val="p"/>
          </m:rPr>
          <m:t>(</m:t>
        </m:r>
        <m:sSub>
          <m:e>
            <m:r>
              <m:t>I</m:t>
            </m:r>
          </m:e>
          <m:sub>
            <m:r>
              <m:t>k</m:t>
            </m:r>
          </m:sub>
        </m:sSub>
        <m:r>
          <m:rPr>
            <m:sty m:val="p"/>
          </m:rPr>
          <m:t>=</m:t>
        </m:r>
        <m:r>
          <m:t>1</m:t>
        </m:r>
        <m:r>
          <m:rPr>
            <m:sty m:val="p"/>
          </m:rPr>
          <m:t>)</m:t>
        </m:r>
      </m:oMath>
      <w:r>
        <w:t xml:space="preserve"> </w:t>
      </w:r>
      <w:r>
        <w:t xml:space="preserve">y, a su vez, el correspondiente peso de muestreo, definido como</w:t>
      </w:r>
      <w:r>
        <w:t xml:space="preserve"> </w:t>
      </w:r>
      <m:oMath>
        <m:sSub>
          <m:e>
            <m:r>
              <m:t>w</m:t>
            </m:r>
          </m:e>
          <m:sub>
            <m:r>
              <m:t>k</m:t>
            </m:r>
          </m:sub>
        </m:sSub>
        <m:r>
          <m:rPr>
            <m:sty m:val="p"/>
          </m:rPr>
          <m:t>=</m:t>
        </m:r>
        <m:f>
          <m:fPr>
            <m:type m:val="bar"/>
          </m:fPr>
          <m:num>
            <m:r>
              <m:t>1</m:t>
            </m:r>
          </m:num>
          <m:den>
            <m:sSub>
              <m:e>
                <m:r>
                  <m:t>π</m:t>
                </m:r>
              </m:e>
              <m:sub>
                <m:r>
                  <m:t>k</m:t>
                </m:r>
              </m:sub>
            </m:sSub>
          </m:den>
        </m:f>
      </m:oMath>
      <w:r>
        <w:t xml:space="preserve">.</w:t>
      </w:r>
    </w:p>
    <w:p>
      <w:pPr>
        <w:pStyle w:val="BodyText"/>
      </w:pPr>
      <w:r>
        <w:t xml:space="preserve">Un estimador que ignora los pesos de muestreo puede no representar adecuadamente a la población objetivo, especialmente cuando la muestra proviene de un diseño complejo. En la inferencia basada en el diseño, la población se considera fija y la fuente de aleatoriedad proviene del mecanismo de selección de la muestra; por ello, sus elementos centrales son las probabilidades de inclusión</w:t>
      </w:r>
      <w:r>
        <w:t xml:space="preserve"> </w:t>
      </w:r>
      <m:oMath>
        <m:sSub>
          <m:e>
            <m:r>
              <m:t>π</m:t>
            </m:r>
          </m:e>
          <m:sub>
            <m:r>
              <m:t>k</m:t>
            </m:r>
          </m:sub>
        </m:sSub>
      </m:oMath>
      <w:r>
        <w:t xml:space="preserve"> </w:t>
      </w:r>
      <w:r>
        <w:t xml:space="preserve">y los pesos de muestreo</w:t>
      </w:r>
      <w:r>
        <w:t xml:space="preserve"> </w:t>
      </w:r>
      <m:oMath>
        <m:sSub>
          <m:e>
            <m:r>
              <m:t>w</m:t>
            </m:r>
          </m:e>
          <m:sub>
            <m:r>
              <m:t>k</m:t>
            </m:r>
          </m:sub>
        </m:sSub>
      </m:oMath>
      <w:r>
        <w:t xml:space="preserve">.</w:t>
      </w:r>
    </w:p>
    <w:p>
      <w:pPr>
        <w:pStyle w:val="BodyText"/>
      </w:pPr>
      <w:r>
        <w:t xml:space="preserve">Como demuestran</w:t>
      </w:r>
      <w:r>
        <w:t xml:space="preserve"> </w:t>
      </w:r>
      <w:r>
        <w:t xml:space="preserve">Horvitz y Thompson (1952)</w:t>
      </w:r>
      <w:r>
        <w:t xml:space="preserve">, por el contrario, la inferencia basada en modelos considera que los valores de la variable de interés en toda la población se conciben como realizaciones de un proceso estocástico, usualmente denotado por</w:t>
      </w:r>
      <w:r>
        <w:t xml:space="preserve"> </w:t>
      </w:r>
      <m:oMath>
        <m:r>
          <m:t>ξ</m:t>
        </m:r>
      </m:oMath>
      <w:r>
        <w:t xml:space="preserve">. Así, mientras la inferencia basada en los modelos estudia propiedades como</w:t>
      </w:r>
      <w:r>
        <w:t xml:space="preserve"> </w:t>
      </w:r>
      <m:oMath>
        <m:sSub>
          <m:e>
            <m:r>
              <m:t>E</m:t>
            </m:r>
          </m:e>
          <m:sub>
            <m:r>
              <m:t>ξ</m:t>
            </m:r>
          </m:sub>
        </m:sSub>
        <m:r>
          <m:rPr>
            <m:sty m:val="p"/>
          </m:rPr>
          <m:t>(</m:t>
        </m:r>
        <m:sSub>
          <m:e>
            <m:r>
              <m:t>Y</m:t>
            </m:r>
          </m:e>
          <m:sub>
            <m:r>
              <m:t>k</m:t>
            </m:r>
          </m:sub>
        </m:sSub>
        <m:r>
          <m:rPr>
            <m:sty m:val="p"/>
          </m:rPr>
          <m:t>)</m:t>
        </m:r>
      </m:oMath>
      <w:r>
        <w:t xml:space="preserve"> </w:t>
      </w:r>
      <w:r>
        <w:t xml:space="preserve">y</w:t>
      </w:r>
      <w:r>
        <w:t xml:space="preserve"> </w:t>
      </w:r>
      <m:oMath>
        <m:r>
          <m:t>V</m:t>
        </m:r>
        <m:r>
          <m:t>a</m:t>
        </m:r>
        <m:sSub>
          <m:e>
            <m:r>
              <m:t>r</m:t>
            </m:r>
          </m:e>
          <m:sub>
            <m:r>
              <m:t>ξ</m:t>
            </m:r>
          </m:sub>
        </m:sSub>
        <m:r>
          <m:rPr>
            <m:sty m:val="p"/>
          </m:rPr>
          <m:t>(</m:t>
        </m:r>
        <m:sSub>
          <m:e>
            <m:r>
              <m:t>Y</m:t>
            </m:r>
          </m:e>
          <m:sub>
            <m:r>
              <m:t>k</m:t>
            </m:r>
          </m:sub>
        </m:sSub>
        <m:r>
          <m:rPr>
            <m:sty m:val="p"/>
          </m:rPr>
          <m:t>)</m:t>
        </m:r>
      </m:oMath>
      <w:r>
        <w:t xml:space="preserve">, la inferencia basada en el diseño se orienta a incorporar las características del plan muestral en los estimadores. La inferencia basada en el diseño no garantiza que todo estimador sea exactamente insesgado; esa propiedad debe verificarse para cada estimador y diseño. En particular, el total de Horvitz–Thompson satisface</w:t>
      </w:r>
      <w:r>
        <w:t xml:space="preserve"> </w:t>
      </w:r>
      <m:oMath>
        <m:sSub>
          <m:e>
            <m:r>
              <m:t>E</m:t>
            </m:r>
          </m:e>
          <m:sub>
            <m:r>
              <m:t>p</m:t>
            </m:r>
          </m:sub>
        </m:sSub>
        <m:r>
          <m:rPr>
            <m:sty m:val="p"/>
          </m:rPr>
          <m:t>(</m:t>
        </m:r>
        <m:sSub>
          <m:e>
            <m:acc>
              <m:accPr>
                <m:chr m:val="̂"/>
              </m:accPr>
              <m:e>
                <m:r>
                  <m:t>t</m:t>
                </m:r>
              </m:e>
            </m:acc>
          </m:e>
          <m:sub>
            <m:r>
              <m:t>y</m:t>
            </m:r>
          </m:sub>
        </m:sSub>
        <m:r>
          <m:rPr>
            <m:sty m:val="p"/>
          </m:rPr>
          <m:t>)</m:t>
        </m:r>
        <m:r>
          <m:rPr>
            <m:sty m:val="p"/>
          </m:rPr>
          <m:t>=</m:t>
        </m:r>
        <m:sSub>
          <m:e>
            <m:r>
              <m:t>t</m:t>
            </m:r>
          </m:e>
          <m:sub>
            <m:r>
              <m:t>y</m:t>
            </m:r>
          </m:sub>
        </m:sSub>
      </m:oMath>
      <w:r>
        <w:t xml:space="preserve"> </w:t>
      </w:r>
      <w:r>
        <w:t xml:space="preserve">bajo probabilidades de inclusión positivas.</w:t>
      </w:r>
    </w:p>
    <w:p>
      <w:pPr>
        <w:pStyle w:val="BodyText"/>
      </w:pPr>
      <w:r>
        <w:t xml:space="preserve">De acuerdo con</w:t>
      </w:r>
      <w:r>
        <w:t xml:space="preserve"> </w:t>
      </w:r>
      <w:r>
        <w:t xml:space="preserve">Binder (2011)</w:t>
      </w:r>
      <w:r>
        <w:t xml:space="preserve">, esta distinción permite entender por qué, aun cuando exista un modelo razonable para la variable de interés, el diseño muestral debe incorporarse explícitamente si se desea obtener inferencias válidas para la población objetivo. Para comprender la distinción entre inferencia basada en el modelo e inferencia basada en el diseño, partimos de un ejemplo sencillo. Supóngase que se generan</w:t>
      </w:r>
      <w:r>
        <w:t xml:space="preserve"> </w:t>
      </w:r>
      <m:oMath>
        <m:r>
          <m:t>N</m:t>
        </m:r>
        <m:r>
          <m:rPr>
            <m:sty m:val="p"/>
          </m:rPr>
          <m:t>=</m:t>
        </m:r>
        <m:r>
          <m:t>100</m:t>
        </m:r>
      </m:oMath>
      <w:r>
        <w:t xml:space="preserve"> </w:t>
      </w:r>
      <w:r>
        <w:t xml:space="preserve">realizaciones independientes de una variable Bernoulli con parámetro</w:t>
      </w:r>
      <w:r>
        <w:t xml:space="preserve"> </w:t>
      </w:r>
      <m:oMath>
        <m:r>
          <m:t>θ</m:t>
        </m:r>
        <m:r>
          <m:rPr>
            <m:sty m:val="p"/>
          </m:rPr>
          <m:t>=</m:t>
        </m:r>
        <m:r>
          <m:t>0.3</m:t>
        </m:r>
      </m:oMath>
      <w:r>
        <w:t xml:space="preserve">, donde</w:t>
      </w:r>
      <w:r>
        <w:t xml:space="preserve"> </w:t>
      </w:r>
      <m:oMath>
        <m:r>
          <m:t>θ</m:t>
        </m:r>
      </m:oMath>
      <w:r>
        <w:t xml:space="preserve"> </w:t>
      </w:r>
      <w:r>
        <w:t xml:space="preserve">representa la proporción esperada de personas desempleadas en una población generada por un modelo. Si</w:t>
      </w:r>
      <w:r>
        <w:t xml:space="preserve"> </w:t>
      </w:r>
      <m:oMath>
        <m:sSub>
          <m:e>
            <m:r>
              <m:t>Y</m:t>
            </m:r>
          </m:e>
          <m:sub>
            <m:r>
              <m:t>k</m:t>
            </m:r>
          </m:sub>
        </m:sSub>
        <m:r>
          <m:rPr>
            <m:sty m:val="p"/>
          </m:rPr>
          <m:t>∼</m:t>
        </m:r>
        <m:r>
          <m:t>B</m:t>
        </m:r>
        <m:r>
          <m:t>e</m:t>
        </m:r>
        <m:r>
          <m:t>r</m:t>
        </m:r>
        <m:r>
          <m:t>n</m:t>
        </m:r>
        <m:r>
          <m:t>o</m:t>
        </m:r>
        <m:r>
          <m:t>u</m:t>
        </m:r>
        <m:r>
          <m:t>l</m:t>
        </m:r>
        <m:r>
          <m:t>l</m:t>
        </m:r>
        <m:r>
          <m:t>i</m:t>
        </m:r>
        <m:r>
          <m:rPr>
            <m:sty m:val="p"/>
          </m:rPr>
          <m:t>(</m:t>
        </m:r>
        <m:r>
          <m:t>θ</m:t>
        </m:r>
        <m:r>
          <m:rPr>
            <m:sty m:val="p"/>
          </m:rPr>
          <m:t>)</m:t>
        </m:r>
      </m:oMath>
      <w:r>
        <w:t xml:space="preserve">, entonces la esperanza bajo el modelo es</w:t>
      </w:r>
      <w:r>
        <w:t xml:space="preserve"> </w:t>
      </w:r>
      <m:oMath>
        <m:sSub>
          <m:e>
            <m:r>
              <m:t>E</m:t>
            </m:r>
          </m:e>
          <m:sub>
            <m:r>
              <m:t>ξ</m:t>
            </m:r>
          </m:sub>
        </m:sSub>
        <m:r>
          <m:rPr>
            <m:sty m:val="p"/>
          </m:rPr>
          <m:t>(</m:t>
        </m:r>
        <m:sSub>
          <m:e>
            <m:r>
              <m:t>Y</m:t>
            </m:r>
          </m:e>
          <m:sub>
            <m:r>
              <m:t>k</m:t>
            </m:r>
          </m:sub>
        </m:sSub>
        <m:r>
          <m:rPr>
            <m:sty m:val="p"/>
          </m:rPr>
          <m:t>)</m:t>
        </m:r>
        <m:r>
          <m:rPr>
            <m:sty m:val="p"/>
          </m:rPr>
          <m:t>=</m:t>
        </m:r>
        <m:r>
          <m:t>θ</m:t>
        </m:r>
      </m:oMath>
      <w:r>
        <w:t xml:space="preserve">, mientras que la varianza bajo el modelo es</w:t>
      </w:r>
      <w:r>
        <w:t xml:space="preserve"> </w:t>
      </w:r>
      <m:oMath>
        <m:r>
          <m:t>V</m:t>
        </m:r>
        <m:r>
          <m:t>a</m:t>
        </m:r>
        <m:sSub>
          <m:e>
            <m:r>
              <m:t>r</m:t>
            </m:r>
          </m:e>
          <m:sub>
            <m:r>
              <m:t>ξ</m:t>
            </m:r>
          </m:sub>
        </m:sSub>
        <m:r>
          <m:rPr>
            <m:sty m:val="p"/>
          </m:rPr>
          <m:t>(</m:t>
        </m:r>
        <m:sSub>
          <m:e>
            <m:r>
              <m:t>Y</m:t>
            </m:r>
          </m:e>
          <m:sub>
            <m:r>
              <m:t>k</m:t>
            </m:r>
          </m:sub>
        </m:sSub>
        <m:r>
          <m:rPr>
            <m:sty m:val="p"/>
          </m:rPr>
          <m:t>)</m:t>
        </m:r>
        <m:r>
          <m:rPr>
            <m:sty m:val="p"/>
          </m:rPr>
          <m:t>=</m:t>
        </m:r>
        <m:r>
          <m:t>θ</m:t>
        </m:r>
        <m:r>
          <m:rPr>
            <m:sty m:val="p"/>
          </m:rPr>
          <m:t>(</m:t>
        </m:r>
        <m:r>
          <m:t>1</m:t>
        </m:r>
        <m:r>
          <m:rPr>
            <m:sty m:val="p"/>
          </m:rPr>
          <m:t>−</m:t>
        </m:r>
        <m:r>
          <m:t>θ</m:t>
        </m:r>
        <m:r>
          <m:rPr>
            <m:sty m:val="p"/>
          </m:rPr>
          <m:t>)</m:t>
        </m:r>
      </m:oMath>
      <w:r>
        <w:t xml:space="preserve">.</w:t>
      </w:r>
    </w:p>
    <w:p>
      <w:pPr>
        <w:pStyle w:val="BodyText"/>
      </w:pPr>
      <w:r>
        <w:t xml:space="preserve">En la literatura especializada, el modelo</w:t>
      </w:r>
      <w:r>
        <w:t xml:space="preserve"> </w:t>
      </w:r>
      <m:oMath>
        <m:r>
          <m:t>ξ</m:t>
        </m:r>
      </m:oMath>
      <w:r>
        <w:t xml:space="preserve"> </w:t>
      </w:r>
      <w:r>
        <w:t xml:space="preserve">recibe el nombre de modelo de superpoblación, pues genera poblaciones finitas. De esta forma, para una población finita generada por ese modelo, la media poblacional es</w:t>
      </w:r>
      <w:r>
        <w:t xml:space="preserve"> </w:t>
      </w:r>
      <m:oMath>
        <m:sSub>
          <m:e>
            <m:acc>
              <m:accPr>
                <m:chr m:val="‾"/>
              </m:accPr>
              <m:e>
                <m:r>
                  <m:t>Y</m:t>
                </m:r>
              </m:e>
            </m:acc>
          </m:e>
          <m:sub>
            <m:r>
              <m:t>U</m:t>
            </m:r>
          </m:sub>
        </m:sSub>
        <m:r>
          <m:rPr>
            <m:sty m:val="p"/>
          </m:rPr>
          <m:t>=</m:t>
        </m:r>
        <m:f>
          <m:fPr>
            <m:type m:val="bar"/>
          </m:fPr>
          <m:num>
            <m:r>
              <m:t>1</m:t>
            </m:r>
          </m:num>
          <m:den>
            <m:r>
              <m:t>N</m:t>
            </m:r>
          </m:den>
        </m:f>
        <m:nary>
          <m:naryPr>
            <m:chr m:val="∑"/>
            <m:limLoc m:val="undOvr"/>
            <m:subHide m:val="off"/>
            <m:supHide m:val="on"/>
          </m:naryPr>
          <m:sub>
            <m:r>
              <m:t>k</m:t>
            </m:r>
            <m:r>
              <m:rPr>
                <m:sty m:val="p"/>
              </m:rPr>
              <m:t>∈</m:t>
            </m:r>
            <m:r>
              <m:t>U</m:t>
            </m:r>
          </m:sub>
          <m:sup>
            <m:r>
              <m:t>​</m:t>
            </m:r>
          </m:sup>
          <m:e>
            <m:sSub>
              <m:e>
                <m:r>
                  <m:t>Y</m:t>
                </m:r>
              </m:e>
              <m:sub>
                <m:r>
                  <m:t>k</m:t>
                </m:r>
              </m:sub>
            </m:sSub>
          </m:e>
        </m:nary>
      </m:oMath>
      <w:r>
        <w:t xml:space="preserve">. Nótese que, bajo el modelo</w:t>
      </w:r>
      <w:r>
        <w:t xml:space="preserve"> </w:t>
      </w:r>
      <m:oMath>
        <m:r>
          <m:t>ξ</m:t>
        </m:r>
      </m:oMath>
      <w:r>
        <w:t xml:space="preserve">, esta media es insesgada para</w:t>
      </w:r>
      <w:r>
        <w:t xml:space="preserve"> </w:t>
      </w:r>
      <m:oMath>
        <m:r>
          <m:t>θ</m:t>
        </m:r>
      </m:oMath>
      <w:r>
        <w:t xml:space="preserve">, puesto que</w:t>
      </w:r>
    </w:p>
    <w:p>
      <w:pPr>
        <w:pStyle w:val="BodyText"/>
      </w:pPr>
      <m:oMathPara>
        <m:oMathParaPr>
          <m:jc m:val="center"/>
        </m:oMathParaPr>
        <m:oMath>
          <m:sSub>
            <m:e>
              <m:r>
                <m:t>E</m:t>
              </m:r>
            </m:e>
            <m:sub>
              <m:r>
                <m:t>ξ</m:t>
              </m:r>
            </m:sub>
          </m:sSub>
          <m:r>
            <m:rPr>
              <m:sty m:val="p"/>
            </m:rPr>
            <m:t>(</m:t>
          </m:r>
          <m:sSub>
            <m:e>
              <m:acc>
                <m:accPr>
                  <m:chr m:val="‾"/>
                </m:accPr>
                <m:e>
                  <m:r>
                    <m:t>Y</m:t>
                  </m:r>
                </m:e>
              </m:acc>
            </m:e>
            <m:sub>
              <m:r>
                <m:t>U</m:t>
              </m:r>
            </m:sub>
          </m:sSub>
          <m:r>
            <m:rPr>
              <m:sty m:val="p"/>
            </m:rPr>
            <m:t>)</m:t>
          </m:r>
          <m:r>
            <m:rPr>
              <m:sty m:val="p"/>
            </m:rPr>
            <m:t>=</m:t>
          </m:r>
          <m:sSub>
            <m:e>
              <m:r>
                <m:t>E</m:t>
              </m:r>
            </m:e>
            <m:sub>
              <m:r>
                <m:t>ξ</m:t>
              </m:r>
            </m:sub>
          </m:sSub>
          <m:d>
            <m:dPr>
              <m:begChr m:val="("/>
              <m:sepChr m:val=""/>
              <m:endChr m:val=")"/>
              <m:grow/>
            </m:dPr>
            <m:e>
              <m:f>
                <m:fPr>
                  <m:type m:val="bar"/>
                </m:fPr>
                <m:num>
                  <m:r>
                    <m:t>1</m:t>
                  </m:r>
                </m:num>
                <m:den>
                  <m:r>
                    <m:t>N</m:t>
                  </m:r>
                </m:den>
              </m:f>
              <m:nary>
                <m:naryPr>
                  <m:chr m:val="∑"/>
                  <m:limLoc m:val="undOvr"/>
                  <m:subHide m:val="off"/>
                  <m:supHide m:val="on"/>
                </m:naryPr>
                <m:sub>
                  <m:r>
                    <m:t>k</m:t>
                  </m:r>
                  <m:r>
                    <m:rPr>
                      <m:sty m:val="p"/>
                    </m:rPr>
                    <m:t>∈</m:t>
                  </m:r>
                  <m:r>
                    <m:t>U</m:t>
                  </m:r>
                </m:sub>
                <m:sup>
                  <m:r>
                    <m:t>​</m:t>
                  </m:r>
                </m:sup>
                <m:e>
                  <m:sSub>
                    <m:e>
                      <m:r>
                        <m:t>Y</m:t>
                      </m:r>
                    </m:e>
                    <m:sub>
                      <m:r>
                        <m:t>k</m:t>
                      </m:r>
                    </m:sub>
                  </m:sSub>
                </m:e>
              </m:nary>
            </m:e>
          </m:d>
          <m:r>
            <m:rPr>
              <m:sty m:val="p"/>
            </m:rPr>
            <m:t>=</m:t>
          </m:r>
          <m:f>
            <m:fPr>
              <m:type m:val="bar"/>
            </m:fPr>
            <m:num>
              <m:r>
                <m:t>1</m:t>
              </m:r>
            </m:num>
            <m:den>
              <m:r>
                <m:t>N</m:t>
              </m:r>
            </m:den>
          </m:f>
          <m:nary>
            <m:naryPr>
              <m:chr m:val="∑"/>
              <m:limLoc m:val="undOvr"/>
              <m:subHide m:val="off"/>
              <m:supHide m:val="on"/>
            </m:naryPr>
            <m:sub>
              <m:r>
                <m:t>k</m:t>
              </m:r>
              <m:r>
                <m:rPr>
                  <m:sty m:val="p"/>
                </m:rPr>
                <m:t>∈</m:t>
              </m:r>
              <m:r>
                <m:t>U</m:t>
              </m:r>
            </m:sub>
            <m:sup>
              <m:r>
                <m:t>​</m:t>
              </m:r>
            </m:sup>
            <m:e>
              <m:sSub>
                <m:e>
                  <m:r>
                    <m:t>E</m:t>
                  </m:r>
                </m:e>
                <m:sub>
                  <m:r>
                    <m:t>ξ</m:t>
                  </m:r>
                </m:sub>
              </m:sSub>
            </m:e>
          </m:nary>
          <m:r>
            <m:rPr>
              <m:sty m:val="p"/>
            </m:rPr>
            <m:t>(</m:t>
          </m:r>
          <m:sSub>
            <m:e>
              <m:r>
                <m:t>Y</m:t>
              </m:r>
            </m:e>
            <m:sub>
              <m:r>
                <m:t>k</m:t>
              </m:r>
            </m:sub>
          </m:sSub>
          <m:r>
            <m:rPr>
              <m:sty m:val="p"/>
            </m:rPr>
            <m:t>)</m:t>
          </m:r>
          <m:r>
            <m:rPr>
              <m:sty m:val="p"/>
            </m:rPr>
            <m:t>=</m:t>
          </m:r>
          <m:r>
            <m:t>θ</m:t>
          </m:r>
          <m:r>
            <m:rPr>
              <m:sty m:val="p"/>
            </m:rPr>
            <m:t>.</m:t>
          </m:r>
        </m:oMath>
      </m:oMathPara>
    </w:p>
    <w:p>
      <w:pPr>
        <w:pStyle w:val="FirstParagraph"/>
      </w:pPr>
      <w:r>
        <w:t xml:space="preserve">La siguiente simulación de Monte Carlo reproduce este proceso. En cada repetición se genera una población completa de tamaño</w:t>
      </w:r>
      <w:r>
        <w:t xml:space="preserve"> </w:t>
      </w:r>
      <m:oMath>
        <m:r>
          <m:t>N</m:t>
        </m:r>
        <m:r>
          <m:rPr>
            <m:sty m:val="p"/>
          </m:rPr>
          <m:t>=</m:t>
        </m:r>
        <m:r>
          <m:t>100</m:t>
        </m:r>
      </m:oMath>
      <w:r>
        <w:t xml:space="preserve"> </w:t>
      </w:r>
      <w:r>
        <w:t xml:space="preserve">y se calcula su media. El promedio de esas medias poblacionales debe aproximarse a</w:t>
      </w:r>
      <w:r>
        <w:t xml:space="preserve"> </w:t>
      </w:r>
      <m:oMath>
        <m:r>
          <m:t>θ</m:t>
        </m:r>
      </m:oMath>
      <w:r>
        <w:t xml:space="preserve">.</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population_size </w:t>
      </w:r>
      <w:r>
        <w:rPr>
          <w:rStyle w:val="OtherTok"/>
        </w:rPr>
        <w:t xml:space="preserve">&lt;-</w:t>
      </w:r>
      <w:r>
        <w:rPr>
          <w:rStyle w:val="NormalTok"/>
        </w:rPr>
        <w:t xml:space="preserve"> </w:t>
      </w:r>
      <w:r>
        <w:rPr>
          <w:rStyle w:val="DecValTok"/>
        </w:rPr>
        <w:t xml:space="preserve">100</w:t>
      </w:r>
      <w:r>
        <w:br/>
      </w:r>
      <w:r>
        <w:rPr>
          <w:rStyle w:val="NormalTok"/>
        </w:rPr>
        <w:t xml:space="preserve">theta </w:t>
      </w:r>
      <w:r>
        <w:rPr>
          <w:rStyle w:val="OtherTok"/>
        </w:rPr>
        <w:t xml:space="preserve">&lt;-</w:t>
      </w:r>
      <w:r>
        <w:rPr>
          <w:rStyle w:val="NormalTok"/>
        </w:rPr>
        <w:t xml:space="preserve"> </w:t>
      </w:r>
      <w:r>
        <w:rPr>
          <w:rStyle w:val="FloatTok"/>
        </w:rPr>
        <w:t xml:space="preserve">0.3</w:t>
      </w:r>
      <w:r>
        <w:br/>
      </w:r>
      <w:r>
        <w:rPr>
          <w:rStyle w:val="NormalTok"/>
        </w:rPr>
        <w:t xml:space="preserve">n_sim_model </w:t>
      </w:r>
      <w:r>
        <w:rPr>
          <w:rStyle w:val="OtherTok"/>
        </w:rPr>
        <w:t xml:space="preserve">&lt;-</w:t>
      </w:r>
      <w:r>
        <w:rPr>
          <w:rStyle w:val="NormalTok"/>
        </w:rPr>
        <w:t xml:space="preserve"> </w:t>
      </w:r>
      <w:r>
        <w:rPr>
          <w:rStyle w:val="DecValTok"/>
        </w:rPr>
        <w:t xml:space="preserve">1000</w:t>
      </w:r>
      <w:r>
        <w:br/>
      </w:r>
      <w:r>
        <w:rPr>
          <w:rStyle w:val="NormalTok"/>
        </w:rPr>
        <w:t xml:space="preserve">model_estimates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n_sim_model)</w:t>
      </w:r>
      <w:r>
        <w:br/>
      </w:r>
      <w:r>
        <w:br/>
      </w:r>
      <w:r>
        <w:rPr>
          <w:rStyle w:val="ControlFlowTok"/>
        </w:rPr>
        <w:t xml:space="preserve">for</w:t>
      </w:r>
      <w:r>
        <w:rPr>
          <w:rStyle w:val="NormalTok"/>
        </w:rPr>
        <w:t xml:space="preserve"> (sim </w:t>
      </w:r>
      <w:r>
        <w:rPr>
          <w:rStyle w:val="ControlFlowTok"/>
        </w:rPr>
        <w:t xml:space="preserve">in</w:t>
      </w:r>
      <w:r>
        <w:rPr>
          <w:rStyle w:val="NormalTok"/>
        </w:rPr>
        <w:t xml:space="preserve"> </w:t>
      </w:r>
      <w:r>
        <w:rPr>
          <w:rStyle w:val="FunctionTok"/>
        </w:rPr>
        <w:t xml:space="preserve">seq_len</w:t>
      </w:r>
      <w:r>
        <w:rPr>
          <w:rStyle w:val="NormalTok"/>
        </w:rPr>
        <w:t xml:space="preserve">(n_sim_model)) {</w:t>
      </w:r>
      <w:r>
        <w:br/>
      </w:r>
      <w:r>
        <w:rPr>
          <w:rStyle w:val="NormalTok"/>
        </w:rPr>
        <w:t xml:space="preserve">  outcome </w:t>
      </w:r>
      <w:r>
        <w:rPr>
          <w:rStyle w:val="OtherTok"/>
        </w:rPr>
        <w:t xml:space="preserve">&lt;-</w:t>
      </w:r>
      <w:r>
        <w:rPr>
          <w:rStyle w:val="NormalTok"/>
        </w:rPr>
        <w:t xml:space="preserve"> </w:t>
      </w:r>
      <w:r>
        <w:rPr>
          <w:rStyle w:val="FunctionTok"/>
        </w:rPr>
        <w:t xml:space="preserve">rbinom</w:t>
      </w:r>
      <w:r>
        <w:rPr>
          <w:rStyle w:val="NormalTok"/>
        </w:rPr>
        <w:t xml:space="preserve">(population_size, </w:t>
      </w:r>
      <w:r>
        <w:rPr>
          <w:rStyle w:val="DecValTok"/>
        </w:rPr>
        <w:t xml:space="preserve">1</w:t>
      </w:r>
      <w:r>
        <w:rPr>
          <w:rStyle w:val="NormalTok"/>
        </w:rPr>
        <w:t xml:space="preserve">, theta)</w:t>
      </w:r>
      <w:r>
        <w:br/>
      </w:r>
      <w:r>
        <w:rPr>
          <w:rStyle w:val="NormalTok"/>
        </w:rPr>
        <w:t xml:space="preserve">  model_estimates[sim] </w:t>
      </w:r>
      <w:r>
        <w:rPr>
          <w:rStyle w:val="OtherTok"/>
        </w:rPr>
        <w:t xml:space="preserve">&lt;-</w:t>
      </w:r>
      <w:r>
        <w:rPr>
          <w:rStyle w:val="NormalTok"/>
        </w:rPr>
        <w:t xml:space="preserve"> </w:t>
      </w:r>
      <w:r>
        <w:rPr>
          <w:rStyle w:val="FunctionTok"/>
        </w:rPr>
        <w:t xml:space="preserve">mean</w:t>
      </w:r>
      <w:r>
        <w:rPr>
          <w:rStyle w:val="NormalTok"/>
        </w:rPr>
        <w:t xml:space="preserve">(outcome)</w:t>
      </w:r>
      <w:r>
        <w:br/>
      </w:r>
      <w:r>
        <w:rPr>
          <w:rStyle w:val="NormalTok"/>
        </w:rPr>
        <w:t xml:space="preserve">}</w:t>
      </w:r>
      <w:r>
        <w:br/>
      </w:r>
      <w:r>
        <w:br/>
      </w:r>
      <w:r>
        <w:rPr>
          <w:rStyle w:val="FunctionTok"/>
        </w:rPr>
        <w:t xml:space="preserve">cbind</w:t>
      </w:r>
      <w:r>
        <w:rPr>
          <w:rStyle w:val="NormalTok"/>
        </w:rPr>
        <w:t xml:space="preserve">(</w:t>
      </w:r>
      <w:r>
        <w:br/>
      </w:r>
      <w:r>
        <w:rPr>
          <w:rStyle w:val="NormalTok"/>
        </w:rPr>
        <w:t xml:space="preserve">  theta,</w:t>
      </w:r>
      <w:r>
        <w:br/>
      </w:r>
      <w:r>
        <w:rPr>
          <w:rStyle w:val="NormalTok"/>
        </w:rPr>
        <w:t xml:space="preserve">  </w:t>
      </w:r>
      <w:r>
        <w:rPr>
          <w:rStyle w:val="AttributeTok"/>
        </w:rPr>
        <w:t xml:space="preserve">expected_model_mean =</w:t>
      </w:r>
      <w:r>
        <w:rPr>
          <w:rStyle w:val="NormalTok"/>
        </w:rPr>
        <w:t xml:space="preserve"> </w:t>
      </w:r>
      <w:r>
        <w:rPr>
          <w:rStyle w:val="FunctionTok"/>
        </w:rPr>
        <w:t xml:space="preserve">mean</w:t>
      </w:r>
      <w:r>
        <w:rPr>
          <w:rStyle w:val="NormalTok"/>
        </w:rPr>
        <w:t xml:space="preserve">(model_estimates),</w:t>
      </w:r>
      <w:r>
        <w:br/>
      </w:r>
      <w:r>
        <w:rPr>
          <w:rStyle w:val="NormalTok"/>
        </w:rPr>
        <w:t xml:space="preserve">  </w:t>
      </w:r>
      <w:r>
        <w:rPr>
          <w:rStyle w:val="AttributeTok"/>
        </w:rPr>
        <w:t xml:space="preserve">bias =</w:t>
      </w:r>
      <w:r>
        <w:rPr>
          <w:rStyle w:val="NormalTok"/>
        </w:rPr>
        <w:t xml:space="preserve"> </w:t>
      </w:r>
      <w:r>
        <w:rPr>
          <w:rStyle w:val="FunctionTok"/>
        </w:rPr>
        <w:t xml:space="preserve">mean</w:t>
      </w:r>
      <w:r>
        <w:rPr>
          <w:rStyle w:val="NormalTok"/>
        </w:rPr>
        <w:t xml:space="preserve">(model_estimates) </w:t>
      </w:r>
      <w:r>
        <w:rPr>
          <w:rStyle w:val="SpecialCharTok"/>
        </w:rPr>
        <w:t xml:space="preserve">-</w:t>
      </w:r>
      <w:r>
        <w:rPr>
          <w:rStyle w:val="NormalTok"/>
        </w:rPr>
        <w:t xml:space="preserve"> theta</w:t>
      </w:r>
      <w:r>
        <w:br/>
      </w:r>
      <w:r>
        <w:rPr>
          <w:rStyle w:val="NormalTok"/>
        </w:rPr>
        <w:t xml:space="preserve">)</w:t>
      </w:r>
    </w:p>
    <w:p>
      <w:pPr>
        <w:pStyle w:val="SourceCode"/>
      </w:pPr>
      <w:r>
        <w:rPr>
          <w:rStyle w:val="VerbatimChar"/>
        </w:rPr>
        <w:t xml:space="preserve">     theta expected_model_mean    bias</w:t>
      </w:r>
      <w:r>
        <w:br/>
      </w:r>
      <w:r>
        <w:rPr>
          <w:rStyle w:val="VerbatimChar"/>
        </w:rPr>
        <w:t xml:space="preserve">[1,]   0.3               0.302 0.00225</w:t>
      </w:r>
    </w:p>
    <w:p>
      <w:pPr>
        <w:pStyle w:val="FirstParagraph"/>
      </w:pPr>
      <w:r>
        <w:t xml:space="preserve">El código fija una semilla para que el ejercicio sea reproducible. Luego genera</w:t>
      </w:r>
      <w:r>
        <w:t xml:space="preserve"> </w:t>
      </w:r>
      <w:r>
        <w:rPr>
          <w:rStyle w:val="VerbatimChar"/>
        </w:rPr>
        <w:t xml:space="preserve">n_sim_model</w:t>
      </w:r>
      <w:r>
        <w:t xml:space="preserve"> </w:t>
      </w:r>
      <w:r>
        <w:t xml:space="preserve">poblaciones independientes mediante</w:t>
      </w:r>
      <w:r>
        <w:t xml:space="preserve"> </w:t>
      </w:r>
      <w:r>
        <w:rPr>
          <w:rStyle w:val="VerbatimChar"/>
        </w:rPr>
        <w:t xml:space="preserve">rbinom()</w:t>
      </w:r>
      <w:r>
        <w:t xml:space="preserve">. La salida reporta el parámetro verdadero</w:t>
      </w:r>
      <w:r>
        <w:t xml:space="preserve"> </w:t>
      </w:r>
      <w:r>
        <w:rPr>
          <w:rStyle w:val="VerbatimChar"/>
        </w:rPr>
        <w:t xml:space="preserve">theta</w:t>
      </w:r>
      <w:r>
        <w:t xml:space="preserve">, el promedio de las medias simuladas</w:t>
      </w:r>
      <w:r>
        <w:t xml:space="preserve"> </w:t>
      </w:r>
      <w:r>
        <w:rPr>
          <w:rStyle w:val="VerbatimChar"/>
        </w:rPr>
        <w:t xml:space="preserve">expected_model_mean</w:t>
      </w:r>
      <w:r>
        <w:t xml:space="preserve"> </w:t>
      </w:r>
      <w:r>
        <w:t xml:space="preserve">y el sesgo Monte Carlo. Como se espera bajo el modelo Bernoulli IID,</w:t>
      </w:r>
      <w:r>
        <w:t xml:space="preserve"> </w:t>
      </w:r>
      <w:r>
        <w:rPr>
          <w:rStyle w:val="VerbatimChar"/>
        </w:rPr>
        <w:t xml:space="preserve">expected_model_mean</w:t>
      </w:r>
      <w:r>
        <w:t xml:space="preserve"> </w:t>
      </w:r>
      <w:r>
        <w:t xml:space="preserve">queda muy cerca de 0.3 y el sesgo es cercano a cero. Las pequeñas diferencias se deben a que se usan 1000 simulaciones, no un número infinito de repeticiones.</w:t>
      </w:r>
    </w:p>
    <w:p>
      <w:pPr>
        <w:pStyle w:val="BodyText"/>
      </w:pPr>
      <w:r>
        <w:t xml:space="preserve">En la teoría de muestreo, en cambio, las características de interés son parámetros fijos de la población. Si una persona está desempleada, su estado se considera un valor fijo de la población finita. Lo aleatorio es el mecanismo mediante el cual se selecciona la muestra. El total poblacional se define como</w:t>
      </w:r>
      <w:r>
        <w:t xml:space="preserve"> </w:t>
      </w:r>
      <m:oMath>
        <m:sSub>
          <m:e>
            <m:r>
              <m:t>t</m:t>
            </m:r>
          </m:e>
          <m:sub>
            <m:r>
              <m:t>y</m:t>
            </m:r>
          </m:sub>
        </m:sSub>
        <m:r>
          <m:rPr>
            <m:sty m:val="p"/>
          </m:rPr>
          <m:t>=</m:t>
        </m:r>
        <m:nary>
          <m:naryPr>
            <m:chr m:val="∑"/>
            <m:limLoc m:val="undOvr"/>
            <m:subHide m:val="off"/>
            <m:supHide m:val="on"/>
          </m:naryPr>
          <m:sub>
            <m:r>
              <m:t>k</m:t>
            </m:r>
            <m:r>
              <m:rPr>
                <m:sty m:val="p"/>
              </m:rPr>
              <m:t>∈</m:t>
            </m:r>
            <m:r>
              <m:t>U</m:t>
            </m:r>
          </m:sub>
          <m:sup>
            <m:r>
              <m:t>​</m:t>
            </m:r>
          </m:sup>
          <m:e>
            <m:sSub>
              <m:e>
                <m:r>
                  <m:t>y</m:t>
                </m:r>
              </m:e>
              <m:sub>
                <m:r>
                  <m:t>k</m:t>
                </m:r>
              </m:sub>
            </m:sSub>
          </m:e>
        </m:nary>
      </m:oMath>
      <w:r>
        <w:t xml:space="preserve">, mientras que la media poblacional es</w:t>
      </w:r>
      <w:r>
        <w:t xml:space="preserve"> </w:t>
      </w:r>
      <m:oMath>
        <m:sSub>
          <m:e>
            <m:acc>
              <m:accPr>
                <m:chr m:val="‾"/>
              </m:accPr>
              <m:e>
                <m:r>
                  <m:t>y</m:t>
                </m:r>
              </m:e>
            </m:acc>
          </m:e>
          <m:sub>
            <m:r>
              <m:t>U</m:t>
            </m:r>
          </m:sub>
        </m:sSub>
        <m:r>
          <m:rPr>
            <m:sty m:val="p"/>
          </m:rPr>
          <m:t>=</m:t>
        </m:r>
        <m:f>
          <m:fPr>
            <m:type m:val="bar"/>
          </m:fPr>
          <m:num>
            <m:sSub>
              <m:e>
                <m:r>
                  <m:t>t</m:t>
                </m:r>
              </m:e>
              <m:sub>
                <m:r>
                  <m:t>y</m:t>
                </m:r>
              </m:sub>
            </m:sSub>
          </m:num>
          <m:den>
            <m:r>
              <m:t>N</m:t>
            </m:r>
          </m:den>
        </m:f>
      </m:oMath>
      <w:r>
        <w:t xml:space="preserve">. Si se observa una muestra</w:t>
      </w:r>
      <w:r>
        <w:t xml:space="preserve"> </w:t>
      </w:r>
      <m:oMath>
        <m:r>
          <m:t>s</m:t>
        </m:r>
      </m:oMath>
      <w:r>
        <w:t xml:space="preserve">, se propone estimar el total como</w:t>
      </w:r>
    </w:p>
    <w:p>
      <w:pPr>
        <w:pStyle w:val="BodyText"/>
      </w:pPr>
      <m:oMathPara>
        <m:oMathParaPr>
          <m:jc m:val="center"/>
        </m:oMathParaPr>
        <m:oMath>
          <m:sSub>
            <m:e>
              <m:acc>
                <m:accPr>
                  <m:chr m:val="̂"/>
                </m:accPr>
                <m:e>
                  <m:r>
                    <m:t>t</m:t>
                  </m:r>
                </m:e>
              </m:acc>
            </m:e>
            <m:sub>
              <m:r>
                <m:t>y</m:t>
              </m:r>
            </m:sub>
          </m:sSub>
          <m:r>
            <m:rPr>
              <m:sty m:val="p"/>
            </m:rPr>
            <m:t>=</m:t>
          </m:r>
          <m:nary>
            <m:naryPr>
              <m:chr m:val="∑"/>
              <m:limLoc m:val="undOvr"/>
              <m:subHide m:val="off"/>
              <m:supHide m:val="on"/>
            </m:naryPr>
            <m:sub>
              <m:r>
                <m:t>k</m:t>
              </m:r>
              <m:r>
                <m:rPr>
                  <m:sty m:val="p"/>
                </m:rPr>
                <m:t>∈</m:t>
              </m:r>
              <m:r>
                <m:t>s</m:t>
              </m:r>
            </m:sub>
            <m:sup>
              <m:r>
                <m:t>​</m:t>
              </m:r>
            </m:sup>
            <m:e>
              <m:f>
                <m:fPr>
                  <m:type m:val="bar"/>
                </m:fPr>
                <m:num>
                  <m:sSub>
                    <m:e>
                      <m:r>
                        <m:t>y</m:t>
                      </m:r>
                    </m:e>
                    <m:sub>
                      <m:r>
                        <m:t>k</m:t>
                      </m:r>
                    </m:sub>
                  </m:sSub>
                </m:num>
                <m:den>
                  <m:sSub>
                    <m:e>
                      <m:r>
                        <m:t>π</m:t>
                      </m:r>
                    </m:e>
                    <m:sub>
                      <m:r>
                        <m:t>k</m:t>
                      </m:r>
                    </m:sub>
                  </m:sSub>
                </m:den>
              </m:f>
            </m:e>
          </m:nary>
          <m:r>
            <m:rPr>
              <m:sty m:val="p"/>
            </m:rPr>
            <m:t>=</m:t>
          </m:r>
          <m:nary>
            <m:naryPr>
              <m:chr m:val="∑"/>
              <m:limLoc m:val="undOvr"/>
              <m:subHide m:val="off"/>
              <m:supHide m:val="on"/>
            </m:naryPr>
            <m:sub>
              <m:r>
                <m:t>k</m:t>
              </m:r>
              <m:r>
                <m:rPr>
                  <m:sty m:val="p"/>
                </m:rPr>
                <m:t>∈</m:t>
              </m:r>
              <m:r>
                <m:t>s</m:t>
              </m:r>
            </m:sub>
            <m:sup>
              <m:r>
                <m:t>​</m:t>
              </m:r>
            </m:sup>
            <m:e>
              <m:sSub>
                <m:e>
                  <m:r>
                    <m:t>w</m:t>
                  </m:r>
                </m:e>
                <m:sub>
                  <m:r>
                    <m:t>k</m:t>
                  </m:r>
                </m:sub>
              </m:sSub>
            </m:e>
          </m:nary>
          <m:sSub>
            <m:e>
              <m:r>
                <m:t>y</m:t>
              </m:r>
            </m:e>
            <m:sub>
              <m:r>
                <m:t>k</m:t>
              </m:r>
            </m:sub>
          </m:sSub>
          <m:r>
            <m:rPr>
              <m:sty m:val="p"/>
            </m:rPr>
            <m:t>.</m:t>
          </m:r>
        </m:oMath>
      </m:oMathPara>
    </w:p>
    <w:p>
      <w:pPr>
        <w:pStyle w:val="FirstParagraph"/>
      </w:pPr>
      <w:r>
        <w:t xml:space="preserve">Como se mencionó en los capítulos anteriores, cuando el tamaño poblacional</w:t>
      </w:r>
      <w:r>
        <w:t xml:space="preserve"> </w:t>
      </w:r>
      <m:oMath>
        <m:r>
          <m:t>N</m:t>
        </m:r>
      </m:oMath>
      <w:r>
        <w:t xml:space="preserve"> </w:t>
      </w:r>
      <w:r>
        <w:t xml:space="preserve">es desconocido, la media poblacional puede estimarse mediante el estimador de razón ponderado, definido como</w:t>
      </w:r>
    </w:p>
    <w:p>
      <w:pPr>
        <w:pStyle w:val="BodyText"/>
      </w:pPr>
      <m:oMathPara>
        <m:oMathParaPr>
          <m:jc m:val="center"/>
        </m:oMathParaPr>
        <m:oMath>
          <m:acc>
            <m:accPr>
              <m:chr m:val="̂"/>
            </m:accPr>
            <m:e>
              <m:acc>
                <m:accPr>
                  <m:chr m:val="‾"/>
                </m:accPr>
                <m:e>
                  <m:r>
                    <m:t>y</m:t>
                  </m:r>
                </m:e>
              </m:acc>
            </m:e>
          </m:acc>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sSub>
                <m:e>
                  <m:r>
                    <m:t>y</m:t>
                  </m:r>
                </m:e>
                <m:sub>
                  <m:r>
                    <m:t>k</m:t>
                  </m:r>
                </m:sub>
              </m:sSub>
            </m:num>
            <m:den>
              <m:nary>
                <m:naryPr>
                  <m:chr m:val="∑"/>
                  <m:limLoc m:val="undOvr"/>
                  <m:subHide m:val="off"/>
                  <m:supHide m:val="on"/>
                </m:naryPr>
                <m:sub>
                  <m:r>
                    <m:t>k</m:t>
                  </m:r>
                  <m:r>
                    <m:rPr>
                      <m:sty m:val="p"/>
                    </m:rPr>
                    <m:t>∈</m:t>
                  </m:r>
                  <m:r>
                    <m:t>s</m:t>
                  </m:r>
                </m:sub>
                <m:sup>
                  <m:r>
                    <m:t>​</m:t>
                  </m:r>
                </m:sup>
                <m:e>
                  <m:sSub>
                    <m:e>
                      <m:r>
                        <m:t>w</m:t>
                      </m:r>
                    </m:e>
                    <m:sub>
                      <m:r>
                        <m:t>k</m:t>
                      </m:r>
                    </m:sub>
                  </m:sSub>
                </m:e>
              </m:nary>
            </m:den>
          </m:f>
        </m:oMath>
      </m:oMathPara>
    </w:p>
    <w:p>
      <w:pPr>
        <w:pStyle w:val="FirstParagraph"/>
      </w:pPr>
      <w:r>
        <w:t xml:space="preserve">Según</w:t>
      </w:r>
      <w:r>
        <w:t xml:space="preserve"> </w:t>
      </w:r>
      <w:r>
        <w:t xml:space="preserve">Cochran (1977)</w:t>
      </w:r>
      <w:r>
        <w:t xml:space="preserve">, estos estimadores incorporan las probabilidades de inclusión en su forma funcional y esa es la diferencia central frente al promedio simple no ponderado de una muestra. Para ilustrar el impacto del diseño, supóngase que la población anterior se divide en</w:t>
      </w:r>
      <w:r>
        <w:t xml:space="preserve"> </w:t>
      </w:r>
      <m:oMath>
        <m:sSub>
          <m:e>
            <m:r>
              <m:t>N</m:t>
            </m:r>
          </m:e>
          <m:sub>
            <m:r>
              <m:t>I</m:t>
            </m:r>
          </m:sub>
        </m:sSub>
      </m:oMath>
      <w:r>
        <w:t xml:space="preserve"> </w:t>
      </w:r>
      <w:r>
        <w:t xml:space="preserve">UPMs. La UPM</w:t>
      </w:r>
      <w:r>
        <w:t xml:space="preserve"> </w:t>
      </w:r>
      <m:oMath>
        <m:r>
          <m:t>i</m:t>
        </m:r>
      </m:oMath>
      <w:r>
        <w:t xml:space="preserve"> </w:t>
      </w:r>
      <w:r>
        <w:t xml:space="preserve">tiene tamaño</w:t>
      </w:r>
      <w:r>
        <w:t xml:space="preserve"> </w:t>
      </w:r>
      <m:oMath>
        <m:sSub>
          <m:e>
            <m:r>
              <m:t>N</m:t>
            </m:r>
          </m:e>
          <m:sub>
            <m:r>
              <m:t>i</m:t>
            </m:r>
          </m:sub>
        </m:sSub>
      </m:oMath>
      <w:r>
        <w:t xml:space="preserve">, total</w:t>
      </w:r>
      <w:r>
        <w:t xml:space="preserve"> </w:t>
      </w:r>
      <m:oMath>
        <m:sSub>
          <m:e>
            <m:r>
              <m:t>t</m:t>
            </m:r>
          </m:e>
          <m:sub>
            <m:sSub>
              <m:e>
                <m:r>
                  <m:t>y</m:t>
                </m:r>
              </m:e>
              <m:sub>
                <m:r>
                  <m:t>i</m:t>
                </m:r>
              </m:sub>
            </m:sSub>
          </m:sub>
        </m:sSub>
        <m:r>
          <m:rPr>
            <m:sty m:val="p"/>
          </m:rPr>
          <m:t>=</m:t>
        </m:r>
        <m:nary>
          <m:naryPr>
            <m:chr m:val="∑"/>
            <m:limLoc m:val="undOvr"/>
            <m:subHide m:val="off"/>
            <m:supHide m:val="on"/>
          </m:naryPr>
          <m:sub>
            <m:r>
              <m:t>k</m:t>
            </m:r>
            <m:r>
              <m:rPr>
                <m:sty m:val="p"/>
              </m:rPr>
              <m:t>∈</m:t>
            </m:r>
            <m:sSub>
              <m:e>
                <m:r>
                  <m:t>U</m:t>
                </m:r>
              </m:e>
              <m:sub>
                <m:r>
                  <m:t>i</m:t>
                </m:r>
              </m:sub>
            </m:sSub>
          </m:sub>
          <m:sup>
            <m:r>
              <m:t>​</m:t>
            </m:r>
          </m:sup>
          <m:e>
            <m:sSub>
              <m:e>
                <m:r>
                  <m:t>y</m:t>
                </m:r>
              </m:e>
              <m:sub>
                <m:r>
                  <m:t>i</m:t>
                </m:r>
                <m:r>
                  <m:t>k</m:t>
                </m:r>
              </m:sub>
            </m:sSub>
          </m:e>
        </m:nary>
      </m:oMath>
      <w:r>
        <w:t xml:space="preserve"> </w:t>
      </w:r>
      <w:r>
        <w:t xml:space="preserve">y media</w:t>
      </w:r>
      <w:r>
        <w:t xml:space="preserve"> </w:t>
      </w:r>
      <m:oMath>
        <m:sSub>
          <m:e>
            <m:acc>
              <m:accPr>
                <m:chr m:val="‾"/>
              </m:accPr>
              <m:e>
                <m:r>
                  <m:t>y</m:t>
                </m:r>
              </m:e>
            </m:acc>
          </m:e>
          <m:sub>
            <m:r>
              <m:t>i</m:t>
            </m:r>
          </m:sub>
        </m:sSub>
        <m:r>
          <m:rPr>
            <m:sty m:val="p"/>
          </m:rPr>
          <m:t>=</m:t>
        </m:r>
        <m:sSub>
          <m:e>
            <m:r>
              <m:t>t</m:t>
            </m:r>
          </m:e>
          <m:sub>
            <m:sSub>
              <m:e>
                <m:r>
                  <m:t>y</m:t>
                </m:r>
              </m:e>
              <m:sub>
                <m:r>
                  <m:t>i</m:t>
                </m:r>
              </m:sub>
            </m:sSub>
          </m:sub>
        </m:sSub>
        <m:r>
          <m:rPr>
            <m:sty m:val="p"/>
          </m:rPr>
          <m:t>/</m:t>
        </m:r>
        <m:sSub>
          <m:e>
            <m:r>
              <m:t>N</m:t>
            </m:r>
          </m:e>
          <m:sub>
            <m:r>
              <m:t>i</m:t>
            </m:r>
          </m:sub>
        </m:sSub>
      </m:oMath>
      <w:r>
        <w:t xml:space="preserve">. Bajo un diseño de tamaño fijo que asigna probabilidades de inclusión de primer orden proporcionales a</w:t>
      </w:r>
      <w:r>
        <w:t xml:space="preserve"> </w:t>
      </w:r>
      <m:oMath>
        <m:sSub>
          <m:e>
            <m:r>
              <m:t>N</m:t>
            </m:r>
          </m:e>
          <m:sub>
            <m:r>
              <m:t>i</m:t>
            </m:r>
          </m:sub>
        </m:sSub>
      </m:oMath>
      <w:r>
        <w:t xml:space="preserve">, siempre que todas sean menores o iguales que uno, estas probabilidades toman la siguiente forma:</w:t>
      </w:r>
    </w:p>
    <w:p>
      <w:pPr>
        <w:pStyle w:val="BodyText"/>
      </w:pPr>
      <m:oMathPara>
        <m:oMathParaPr>
          <m:jc m:val="center"/>
        </m:oMathParaPr>
        <m:oMath>
          <m:sSub>
            <m:e>
              <m:r>
                <m:t>π</m:t>
              </m:r>
            </m:e>
            <m:sub>
              <m:r>
                <m:t>I</m:t>
              </m:r>
              <m:r>
                <m:t>i</m:t>
              </m:r>
            </m:sub>
          </m:sSub>
          <m:r>
            <m:rPr>
              <m:sty m:val="p"/>
            </m:rPr>
            <m:t>=</m:t>
          </m:r>
          <m:f>
            <m:fPr>
              <m:type m:val="bar"/>
            </m:fPr>
            <m:num>
              <m:sSub>
                <m:e>
                  <m:r>
                    <m:t>n</m:t>
                  </m:r>
                </m:e>
                <m:sub>
                  <m:r>
                    <m:t>I</m:t>
                  </m:r>
                </m:sub>
              </m:sSub>
              <m:sSub>
                <m:e>
                  <m:r>
                    <m:t>N</m:t>
                  </m:r>
                </m:e>
                <m:sub>
                  <m:r>
                    <m:t>i</m:t>
                  </m:r>
                </m:sub>
              </m:sSub>
            </m:num>
            <m:den>
              <m:r>
                <m:t>N</m:t>
              </m:r>
            </m:den>
          </m:f>
        </m:oMath>
      </m:oMathPara>
    </w:p>
    <w:p>
      <w:pPr>
        <w:pStyle w:val="FirstParagraph"/>
      </w:pPr>
      <w:r>
        <w:t xml:space="preserve">Cuando todos los miembros de las UPM seleccionadas son observados, el estimador de Horvitz–Thompson de la media poblacional es exactamente insesgado bajo las probabilidades de inclusión anteriores y puede escribirse como</w:t>
      </w:r>
    </w:p>
    <w:p>
      <w:pPr>
        <w:pStyle w:val="BodyText"/>
      </w:pPr>
      <m:oMathPara>
        <m:oMathParaPr>
          <m:jc m:val="center"/>
        </m:oMathParaPr>
        <m:oMath>
          <m:acc>
            <m:accPr>
              <m:chr m:val="̂"/>
            </m:accPr>
            <m:e>
              <m:acc>
                <m:accPr>
                  <m:chr m:val="‾"/>
                </m:accPr>
                <m:e>
                  <m:r>
                    <m:t>y</m:t>
                  </m:r>
                </m:e>
              </m:acc>
            </m:e>
          </m:acc>
          <m:r>
            <m:rPr>
              <m:sty m:val="p"/>
            </m:rPr>
            <m:t>=</m:t>
          </m:r>
          <m:f>
            <m:fPr>
              <m:type m:val="bar"/>
            </m:fPr>
            <m:num>
              <m:r>
                <m:t>1</m:t>
              </m:r>
            </m:num>
            <m:den>
              <m:r>
                <m:t>N</m:t>
              </m:r>
            </m:den>
          </m:f>
          <m:nary>
            <m:naryPr>
              <m:chr m:val="∑"/>
              <m:limLoc m:val="undOvr"/>
              <m:subHide m:val="off"/>
              <m:supHide m:val="on"/>
            </m:naryPr>
            <m:sub>
              <m:r>
                <m:t>i</m:t>
              </m:r>
              <m:r>
                <m:rPr>
                  <m:sty m:val="p"/>
                </m:rPr>
                <m:t>∈</m:t>
              </m:r>
              <m:sSub>
                <m:e>
                  <m:r>
                    <m:t>S</m:t>
                  </m:r>
                </m:e>
                <m:sub>
                  <m:r>
                    <m:t>I</m:t>
                  </m:r>
                </m:sub>
              </m:sSub>
            </m:sub>
            <m:sup>
              <m:r>
                <m:t>​</m:t>
              </m:r>
            </m:sup>
            <m:e>
              <m:f>
                <m:fPr>
                  <m:type m:val="bar"/>
                </m:fPr>
                <m:num>
                  <m:sSub>
                    <m:e>
                      <m:r>
                        <m:t>t</m:t>
                      </m:r>
                    </m:e>
                    <m:sub>
                      <m:sSub>
                        <m:e>
                          <m:r>
                            <m:t>y</m:t>
                          </m:r>
                        </m:e>
                        <m:sub>
                          <m:r>
                            <m:t>i</m:t>
                          </m:r>
                        </m:sub>
                      </m:sSub>
                    </m:sub>
                  </m:sSub>
                </m:num>
                <m:den>
                  <m:sSub>
                    <m:e>
                      <m:r>
                        <m:t>π</m:t>
                      </m:r>
                    </m:e>
                    <m:sub>
                      <m:r>
                        <m:t>I</m:t>
                      </m:r>
                      <m:r>
                        <m:t>i</m:t>
                      </m:r>
                    </m:sub>
                  </m:sSub>
                </m:den>
              </m:f>
            </m:e>
          </m:nary>
          <m:r>
            <m:rPr>
              <m:sty m:val="p"/>
            </m:rPr>
            <m:t>=</m:t>
          </m:r>
          <m:f>
            <m:fPr>
              <m:type m:val="bar"/>
            </m:fPr>
            <m:num>
              <m:r>
                <m:t>1</m:t>
              </m:r>
            </m:num>
            <m:den>
              <m:r>
                <m:t>N</m:t>
              </m:r>
            </m:den>
          </m:f>
          <m:nary>
            <m:naryPr>
              <m:chr m:val="∑"/>
              <m:limLoc m:val="undOvr"/>
              <m:subHide m:val="off"/>
              <m:supHide m:val="on"/>
            </m:naryPr>
            <m:sub>
              <m:r>
                <m:t>i</m:t>
              </m:r>
              <m:r>
                <m:rPr>
                  <m:sty m:val="p"/>
                </m:rPr>
                <m:t>∈</m:t>
              </m:r>
              <m:sSub>
                <m:e>
                  <m:r>
                    <m:t>S</m:t>
                  </m:r>
                </m:e>
                <m:sub>
                  <m:r>
                    <m:t>I</m:t>
                  </m:r>
                </m:sub>
              </m:sSub>
            </m:sub>
            <m:sup>
              <m:r>
                <m:t>​</m:t>
              </m:r>
            </m:sup>
            <m:e>
              <m:f>
                <m:fPr>
                  <m:type m:val="bar"/>
                </m:fPr>
                <m:num>
                  <m:sSub>
                    <m:e>
                      <m:r>
                        <m:t>N</m:t>
                      </m:r>
                    </m:e>
                    <m:sub>
                      <m:r>
                        <m:t>i</m:t>
                      </m:r>
                    </m:sub>
                  </m:sSub>
                  <m:sSub>
                    <m:e>
                      <m:acc>
                        <m:accPr>
                          <m:chr m:val="‾"/>
                        </m:accPr>
                        <m:e>
                          <m:r>
                            <m:t>y</m:t>
                          </m:r>
                        </m:e>
                      </m:acc>
                    </m:e>
                    <m:sub>
                      <m:r>
                        <m:t>i</m:t>
                      </m:r>
                    </m:sub>
                  </m:sSub>
                </m:num>
                <m:den>
                  <m:sSub>
                    <m:e>
                      <m:r>
                        <m:t>n</m:t>
                      </m:r>
                    </m:e>
                    <m:sub>
                      <m:r>
                        <m:t>I</m:t>
                      </m:r>
                    </m:sub>
                  </m:sSub>
                  <m:sSub>
                    <m:e>
                      <m:r>
                        <m:t>N</m:t>
                      </m:r>
                    </m:e>
                    <m:sub>
                      <m:r>
                        <m:t>i</m:t>
                      </m:r>
                    </m:sub>
                  </m:sSub>
                  <m:r>
                    <m:rPr>
                      <m:sty m:val="p"/>
                    </m:rPr>
                    <m:t>/</m:t>
                  </m:r>
                  <m:r>
                    <m:t>N</m:t>
                  </m:r>
                </m:den>
              </m:f>
            </m:e>
          </m:nary>
          <m:r>
            <m:rPr>
              <m:sty m:val="p"/>
            </m:rPr>
            <m:t>=</m:t>
          </m:r>
          <m:f>
            <m:fPr>
              <m:type m:val="bar"/>
            </m:fPr>
            <m:num>
              <m:r>
                <m:t>1</m:t>
              </m:r>
            </m:num>
            <m:den>
              <m:sSub>
                <m:e>
                  <m:r>
                    <m:t>n</m:t>
                  </m:r>
                </m:e>
                <m:sub>
                  <m:r>
                    <m:t>I</m:t>
                  </m:r>
                </m:sub>
              </m:sSub>
            </m:den>
          </m:f>
          <m:nary>
            <m:naryPr>
              <m:chr m:val="∑"/>
              <m:limLoc m:val="undOvr"/>
              <m:subHide m:val="off"/>
              <m:supHide m:val="on"/>
            </m:naryPr>
            <m:sub>
              <m:r>
                <m:t>i</m:t>
              </m:r>
              <m:r>
                <m:rPr>
                  <m:sty m:val="p"/>
                </m:rPr>
                <m:t>∈</m:t>
              </m:r>
              <m:sSub>
                <m:e>
                  <m:r>
                    <m:t>S</m:t>
                  </m:r>
                </m:e>
                <m:sub>
                  <m:r>
                    <m:t>I</m:t>
                  </m:r>
                </m:sub>
              </m:sSub>
            </m:sub>
            <m:sup>
              <m:r>
                <m:t>​</m:t>
              </m:r>
            </m:sup>
            <m:e>
              <m:sSub>
                <m:e>
                  <m:acc>
                    <m:accPr>
                      <m:chr m:val="‾"/>
                    </m:accPr>
                    <m:e>
                      <m:r>
                        <m:t>y</m:t>
                      </m:r>
                    </m:e>
                  </m:acc>
                </m:e>
                <m:sub>
                  <m:r>
                    <m:t>i</m:t>
                  </m:r>
                </m:sub>
              </m:sSub>
            </m:e>
          </m:nary>
          <m:r>
            <m:rPr>
              <m:sty m:val="p"/>
            </m:rPr>
            <m:t>.</m:t>
          </m:r>
        </m:oMath>
      </m:oMathPara>
    </w:p>
    <w:p>
      <w:pPr>
        <w:pStyle w:val="FirstParagraph"/>
      </w:pPr>
      <w:r>
        <w:t xml:space="preserve">Esta expresión ejemplifica por qué, bajo este diseño específico de selección proporcional al tamaño, el promedio de las medias de los conglomerados brinda insesgamiento. En contraste, el promedio simple de las personas observadas en las UPMs seleccionadas, sería:</w:t>
      </w:r>
    </w:p>
    <w:p>
      <w:pPr>
        <w:pStyle w:val="BodyText"/>
      </w:pPr>
      <m:oMathPara>
        <m:oMathParaPr>
          <m:jc m:val="center"/>
        </m:oMathParaPr>
        <m:oMath>
          <m:sSub>
            <m:e>
              <m:acc>
                <m:accPr>
                  <m:chr m:val="‾"/>
                </m:accPr>
                <m:e>
                  <m:r>
                    <m:t>y</m:t>
                  </m:r>
                </m:e>
              </m:acc>
            </m:e>
            <m:sub>
              <m:r>
                <m:t>s</m:t>
              </m:r>
            </m:sub>
          </m:sSub>
          <m:r>
            <m:rPr>
              <m:sty m:val="p"/>
            </m:rPr>
            <m:t>=</m:t>
          </m:r>
          <m:f>
            <m:fPr>
              <m:type m:val="bar"/>
            </m:fPr>
            <m:num>
              <m:nary>
                <m:naryPr>
                  <m:chr m:val="∑"/>
                  <m:limLoc m:val="undOvr"/>
                  <m:subHide m:val="off"/>
                  <m:supHide m:val="on"/>
                </m:naryPr>
                <m:sub>
                  <m:r>
                    <m:t>i</m:t>
                  </m:r>
                  <m:r>
                    <m:rPr>
                      <m:sty m:val="p"/>
                    </m:rPr>
                    <m:t>∈</m:t>
                  </m:r>
                  <m:sSub>
                    <m:e>
                      <m:r>
                        <m:t>S</m:t>
                      </m:r>
                    </m:e>
                    <m:sub>
                      <m:r>
                        <m:t>I</m:t>
                      </m:r>
                    </m:sub>
                  </m:sSub>
                </m:sub>
                <m:sup>
                  <m:r>
                    <m:t>​</m:t>
                  </m:r>
                </m:sup>
                <m:e>
                  <m:sSub>
                    <m:e>
                      <m:r>
                        <m:t>t</m:t>
                      </m:r>
                    </m:e>
                    <m:sub>
                      <m:sSub>
                        <m:e>
                          <m:r>
                            <m:t>y</m:t>
                          </m:r>
                        </m:e>
                        <m:sub>
                          <m:r>
                            <m:t>i</m:t>
                          </m:r>
                        </m:sub>
                      </m:sSub>
                    </m:sub>
                  </m:sSub>
                </m:e>
              </m:nary>
            </m:num>
            <m:den>
              <m:nary>
                <m:naryPr>
                  <m:chr m:val="∑"/>
                  <m:limLoc m:val="undOvr"/>
                  <m:subHide m:val="off"/>
                  <m:supHide m:val="on"/>
                </m:naryPr>
                <m:sub>
                  <m:r>
                    <m:t>i</m:t>
                  </m:r>
                  <m:r>
                    <m:rPr>
                      <m:sty m:val="p"/>
                    </m:rPr>
                    <m:t>∈</m:t>
                  </m:r>
                  <m:sSub>
                    <m:e>
                      <m:r>
                        <m:t>S</m:t>
                      </m:r>
                    </m:e>
                    <m:sub>
                      <m:r>
                        <m:t>I</m:t>
                      </m:r>
                    </m:sub>
                  </m:sSub>
                </m:sub>
                <m:sup>
                  <m:r>
                    <m:t>​</m:t>
                  </m:r>
                </m:sup>
                <m:e>
                  <m:sSub>
                    <m:e>
                      <m:r>
                        <m:t>N</m:t>
                      </m:r>
                    </m:e>
                    <m:sub>
                      <m:r>
                        <m:t>i</m:t>
                      </m:r>
                    </m:sub>
                  </m:sSub>
                </m:e>
              </m:nary>
            </m:den>
          </m:f>
          <m:r>
            <m:rPr>
              <m:sty m:val="p"/>
            </m:rPr>
            <m:t>,</m:t>
          </m:r>
        </m:oMath>
      </m:oMathPara>
    </w:p>
    <w:p>
      <w:pPr>
        <w:pStyle w:val="FirstParagraph"/>
      </w:pPr>
      <w:r>
        <w:t xml:space="preserve">el cual trata la muestra como si fuera autoponderada. Este estimador puede ser sesgado cuando las probabilidades de selección son desiguales, especialmente si el tamaño del conglomerado se relaciona con la variable de interés. La siguiente simulación fija una población finita y repite muchas veces la selección de hogares con probabilidades proporcionales al tamaño mediante</w:t>
      </w:r>
      <w:r>
        <w:t xml:space="preserve"> </w:t>
      </w:r>
      <w:r>
        <w:rPr>
          <w:rStyle w:val="VerbatimChar"/>
        </w:rPr>
        <w:t xml:space="preserve">S.piPS()</w:t>
      </w:r>
      <w:r>
        <w:t xml:space="preserve"> </w:t>
      </w:r>
      <w:r>
        <w:t xml:space="preserve">del paquete</w:t>
      </w:r>
      <w:r>
        <w:t xml:space="preserve"> </w:t>
      </w:r>
      <w:r>
        <w:rPr>
          <w:rStyle w:val="VerbatimChar"/>
        </w:rPr>
        <w:t xml:space="preserve">TeachingSampling</w:t>
      </w:r>
      <w:r>
        <w:t xml:space="preserve">. En cada muestra se calculan dos estimadores:</w:t>
      </w:r>
      <w:r>
        <w:t xml:space="preserve"> </w:t>
      </w:r>
      <w:r>
        <w:rPr>
          <w:rStyle w:val="VerbatimChar"/>
        </w:rPr>
        <w:t xml:space="preserve">design_estimates</w:t>
      </w:r>
      <w:r>
        <w:t xml:space="preserve">, que corresponde a</w:t>
      </w:r>
      <w:r>
        <w:t xml:space="preserve"> </w:t>
      </w:r>
      <m:oMath>
        <m:acc>
          <m:accPr>
            <m:chr m:val="̂"/>
          </m:accPr>
          <m:e>
            <m:acc>
              <m:accPr>
                <m:chr m:val="‾"/>
              </m:accPr>
              <m:e>
                <m:r>
                  <m:t>y</m:t>
                </m:r>
              </m:e>
            </m:acc>
          </m:e>
        </m:acc>
      </m:oMath>
      <w:r>
        <w:t xml:space="preserve">, y</w:t>
      </w:r>
      <w:r>
        <w:t xml:space="preserve"> </w:t>
      </w:r>
      <w:r>
        <w:rPr>
          <w:rStyle w:val="VerbatimChar"/>
        </w:rPr>
        <w:t xml:space="preserve">simple_estimates</w:t>
      </w:r>
      <w:r>
        <w:t xml:space="preserve">, que corresponde al promedio simple de las personas observadas en las UPMs seleccionadas,</w:t>
      </w:r>
      <w:r>
        <w:t xml:space="preserve"> </w:t>
      </w:r>
      <m:oMath>
        <m:sSub>
          <m:e>
            <m:acc>
              <m:accPr>
                <m:chr m:val="‾"/>
              </m:accPr>
              <m:e>
                <m:r>
                  <m:t>y</m:t>
                </m:r>
              </m:e>
            </m:acc>
          </m:e>
          <m:sub>
            <m:r>
              <m:t>s</m:t>
            </m:r>
          </m:sub>
        </m:sSub>
      </m:oMath>
      <w:r>
        <w:t xml:space="preserve">. Además, estos estimadores se comparan con el parámetro del modelo</w:t>
      </w:r>
      <w:r>
        <w:t xml:space="preserve"> </w:t>
      </w:r>
      <w:r>
        <w:rPr>
          <w:rStyle w:val="VerbatimChar"/>
        </w:rPr>
        <w:t xml:space="preserve">theta_population</w:t>
      </w:r>
      <w:r>
        <w:t xml:space="preserve">, correspondiente a</w:t>
      </w:r>
      <w:r>
        <w:t xml:space="preserve"> </w:t>
      </w:r>
      <m:oMath>
        <m:r>
          <m:t>θ</m:t>
        </m:r>
        <m:r>
          <m:rPr>
            <m:sty m:val="p"/>
          </m:rPr>
          <m:t>=</m:t>
        </m:r>
        <m:r>
          <m:t>0.3</m:t>
        </m:r>
      </m:oMath>
      <w:r>
        <w:t xml:space="preserve">.</w:t>
      </w:r>
    </w:p>
    <w:p>
      <w:pPr>
        <w:pStyle w:val="SourceCode"/>
      </w:pPr>
      <w:r>
        <w:rPr>
          <w:rStyle w:val="FunctionTok"/>
        </w:rPr>
        <w:t xml:space="preserve">library</w:t>
      </w:r>
      <w:r>
        <w:rPr>
          <w:rStyle w:val="NormalTok"/>
        </w:rPr>
        <w:t xml:space="preserve">(TeachingSampling)</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population_size </w:t>
      </w:r>
      <w:r>
        <w:rPr>
          <w:rStyle w:val="OtherTok"/>
        </w:rPr>
        <w:t xml:space="preserve">&lt;-</w:t>
      </w:r>
      <w:r>
        <w:rPr>
          <w:rStyle w:val="NormalTok"/>
        </w:rPr>
        <w:t xml:space="preserve"> </w:t>
      </w:r>
      <w:r>
        <w:rPr>
          <w:rStyle w:val="DecValTok"/>
        </w:rPr>
        <w:t xml:space="preserve">100</w:t>
      </w:r>
      <w:r>
        <w:br/>
      </w:r>
      <w:r>
        <w:rPr>
          <w:rStyle w:val="NormalTok"/>
        </w:rPr>
        <w:t xml:space="preserve">theta </w:t>
      </w:r>
      <w:r>
        <w:rPr>
          <w:rStyle w:val="OtherTok"/>
        </w:rPr>
        <w:t xml:space="preserve">&lt;-</w:t>
      </w:r>
      <w:r>
        <w:rPr>
          <w:rStyle w:val="NormalTok"/>
        </w:rPr>
        <w:t xml:space="preserve"> </w:t>
      </w:r>
      <w:r>
        <w:rPr>
          <w:rStyle w:val="FloatTok"/>
        </w:rPr>
        <w:t xml:space="preserve">0.3</w:t>
      </w:r>
      <w:r>
        <w:br/>
      </w:r>
      <w:r>
        <w:rPr>
          <w:rStyle w:val="NormalTok"/>
        </w:rPr>
        <w:t xml:space="preserve">n_sim_sampling </w:t>
      </w:r>
      <w:r>
        <w:rPr>
          <w:rStyle w:val="OtherTok"/>
        </w:rPr>
        <w:t xml:space="preserve">&lt;-</w:t>
      </w:r>
      <w:r>
        <w:rPr>
          <w:rStyle w:val="NormalTok"/>
        </w:rPr>
        <w:t xml:space="preserve"> </w:t>
      </w:r>
      <w:r>
        <w:rPr>
          <w:rStyle w:val="DecValTok"/>
        </w:rPr>
        <w:t xml:space="preserve">1000</w:t>
      </w:r>
      <w:r>
        <w:br/>
      </w:r>
      <w:r>
        <w:rPr>
          <w:rStyle w:val="NormalTok"/>
        </w:rPr>
        <w:t xml:space="preserve">design_estimates </w:t>
      </w:r>
      <w:r>
        <w:rPr>
          <w:rStyle w:val="OtherTok"/>
        </w:rPr>
        <w:t xml:space="preserve">&lt;-</w:t>
      </w:r>
      <w:r>
        <w:rPr>
          <w:rStyle w:val="NormalTok"/>
        </w:rPr>
        <w:t xml:space="preserve"> simple_estimates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n_sim_sampling)</w:t>
      </w:r>
      <w:r>
        <w:br/>
      </w:r>
      <w:r>
        <w:br/>
      </w:r>
      <w:r>
        <w:rPr>
          <w:rStyle w:val="NormalTok"/>
        </w:rPr>
        <w:t xml:space="preserve">cluster_size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each =</w:t>
      </w:r>
      <w:r>
        <w:rPr>
          <w:rStyle w:val="NormalTok"/>
        </w:rPr>
        <w:t xml:space="preserve"> </w:t>
      </w:r>
      <w:r>
        <w:rPr>
          <w:rStyle w:val="DecValTok"/>
        </w:rPr>
        <w:t xml:space="preserve">5</w:t>
      </w:r>
      <w:r>
        <w:rPr>
          <w:rStyle w:val="NormalTok"/>
        </w:rPr>
        <w:t xml:space="preserve">)</w:t>
      </w:r>
      <w:r>
        <w:br/>
      </w:r>
      <w:r>
        <w:rPr>
          <w:rStyle w:val="NormalTok"/>
        </w:rPr>
        <w:t xml:space="preserve">n_clusters </w:t>
      </w:r>
      <w:r>
        <w:rPr>
          <w:rStyle w:val="OtherTok"/>
        </w:rPr>
        <w:t xml:space="preserve">&lt;-</w:t>
      </w:r>
      <w:r>
        <w:rPr>
          <w:rStyle w:val="NormalTok"/>
        </w:rPr>
        <w:t xml:space="preserve"> </w:t>
      </w:r>
      <w:r>
        <w:rPr>
          <w:rStyle w:val="FunctionTok"/>
        </w:rPr>
        <w:t xml:space="preserve">length</w:t>
      </w:r>
      <w:r>
        <w:rPr>
          <w:rStyle w:val="NormalTok"/>
        </w:rPr>
        <w:t xml:space="preserve">(cluster_size)</w:t>
      </w:r>
      <w:r>
        <w:br/>
      </w:r>
      <w:r>
        <w:rPr>
          <w:rStyle w:val="NormalTok"/>
        </w:rPr>
        <w:t xml:space="preserve">cluster_id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seq_len</w:t>
      </w:r>
      <w:r>
        <w:rPr>
          <w:rStyle w:val="NormalTok"/>
        </w:rPr>
        <w:t xml:space="preserve">(n_clusters), cluster_size)</w:t>
      </w:r>
      <w:r>
        <w:br/>
      </w:r>
      <w:r>
        <w:rPr>
          <w:rStyle w:val="NormalTok"/>
        </w:rPr>
        <w:t xml:space="preserve">size_center </w:t>
      </w:r>
      <w:r>
        <w:rPr>
          <w:rStyle w:val="OtherTok"/>
        </w:rPr>
        <w:t xml:space="preserve">&lt;-</w:t>
      </w:r>
      <w:r>
        <w:rPr>
          <w:rStyle w:val="NormalTok"/>
        </w:rPr>
        <w:t xml:space="preserve"> </w:t>
      </w:r>
      <w:r>
        <w:rPr>
          <w:rStyle w:val="FunctionTok"/>
        </w:rPr>
        <w:t xml:space="preserve">weighted.mean</w:t>
      </w:r>
      <w:r>
        <w:rPr>
          <w:rStyle w:val="NormalTok"/>
        </w:rPr>
        <w:t xml:space="preserve">(cluster_size, cluster_size)</w:t>
      </w:r>
      <w:r>
        <w:br/>
      </w:r>
      <w:r>
        <w:rPr>
          <w:rStyle w:val="NormalTok"/>
        </w:rPr>
        <w:t xml:space="preserve">prob_person </w:t>
      </w:r>
      <w:r>
        <w:rPr>
          <w:rStyle w:val="OtherTok"/>
        </w:rPr>
        <w:t xml:space="preserve">&lt;-</w:t>
      </w:r>
      <w:r>
        <w:rPr>
          <w:rStyle w:val="NormalTok"/>
        </w:rPr>
        <w:t xml:space="preserve"> theta </w:t>
      </w:r>
      <w:r>
        <w:rPr>
          <w:rStyle w:val="SpecialCharTok"/>
        </w:rPr>
        <w:t xml:space="preserve">+</w:t>
      </w:r>
      <w:r>
        <w:rPr>
          <w:rStyle w:val="NormalTok"/>
        </w:rPr>
        <w:t xml:space="preserve"> </w:t>
      </w:r>
      <w:r>
        <w:rPr>
          <w:rStyle w:val="FunctionTok"/>
        </w:rPr>
        <w:t xml:space="preserve">rep</w:t>
      </w:r>
      <w:r>
        <w:rPr>
          <w:rStyle w:val="NormalTok"/>
        </w:rPr>
        <w:t xml:space="preserve">((cluster_size </w:t>
      </w:r>
      <w:r>
        <w:rPr>
          <w:rStyle w:val="SpecialCharTok"/>
        </w:rPr>
        <w:t xml:space="preserve">-</w:t>
      </w:r>
      <w:r>
        <w:rPr>
          <w:rStyle w:val="NormalTok"/>
        </w:rPr>
        <w:t xml:space="preserve"> size_center) </w:t>
      </w:r>
      <w:r>
        <w:rPr>
          <w:rStyle w:val="SpecialCharTok"/>
        </w:rPr>
        <w:t xml:space="preserve">/</w:t>
      </w:r>
      <w:r>
        <w:rPr>
          <w:rStyle w:val="NormalTok"/>
        </w:rPr>
        <w:t xml:space="preserve"> </w:t>
      </w:r>
      <w:r>
        <w:rPr>
          <w:rStyle w:val="DecValTok"/>
        </w:rPr>
        <w:t xml:space="preserve">12</w:t>
      </w:r>
      <w:r>
        <w:rPr>
          <w:rStyle w:val="NormalTok"/>
        </w:rPr>
        <w:t xml:space="preserve">, cluster_size)</w:t>
      </w:r>
      <w:r>
        <w:br/>
      </w:r>
      <w:r>
        <w:rPr>
          <w:rStyle w:val="NormalTok"/>
        </w:rPr>
        <w:t xml:space="preserve">outcome </w:t>
      </w:r>
      <w:r>
        <w:rPr>
          <w:rStyle w:val="OtherTok"/>
        </w:rPr>
        <w:t xml:space="preserve">&lt;-</w:t>
      </w:r>
      <w:r>
        <w:rPr>
          <w:rStyle w:val="NormalTok"/>
        </w:rPr>
        <w:t xml:space="preserve"> </w:t>
      </w:r>
      <w:r>
        <w:rPr>
          <w:rStyle w:val="FunctionTok"/>
        </w:rPr>
        <w:t xml:space="preserve">rbinom</w:t>
      </w:r>
      <w:r>
        <w:rPr>
          <w:rStyle w:val="NormalTok"/>
        </w:rPr>
        <w:t xml:space="preserve">(population_size, </w:t>
      </w:r>
      <w:r>
        <w:rPr>
          <w:rStyle w:val="DecValTok"/>
        </w:rPr>
        <w:t xml:space="preserve">1</w:t>
      </w:r>
      <w:r>
        <w:rPr>
          <w:rStyle w:val="NormalTok"/>
        </w:rPr>
        <w:t xml:space="preserve">, prob_person)</w:t>
      </w:r>
      <w:r>
        <w:br/>
      </w:r>
      <w:r>
        <w:rPr>
          <w:rStyle w:val="NormalTok"/>
        </w:rPr>
        <w:t xml:space="preserve">theta_population </w:t>
      </w:r>
      <w:r>
        <w:rPr>
          <w:rStyle w:val="OtherTok"/>
        </w:rPr>
        <w:t xml:space="preserve">&lt;-</w:t>
      </w:r>
      <w:r>
        <w:rPr>
          <w:rStyle w:val="NormalTok"/>
        </w:rPr>
        <w:t xml:space="preserve"> </w:t>
      </w:r>
      <w:r>
        <w:rPr>
          <w:rStyle w:val="FunctionTok"/>
        </w:rPr>
        <w:t xml:space="preserve">mean</w:t>
      </w:r>
      <w:r>
        <w:rPr>
          <w:rStyle w:val="NormalTok"/>
        </w:rPr>
        <w:t xml:space="preserve">(outcome)</w:t>
      </w:r>
      <w:r>
        <w:br/>
      </w:r>
      <w:r>
        <w:rPr>
          <w:rStyle w:val="NormalTok"/>
        </w:rPr>
        <w:t xml:space="preserve">cluster_totals </w:t>
      </w:r>
      <w:r>
        <w:rPr>
          <w:rStyle w:val="OtherTok"/>
        </w:rPr>
        <w:t xml:space="preserve">&lt;-</w:t>
      </w:r>
      <w:r>
        <w:rPr>
          <w:rStyle w:val="NormalTok"/>
        </w:rPr>
        <w:t xml:space="preserve"> </w:t>
      </w:r>
      <w:r>
        <w:rPr>
          <w:rStyle w:val="FunctionTok"/>
        </w:rPr>
        <w:t xml:space="preserve">tapply</w:t>
      </w:r>
      <w:r>
        <w:rPr>
          <w:rStyle w:val="NormalTok"/>
        </w:rPr>
        <w:t xml:space="preserve">(outcome, cluster_id, sum)</w:t>
      </w:r>
      <w:r>
        <w:br/>
      </w:r>
      <w:r>
        <w:rPr>
          <w:rStyle w:val="NormalTok"/>
        </w:rPr>
        <w:t xml:space="preserve">cluster_means </w:t>
      </w:r>
      <w:r>
        <w:rPr>
          <w:rStyle w:val="OtherTok"/>
        </w:rPr>
        <w:t xml:space="preserve">&lt;-</w:t>
      </w:r>
      <w:r>
        <w:rPr>
          <w:rStyle w:val="NormalTok"/>
        </w:rPr>
        <w:t xml:space="preserve"> </w:t>
      </w:r>
      <w:r>
        <w:rPr>
          <w:rStyle w:val="FunctionTok"/>
        </w:rPr>
        <w:t xml:space="preserve">tapply</w:t>
      </w:r>
      <w:r>
        <w:rPr>
          <w:rStyle w:val="NormalTok"/>
        </w:rPr>
        <w:t xml:space="preserve">(outcome, cluster_id, mean)</w:t>
      </w:r>
      <w:r>
        <w:br/>
      </w:r>
      <w:r>
        <w:br/>
      </w:r>
      <w:r>
        <w:rPr>
          <w:rStyle w:val="NormalTok"/>
        </w:rPr>
        <w:t xml:space="preserve">sampled_cluster_count </w:t>
      </w:r>
      <w:r>
        <w:rPr>
          <w:rStyle w:val="OtherTok"/>
        </w:rPr>
        <w:t xml:space="preserve">&lt;-</w:t>
      </w:r>
      <w:r>
        <w:rPr>
          <w:rStyle w:val="NormalTok"/>
        </w:rPr>
        <w:t xml:space="preserve"> </w:t>
      </w:r>
      <w:r>
        <w:rPr>
          <w:rStyle w:val="FunctionTok"/>
        </w:rPr>
        <w:t xml:space="preserve">floor</w:t>
      </w:r>
      <w:r>
        <w:rPr>
          <w:rStyle w:val="NormalTok"/>
        </w:rPr>
        <w:t xml:space="preserve">(n_clusters </w:t>
      </w:r>
      <w:r>
        <w:rPr>
          <w:rStyle w:val="SpecialCharTok"/>
        </w:rPr>
        <w:t xml:space="preserve">*</w:t>
      </w:r>
      <w:r>
        <w:rPr>
          <w:rStyle w:val="NormalTok"/>
        </w:rPr>
        <w:t xml:space="preserve"> </w:t>
      </w:r>
      <w:r>
        <w:rPr>
          <w:rStyle w:val="FloatTok"/>
        </w:rPr>
        <w:t xml:space="preserve">0.3</w:t>
      </w:r>
      <w:r>
        <w:rPr>
          <w:rStyle w:val="NormalTok"/>
        </w:rPr>
        <w:t xml:space="preserve">)</w:t>
      </w:r>
      <w:r>
        <w:br/>
      </w:r>
      <w:r>
        <w:rPr>
          <w:rStyle w:val="ControlFlowTok"/>
        </w:rPr>
        <w:t xml:space="preserve">for</w:t>
      </w:r>
      <w:r>
        <w:rPr>
          <w:rStyle w:val="NormalTok"/>
        </w:rPr>
        <w:t xml:space="preserve"> (sim </w:t>
      </w:r>
      <w:r>
        <w:rPr>
          <w:rStyle w:val="ControlFlowTok"/>
        </w:rPr>
        <w:t xml:space="preserve">in</w:t>
      </w:r>
      <w:r>
        <w:rPr>
          <w:rStyle w:val="NormalTok"/>
        </w:rPr>
        <w:t xml:space="preserve"> </w:t>
      </w:r>
      <w:r>
        <w:rPr>
          <w:rStyle w:val="FunctionTok"/>
        </w:rPr>
        <w:t xml:space="preserve">seq_len</w:t>
      </w:r>
      <w:r>
        <w:rPr>
          <w:rStyle w:val="NormalTok"/>
        </w:rPr>
        <w:t xml:space="preserve">(n_sim_sampling)) {</w:t>
      </w:r>
      <w:r>
        <w:br/>
      </w:r>
      <w:r>
        <w:rPr>
          <w:rStyle w:val="NormalTok"/>
        </w:rPr>
        <w:t xml:space="preserve">  pps_sample </w:t>
      </w:r>
      <w:r>
        <w:rPr>
          <w:rStyle w:val="OtherTok"/>
        </w:rPr>
        <w:t xml:space="preserve">&lt;-</w:t>
      </w:r>
      <w:r>
        <w:rPr>
          <w:rStyle w:val="NormalTok"/>
        </w:rPr>
        <w:t xml:space="preserve"> </w:t>
      </w:r>
      <w:r>
        <w:rPr>
          <w:rStyle w:val="FunctionTok"/>
        </w:rPr>
        <w:t xml:space="preserve">S.piPS</w:t>
      </w:r>
      <w:r>
        <w:rPr>
          <w:rStyle w:val="NormalTok"/>
        </w:rPr>
        <w:t xml:space="preserve">(sampled_cluster_count, cluster_size)</w:t>
      </w:r>
      <w:r>
        <w:br/>
      </w:r>
      <w:r>
        <w:rPr>
          <w:rStyle w:val="NormalTok"/>
        </w:rPr>
        <w:t xml:space="preserve">  sampled_clusters </w:t>
      </w:r>
      <w:r>
        <w:rPr>
          <w:rStyle w:val="OtherTok"/>
        </w:rPr>
        <w:t xml:space="preserve">&lt;-</w:t>
      </w:r>
      <w:r>
        <w:rPr>
          <w:rStyle w:val="NormalTok"/>
        </w:rPr>
        <w:t xml:space="preserve"> pps_sample[, </w:t>
      </w:r>
      <w:r>
        <w:rPr>
          <w:rStyle w:val="DecValTok"/>
        </w:rPr>
        <w:t xml:space="preserve">1</w:t>
      </w:r>
      <w:r>
        <w:rPr>
          <w:rStyle w:val="NormalTok"/>
        </w:rPr>
        <w:t xml:space="preserve">]</w:t>
      </w:r>
      <w:r>
        <w:br/>
      </w:r>
      <w:r>
        <w:rPr>
          <w:rStyle w:val="NormalTok"/>
        </w:rPr>
        <w:t xml:space="preserve">  sampled_cluster_size </w:t>
      </w:r>
      <w:r>
        <w:rPr>
          <w:rStyle w:val="OtherTok"/>
        </w:rPr>
        <w:t xml:space="preserve">&lt;-</w:t>
      </w:r>
      <w:r>
        <w:rPr>
          <w:rStyle w:val="NormalTok"/>
        </w:rPr>
        <w:t xml:space="preserve"> cluster_size[sampled_clusters]</w:t>
      </w:r>
      <w:r>
        <w:br/>
      </w:r>
      <w:r>
        <w:rPr>
          <w:rStyle w:val="NormalTok"/>
        </w:rPr>
        <w:t xml:space="preserve">  sampled_cluster_total </w:t>
      </w:r>
      <w:r>
        <w:rPr>
          <w:rStyle w:val="OtherTok"/>
        </w:rPr>
        <w:t xml:space="preserve">&lt;-</w:t>
      </w:r>
      <w:r>
        <w:rPr>
          <w:rStyle w:val="NormalTok"/>
        </w:rPr>
        <w:t xml:space="preserve"> cluster_totals[sampled_clusters]</w:t>
      </w:r>
      <w:r>
        <w:br/>
      </w:r>
      <w:r>
        <w:rPr>
          <w:rStyle w:val="NormalTok"/>
        </w:rPr>
        <w:t xml:space="preserve">  sampled_cluster_mean </w:t>
      </w:r>
      <w:r>
        <w:rPr>
          <w:rStyle w:val="OtherTok"/>
        </w:rPr>
        <w:t xml:space="preserve">&lt;-</w:t>
      </w:r>
      <w:r>
        <w:rPr>
          <w:rStyle w:val="NormalTok"/>
        </w:rPr>
        <w:t xml:space="preserve"> cluster_means[sampled_clusters]</w:t>
      </w:r>
      <w:r>
        <w:br/>
      </w:r>
      <w:r>
        <w:rPr>
          <w:rStyle w:val="NormalTok"/>
        </w:rPr>
        <w:t xml:space="preserve">  design_estimates[sim] </w:t>
      </w:r>
      <w:r>
        <w:rPr>
          <w:rStyle w:val="OtherTok"/>
        </w:rPr>
        <w:t xml:space="preserve">&lt;-</w:t>
      </w:r>
      <w:r>
        <w:rPr>
          <w:rStyle w:val="NormalTok"/>
        </w:rPr>
        <w:t xml:space="preserve"> </w:t>
      </w:r>
      <w:r>
        <w:rPr>
          <w:rStyle w:val="FunctionTok"/>
        </w:rPr>
        <w:t xml:space="preserve">mean</w:t>
      </w:r>
      <w:r>
        <w:rPr>
          <w:rStyle w:val="NormalTok"/>
        </w:rPr>
        <w:t xml:space="preserve">(sampled_cluster_mean)</w:t>
      </w:r>
      <w:r>
        <w:br/>
      </w:r>
      <w:r>
        <w:rPr>
          <w:rStyle w:val="NormalTok"/>
        </w:rPr>
        <w:t xml:space="preserve">  simple_estimates[sim] </w:t>
      </w:r>
      <w:r>
        <w:rPr>
          <w:rStyle w:val="OtherTok"/>
        </w:rPr>
        <w:t xml:space="preserve">&lt;-</w:t>
      </w:r>
      <w:r>
        <w:br/>
      </w:r>
      <w:r>
        <w:rPr>
          <w:rStyle w:val="NormalTok"/>
        </w:rPr>
        <w:t xml:space="preserve">    </w:t>
      </w:r>
      <w:r>
        <w:rPr>
          <w:rStyle w:val="FunctionTok"/>
        </w:rPr>
        <w:t xml:space="preserve">sum</w:t>
      </w:r>
      <w:r>
        <w:rPr>
          <w:rStyle w:val="NormalTok"/>
        </w:rPr>
        <w:t xml:space="preserve">(sampled_cluster_total) </w:t>
      </w:r>
      <w:r>
        <w:rPr>
          <w:rStyle w:val="SpecialCharTok"/>
        </w:rPr>
        <w:t xml:space="preserve">/</w:t>
      </w:r>
      <w:r>
        <w:rPr>
          <w:rStyle w:val="NormalTok"/>
        </w:rPr>
        <w:t xml:space="preserve"> </w:t>
      </w:r>
      <w:r>
        <w:rPr>
          <w:rStyle w:val="FunctionTok"/>
        </w:rPr>
        <w:t xml:space="preserve">sum</w:t>
      </w:r>
      <w:r>
        <w:rPr>
          <w:rStyle w:val="NormalTok"/>
        </w:rPr>
        <w:t xml:space="preserve">(sampled_cluster_size)</w:t>
      </w:r>
      <w:r>
        <w:br/>
      </w:r>
      <w:r>
        <w:rPr>
          <w:rStyle w:val="NormalTok"/>
        </w:rPr>
        <w:t xml:space="preserve">}</w:t>
      </w:r>
      <w:r>
        <w:br/>
      </w:r>
      <w:r>
        <w:br/>
      </w:r>
      <w:r>
        <w:rPr>
          <w:rStyle w:val="FunctionTok"/>
        </w:rPr>
        <w:t xml:space="preserve">cbind</w:t>
      </w:r>
      <w:r>
        <w:rPr>
          <w:rStyle w:val="NormalTok"/>
        </w:rPr>
        <w:t xml:space="preserve">(</w:t>
      </w:r>
      <w:r>
        <w:br/>
      </w:r>
      <w:r>
        <w:rPr>
          <w:rStyle w:val="NormalTok"/>
        </w:rPr>
        <w:t xml:space="preserve">  theta_population,</w:t>
      </w:r>
      <w:r>
        <w:br/>
      </w:r>
      <w:r>
        <w:rPr>
          <w:rStyle w:val="NormalTok"/>
        </w:rPr>
        <w:t xml:space="preserve">  </w:t>
      </w:r>
      <w:r>
        <w:rPr>
          <w:rStyle w:val="AttributeTok"/>
        </w:rPr>
        <w:t xml:space="preserve">expected_pps =</w:t>
      </w:r>
      <w:r>
        <w:rPr>
          <w:rStyle w:val="NormalTok"/>
        </w:rPr>
        <w:t xml:space="preserve"> </w:t>
      </w:r>
      <w:r>
        <w:rPr>
          <w:rStyle w:val="FunctionTok"/>
        </w:rPr>
        <w:t xml:space="preserve">mean</w:t>
      </w:r>
      <w:r>
        <w:rPr>
          <w:rStyle w:val="NormalTok"/>
        </w:rPr>
        <w:t xml:space="preserve">(design_estimates),</w:t>
      </w:r>
      <w:r>
        <w:br/>
      </w:r>
      <w:r>
        <w:rPr>
          <w:rStyle w:val="NormalTok"/>
        </w:rPr>
        <w:t xml:space="preserve">  </w:t>
      </w:r>
      <w:r>
        <w:rPr>
          <w:rStyle w:val="AttributeTok"/>
        </w:rPr>
        <w:t xml:space="preserve">bias_pps =</w:t>
      </w:r>
      <w:r>
        <w:rPr>
          <w:rStyle w:val="NormalTok"/>
        </w:rPr>
        <w:t xml:space="preserve"> </w:t>
      </w:r>
      <w:r>
        <w:rPr>
          <w:rStyle w:val="FunctionTok"/>
        </w:rPr>
        <w:t xml:space="preserve">mean</w:t>
      </w:r>
      <w:r>
        <w:rPr>
          <w:rStyle w:val="NormalTok"/>
        </w:rPr>
        <w:t xml:space="preserve">(design_estimates) </w:t>
      </w:r>
      <w:r>
        <w:rPr>
          <w:rStyle w:val="SpecialCharTok"/>
        </w:rPr>
        <w:t xml:space="preserve">-</w:t>
      </w:r>
      <w:r>
        <w:rPr>
          <w:rStyle w:val="NormalTok"/>
        </w:rPr>
        <w:t xml:space="preserve"> theta_population,</w:t>
      </w:r>
      <w:r>
        <w:br/>
      </w:r>
      <w:r>
        <w:rPr>
          <w:rStyle w:val="NormalTok"/>
        </w:rPr>
        <w:t xml:space="preserve">  </w:t>
      </w:r>
      <w:r>
        <w:rPr>
          <w:rStyle w:val="AttributeTok"/>
        </w:rPr>
        <w:t xml:space="preserve">expected_simple =</w:t>
      </w:r>
      <w:r>
        <w:rPr>
          <w:rStyle w:val="NormalTok"/>
        </w:rPr>
        <w:t xml:space="preserve"> </w:t>
      </w:r>
      <w:r>
        <w:rPr>
          <w:rStyle w:val="FunctionTok"/>
        </w:rPr>
        <w:t xml:space="preserve">mean</w:t>
      </w:r>
      <w:r>
        <w:rPr>
          <w:rStyle w:val="NormalTok"/>
        </w:rPr>
        <w:t xml:space="preserve">(simple_estimates),</w:t>
      </w:r>
      <w:r>
        <w:br/>
      </w:r>
      <w:r>
        <w:rPr>
          <w:rStyle w:val="NormalTok"/>
        </w:rPr>
        <w:t xml:space="preserve">  </w:t>
      </w:r>
      <w:r>
        <w:rPr>
          <w:rStyle w:val="AttributeTok"/>
        </w:rPr>
        <w:t xml:space="preserve">bias_simple =</w:t>
      </w:r>
      <w:r>
        <w:rPr>
          <w:rStyle w:val="NormalTok"/>
        </w:rPr>
        <w:t xml:space="preserve"> </w:t>
      </w:r>
      <w:r>
        <w:rPr>
          <w:rStyle w:val="FunctionTok"/>
        </w:rPr>
        <w:t xml:space="preserve">mean</w:t>
      </w:r>
      <w:r>
        <w:rPr>
          <w:rStyle w:val="NormalTok"/>
        </w:rPr>
        <w:t xml:space="preserve">(simple_estimates) </w:t>
      </w:r>
      <w:r>
        <w:rPr>
          <w:rStyle w:val="SpecialCharTok"/>
        </w:rPr>
        <w:t xml:space="preserve">-</w:t>
      </w:r>
      <w:r>
        <w:rPr>
          <w:rStyle w:val="NormalTok"/>
        </w:rPr>
        <w:t xml:space="preserve"> theta_population</w:t>
      </w:r>
      <w:r>
        <w:br/>
      </w:r>
      <w:r>
        <w:rPr>
          <w:rStyle w:val="NormalTok"/>
        </w:rPr>
        <w:t xml:space="preserve">)</w:t>
      </w:r>
    </w:p>
    <w:p>
      <w:pPr>
        <w:pStyle w:val="SourceCode"/>
      </w:pPr>
      <w:r>
        <w:rPr>
          <w:rStyle w:val="VerbatimChar"/>
        </w:rPr>
        <w:t xml:space="preserve">     theta_population expected_pps bias_pps expected_simple bias_simple</w:t>
      </w:r>
      <w:r>
        <w:br/>
      </w:r>
      <w:r>
        <w:rPr>
          <w:rStyle w:val="VerbatimChar"/>
        </w:rPr>
        <w:t xml:space="preserve">[1,]              0.3        0.304  0.00368           0.358      0.0585</w:t>
      </w:r>
    </w:p>
    <w:p>
      <w:pPr>
        <w:pStyle w:val="FirstParagraph"/>
      </w:pPr>
      <w:r>
        <w:t xml:space="preserve">El primer bloque del código genera hogares de tamaños desiguales, entre 2 y 6 personas. Para hacer visible el efecto del diseño, la probabilidad individual de desempleo varía suavemente con el tamaño del hogar, pero se centra de manera que el promedio esperado de la población siga siendo cercano a</w:t>
      </w:r>
      <w:r>
        <w:t xml:space="preserve"> </w:t>
      </w:r>
      <w:r>
        <w:rPr>
          <w:rStyle w:val="VerbatimChar"/>
        </w:rPr>
        <w:t xml:space="preserve">theta</w:t>
      </w:r>
      <w:r>
        <w:t xml:space="preserve">. Luego se calcula</w:t>
      </w:r>
      <w:r>
        <w:t xml:space="preserve"> </w:t>
      </w:r>
      <w:r>
        <w:rPr>
          <w:rStyle w:val="VerbatimChar"/>
        </w:rPr>
        <w:t xml:space="preserve">theta_population</w:t>
      </w:r>
      <w:r>
        <w:t xml:space="preserve">, que es la proporción real de desempleo en esa población específica. En cada repetición,</w:t>
      </w:r>
      <w:r>
        <w:t xml:space="preserve"> </w:t>
      </w:r>
      <w:r>
        <w:rPr>
          <w:rStyle w:val="VerbatimChar"/>
        </w:rPr>
        <w:t xml:space="preserve">S.piPS()</w:t>
      </w:r>
      <w:r>
        <w:t xml:space="preserve"> </w:t>
      </w:r>
      <w:r>
        <w:t xml:space="preserve">selecciona UPMs con probabilidades proporcionales al tamaño; después se calculan la media de las medias de las UPMs seleccionadas y el promedio simple de las personas observadas. La salida compara ambos estimadores con</w:t>
      </w:r>
      <w:r>
        <w:t xml:space="preserve"> </w:t>
      </w:r>
      <w:r>
        <w:rPr>
          <w:rStyle w:val="VerbatimChar"/>
        </w:rPr>
        <w:t xml:space="preserve">theta_population</w:t>
      </w:r>
      <w:r>
        <w:t xml:space="preserve">. El sesgo de Monte Carlo de</w:t>
      </w:r>
      <w:r>
        <w:t xml:space="preserve"> </w:t>
      </w:r>
      <w:r>
        <w:rPr>
          <w:rStyle w:val="VerbatimChar"/>
        </w:rPr>
        <w:t xml:space="preserve">expected_pps</w:t>
      </w:r>
      <w:r>
        <w:t xml:space="preserve"> </w:t>
      </w:r>
      <w:r>
        <w:t xml:space="preserve">es cercano a cero, mientras que el de</w:t>
      </w:r>
      <w:r>
        <w:t xml:space="preserve"> </w:t>
      </w:r>
      <w:r>
        <w:rPr>
          <w:rStyle w:val="VerbatimChar"/>
        </w:rPr>
        <w:t xml:space="preserve">expected_simple</w:t>
      </w:r>
      <w:r>
        <w:t xml:space="preserve"> </w:t>
      </w:r>
      <w:r>
        <w:t xml:space="preserve">no lo es, mostrando resultado de ignorar el diseño en este ejercicio.</w:t>
      </w:r>
    </w:p>
    <w:bookmarkEnd w:id="305"/>
    <w:bookmarkStart w:id="308" w:name="la-integracion-de-ambas-inferencias"/>
    <w:p>
      <w:pPr>
        <w:pStyle w:val="Heading2"/>
      </w:pPr>
      <w:r>
        <w:t xml:space="preserve">9.2 La integración de ambas inferencias</w:t>
      </w:r>
    </w:p>
    <w:p>
      <w:pPr>
        <w:pStyle w:val="FirstParagraph"/>
      </w:pPr>
      <w:r>
        <w:t xml:space="preserve">No obstante, en muchas aplicaciones ambos marcos inferenciales no se presentan como enfoques excluyentes, sino como componentes complementarios de un mismo problema. En particular, puede considerarse que la muestra ha sido obtenida mediante un diseño probabilístico complejo y que, al mismo tiempo, los valores de la variable de interés responden a un modelo de superpoblación.</w:t>
      </w:r>
      <w:r>
        <w:t xml:space="preserve"> </w:t>
      </w:r>
      <w:r>
        <w:t xml:space="preserve">Binder (2011)</w:t>
      </w:r>
      <w:r>
        <w:t xml:space="preserve"> </w:t>
      </w:r>
      <w:r>
        <w:t xml:space="preserve">plantea esta formulación como un esquema de inferencia doble, en el cual la incertidumbre no proviene de una única fuente, sino de la combinación entre el mecanismo que genera los valores poblacionales (modelo de superpoblación) y el mecanismo que determina qué unidades son observadas (diseño de muestreo).</w:t>
      </w:r>
    </w:p>
    <w:p>
      <w:pPr>
        <w:pStyle w:val="BodyText"/>
      </w:pPr>
      <w:r>
        <w:t xml:space="preserve">Formalmente, intervienen dos medidas de probabilidad:</w:t>
      </w:r>
      <w:r>
        <w:t xml:space="preserve"> </w:t>
      </w:r>
      <m:oMath>
        <m:r>
          <m:t>ξ</m:t>
        </m:r>
      </m:oMath>
      <w:r>
        <w:t xml:space="preserve">, asociada al proceso generador de los valores</w:t>
      </w:r>
      <w:r>
        <w:t xml:space="preserve"> </w:t>
      </w:r>
      <m:oMath>
        <m:sSub>
          <m:e>
            <m:r>
              <m:t>Y</m:t>
            </m:r>
          </m:e>
          <m:sub>
            <m:r>
              <m:t>k</m:t>
            </m:r>
          </m:sub>
        </m:sSub>
      </m:oMath>
      <w:r>
        <w:t xml:space="preserve">, y</w:t>
      </w:r>
      <w:r>
        <w:t xml:space="preserve"> </w:t>
      </w:r>
      <m:oMath>
        <m:r>
          <m:t>p</m:t>
        </m:r>
        <m:r>
          <m:rPr>
            <m:sty m:val="p"/>
          </m:rPr>
          <m:t>(</m:t>
        </m:r>
        <m:r>
          <m:rPr>
            <m:sty m:val="p"/>
          </m:rPr>
          <m:t>⋅</m:t>
        </m:r>
        <m:r>
          <m:rPr>
            <m:sty m:val="p"/>
          </m:rPr>
          <m:t>)</m:t>
        </m:r>
      </m:oMath>
      <w:r>
        <w:t xml:space="preserve">, asociada al diseño muestral que selecciona la muestra</w:t>
      </w:r>
      <w:r>
        <w:t xml:space="preserve"> </w:t>
      </w:r>
      <m:oMath>
        <m:r>
          <m:t>s</m:t>
        </m:r>
      </m:oMath>
      <w:r>
        <w:t xml:space="preserve">. Por tanto, las propiedades de los estimadores deben evaluarse considerando simultáneamente ambas fuentes de variación. Bajo este marco, la esperanza combinada puede expresarse como</w:t>
      </w:r>
    </w:p>
    <w:p>
      <w:pPr>
        <w:pStyle w:val="BodyText"/>
      </w:pPr>
      <m:oMathPara>
        <m:oMathParaPr>
          <m:jc m:val="center"/>
        </m:oMathParaPr>
        <m:oMath>
          <m:sSub>
            <m:e>
              <m:r>
                <m:t>E</m:t>
              </m:r>
            </m:e>
            <m:sub>
              <m:r>
                <m:t>ξ</m:t>
              </m:r>
              <m:r>
                <m:t>p</m:t>
              </m:r>
            </m:sub>
          </m:sSub>
          <m:r>
            <m:rPr>
              <m:sty m:val="p"/>
            </m:rPr>
            <m:t>(</m:t>
          </m:r>
          <m:acc>
            <m:accPr>
              <m:chr m:val="̂"/>
            </m:accPr>
            <m:e>
              <m:r>
                <m:t>θ</m:t>
              </m:r>
            </m:e>
          </m:acc>
          <m:r>
            <m:rPr>
              <m:sty m:val="p"/>
            </m:rPr>
            <m:t>)</m:t>
          </m:r>
          <m:r>
            <m:rPr>
              <m:sty m:val="p"/>
            </m:rPr>
            <m:t>=</m:t>
          </m:r>
          <m:sSub>
            <m:e>
              <m:r>
                <m:t>E</m:t>
              </m:r>
            </m:e>
            <m:sub>
              <m:r>
                <m:t>ξ</m:t>
              </m:r>
            </m:sub>
          </m:sSub>
          <m:r>
            <m:rPr>
              <m:sty m:val="p"/>
            </m:rPr>
            <m:t>{</m:t>
          </m:r>
          <m:sSub>
            <m:e>
              <m:r>
                <m:t>E</m:t>
              </m:r>
            </m:e>
            <m:sub>
              <m:r>
                <m:t>p</m:t>
              </m:r>
            </m:sub>
          </m:sSub>
          <m:r>
            <m:rPr>
              <m:sty m:val="p"/>
            </m:rPr>
            <m:t>(</m:t>
          </m:r>
          <m:acc>
            <m:accPr>
              <m:chr m:val="̂"/>
            </m:accPr>
            <m:e>
              <m:r>
                <m:t>θ</m:t>
              </m:r>
            </m:e>
          </m:acc>
          <m:r>
            <m:rPr>
              <m:sty m:val="p"/>
            </m:rPr>
            <m:t>∣</m:t>
          </m:r>
          <m:r>
            <m:t>U</m:t>
          </m:r>
          <m:r>
            <m:rPr>
              <m:sty m:val="p"/>
            </m:rPr>
            <m:t>)</m:t>
          </m:r>
          <m:r>
            <m:rPr>
              <m:sty m:val="p"/>
            </m:rPr>
            <m:t>}</m:t>
          </m:r>
          <m:r>
            <m:rPr>
              <m:sty m:val="p"/>
            </m:rPr>
            <m:t>,</m:t>
          </m:r>
        </m:oMath>
      </m:oMathPara>
    </w:p>
    <w:p>
      <w:pPr>
        <w:pStyle w:val="FirstParagraph"/>
      </w:pPr>
      <w:r>
        <w:t xml:space="preserve">Donde primero se evalúa el comportamiento del estimador bajo el diseño, condicionado a la población finita generada, y luego se promedia sobre el modelo de superpoblación. En este contexto, la verosimilitud conjunta completa puede resultar intratable, especialmente cuando las probabilidades de inclusión dependen de variables relacionadas con la respuesta. Las ecuaciones de estimación ponderadas de</w:t>
      </w:r>
      <w:r>
        <w:t xml:space="preserve"> </w:t>
      </w:r>
      <w:r>
        <w:t xml:space="preserve">Binder (1983)</w:t>
      </w:r>
      <w:r>
        <w:t xml:space="preserve"> </w:t>
      </w:r>
      <w:r>
        <w:t xml:space="preserve">fundamentan la máxima pseudo-verosimilitud (MPV), que pondera las contribuciones de cada unidad por el inverso de su probabilidad de inclusión;</w:t>
      </w:r>
      <w:r>
        <w:t xml:space="preserve"> </w:t>
      </w:r>
      <w:r>
        <w:t xml:space="preserve">Pfeffermann (1993)</w:t>
      </w:r>
      <w:r>
        <w:t xml:space="preserve"> </w:t>
      </w:r>
      <w:r>
        <w:t xml:space="preserve">examina las condiciones y los objetivos bajo los cuales resulta pertinente incorporar esos pesos en modelos para datos de encuestas.</w:t>
      </w:r>
    </w:p>
    <w:bookmarkStart w:id="306" w:name="sec-mv"/>
    <w:p>
      <w:pPr>
        <w:pStyle w:val="Heading3"/>
      </w:pPr>
      <w:r>
        <w:t xml:space="preserve">9.2.1 Método de la máxima verosimilitud</w:t>
      </w:r>
    </w:p>
    <w:p>
      <w:pPr>
        <w:pStyle w:val="FirstParagraph"/>
      </w:pPr>
      <w:r>
        <w:t xml:space="preserve">El método de máxima verosimilitud, presentado formalmente por</w:t>
      </w:r>
      <w:r>
        <w:t xml:space="preserve"> </w:t>
      </w:r>
      <w:r>
        <w:t xml:space="preserve">Casella y Berger (2002)</w:t>
      </w:r>
      <w:r>
        <w:t xml:space="preserve">, parte de una muestra aleatoria</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generada por una distribución con densidad o función de probabilidad</w:t>
      </w:r>
      <w:r>
        <w:t xml:space="preserve"> </w:t>
      </w:r>
      <m:oMath>
        <m:r>
          <m:t>f</m:t>
        </m:r>
        <m:r>
          <m:rPr>
            <m:sty m:val="p"/>
          </m:rPr>
          <m:t>(</m:t>
        </m:r>
        <m:r>
          <m:t>y</m:t>
        </m:r>
        <m:r>
          <m:rPr>
            <m:sty m:val="p"/>
          </m:rPr>
          <m:t>;</m:t>
        </m:r>
        <m:r>
          <m:t>θ</m:t>
        </m:r>
        <m:r>
          <m:rPr>
            <m:sty m:val="p"/>
          </m:rPr>
          <m:t>)</m:t>
        </m:r>
      </m:oMath>
      <w:r>
        <w:t xml:space="preserve">. Si las observaciones son independientes e idénticamente distribuidas (IID), la función de verosimilitud se define como</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k</m:t>
              </m:r>
              <m:r>
                <m:rPr>
                  <m:sty m:val="p"/>
                </m:rPr>
                <m:t>=</m:t>
              </m:r>
              <m:r>
                <m:t>1</m:t>
              </m:r>
            </m:sub>
            <m:sup>
              <m:r>
                <m:t>n</m:t>
              </m:r>
            </m:sup>
            <m:e>
              <m:r>
                <m:t>f</m:t>
              </m:r>
            </m:e>
          </m:nary>
          <m:r>
            <m:rPr>
              <m:sty m:val="p"/>
            </m:rPr>
            <m:t>(</m:t>
          </m:r>
          <m:sSub>
            <m:e>
              <m:r>
                <m:t>y</m:t>
              </m:r>
            </m:e>
            <m:sub>
              <m:r>
                <m:t>k</m:t>
              </m:r>
            </m:sub>
          </m:sSub>
          <m:r>
            <m:rPr>
              <m:sty m:val="p"/>
            </m:rPr>
            <m:t>;</m:t>
          </m:r>
          <m:r>
            <m:t>θ</m:t>
          </m:r>
          <m:r>
            <m:rPr>
              <m:sty m:val="p"/>
            </m:rPr>
            <m:t>)</m:t>
          </m:r>
          <m:r>
            <m:rPr>
              <m:sty m:val="p"/>
            </m:rPr>
            <m:t>.</m:t>
          </m:r>
        </m:oMath>
      </m:oMathPara>
    </w:p>
    <w:p>
      <w:pPr>
        <w:pStyle w:val="FirstParagraph"/>
      </w:pPr>
      <w:r>
        <w:t xml:space="preserve">El límite superior correcto es el tamaño muestral</w:t>
      </w:r>
      <w:r>
        <w:t xml:space="preserve"> </w:t>
      </w:r>
      <m:oMath>
        <m:r>
          <m:t>n</m:t>
        </m:r>
      </m:oMath>
      <w:r>
        <w:t xml:space="preserve">, no el tamaño poblacional</w:t>
      </w:r>
      <w:r>
        <w:t xml:space="preserve"> </w:t>
      </w:r>
      <m:oMath>
        <m:r>
          <m:t>N</m:t>
        </m:r>
      </m:oMath>
      <w:r>
        <w:t xml:space="preserve">. Como los productos pueden ser difíciles de manipular, se utiliza la log-verosimilitud:</w:t>
      </w:r>
    </w:p>
    <w:p>
      <w:pPr>
        <w:pStyle w:val="BodyText"/>
      </w:pPr>
      <m:oMathPara>
        <m:oMathParaPr>
          <m:jc m:val="center"/>
        </m:oMathParaPr>
        <m:oMath>
          <m:r>
            <m:t>ℓ</m:t>
          </m:r>
          <m:r>
            <m:rPr>
              <m:sty m:val="p"/>
            </m:rPr>
            <m:t>(</m:t>
          </m:r>
          <m:r>
            <m:t>θ</m:t>
          </m:r>
          <m:r>
            <m:rPr>
              <m:sty m:val="p"/>
            </m:rPr>
            <m:t>)</m:t>
          </m:r>
          <m:r>
            <m:rPr>
              <m:sty m:val="p"/>
            </m:rPr>
            <m:t>=</m:t>
          </m:r>
          <m:nary>
            <m:naryPr>
              <m:chr m:val="∑"/>
              <m:limLoc m:val="undOvr"/>
              <m:subHide m:val="off"/>
              <m:supHide m:val="off"/>
            </m:naryPr>
            <m:sub>
              <m:r>
                <m:t>k</m:t>
              </m:r>
              <m:r>
                <m:rPr>
                  <m:sty m:val="p"/>
                </m:rPr>
                <m:t>=</m:t>
              </m:r>
              <m:r>
                <m:t>1</m:t>
              </m:r>
            </m:sub>
            <m:sup>
              <m:r>
                <m:t>n</m:t>
              </m:r>
            </m:sup>
            <m:e>
              <m:r>
                <m:rPr>
                  <m:sty m:val="p"/>
                </m:rPr>
                <m:t>log</m:t>
              </m:r>
            </m:e>
          </m:nary>
          <m:r>
            <m:t>f</m:t>
          </m:r>
          <m:r>
            <m:rPr>
              <m:sty m:val="p"/>
            </m:rPr>
            <m:t>(</m:t>
          </m:r>
          <m:sSub>
            <m:e>
              <m:r>
                <m:t>y</m:t>
              </m:r>
            </m:e>
            <m:sub>
              <m:r>
                <m:t>k</m:t>
              </m:r>
            </m:sub>
          </m:sSub>
          <m:r>
            <m:rPr>
              <m:sty m:val="p"/>
            </m:rPr>
            <m:t>;</m:t>
          </m:r>
          <m:r>
            <m:t>θ</m:t>
          </m:r>
          <m:r>
            <m:rPr>
              <m:sty m:val="p"/>
            </m:rPr>
            <m:t>)</m:t>
          </m:r>
        </m:oMath>
      </m:oMathPara>
    </w:p>
    <w:p>
      <w:pPr>
        <w:pStyle w:val="FirstParagraph"/>
      </w:pPr>
      <w:r>
        <w:t xml:space="preserve">El estimador de máxima verosimilitud</w:t>
      </w:r>
      <w:r>
        <w:t xml:space="preserve"> </w:t>
      </w:r>
      <m:oMath>
        <m:acc>
          <m:accPr>
            <m:chr m:val="̂"/>
          </m:accPr>
          <m:e>
            <m:r>
              <m:t>θ</m:t>
            </m:r>
          </m:e>
        </m:acc>
      </m:oMath>
      <w:r>
        <w:t xml:space="preserve"> </w:t>
      </w:r>
      <w:r>
        <w:t xml:space="preserve">es el valor de</w:t>
      </w:r>
      <w:r>
        <w:t xml:space="preserve"> </w:t>
      </w:r>
      <m:oMath>
        <m:r>
          <m:t>θ</m:t>
        </m:r>
      </m:oMath>
      <w:r>
        <w:t xml:space="preserve"> </w:t>
      </w:r>
      <w:r>
        <w:t xml:space="preserve">que maximiza</w:t>
      </w:r>
      <w:r>
        <w:t xml:space="preserve"> </w:t>
      </w:r>
      <m:oMath>
        <m:r>
          <m:t>ℓ</m:t>
        </m:r>
        <m:r>
          <m:rPr>
            <m:sty m:val="p"/>
          </m:rPr>
          <m:t>(</m:t>
        </m:r>
        <m:r>
          <m:t>θ</m:t>
        </m:r>
        <m:r>
          <m:rPr>
            <m:sty m:val="p"/>
          </m:rPr>
          <m:t>)</m:t>
        </m:r>
      </m:oMath>
      <w:r>
        <w:t xml:space="preserve">. Si la función es diferenciable, este valor satisface las ecuaciones de score:</w:t>
      </w:r>
    </w:p>
    <w:p>
      <w:pPr>
        <w:pStyle w:val="BodyText"/>
      </w:pPr>
      <m:oMathPara>
        <m:oMathParaPr>
          <m:jc m:val="center"/>
        </m:oMathParaPr>
        <m:oMath>
          <m:r>
            <m:t>U</m:t>
          </m:r>
          <m:r>
            <m:rPr>
              <m:sty m:val="p"/>
            </m:rPr>
            <m:t>(</m:t>
          </m:r>
          <m:r>
            <m:t>θ</m:t>
          </m:r>
          <m:r>
            <m:rPr>
              <m:sty m:val="p"/>
            </m:rPr>
            <m:t>)</m:t>
          </m:r>
          <m:r>
            <m:rPr>
              <m:sty m:val="p"/>
            </m:rPr>
            <m:t>=</m:t>
          </m:r>
          <m:f>
            <m:fPr>
              <m:type m:val="bar"/>
            </m:fPr>
            <m:num>
              <m:r>
                <m:rPr>
                  <m:sty m:val="p"/>
                </m:rPr>
                <m:t>∂</m:t>
              </m:r>
              <m:r>
                <m:t> </m:t>
              </m:r>
              <m:r>
                <m:t>ℓ</m:t>
              </m:r>
              <m:r>
                <m:rPr>
                  <m:sty m:val="p"/>
                </m:rPr>
                <m:t>(</m:t>
              </m:r>
              <m:r>
                <m:t>θ</m:t>
              </m:r>
              <m:r>
                <m:rPr>
                  <m:sty m:val="p"/>
                </m:rPr>
                <m:t>)</m:t>
              </m:r>
            </m:num>
            <m:den>
              <m:r>
                <m:rPr>
                  <m:sty m:val="p"/>
                </m:rPr>
                <m:t>∂</m:t>
              </m:r>
              <m:r>
                <m:t> </m:t>
              </m:r>
              <m:r>
                <m:t>θ</m:t>
              </m:r>
            </m:den>
          </m:f>
          <m:r>
            <m:rPr>
              <m:sty m:val="p"/>
            </m:rPr>
            <m:t>=</m:t>
          </m:r>
          <m:nary>
            <m:naryPr>
              <m:chr m:val="∑"/>
              <m:limLoc m:val="undOvr"/>
              <m:subHide m:val="off"/>
              <m:supHide m:val="off"/>
            </m:naryPr>
            <m:sub>
              <m:r>
                <m:t>k</m:t>
              </m:r>
              <m:r>
                <m:rPr>
                  <m:sty m:val="p"/>
                </m:rPr>
                <m:t>=</m:t>
              </m:r>
              <m:r>
                <m:t>1</m:t>
              </m:r>
            </m:sub>
            <m:sup>
              <m:r>
                <m:t>N</m:t>
              </m:r>
            </m:sup>
            <m:e>
              <m:sSub>
                <m:e>
                  <m:r>
                    <m:t>u</m:t>
                  </m:r>
                </m:e>
                <m:sub>
                  <m:r>
                    <m:t>k</m:t>
                  </m:r>
                </m:sub>
              </m:sSub>
            </m:e>
          </m:nary>
          <m:r>
            <m:rPr>
              <m:sty m:val="p"/>
            </m:rPr>
            <m:t>(</m:t>
          </m:r>
          <m:r>
            <m:t>θ</m:t>
          </m:r>
          <m:r>
            <m:rPr>
              <m:sty m:val="p"/>
            </m:rPr>
            <m:t>)</m:t>
          </m:r>
          <m:r>
            <m:rPr>
              <m:sty m:val="p"/>
            </m:rPr>
            <m:t>=</m:t>
          </m:r>
          <m:r>
            <m:t>0</m:t>
          </m:r>
        </m:oMath>
      </m:oMathPara>
    </w:p>
    <w:p>
      <w:pPr>
        <w:pStyle w:val="FirstParagraph"/>
      </w:pPr>
      <w:r>
        <w:t xml:space="preserve">donde</w:t>
      </w:r>
      <w:r>
        <w:t xml:space="preserve"> </w:t>
      </w:r>
      <m:oMath>
        <m:sSub>
          <m:e>
            <m:r>
              <m:t>u</m:t>
            </m:r>
          </m:e>
          <m:sub>
            <m:r>
              <m:t>k</m:t>
            </m:r>
          </m:sub>
        </m:sSub>
        <m:r>
          <m:rPr>
            <m:sty m:val="p"/>
          </m:rPr>
          <m:t>(</m:t>
        </m:r>
        <m:r>
          <m:t>θ</m:t>
        </m:r>
        <m:r>
          <m:rPr>
            <m:sty m:val="p"/>
          </m:rPr>
          <m:t>)</m:t>
        </m:r>
        <m:r>
          <m:rPr>
            <m:sty m:val="p"/>
          </m:rPr>
          <m:t>=</m:t>
        </m:r>
        <m:f>
          <m:fPr>
            <m:type m:val="bar"/>
          </m:fPr>
          <m:num>
            <m:r>
              <m:rPr>
                <m:sty m:val="p"/>
              </m:rPr>
              <m:t>∂</m:t>
            </m:r>
          </m:num>
          <m:den>
            <m:r>
              <m:rPr>
                <m:sty m:val="p"/>
              </m:rPr>
              <m:t>∂</m:t>
            </m:r>
            <m:r>
              <m:t>θ</m:t>
            </m:r>
          </m:den>
        </m:f>
        <m:r>
          <m:rPr>
            <m:sty m:val="p"/>
          </m:rPr>
          <m:t>log</m:t>
        </m:r>
        <m:r>
          <m:t>f</m:t>
        </m:r>
        <m:r>
          <m:rPr>
            <m:sty m:val="p"/>
          </m:rPr>
          <m:t>(</m:t>
        </m:r>
        <m:sSub>
          <m:e>
            <m:r>
              <m:t>y</m:t>
            </m:r>
          </m:e>
          <m:sub>
            <m:r>
              <m:t>k</m:t>
            </m:r>
          </m:sub>
        </m:sSub>
        <m:r>
          <m:rPr>
            <m:sty m:val="p"/>
          </m:rPr>
          <m:t>;</m:t>
        </m:r>
        <m:r>
          <m:t>θ</m:t>
        </m:r>
        <m:r>
          <m:rPr>
            <m:sty m:val="p"/>
          </m:rPr>
          <m:t>)</m:t>
        </m:r>
      </m:oMath>
      <w:r>
        <w:t xml:space="preserve"> </w:t>
      </w:r>
      <w:r>
        <w:t xml:space="preserve">es la contribución de la unidad</w:t>
      </w:r>
      <w:r>
        <w:t xml:space="preserve"> </w:t>
      </w:r>
      <m:oMath>
        <m:r>
          <m:t>k</m:t>
        </m:r>
      </m:oMath>
      <w:r>
        <w:t xml:space="preserve"> </w:t>
      </w:r>
      <w:r>
        <w:t xml:space="preserve">al score total. Para una distribución Bernoulli con parámetro</w:t>
      </w:r>
      <w:r>
        <w:t xml:space="preserve"> </w:t>
      </w:r>
      <m:oMath>
        <m:r>
          <m:t>θ</m:t>
        </m:r>
      </m:oMath>
      <w:r>
        <w:t xml:space="preserve">, la función de probabilidad es</w:t>
      </w:r>
      <w:r>
        <w:t xml:space="preserve"> </w:t>
      </w:r>
      <m:oMath>
        <m:r>
          <m:t>f</m:t>
        </m:r>
        <m:r>
          <m:rPr>
            <m:sty m:val="p"/>
          </m:rPr>
          <m:t>(</m:t>
        </m:r>
        <m:sSub>
          <m:e>
            <m:r>
              <m:t>y</m:t>
            </m:r>
          </m:e>
          <m:sub>
            <m:r>
              <m:t>k</m:t>
            </m:r>
          </m:sub>
        </m:sSub>
        <m:r>
          <m:rPr>
            <m:sty m:val="p"/>
          </m:rPr>
          <m:t>;</m:t>
        </m:r>
        <m:r>
          <m:t>θ</m:t>
        </m:r>
        <m:r>
          <m:rPr>
            <m:sty m:val="p"/>
          </m:rPr>
          <m:t>)</m:t>
        </m:r>
        <m:r>
          <m:rPr>
            <m:sty m:val="p"/>
          </m:rPr>
          <m:t>=</m:t>
        </m:r>
        <m:sSup>
          <m:e>
            <m:r>
              <m:t>θ</m:t>
            </m:r>
          </m:e>
          <m:sup>
            <m:sSub>
              <m:e>
                <m:r>
                  <m:t>y</m:t>
                </m:r>
              </m:e>
              <m:sub>
                <m:r>
                  <m:t>k</m:t>
                </m:r>
              </m:sub>
            </m:sSub>
          </m:sup>
        </m:sSup>
        <m:r>
          <m:rPr>
            <m:sty m:val="p"/>
          </m:rPr>
          <m:t>(</m:t>
        </m:r>
        <m:r>
          <m:t>1</m:t>
        </m:r>
        <m:r>
          <m:rPr>
            <m:sty m:val="p"/>
          </m:rPr>
          <m:t>−</m:t>
        </m:r>
        <m:r>
          <m:t>θ</m:t>
        </m:r>
        <m:sSup>
          <m:e>
            <m:r>
              <m:rPr>
                <m:sty m:val="p"/>
              </m:rPr>
              <m:t>)</m:t>
            </m:r>
          </m:e>
          <m:sup>
            <m:r>
              <m:t>1</m:t>
            </m:r>
            <m:r>
              <m:rPr>
                <m:sty m:val="p"/>
              </m:rPr>
              <m:t>−</m:t>
            </m:r>
            <m:sSub>
              <m:e>
                <m:r>
                  <m:t>y</m:t>
                </m:r>
              </m:e>
              <m:sub>
                <m:r>
                  <m:t>k</m:t>
                </m:r>
              </m:sub>
            </m:sSub>
          </m:sup>
        </m:sSup>
      </m:oMath>
      <w:r>
        <w:t xml:space="preserve">, para</w:t>
      </w:r>
      <w:r>
        <w:t xml:space="preserve"> </w:t>
      </w:r>
      <m:oMath>
        <m:sSub>
          <m:e>
            <m:r>
              <m:t>y</m:t>
            </m:r>
          </m:e>
          <m:sub>
            <m:r>
              <m:t>k</m:t>
            </m:r>
          </m:sub>
        </m:sSub>
        <m:r>
          <m:rPr>
            <m:sty m:val="p"/>
          </m:rPr>
          <m:t>∈</m:t>
        </m:r>
        <m:r>
          <m:rPr>
            <m:sty m:val="p"/>
          </m:rPr>
          <m:t>{</m:t>
        </m:r>
        <m:r>
          <m:t>0</m:t>
        </m:r>
        <m:r>
          <m:rPr>
            <m:sty m:val="p"/>
          </m:rPr>
          <m:t>,</m:t>
        </m:r>
        <m:r>
          <m:t>1</m:t>
        </m:r>
        <m:r>
          <m:rPr>
            <m:sty m:val="p"/>
          </m:rPr>
          <m:t>}</m:t>
        </m:r>
      </m:oMath>
      <w:r>
        <w:t xml:space="preserve">. La log-verosimilitud es</w:t>
      </w:r>
    </w:p>
    <w:p>
      <w:pPr>
        <w:pStyle w:val="BodyText"/>
      </w:pPr>
      <m:oMathPara>
        <m:oMathParaPr>
          <m:jc m:val="center"/>
        </m:oMathParaPr>
        <m:oMath>
          <m:r>
            <m:t>ℓ</m:t>
          </m:r>
          <m:r>
            <m:rPr>
              <m:sty m:val="p"/>
            </m:rPr>
            <m:t>(</m:t>
          </m:r>
          <m:r>
            <m:t>θ</m:t>
          </m:r>
          <m:r>
            <m:rPr>
              <m:sty m:val="p"/>
            </m:rPr>
            <m:t>)</m:t>
          </m:r>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y</m:t>
                      </m:r>
                    </m:e>
                    <m:sub>
                      <m:r>
                        <m:t>k</m:t>
                      </m:r>
                    </m:sub>
                  </m:sSub>
                  <m:r>
                    <m:rPr>
                      <m:sty m:val="p"/>
                    </m:rPr>
                    <m:t>log</m:t>
                  </m:r>
                  <m:r>
                    <m:rPr>
                      <m:sty m:val="p"/>
                    </m:rPr>
                    <m:t>(</m:t>
                  </m:r>
                  <m:r>
                    <m:t>θ</m:t>
                  </m:r>
                  <m:r>
                    <m:rPr>
                      <m:sty m:val="p"/>
                    </m:rPr>
                    <m:t>)</m:t>
                  </m:r>
                  <m:r>
                    <m:rPr>
                      <m:sty m:val="p"/>
                    </m:rPr>
                    <m:t>+</m:t>
                  </m:r>
                  <m:r>
                    <m:rPr>
                      <m:sty m:val="p"/>
                    </m:rPr>
                    <m:t>(</m:t>
                  </m:r>
                  <m:r>
                    <m:t>1</m:t>
                  </m:r>
                  <m:r>
                    <m:rPr>
                      <m:sty m:val="p"/>
                    </m:rPr>
                    <m:t>−</m:t>
                  </m:r>
                  <m:sSub>
                    <m:e>
                      <m:r>
                        <m:t>y</m:t>
                      </m:r>
                    </m:e>
                    <m:sub>
                      <m:r>
                        <m:t>k</m:t>
                      </m:r>
                    </m:sub>
                  </m:sSub>
                  <m:r>
                    <m:rPr>
                      <m:sty m:val="p"/>
                    </m:rPr>
                    <m:t>)</m:t>
                  </m:r>
                  <m:r>
                    <m:rPr>
                      <m:sty m:val="p"/>
                    </m:rPr>
                    <m:t>log</m:t>
                  </m:r>
                  <m:r>
                    <m:rPr>
                      <m:sty m:val="p"/>
                    </m:rPr>
                    <m:t>(</m:t>
                  </m:r>
                  <m:r>
                    <m:t>1</m:t>
                  </m:r>
                  <m:r>
                    <m:rPr>
                      <m:sty m:val="p"/>
                    </m:rPr>
                    <m:t>−</m:t>
                  </m:r>
                  <m:r>
                    <m:t>θ</m:t>
                  </m:r>
                  <m:r>
                    <m:rPr>
                      <m:sty m:val="p"/>
                    </m:rPr>
                    <m:t>)</m:t>
                  </m:r>
                </m:e>
              </m:d>
            </m:e>
          </m:nary>
        </m:oMath>
      </m:oMathPara>
    </w:p>
    <w:p>
      <w:pPr>
        <w:pStyle w:val="FirstParagraph"/>
      </w:pPr>
      <w:r>
        <w:t xml:space="preserve">Al derivar e igualar a cero y despejar, se obtiene el estimador MV, definido por:</w:t>
      </w:r>
    </w:p>
    <w:p>
      <w:pPr>
        <w:pStyle w:val="BodyText"/>
      </w:pPr>
      <m:oMathPara>
        <m:oMathParaPr>
          <m:jc m:val="center"/>
        </m:oMathParaPr>
        <m:oMath>
          <m:sSub>
            <m:e>
              <m:acc>
                <m:accPr>
                  <m:chr m:val="̂"/>
                </m:accPr>
                <m:e>
                  <m:r>
                    <m:t>θ</m:t>
                  </m:r>
                </m:e>
              </m:acc>
            </m:e>
            <m:sub>
              <m:r>
                <m:t>M</m:t>
              </m:r>
              <m:r>
                <m:t>V</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y</m:t>
                  </m:r>
                </m:e>
                <m:sub>
                  <m:r>
                    <m:t>k</m:t>
                  </m:r>
                </m:sub>
              </m:sSub>
            </m:e>
          </m:nary>
        </m:oMath>
      </m:oMathPara>
    </w:p>
    <w:p>
      <w:pPr>
        <w:pStyle w:val="FirstParagraph"/>
      </w:pPr>
      <w:r>
        <w:t xml:space="preserve">Así, la proporción muestral es el estimador natural del parámetro Bernoulli. El punto clave es que este resultado depende del supuesto de que las observaciones tienen igual distribución y no provienen de un diseño con probabilidades desiguales.</w:t>
      </w:r>
    </w:p>
    <w:p>
      <w:pPr>
        <w:pStyle w:val="BodyText"/>
      </w:pPr>
      <w:r>
        <w:t xml:space="preserve">Por otro lado, en un modelo de regresión lineal múltiple con errores normales, se tiene que</w:t>
      </w:r>
      <w:r>
        <w:t xml:space="preserve"> </w:t>
      </w:r>
      <m:oMath>
        <m:r>
          <m:rPr>
            <m:sty m:val="b"/>
          </m:rPr>
          <m:t>y</m:t>
        </m:r>
        <m:r>
          <m:rPr>
            <m:sty m:val="p"/>
          </m:rPr>
          <m:t>∼</m:t>
        </m:r>
        <m:r>
          <m:t>N</m:t>
        </m:r>
        <m:r>
          <m:rPr>
            <m:sty m:val="p"/>
          </m:rPr>
          <m:t>(</m:t>
        </m:r>
        <m:r>
          <m:rPr>
            <m:sty m:val="b"/>
          </m:rPr>
          <m:t>X</m:t>
        </m:r>
        <m:r>
          <m:rPr>
            <m:sty m:val="b"/>
          </m:rPr>
          <m:t>β</m:t>
        </m:r>
        <m:r>
          <m:rPr>
            <m:sty m:val="p"/>
          </m:rPr>
          <m:t>,</m:t>
        </m:r>
        <m:sSup>
          <m:e>
            <m:r>
              <m:t>σ</m:t>
            </m:r>
          </m:e>
          <m:sup>
            <m:r>
              <m:t>2</m:t>
            </m:r>
          </m:sup>
        </m:sSup>
        <m:r>
          <m:t>I</m:t>
        </m:r>
        <m:r>
          <m:rPr>
            <m:sty m:val="p"/>
          </m:rPr>
          <m:t>)</m:t>
        </m:r>
      </m:oMath>
      <w:r>
        <w:t xml:space="preserve">. En este caso, la log-verosimilitud, omitiendo constantes, puede escribirse como</w:t>
      </w:r>
    </w:p>
    <w:p>
      <w:pPr>
        <w:pStyle w:val="BodyText"/>
      </w:pPr>
      <m:oMathPara>
        <m:oMathParaPr>
          <m:jc m:val="center"/>
        </m:oMathParaPr>
        <m:oMath>
          <m:r>
            <m:t>ℓ</m:t>
          </m:r>
          <m:r>
            <m:rPr>
              <m:sty m:val="p"/>
            </m:rPr>
            <m:t>(</m:t>
          </m:r>
          <m:r>
            <m:rPr>
              <m:sty m:val="b"/>
            </m:rPr>
            <m:t>β</m:t>
          </m:r>
          <m:r>
            <m:rPr>
              <m:sty m:val="p"/>
            </m:rPr>
            <m:t>,</m:t>
          </m:r>
          <m:sSup>
            <m:e>
              <m:r>
                <m:t>σ</m:t>
              </m:r>
            </m:e>
            <m:sup>
              <m:r>
                <m:t>2</m:t>
              </m:r>
            </m:sup>
          </m:sSup>
          <m:r>
            <m:rPr>
              <m:sty m:val="p"/>
            </m:rPr>
            <m:t>)</m:t>
          </m:r>
          <m:r>
            <m:rPr>
              <m:sty m:val="p"/>
            </m:rPr>
            <m:t>=</m:t>
          </m:r>
          <m:r>
            <m:rPr>
              <m:sty m:val="p"/>
            </m:rPr>
            <m:t>−</m:t>
          </m:r>
          <m:f>
            <m:fPr>
              <m:type m:val="bar"/>
            </m:fPr>
            <m:num>
              <m:r>
                <m:t>n</m:t>
              </m:r>
            </m:num>
            <m:den>
              <m:r>
                <m:t>2</m:t>
              </m:r>
            </m:den>
          </m:f>
          <m:r>
            <m:rPr>
              <m:sty m:val="p"/>
            </m:rPr>
            <m:t>log</m:t>
          </m:r>
          <m:r>
            <m:rPr>
              <m:sty m:val="p"/>
            </m:rPr>
            <m:t>(</m:t>
          </m:r>
          <m:sSup>
            <m:e>
              <m:r>
                <m:t>σ</m:t>
              </m:r>
            </m:e>
            <m:sup>
              <m:r>
                <m:t>2</m:t>
              </m:r>
            </m:sup>
          </m:sSup>
          <m:r>
            <m:rPr>
              <m:sty m:val="p"/>
            </m:rPr>
            <m:t>)</m:t>
          </m:r>
          <m:r>
            <m:rPr>
              <m:sty m:val="p"/>
            </m:rPr>
            <m:t>−</m:t>
          </m:r>
          <m:f>
            <m:fPr>
              <m:type m:val="bar"/>
            </m:fPr>
            <m:num>
              <m:r>
                <m:t>1</m:t>
              </m:r>
            </m:num>
            <m:den>
              <m:r>
                <m:t>2</m:t>
              </m:r>
              <m:sSup>
                <m:e>
                  <m:r>
                    <m:t>σ</m:t>
                  </m:r>
                </m:e>
                <m:sup>
                  <m:r>
                    <m:t>2</m:t>
                  </m:r>
                </m:sup>
              </m:sSup>
            </m:den>
          </m:f>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oMath>
      </m:oMathPara>
    </w:p>
    <w:p>
      <w:pPr>
        <w:pStyle w:val="FirstParagraph"/>
      </w:pPr>
      <w:r>
        <w:t xml:space="preserve">Maximizar esta expresión respecto de</w:t>
      </w:r>
      <w:r>
        <w:t xml:space="preserve"> </w:t>
      </w:r>
      <m:oMath>
        <m:r>
          <m:t>β</m:t>
        </m:r>
      </m:oMath>
      <w:r>
        <w:t xml:space="preserve"> </w:t>
      </w:r>
      <w:r>
        <w:t xml:space="preserve">equivale a minimizar la suma de cuadrados de los residuos. Por ello, el estimador de máxima verosimilitud de</w:t>
      </w:r>
      <w:r>
        <w:t xml:space="preserve"> </w:t>
      </w:r>
      <m:oMath>
        <m:r>
          <m:t>β</m:t>
        </m:r>
      </m:oMath>
      <w:r>
        <w:t xml:space="preserve"> </w:t>
      </w:r>
      <w:r>
        <w:t xml:space="preserve">coincide con el estimador de mínimos cuadrados ordinarios</w:t>
      </w:r>
      <w:r>
        <w:t xml:space="preserve"> </w:t>
      </w:r>
      <m:oMath>
        <m:sSub>
          <m:e>
            <m:acc>
              <m:accPr>
                <m:chr m:val="̂"/>
              </m:accPr>
              <m:e>
                <m:r>
                  <m:rPr>
                    <m:sty m:val="b"/>
                  </m:rPr>
                  <m:t>β</m:t>
                </m:r>
              </m:e>
            </m:acc>
          </m:e>
          <m:sub>
            <m:r>
              <m:t>M</m:t>
            </m:r>
            <m:r>
              <m:t>V</m:t>
            </m:r>
          </m:sub>
        </m:sSub>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oMath>
      <w:r>
        <w:t xml:space="preserve">. Este resultado es importante porque muestra que muchos procedimientos estadísticos usuales pueden interpretarse como máxima verosimilitud bajo supuestos de modelo específicos. Sin embargo, si los datos provienen de una encuesta compleja, la matriz</w:t>
      </w:r>
      <w:r>
        <w:t xml:space="preserve"> </w:t>
      </w:r>
      <m:oMath>
        <m:sSup>
          <m:e>
            <m:r>
              <m:rPr>
                <m:sty m:val="b"/>
              </m:rPr>
              <m:t>X</m:t>
            </m:r>
          </m:e>
          <m:sup>
            <m:r>
              <m:rPr>
                <m:sty m:val="p"/>
              </m:rPr>
              <m:t>′</m:t>
            </m:r>
          </m:sup>
        </m:sSup>
        <m:r>
          <m:rPr>
            <m:sty m:val="b"/>
          </m:rPr>
          <m:t>X</m:t>
        </m:r>
      </m:oMath>
      <w:r>
        <w:t xml:space="preserve"> </w:t>
      </w:r>
      <w:r>
        <w:t xml:space="preserve">no refleja por sí sola el mecanismo de selección de la muestra.</w:t>
      </w:r>
    </w:p>
    <w:bookmarkEnd w:id="306"/>
    <w:bookmarkStart w:id="307" w:name="sec-mpv-formal"/>
    <w:p>
      <w:pPr>
        <w:pStyle w:val="Heading3"/>
      </w:pPr>
      <w:r>
        <w:t xml:space="preserve">9.2.2 Método de máxima pseudo-verosimilitud</w:t>
      </w:r>
    </w:p>
    <w:p>
      <w:pPr>
        <w:pStyle w:val="FirstParagraph"/>
      </w:pPr>
      <w:r>
        <w:t xml:space="preserve">Cuando el diseño muestral es complejo, los datos observados no satisfacen necesariamente los supuestos de independencia e idéntica distribución. Algunas unidades pueden representar a muchas personas de la población y otras a pocas. Además, dos unidades seleccionadas dentro del mismo conglomerado pueden estar correlacionadas. En este contexto, usar directamente la log-verosimilitud ordinaria puede producir estimaciones que describen la muestra, pero no la población objetivo.</w:t>
      </w:r>
    </w:p>
    <w:p>
      <w:pPr>
        <w:pStyle w:val="BodyText"/>
      </w:pPr>
      <w:r>
        <w:t xml:space="preserve">La máxima pseudo-verosimilitud, desarrollada a partir de los resultados de</w:t>
      </w:r>
      <w:r>
        <w:t xml:space="preserve"> </w:t>
      </w:r>
      <w:r>
        <w:t xml:space="preserve">Binder (1983)</w:t>
      </w:r>
      <w:r>
        <w:t xml:space="preserve">, incorpora los pesos de muestreo en la log-verosimilitud. Para unidades observadas</w:t>
      </w:r>
      <w:r>
        <w:t xml:space="preserve"> </w:t>
      </w:r>
      <m:oMath>
        <m:r>
          <m:t>k</m:t>
        </m:r>
        <m:r>
          <m:rPr>
            <m:sty m:val="p"/>
          </m:rPr>
          <m:t>∈</m:t>
        </m:r>
        <m:r>
          <m:t>s</m:t>
        </m:r>
      </m:oMath>
      <w:r>
        <w:t xml:space="preserve">, se define</w:t>
      </w:r>
    </w:p>
    <w:p>
      <w:pPr>
        <w:pStyle w:val="BodyText"/>
      </w:pPr>
      <m:oMathPara>
        <m:oMathParaPr>
          <m:jc m:val="center"/>
        </m:oMathParaPr>
        <m:oMath>
          <m:sSub>
            <m:e>
              <m:r>
                <m:t>ℓ</m:t>
              </m:r>
            </m:e>
            <m:sub>
              <m:r>
                <m:t>p</m:t>
              </m:r>
            </m:sub>
          </m:sSub>
          <m:r>
            <m:rPr>
              <m:sty m:val="p"/>
            </m:rPr>
            <m:t>(</m:t>
          </m:r>
          <m:r>
            <m:t>θ</m:t>
          </m:r>
          <m:r>
            <m:rPr>
              <m:sty m:val="p"/>
            </m:rPr>
            <m:t>)</m:t>
          </m:r>
          <m:r>
            <m:rPr>
              <m:sty m:val="p"/>
            </m:rPr>
            <m:t>=</m:t>
          </m:r>
          <m:nary>
            <m:naryPr>
              <m:chr m:val="∑"/>
              <m:limLoc m:val="undOvr"/>
              <m:subHide m:val="off"/>
              <m:supHide m:val="on"/>
            </m:naryPr>
            <m:sub>
              <m:r>
                <m:t>k</m:t>
              </m:r>
              <m:r>
                <m:rPr>
                  <m:sty m:val="p"/>
                </m:rPr>
                <m:t>∈</m:t>
              </m:r>
              <m:r>
                <m:t>s</m:t>
              </m:r>
            </m:sub>
            <m:sup>
              <m:r>
                <m:t>​</m:t>
              </m:r>
            </m:sup>
            <m:e>
              <m:sSub>
                <m:e>
                  <m:r>
                    <m:t>w</m:t>
                  </m:r>
                </m:e>
                <m:sub>
                  <m:r>
                    <m:t>k</m:t>
                  </m:r>
                </m:sub>
              </m:sSub>
            </m:e>
          </m:nary>
          <m:r>
            <m:rPr>
              <m:sty m:val="p"/>
            </m:rPr>
            <m:t>log</m:t>
          </m:r>
          <m:r>
            <m:t>f</m:t>
          </m:r>
          <m:r>
            <m:rPr>
              <m:sty m:val="p"/>
            </m:rPr>
            <m:t>(</m:t>
          </m:r>
          <m:sSub>
            <m:e>
              <m:r>
                <m:t>y</m:t>
              </m:r>
            </m:e>
            <m:sub>
              <m:r>
                <m:t>k</m:t>
              </m:r>
            </m:sub>
          </m:sSub>
          <m:r>
            <m:rPr>
              <m:sty m:val="p"/>
            </m:rPr>
            <m:t>;</m:t>
          </m:r>
          <m:r>
            <m:t>θ</m:t>
          </m:r>
          <m:r>
            <m:rPr>
              <m:sty m:val="p"/>
            </m:rPr>
            <m:t>)</m:t>
          </m:r>
        </m:oMath>
      </m:oMathPara>
    </w:p>
    <w:p>
      <w:pPr>
        <w:pStyle w:val="FirstParagraph"/>
      </w:pPr>
      <w:r>
        <w:t xml:space="preserve">En la notación de esta sección, el peso</w:t>
      </w:r>
      <w:r>
        <w:t xml:space="preserve"> </w:t>
      </w:r>
      <m:oMath>
        <m:sSub>
          <m:e>
            <m:r>
              <m:t>w</m:t>
            </m:r>
          </m:e>
          <m:sub>
            <m:r>
              <m:t>k</m:t>
            </m:r>
          </m:sub>
        </m:sSub>
        <m:r>
          <m:rPr>
            <m:sty m:val="p"/>
          </m:rPr>
          <m:t>=</m:t>
        </m:r>
        <m:r>
          <m:t>1</m:t>
        </m:r>
        <m:r>
          <m:rPr>
            <m:sty m:val="p"/>
          </m:rPr>
          <m:t>/</m:t>
        </m:r>
        <m:sSub>
          <m:e>
            <m:r>
              <m:t>π</m:t>
            </m:r>
          </m:e>
          <m:sub>
            <m:r>
              <m:t>k</m:t>
            </m:r>
          </m:sub>
        </m:sSub>
      </m:oMath>
      <w:r>
        <w:t xml:space="preserve"> </w:t>
      </w:r>
      <w:r>
        <w:t xml:space="preserve">indica cuántas unidades de la población representa la observación</w:t>
      </w:r>
      <w:r>
        <w:t xml:space="preserve"> </w:t>
      </w:r>
      <m:oMath>
        <m:sSub>
          <m:e>
            <m:r>
              <m:t>y</m:t>
            </m:r>
          </m:e>
          <m:sub>
            <m:r>
              <m:t>k</m:t>
            </m:r>
          </m:sub>
        </m:sSub>
      </m:oMath>
      <w:r>
        <w:t xml:space="preserve">. Por eso, la contribución de una unidad con baja probabilidad de inclusión se amplifica en la pseudo-verosimilitud. Las ecuaciones de estimación resultantes son</w:t>
      </w:r>
    </w:p>
    <w:p>
      <w:pPr>
        <w:pStyle w:val="BodyText"/>
      </w:pPr>
      <m:oMathPara>
        <m:oMathParaPr>
          <m:jc m:val="center"/>
        </m:oMathParaPr>
        <m:oMath>
          <m:sSub>
            <m:e>
              <m:r>
                <m:t>U</m:t>
              </m:r>
            </m:e>
            <m:sub>
              <m:r>
                <m:t>p</m:t>
              </m:r>
            </m:sub>
          </m:sSub>
          <m:r>
            <m:rPr>
              <m:sty m:val="p"/>
            </m:rPr>
            <m:t>(</m:t>
          </m:r>
          <m:r>
            <m:t>θ</m:t>
          </m:r>
          <m:r>
            <m:rPr>
              <m:sty m:val="p"/>
            </m:rPr>
            <m:t>)</m:t>
          </m:r>
          <m:r>
            <m:rPr>
              <m:sty m:val="p"/>
            </m:rPr>
            <m:t>=</m:t>
          </m:r>
          <m:nary>
            <m:naryPr>
              <m:chr m:val="∑"/>
              <m:limLoc m:val="undOvr"/>
              <m:subHide m:val="off"/>
              <m:supHide m:val="on"/>
            </m:naryPr>
            <m:sub>
              <m:r>
                <m:t>k</m:t>
              </m:r>
              <m:r>
                <m:rPr>
                  <m:sty m:val="p"/>
                </m:rPr>
                <m:t>∈</m:t>
              </m:r>
              <m:r>
                <m:t>s</m:t>
              </m:r>
            </m:sub>
            <m:sup>
              <m:r>
                <m:t>​</m:t>
              </m:r>
            </m:sup>
            <m:e>
              <m:sSub>
                <m:e>
                  <m:r>
                    <m:t>w</m:t>
                  </m:r>
                </m:e>
                <m:sub>
                  <m:r>
                    <m:t>k</m:t>
                  </m:r>
                </m:sub>
              </m:sSub>
            </m:e>
          </m:nary>
          <m:r>
            <m:t> </m:t>
          </m:r>
          <m:sSub>
            <m:e>
              <m:r>
                <m:t>u</m:t>
              </m:r>
            </m:e>
            <m:sub>
              <m:r>
                <m:t>k</m:t>
              </m:r>
            </m:sub>
          </m:sSub>
          <m:r>
            <m:rPr>
              <m:sty m:val="p"/>
            </m:rPr>
            <m:t>(</m:t>
          </m:r>
          <m:r>
            <m:t>θ</m:t>
          </m:r>
          <m:r>
            <m:rPr>
              <m:sty m:val="p"/>
            </m:rPr>
            <m:t>)</m:t>
          </m:r>
          <m:r>
            <m:rPr>
              <m:sty m:val="p"/>
            </m:rPr>
            <m:t>=</m:t>
          </m:r>
          <m:r>
            <m:t>0</m:t>
          </m:r>
        </m:oMath>
      </m:oMathPara>
    </w:p>
    <w:p>
      <w:pPr>
        <w:pStyle w:val="FirstParagraph"/>
      </w:pPr>
      <w:r>
        <w:t xml:space="preserve">La estimación MPV conserva la lógica de máxima verosimilitud, pero reemplaza el</w:t>
      </w:r>
      <w:r>
        <w:t xml:space="preserve"> </w:t>
      </w:r>
      <w:r>
        <w:rPr>
          <w:i/>
          <w:iCs/>
        </w:rPr>
        <w:t xml:space="preserve">score</w:t>
      </w:r>
      <w:r>
        <w:t xml:space="preserve"> </w:t>
      </w:r>
      <w:r>
        <w:t xml:space="preserve">ordinario por un</w:t>
      </w:r>
      <w:r>
        <w:t xml:space="preserve"> </w:t>
      </w:r>
      <w:r>
        <w:rPr>
          <w:i/>
          <w:iCs/>
        </w:rPr>
        <w:t xml:space="preserve">score</w:t>
      </w:r>
      <w:r>
        <w:t xml:space="preserve"> </w:t>
      </w:r>
      <w:r>
        <w:t xml:space="preserve">ponderado. La solución</w:t>
      </w:r>
      <w:r>
        <w:t xml:space="preserve"> </w:t>
      </w:r>
      <m:oMath>
        <m:sSub>
          <m:e>
            <m:acc>
              <m:accPr>
                <m:chr m:val="̂"/>
              </m:accPr>
              <m:e>
                <m:r>
                  <m:t>θ</m:t>
                </m:r>
              </m:e>
            </m:acc>
          </m:e>
          <m:sub>
            <m:r>
              <m:t>M</m:t>
            </m:r>
            <m:r>
              <m:t>P</m:t>
            </m:r>
            <m:r>
              <m:t>V</m:t>
            </m:r>
          </m:sub>
        </m:sSub>
      </m:oMath>
      <w:r>
        <w:t xml:space="preserve"> </w:t>
      </w:r>
      <w:r>
        <w:t xml:space="preserve">es el valor que hace que la suma ponderada de contribuciones individuales sea igual a cero. Para una distribución Bernoulli, la pseudo-log-verosimilitud es</w:t>
      </w:r>
    </w:p>
    <w:p>
      <w:pPr>
        <w:pStyle w:val="BodyText"/>
      </w:pPr>
      <m:oMathPara>
        <m:oMathParaPr>
          <m:jc m:val="center"/>
        </m:oMathParaPr>
        <m:oMath>
          <m:sSub>
            <m:e>
              <m:r>
                <m:t>ℓ</m:t>
              </m:r>
            </m:e>
            <m:sub>
              <m:r>
                <m:t>p</m:t>
              </m:r>
            </m:sub>
          </m:sSub>
          <m:r>
            <m:rPr>
              <m:sty m:val="p"/>
            </m:rPr>
            <m:t>(</m:t>
          </m:r>
          <m:r>
            <m:t>θ</m:t>
          </m:r>
          <m:r>
            <m:rPr>
              <m:sty m:val="p"/>
            </m:rPr>
            <m:t>)</m:t>
          </m:r>
          <m:r>
            <m:rPr>
              <m:sty m:val="p"/>
            </m:rPr>
            <m:t>=</m:t>
          </m:r>
          <m:nary>
            <m:naryPr>
              <m:chr m:val="∑"/>
              <m:limLoc m:val="undOvr"/>
              <m:subHide m:val="off"/>
              <m:supHide m:val="on"/>
            </m:naryPr>
            <m:sub>
              <m:r>
                <m:t>k</m:t>
              </m:r>
              <m:r>
                <m:rPr>
                  <m:sty m:val="p"/>
                </m:rPr>
                <m:t>∈</m:t>
              </m:r>
              <m:r>
                <m:t>s</m:t>
              </m:r>
            </m:sub>
            <m:sup>
              <m:r>
                <m:t>​</m:t>
              </m:r>
            </m:sup>
            <m:e>
              <m:sSub>
                <m:e>
                  <m:r>
                    <m:t>w</m:t>
                  </m:r>
                </m:e>
                <m:sub>
                  <m:r>
                    <m:t>k</m:t>
                  </m:r>
                </m:sub>
              </m:sSub>
            </m:e>
          </m:nary>
          <m:d>
            <m:dPr>
              <m:begChr m:val="["/>
              <m:sepChr m:val=""/>
              <m:endChr m:val="]"/>
              <m:grow/>
            </m:dPr>
            <m:e>
              <m:sSub>
                <m:e>
                  <m:r>
                    <m:t>y</m:t>
                  </m:r>
                </m:e>
                <m:sub>
                  <m:r>
                    <m:t>k</m:t>
                  </m:r>
                </m:sub>
              </m:sSub>
              <m:r>
                <m:rPr>
                  <m:sty m:val="p"/>
                </m:rPr>
                <m:t>log</m:t>
              </m:r>
              <m:r>
                <m:rPr>
                  <m:sty m:val="p"/>
                </m:rPr>
                <m:t>(</m:t>
              </m:r>
              <m:r>
                <m:t>θ</m:t>
              </m:r>
              <m:r>
                <m:rPr>
                  <m:sty m:val="p"/>
                </m:rPr>
                <m:t>)</m:t>
              </m:r>
              <m:r>
                <m:rPr>
                  <m:sty m:val="p"/>
                </m:rPr>
                <m:t>+</m:t>
              </m:r>
              <m:r>
                <m:rPr>
                  <m:sty m:val="p"/>
                </m:rPr>
                <m:t>(</m:t>
              </m:r>
              <m:r>
                <m:t>1</m:t>
              </m:r>
              <m:r>
                <m:rPr>
                  <m:sty m:val="p"/>
                </m:rPr>
                <m:t>−</m:t>
              </m:r>
              <m:sSub>
                <m:e>
                  <m:r>
                    <m:t>y</m:t>
                  </m:r>
                </m:e>
                <m:sub>
                  <m:r>
                    <m:t>k</m:t>
                  </m:r>
                </m:sub>
              </m:sSub>
              <m:r>
                <m:rPr>
                  <m:sty m:val="p"/>
                </m:rPr>
                <m:t>)</m:t>
              </m:r>
              <m:r>
                <m:rPr>
                  <m:sty m:val="p"/>
                </m:rPr>
                <m:t>log</m:t>
              </m:r>
              <m:r>
                <m:rPr>
                  <m:sty m:val="p"/>
                </m:rPr>
                <m:t>(</m:t>
              </m:r>
              <m:r>
                <m:t>1</m:t>
              </m:r>
              <m:r>
                <m:rPr>
                  <m:sty m:val="p"/>
                </m:rPr>
                <m:t>−</m:t>
              </m:r>
              <m:r>
                <m:t>θ</m:t>
              </m:r>
              <m:r>
                <m:rPr>
                  <m:sty m:val="p"/>
                </m:rPr>
                <m:t>)</m:t>
              </m:r>
            </m:e>
          </m:d>
          <m:r>
            <m:rPr>
              <m:sty m:val="p"/>
            </m:rPr>
            <m:t>.</m:t>
          </m:r>
        </m:oMath>
      </m:oMathPara>
    </w:p>
    <w:p>
      <w:pPr>
        <w:pStyle w:val="FirstParagraph"/>
      </w:pPr>
      <w:r>
        <w:t xml:space="preserve">Al derivar e igualar a cero, se obtiene que:</w:t>
      </w:r>
    </w:p>
    <w:p>
      <w:pPr>
        <w:pStyle w:val="BodyText"/>
      </w:pPr>
      <m:oMathPara>
        <m:oMathParaPr>
          <m:jc m:val="center"/>
        </m:oMathParaPr>
        <m:oMath>
          <m:f>
            <m:fPr>
              <m:type m:val="bar"/>
            </m:fPr>
            <m:num>
              <m:r>
                <m:rPr>
                  <m:sty m:val="p"/>
                </m:rPr>
                <m:t>∂</m:t>
              </m:r>
              <m:sSub>
                <m:e>
                  <m:r>
                    <m:t>ℓ</m:t>
                  </m:r>
                </m:e>
                <m:sub>
                  <m:r>
                    <m:t>p</m:t>
                  </m:r>
                </m:sub>
              </m:sSub>
              <m:r>
                <m:rPr>
                  <m:sty m:val="p"/>
                </m:rPr>
                <m:t>(</m:t>
              </m:r>
              <m:r>
                <m:t>θ</m:t>
              </m:r>
              <m:r>
                <m:rPr>
                  <m:sty m:val="p"/>
                </m:rPr>
                <m:t>)</m:t>
              </m:r>
            </m:num>
            <m:den>
              <m:r>
                <m:rPr>
                  <m:sty m:val="p"/>
                </m:rPr>
                <m:t>∂</m:t>
              </m:r>
              <m:r>
                <m:t>θ</m:t>
              </m:r>
            </m:den>
          </m:f>
          <m:r>
            <m:rPr>
              <m:sty m:val="p"/>
            </m:rPr>
            <m:t>=</m:t>
          </m:r>
          <m:nary>
            <m:naryPr>
              <m:chr m:val="∑"/>
              <m:limLoc m:val="undOvr"/>
              <m:subHide m:val="off"/>
              <m:supHide m:val="on"/>
            </m:naryPr>
            <m:sub>
              <m:r>
                <m:t>k</m:t>
              </m:r>
              <m:r>
                <m:rPr>
                  <m:sty m:val="p"/>
                </m:rPr>
                <m:t>∈</m:t>
              </m:r>
              <m:r>
                <m:t>s</m:t>
              </m:r>
            </m:sub>
            <m:sup>
              <m:r>
                <m:t>​</m:t>
              </m:r>
            </m:sup>
            <m:e>
              <m:sSub>
                <m:e>
                  <m:r>
                    <m:t>w</m:t>
                  </m:r>
                </m:e>
                <m:sub>
                  <m:r>
                    <m:t>k</m:t>
                  </m:r>
                </m:sub>
              </m:sSub>
            </m:e>
          </m:nary>
          <m:d>
            <m:dPr>
              <m:begChr m:val="["/>
              <m:sepChr m:val=""/>
              <m:endChr m:val="]"/>
              <m:grow/>
            </m:dPr>
            <m:e>
              <m:f>
                <m:fPr>
                  <m:type m:val="bar"/>
                </m:fPr>
                <m:num>
                  <m:sSub>
                    <m:e>
                      <m:r>
                        <m:t>y</m:t>
                      </m:r>
                    </m:e>
                    <m:sub>
                      <m:r>
                        <m:t>k</m:t>
                      </m:r>
                    </m:sub>
                  </m:sSub>
                </m:num>
                <m:den>
                  <m:r>
                    <m:t>θ</m:t>
                  </m:r>
                </m:den>
              </m:f>
              <m:r>
                <m:rPr>
                  <m:sty m:val="p"/>
                </m:rPr>
                <m:t>−</m:t>
              </m:r>
              <m:f>
                <m:fPr>
                  <m:type m:val="bar"/>
                </m:fPr>
                <m:num>
                  <m:r>
                    <m:t>1</m:t>
                  </m:r>
                  <m:r>
                    <m:rPr>
                      <m:sty m:val="p"/>
                    </m:rPr>
                    <m:t>−</m:t>
                  </m:r>
                  <m:sSub>
                    <m:e>
                      <m:r>
                        <m:t>y</m:t>
                      </m:r>
                    </m:e>
                    <m:sub>
                      <m:r>
                        <m:t>k</m:t>
                      </m:r>
                    </m:sub>
                  </m:sSub>
                </m:num>
                <m:den>
                  <m:r>
                    <m:t>1</m:t>
                  </m:r>
                  <m:r>
                    <m:rPr>
                      <m:sty m:val="p"/>
                    </m:rPr>
                    <m:t>−</m:t>
                  </m:r>
                  <m:r>
                    <m:t>θ</m:t>
                  </m:r>
                </m:den>
              </m:f>
            </m:e>
          </m:d>
          <m:r>
            <m:rPr>
              <m:sty m:val="p"/>
            </m:rPr>
            <m:t>=</m:t>
          </m:r>
          <m:r>
            <m:t>0</m:t>
          </m:r>
        </m:oMath>
      </m:oMathPara>
    </w:p>
    <w:p>
      <w:pPr>
        <w:pStyle w:val="FirstParagraph"/>
      </w:pPr>
      <w:r>
        <w:t xml:space="preserve">Cuya solución es:</w:t>
      </w:r>
    </w:p>
    <w:p>
      <w:pPr>
        <w:pStyle w:val="BodyText"/>
      </w:pPr>
      <m:oMathPara>
        <m:oMathParaPr>
          <m:jc m:val="center"/>
        </m:oMathParaPr>
        <m:oMath>
          <m:sSub>
            <m:e>
              <m:acc>
                <m:accPr>
                  <m:chr m:val="̂"/>
                </m:accPr>
                <m:e>
                  <m:r>
                    <m:t>θ</m:t>
                  </m:r>
                </m:e>
              </m:acc>
            </m:e>
            <m:sub>
              <m:r>
                <m:t>M</m:t>
              </m:r>
              <m:r>
                <m:t>P</m:t>
              </m:r>
              <m:r>
                <m:t>V</m:t>
              </m:r>
            </m:sub>
          </m:sSub>
          <m:r>
            <m:rPr>
              <m:sty m:val="p"/>
            </m:rPr>
            <m:t>=</m:t>
          </m:r>
          <m:f>
            <m:fPr>
              <m:type m:val="bar"/>
            </m:fPr>
            <m:num>
              <m:nary>
                <m:naryPr>
                  <m:chr m:val="∑"/>
                  <m:limLoc m:val="undOvr"/>
                  <m:subHide m:val="off"/>
                  <m:supHide m:val="on"/>
                </m:naryPr>
                <m:sub>
                  <m:r>
                    <m:t>k</m:t>
                  </m:r>
                  <m:r>
                    <m:rPr>
                      <m:sty m:val="p"/>
                    </m:rPr>
                    <m:t>∈</m:t>
                  </m:r>
                  <m:r>
                    <m:t>s</m:t>
                  </m:r>
                </m:sub>
                <m:sup>
                  <m:r>
                    <m:t>​</m:t>
                  </m:r>
                </m:sup>
                <m:e>
                  <m:sSub>
                    <m:e>
                      <m:r>
                        <m:t>w</m:t>
                      </m:r>
                    </m:e>
                    <m:sub>
                      <m:r>
                        <m:t>k</m:t>
                      </m:r>
                    </m:sub>
                  </m:sSub>
                </m:e>
              </m:nary>
              <m:sSub>
                <m:e>
                  <m:r>
                    <m:t>y</m:t>
                  </m:r>
                </m:e>
                <m:sub>
                  <m:r>
                    <m:t>k</m:t>
                  </m:r>
                </m:sub>
              </m:sSub>
            </m:num>
            <m:den>
              <m:nary>
                <m:naryPr>
                  <m:chr m:val="∑"/>
                  <m:limLoc m:val="undOvr"/>
                  <m:subHide m:val="off"/>
                  <m:supHide m:val="on"/>
                </m:naryPr>
                <m:sub>
                  <m:r>
                    <m:t>k</m:t>
                  </m:r>
                  <m:r>
                    <m:rPr>
                      <m:sty m:val="p"/>
                    </m:rPr>
                    <m:t>∈</m:t>
                  </m:r>
                  <m:r>
                    <m:t>s</m:t>
                  </m:r>
                </m:sub>
                <m:sup>
                  <m:r>
                    <m:t>​</m:t>
                  </m:r>
                </m:sup>
                <m:e>
                  <m:sSub>
                    <m:e>
                      <m:r>
                        <m:t>w</m:t>
                      </m:r>
                    </m:e>
                    <m:sub>
                      <m:r>
                        <m:t>k</m:t>
                      </m:r>
                    </m:sub>
                  </m:sSub>
                </m:e>
              </m:nary>
            </m:den>
          </m:f>
          <m:r>
            <m:rPr>
              <m:sty m:val="p"/>
            </m:rPr>
            <m:t>=</m:t>
          </m:r>
          <m:sSub>
            <m:e>
              <m:acc>
                <m:accPr>
                  <m:chr m:val="̂"/>
                </m:accPr>
                <m:e>
                  <m:r>
                    <m:t>p</m:t>
                  </m:r>
                </m:e>
              </m:acc>
            </m:e>
            <m:sub>
              <m:r>
                <m:t>d</m:t>
              </m:r>
            </m:sub>
          </m:sSub>
        </m:oMath>
      </m:oMathPara>
    </w:p>
    <w:p>
      <w:pPr>
        <w:pStyle w:val="FirstParagraph"/>
      </w:pPr>
      <w:r>
        <w:t xml:space="preserve">Por tanto, para una variable binaria, la MPV conduce al estimador ponderado de la proporción, equivalente al estimador de Hájek. Este resultado conecta directamente la teoría de pseudo-verosimilitud con los estimadores de proporciones presentados en los capítulos de variables categóricas.</w:t>
      </w:r>
    </w:p>
    <w:p>
      <w:pPr>
        <w:pStyle w:val="BodyText"/>
      </w:pPr>
      <w:r>
        <w:t xml:space="preserve">Asimismo, para un modelo de regresión lineal múltiple, la pseudo-log-verosimilitud ponderada implica minimizar una suma de cuadrados ponderada:</w:t>
      </w:r>
    </w:p>
    <w:p>
      <w:pPr>
        <w:pStyle w:val="BodyText"/>
      </w:pPr>
      <m:oMathPara>
        <m:oMathParaPr>
          <m:jc m:val="center"/>
        </m:oMathParaPr>
        <m:oMath>
          <m:r>
            <m:rPr>
              <m:sty m:val="p"/>
            </m:rPr>
            <m:t>(</m:t>
          </m:r>
          <m:r>
            <m:rPr>
              <m:sty m:val="b"/>
            </m:rPr>
            <m:t>y</m:t>
          </m:r>
          <m:r>
            <m:rPr>
              <m:sty m:val="p"/>
            </m:rPr>
            <m:t>−</m:t>
          </m:r>
          <m:r>
            <m:rPr>
              <m:sty m:val="b"/>
            </m:rPr>
            <m:t>X</m:t>
          </m:r>
          <m:r>
            <m:rPr>
              <m:sty m:val="b"/>
            </m:rPr>
            <m:t>β</m:t>
          </m:r>
          <m:sSup>
            <m:e>
              <m:r>
                <m:rPr>
                  <m:sty m:val="p"/>
                </m:rPr>
                <m:t>)</m:t>
              </m:r>
            </m:e>
            <m:sup>
              <m:r>
                <m:rPr>
                  <m:sty m:val="p"/>
                </m:rPr>
                <m:t>′</m:t>
              </m:r>
            </m:sup>
          </m:sSup>
          <m:r>
            <m:rPr>
              <m:sty m:val="b"/>
            </m:rPr>
            <m:t>W</m:t>
          </m:r>
          <m:r>
            <m:rPr>
              <m:sty m:val="p"/>
            </m:rPr>
            <m:t>(</m:t>
          </m:r>
          <m:r>
            <m:rPr>
              <m:sty m:val="b"/>
            </m:rPr>
            <m:t>y</m:t>
          </m:r>
          <m:r>
            <m:rPr>
              <m:sty m:val="p"/>
            </m:rPr>
            <m:t>−</m:t>
          </m:r>
          <m:r>
            <m:rPr>
              <m:sty m:val="b"/>
            </m:rPr>
            <m:t>X</m:t>
          </m:r>
          <m:r>
            <m:rPr>
              <m:sty m:val="b"/>
            </m:rPr>
            <m:t>β</m:t>
          </m:r>
          <m:r>
            <m:rPr>
              <m:sty m:val="p"/>
            </m:rPr>
            <m:t>)</m:t>
          </m:r>
          <m:r>
            <m:rPr>
              <m:sty m:val="p"/>
            </m:rPr>
            <m:t>,</m:t>
          </m:r>
        </m:oMath>
      </m:oMathPara>
    </w:p>
    <w:p>
      <w:pPr>
        <w:pStyle w:val="FirstParagraph"/>
      </w:pPr>
      <w:r>
        <w:t xml:space="preserve">donde</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w</m:t>
                        </m:r>
                      </m:e>
                      <m:sub>
                        <m:r>
                          <m:t>1</m:t>
                        </m:r>
                      </m:sub>
                    </m:sSub>
                  </m:e>
                  <m:e>
                    <m:r>
                      <m:t>0</m:t>
                    </m:r>
                  </m:e>
                  <m:e>
                    <m:r>
                      <m:rPr>
                        <m:sty m:val="p"/>
                      </m:rPr>
                      <m:t>⋯</m:t>
                    </m:r>
                  </m:e>
                  <m:e>
                    <m:r>
                      <m:t>0</m:t>
                    </m:r>
                  </m:e>
                </m:mr>
                <m:mr>
                  <m:e>
                    <m:r>
                      <m:t>0</m:t>
                    </m:r>
                  </m:e>
                  <m:e>
                    <m:sSub>
                      <m:e>
                        <m:r>
                          <m:t>w</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w</m:t>
                        </m:r>
                      </m:e>
                      <m:sub>
                        <m:r>
                          <m:t>n</m:t>
                        </m:r>
                      </m:sub>
                    </m:sSub>
                  </m:e>
                </m:mr>
              </m:m>
            </m:e>
          </m:d>
          <m:r>
            <m:rPr>
              <m:sty m:val="p"/>
            </m:rPr>
            <m:t>.</m:t>
          </m:r>
        </m:oMath>
      </m:oMathPara>
    </w:p>
    <w:p>
      <w:pPr>
        <w:pStyle w:val="FirstParagraph"/>
      </w:pPr>
      <w:r>
        <w:t xml:space="preserve">La solución es el estimador de mínimos cuadrados ponderados:</w:t>
      </w:r>
    </w:p>
    <w:p>
      <w:pPr>
        <w:pStyle w:val="BodyText"/>
      </w:pPr>
      <m:oMathPara>
        <m:oMathParaPr>
          <m:jc m:val="center"/>
        </m:oMathParaPr>
        <m:oMath>
          <m:sSub>
            <m:e>
              <m:acc>
                <m:accPr>
                  <m:chr m:val="̂"/>
                </m:accPr>
                <m:e>
                  <m:r>
                    <m:rPr>
                      <m:sty m:val="b"/>
                    </m:rPr>
                    <m:t>β</m:t>
                  </m:r>
                </m:e>
              </m:acc>
            </m:e>
            <m:sub>
              <m:r>
                <m:t>M</m:t>
              </m:r>
              <m:r>
                <m:t>P</m:t>
              </m:r>
              <m:r>
                <m:t>V</m:t>
              </m:r>
            </m:sub>
          </m:sSub>
          <m:r>
            <m:rPr>
              <m:sty m:val="p"/>
            </m:rPr>
            <m:t>=</m:t>
          </m:r>
          <m:r>
            <m:rPr>
              <m:sty m:val="p"/>
            </m:rPr>
            <m:t>(</m:t>
          </m:r>
          <m:sSup>
            <m:e>
              <m:r>
                <m:rPr>
                  <m:sty m:val="b"/>
                </m:rPr>
                <m:t>X</m:t>
              </m:r>
            </m:e>
            <m:sup>
              <m:r>
                <m:rPr>
                  <m:sty m:val="p"/>
                </m:rPr>
                <m:t>′</m:t>
              </m:r>
            </m:sup>
          </m:sSup>
          <m:r>
            <m:rPr>
              <m:sty m:val="b"/>
            </m:rPr>
            <m:t>W</m:t>
          </m:r>
          <m:r>
            <m:rPr>
              <m:sty m:val="b"/>
            </m:rPr>
            <m:t>X</m:t>
          </m:r>
          <m:sSup>
            <m:e>
              <m:r>
                <m:rPr>
                  <m:sty m:val="p"/>
                </m:rPr>
                <m:t>)</m:t>
              </m:r>
            </m:e>
            <m:sup>
              <m:r>
                <m:rPr>
                  <m:sty m:val="p"/>
                </m:rPr>
                <m:t>−</m:t>
              </m:r>
              <m:r>
                <m:t>1</m:t>
              </m:r>
            </m:sup>
          </m:sSup>
          <m:sSup>
            <m:e>
              <m:r>
                <m:rPr>
                  <m:sty m:val="b"/>
                </m:rPr>
                <m:t>X</m:t>
              </m:r>
            </m:e>
            <m:sup>
              <m:r>
                <m:rPr>
                  <m:sty m:val="p"/>
                </m:rPr>
                <m:t>′</m:t>
              </m:r>
            </m:sup>
          </m:sSup>
          <m:r>
            <m:rPr>
              <m:sty m:val="b"/>
            </m:rPr>
            <m:t>W</m:t>
          </m:r>
          <m:r>
            <m:rPr>
              <m:sty m:val="b"/>
            </m:rPr>
            <m:t>y</m:t>
          </m:r>
        </m:oMath>
      </m:oMathPara>
    </w:p>
    <w:p>
      <w:pPr>
        <w:pStyle w:val="FirstParagraph"/>
      </w:pPr>
      <w:r>
        <w:t xml:space="preserve">De acuerdo con</w:t>
      </w:r>
      <w:r>
        <w:t xml:space="preserve"> </w:t>
      </w:r>
      <w:r>
        <w:t xml:space="preserve">Heeringa et al. (2017)</w:t>
      </w:r>
      <w:r>
        <w:t xml:space="preserve">, este resultado extiende de manera natural el estimador ordinario al contexto de encuestas complejas: cada observación contribuye al ajuste del modelo en proporción a su peso muestral. No obstante, para la inferencia no basta con ponderar la estimación puntual; también se requiere estimar correctamente la varianza considerando estratos, conglomerados y pesos.</w:t>
      </w:r>
    </w:p>
    <w:p>
      <w:pPr>
        <w:pStyle w:val="BodyText"/>
      </w:pPr>
      <w:r>
        <w:t xml:space="preserve">La siguiente simulación de Monte Carlo anidada ilustra la inferencia doble. En el ciclo externo se genera una nueva población bajo el modelo Bernoulli. En el ciclo interno se seleccionan muchas muestras por diseño y se comparan el estimador que incorpora el diseño y el promedio simple de la muestra.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population_size </w:t>
      </w:r>
      <w:r>
        <w:rPr>
          <w:rStyle w:val="OtherTok"/>
        </w:rPr>
        <w:t xml:space="preserve">&lt;-</w:t>
      </w:r>
      <w:r>
        <w:rPr>
          <w:rStyle w:val="NormalTok"/>
        </w:rPr>
        <w:t xml:space="preserve"> </w:t>
      </w:r>
      <w:r>
        <w:rPr>
          <w:rStyle w:val="DecValTok"/>
        </w:rPr>
        <w:t xml:space="preserve">100</w:t>
      </w:r>
      <w:r>
        <w:br/>
      </w:r>
      <w:r>
        <w:rPr>
          <w:rStyle w:val="NormalTok"/>
        </w:rPr>
        <w:t xml:space="preserve">theta </w:t>
      </w:r>
      <w:r>
        <w:rPr>
          <w:rStyle w:val="OtherTok"/>
        </w:rPr>
        <w:t xml:space="preserve">&lt;-</w:t>
      </w:r>
      <w:r>
        <w:rPr>
          <w:rStyle w:val="NormalTok"/>
        </w:rPr>
        <w:t xml:space="preserve"> </w:t>
      </w:r>
      <w:r>
        <w:rPr>
          <w:rStyle w:val="FloatTok"/>
        </w:rPr>
        <w:t xml:space="preserve">0.3</w:t>
      </w:r>
      <w:r>
        <w:br/>
      </w:r>
      <w:r>
        <w:rPr>
          <w:rStyle w:val="NormalTok"/>
        </w:rPr>
        <w:t xml:space="preserve">n_sim_population </w:t>
      </w:r>
      <w:r>
        <w:rPr>
          <w:rStyle w:val="OtherTok"/>
        </w:rPr>
        <w:t xml:space="preserve">&lt;-</w:t>
      </w:r>
      <w:r>
        <w:rPr>
          <w:rStyle w:val="NormalTok"/>
        </w:rPr>
        <w:t xml:space="preserve"> </w:t>
      </w:r>
      <w:r>
        <w:rPr>
          <w:rStyle w:val="DecValTok"/>
        </w:rPr>
        <w:t xml:space="preserve">100</w:t>
      </w:r>
      <w:r>
        <w:br/>
      </w:r>
      <w:r>
        <w:rPr>
          <w:rStyle w:val="NormalTok"/>
        </w:rPr>
        <w:t xml:space="preserve">expected_design_estimates </w:t>
      </w:r>
      <w:r>
        <w:rPr>
          <w:rStyle w:val="OtherTok"/>
        </w:rPr>
        <w:t xml:space="preserve">&lt;-</w:t>
      </w:r>
      <w:r>
        <w:rPr>
          <w:rStyle w:val="NormalTok"/>
        </w:rPr>
        <w:t xml:space="preserve"> expected_simple_estimates </w:t>
      </w:r>
      <w:r>
        <w:rPr>
          <w:rStyle w:val="OtherTok"/>
        </w:rPr>
        <w:t xml:space="preserve">&lt;-</w:t>
      </w:r>
      <w:r>
        <w:rPr>
          <w:rStyle w:val="NormalTok"/>
        </w:rPr>
        <w:t xml:space="preserve"> population_means </w:t>
      </w:r>
      <w:r>
        <w:rPr>
          <w:rStyle w:val="OtherTok"/>
        </w:rPr>
        <w:t xml:space="preserve">&lt;-</w:t>
      </w:r>
      <w:r>
        <w:br/>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n_sim_population)</w:t>
      </w:r>
      <w:r>
        <w:br/>
      </w:r>
      <w:r>
        <w:br/>
      </w:r>
      <w:r>
        <w:rPr>
          <w:rStyle w:val="NormalTok"/>
        </w:rPr>
        <w:t xml:space="preserve">cluster_size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each =</w:t>
      </w:r>
      <w:r>
        <w:rPr>
          <w:rStyle w:val="NormalTok"/>
        </w:rPr>
        <w:t xml:space="preserve"> </w:t>
      </w:r>
      <w:r>
        <w:rPr>
          <w:rStyle w:val="DecValTok"/>
        </w:rPr>
        <w:t xml:space="preserve">5</w:t>
      </w:r>
      <w:r>
        <w:rPr>
          <w:rStyle w:val="NormalTok"/>
        </w:rPr>
        <w:t xml:space="preserve">)</w:t>
      </w:r>
      <w:r>
        <w:br/>
      </w:r>
      <w:r>
        <w:rPr>
          <w:rStyle w:val="NormalTok"/>
        </w:rPr>
        <w:t xml:space="preserve">n_clusters </w:t>
      </w:r>
      <w:r>
        <w:rPr>
          <w:rStyle w:val="OtherTok"/>
        </w:rPr>
        <w:t xml:space="preserve">&lt;-</w:t>
      </w:r>
      <w:r>
        <w:rPr>
          <w:rStyle w:val="NormalTok"/>
        </w:rPr>
        <w:t xml:space="preserve"> </w:t>
      </w:r>
      <w:r>
        <w:rPr>
          <w:rStyle w:val="FunctionTok"/>
        </w:rPr>
        <w:t xml:space="preserve">length</w:t>
      </w:r>
      <w:r>
        <w:rPr>
          <w:rStyle w:val="NormalTok"/>
        </w:rPr>
        <w:t xml:space="preserve">(cluster_size)</w:t>
      </w:r>
      <w:r>
        <w:br/>
      </w:r>
      <w:r>
        <w:rPr>
          <w:rStyle w:val="NormalTok"/>
        </w:rPr>
        <w:t xml:space="preserve">cluster_id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seq_len</w:t>
      </w:r>
      <w:r>
        <w:rPr>
          <w:rStyle w:val="NormalTok"/>
        </w:rPr>
        <w:t xml:space="preserve">(n_clusters), cluster_size)</w:t>
      </w:r>
      <w:r>
        <w:br/>
      </w:r>
      <w:r>
        <w:rPr>
          <w:rStyle w:val="NormalTok"/>
        </w:rPr>
        <w:t xml:space="preserve">size_center </w:t>
      </w:r>
      <w:r>
        <w:rPr>
          <w:rStyle w:val="OtherTok"/>
        </w:rPr>
        <w:t xml:space="preserve">&lt;-</w:t>
      </w:r>
      <w:r>
        <w:rPr>
          <w:rStyle w:val="NormalTok"/>
        </w:rPr>
        <w:t xml:space="preserve"> </w:t>
      </w:r>
      <w:r>
        <w:rPr>
          <w:rStyle w:val="FunctionTok"/>
        </w:rPr>
        <w:t xml:space="preserve">weighted.mean</w:t>
      </w:r>
      <w:r>
        <w:rPr>
          <w:rStyle w:val="NormalTok"/>
        </w:rPr>
        <w:t xml:space="preserve">(cluster_size, cluster_size)</w:t>
      </w:r>
      <w:r>
        <w:br/>
      </w:r>
      <w:r>
        <w:rPr>
          <w:rStyle w:val="NormalTok"/>
        </w:rPr>
        <w:t xml:space="preserve">prob_person </w:t>
      </w:r>
      <w:r>
        <w:rPr>
          <w:rStyle w:val="OtherTok"/>
        </w:rPr>
        <w:t xml:space="preserve">&lt;-</w:t>
      </w:r>
      <w:r>
        <w:rPr>
          <w:rStyle w:val="NormalTok"/>
        </w:rPr>
        <w:t xml:space="preserve"> theta </w:t>
      </w:r>
      <w:r>
        <w:rPr>
          <w:rStyle w:val="SpecialCharTok"/>
        </w:rPr>
        <w:t xml:space="preserve">+</w:t>
      </w:r>
      <w:r>
        <w:rPr>
          <w:rStyle w:val="NormalTok"/>
        </w:rPr>
        <w:t xml:space="preserve"> </w:t>
      </w:r>
      <w:r>
        <w:rPr>
          <w:rStyle w:val="FunctionTok"/>
        </w:rPr>
        <w:t xml:space="preserve">rep</w:t>
      </w:r>
      <w:r>
        <w:rPr>
          <w:rStyle w:val="NormalTok"/>
        </w:rPr>
        <w:t xml:space="preserve">((cluster_size </w:t>
      </w:r>
      <w:r>
        <w:rPr>
          <w:rStyle w:val="SpecialCharTok"/>
        </w:rPr>
        <w:t xml:space="preserve">-</w:t>
      </w:r>
      <w:r>
        <w:rPr>
          <w:rStyle w:val="NormalTok"/>
        </w:rPr>
        <w:t xml:space="preserve"> size_center) </w:t>
      </w:r>
      <w:r>
        <w:rPr>
          <w:rStyle w:val="SpecialCharTok"/>
        </w:rPr>
        <w:t xml:space="preserve">/</w:t>
      </w:r>
      <w:r>
        <w:rPr>
          <w:rStyle w:val="NormalTok"/>
        </w:rPr>
        <w:t xml:space="preserve"> </w:t>
      </w:r>
      <w:r>
        <w:rPr>
          <w:rStyle w:val="DecValTok"/>
        </w:rPr>
        <w:t xml:space="preserve">12</w:t>
      </w:r>
      <w:r>
        <w:rPr>
          <w:rStyle w:val="NormalTok"/>
        </w:rPr>
        <w:t xml:space="preserve">, cluster_size)</w:t>
      </w:r>
      <w:r>
        <w:br/>
      </w:r>
      <w:r>
        <w:rPr>
          <w:rStyle w:val="NormalTok"/>
        </w:rPr>
        <w:t xml:space="preserve">sampled_cluster_count </w:t>
      </w:r>
      <w:r>
        <w:rPr>
          <w:rStyle w:val="OtherTok"/>
        </w:rPr>
        <w:t xml:space="preserve">&lt;-</w:t>
      </w:r>
      <w:r>
        <w:rPr>
          <w:rStyle w:val="NormalTok"/>
        </w:rPr>
        <w:t xml:space="preserve"> </w:t>
      </w:r>
      <w:r>
        <w:rPr>
          <w:rStyle w:val="FunctionTok"/>
        </w:rPr>
        <w:t xml:space="preserve">floor</w:t>
      </w:r>
      <w:r>
        <w:rPr>
          <w:rStyle w:val="NormalTok"/>
        </w:rPr>
        <w:t xml:space="preserve">(n_clusters </w:t>
      </w:r>
      <w:r>
        <w:rPr>
          <w:rStyle w:val="SpecialCharTok"/>
        </w:rPr>
        <w:t xml:space="preserve">*</w:t>
      </w:r>
      <w:r>
        <w:rPr>
          <w:rStyle w:val="NormalTok"/>
        </w:rPr>
        <w:t xml:space="preserve"> </w:t>
      </w:r>
      <w:r>
        <w:rPr>
          <w:rStyle w:val="FloatTok"/>
        </w:rPr>
        <w:t xml:space="preserve">0.3</w:t>
      </w:r>
      <w:r>
        <w:rPr>
          <w:rStyle w:val="NormalTok"/>
        </w:rPr>
        <w:t xml:space="preserve">)</w:t>
      </w:r>
      <w:r>
        <w:br/>
      </w:r>
      <w:r>
        <w:br/>
      </w:r>
      <w:r>
        <w:rPr>
          <w:rStyle w:val="ControlFlowTok"/>
        </w:rPr>
        <w:t xml:space="preserve">for</w:t>
      </w:r>
      <w:r>
        <w:rPr>
          <w:rStyle w:val="NormalTok"/>
        </w:rPr>
        <w:t xml:space="preserve"> (population_sim </w:t>
      </w:r>
      <w:r>
        <w:rPr>
          <w:rStyle w:val="ControlFlowTok"/>
        </w:rPr>
        <w:t xml:space="preserve">in</w:t>
      </w:r>
      <w:r>
        <w:rPr>
          <w:rStyle w:val="NormalTok"/>
        </w:rPr>
        <w:t xml:space="preserve"> </w:t>
      </w:r>
      <w:r>
        <w:rPr>
          <w:rStyle w:val="FunctionTok"/>
        </w:rPr>
        <w:t xml:space="preserve">seq_len</w:t>
      </w:r>
      <w:r>
        <w:rPr>
          <w:rStyle w:val="NormalTok"/>
        </w:rPr>
        <w:t xml:space="preserve">(n_sim_population)) {</w:t>
      </w:r>
      <w:r>
        <w:br/>
      </w:r>
      <w:r>
        <w:rPr>
          <w:rStyle w:val="NormalTok"/>
        </w:rPr>
        <w:t xml:space="preserve">  outcome </w:t>
      </w:r>
      <w:r>
        <w:rPr>
          <w:rStyle w:val="OtherTok"/>
        </w:rPr>
        <w:t xml:space="preserve">&lt;-</w:t>
      </w:r>
      <w:r>
        <w:rPr>
          <w:rStyle w:val="NormalTok"/>
        </w:rPr>
        <w:t xml:space="preserve"> </w:t>
      </w:r>
      <w:r>
        <w:rPr>
          <w:rStyle w:val="FunctionTok"/>
        </w:rPr>
        <w:t xml:space="preserve">rbinom</w:t>
      </w:r>
      <w:r>
        <w:rPr>
          <w:rStyle w:val="NormalTok"/>
        </w:rPr>
        <w:t xml:space="preserve">(population_size, </w:t>
      </w:r>
      <w:r>
        <w:rPr>
          <w:rStyle w:val="DecValTok"/>
        </w:rPr>
        <w:t xml:space="preserve">1</w:t>
      </w:r>
      <w:r>
        <w:rPr>
          <w:rStyle w:val="NormalTok"/>
        </w:rPr>
        <w:t xml:space="preserve">, prob_person)</w:t>
      </w:r>
      <w:r>
        <w:br/>
      </w:r>
      <w:r>
        <w:rPr>
          <w:rStyle w:val="NormalTok"/>
        </w:rPr>
        <w:t xml:space="preserve">  population_means[population_sim] </w:t>
      </w:r>
      <w:r>
        <w:rPr>
          <w:rStyle w:val="OtherTok"/>
        </w:rPr>
        <w:t xml:space="preserve">&lt;-</w:t>
      </w:r>
      <w:r>
        <w:rPr>
          <w:rStyle w:val="NormalTok"/>
        </w:rPr>
        <w:t xml:space="preserve"> </w:t>
      </w:r>
      <w:r>
        <w:rPr>
          <w:rStyle w:val="FunctionTok"/>
        </w:rPr>
        <w:t xml:space="preserve">mean</w:t>
      </w:r>
      <w:r>
        <w:rPr>
          <w:rStyle w:val="NormalTok"/>
        </w:rPr>
        <w:t xml:space="preserve">(outcome)</w:t>
      </w:r>
      <w:r>
        <w:br/>
      </w:r>
      <w:r>
        <w:rPr>
          <w:rStyle w:val="NormalTok"/>
        </w:rPr>
        <w:t xml:space="preserve">  cluster_totals </w:t>
      </w:r>
      <w:r>
        <w:rPr>
          <w:rStyle w:val="OtherTok"/>
        </w:rPr>
        <w:t xml:space="preserve">&lt;-</w:t>
      </w:r>
      <w:r>
        <w:rPr>
          <w:rStyle w:val="NormalTok"/>
        </w:rPr>
        <w:t xml:space="preserve"> </w:t>
      </w:r>
      <w:r>
        <w:rPr>
          <w:rStyle w:val="FunctionTok"/>
        </w:rPr>
        <w:t xml:space="preserve">tapply</w:t>
      </w:r>
      <w:r>
        <w:rPr>
          <w:rStyle w:val="NormalTok"/>
        </w:rPr>
        <w:t xml:space="preserve">(outcome, cluster_id, sum)</w:t>
      </w:r>
      <w:r>
        <w:br/>
      </w:r>
      <w:r>
        <w:rPr>
          <w:rStyle w:val="NormalTok"/>
        </w:rPr>
        <w:t xml:space="preserve">  cluster_means </w:t>
      </w:r>
      <w:r>
        <w:rPr>
          <w:rStyle w:val="OtherTok"/>
        </w:rPr>
        <w:t xml:space="preserve">&lt;-</w:t>
      </w:r>
      <w:r>
        <w:rPr>
          <w:rStyle w:val="NormalTok"/>
        </w:rPr>
        <w:t xml:space="preserve"> </w:t>
      </w:r>
      <w:r>
        <w:rPr>
          <w:rStyle w:val="FunctionTok"/>
        </w:rPr>
        <w:t xml:space="preserve">tapply</w:t>
      </w:r>
      <w:r>
        <w:rPr>
          <w:rStyle w:val="NormalTok"/>
        </w:rPr>
        <w:t xml:space="preserve">(outcome, cluster_id, mean)</w:t>
      </w:r>
      <w:r>
        <w:br/>
      </w:r>
      <w:r>
        <w:br/>
      </w:r>
      <w:r>
        <w:rPr>
          <w:rStyle w:val="NormalTok"/>
        </w:rPr>
        <w:t xml:space="preserve">  design_estimates </w:t>
      </w:r>
      <w:r>
        <w:rPr>
          <w:rStyle w:val="OtherTok"/>
        </w:rPr>
        <w:t xml:space="preserve">&lt;-</w:t>
      </w:r>
      <w:r>
        <w:rPr>
          <w:rStyle w:val="NormalTok"/>
        </w:rPr>
        <w:t xml:space="preserve"> simple_estimates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for</w:t>
      </w:r>
      <w:r>
        <w:rPr>
          <w:rStyle w:val="NormalTok"/>
        </w:rPr>
        <w:t xml:space="preserve"> (sample_sim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DecValTok"/>
        </w:rPr>
        <w:t xml:space="preserve">100</w:t>
      </w:r>
      <w:r>
        <w:rPr>
          <w:rStyle w:val="NormalTok"/>
        </w:rPr>
        <w:t xml:space="preserve">)) {</w:t>
      </w:r>
      <w:r>
        <w:br/>
      </w:r>
      <w:r>
        <w:rPr>
          <w:rStyle w:val="NormalTok"/>
        </w:rPr>
        <w:t xml:space="preserve">    pps_sample </w:t>
      </w:r>
      <w:r>
        <w:rPr>
          <w:rStyle w:val="OtherTok"/>
        </w:rPr>
        <w:t xml:space="preserve">&lt;-</w:t>
      </w:r>
      <w:r>
        <w:rPr>
          <w:rStyle w:val="NormalTok"/>
        </w:rPr>
        <w:t xml:space="preserve"> </w:t>
      </w:r>
      <w:r>
        <w:rPr>
          <w:rStyle w:val="FunctionTok"/>
        </w:rPr>
        <w:t xml:space="preserve">S.piPS</w:t>
      </w:r>
      <w:r>
        <w:rPr>
          <w:rStyle w:val="NormalTok"/>
        </w:rPr>
        <w:t xml:space="preserve">(sampled_cluster_count, cluster_size)</w:t>
      </w:r>
      <w:r>
        <w:br/>
      </w:r>
      <w:r>
        <w:rPr>
          <w:rStyle w:val="NormalTok"/>
        </w:rPr>
        <w:t xml:space="preserve">    sampled_clusters </w:t>
      </w:r>
      <w:r>
        <w:rPr>
          <w:rStyle w:val="OtherTok"/>
        </w:rPr>
        <w:t xml:space="preserve">&lt;-</w:t>
      </w:r>
      <w:r>
        <w:rPr>
          <w:rStyle w:val="NormalTok"/>
        </w:rPr>
        <w:t xml:space="preserve"> pps_sample[, </w:t>
      </w:r>
      <w:r>
        <w:rPr>
          <w:rStyle w:val="DecValTok"/>
        </w:rPr>
        <w:t xml:space="preserve">1</w:t>
      </w:r>
      <w:r>
        <w:rPr>
          <w:rStyle w:val="NormalTok"/>
        </w:rPr>
        <w:t xml:space="preserve">]</w:t>
      </w:r>
      <w:r>
        <w:br/>
      </w:r>
      <w:r>
        <w:rPr>
          <w:rStyle w:val="NormalTok"/>
        </w:rPr>
        <w:t xml:space="preserve">    sampled_cluster_size </w:t>
      </w:r>
      <w:r>
        <w:rPr>
          <w:rStyle w:val="OtherTok"/>
        </w:rPr>
        <w:t xml:space="preserve">&lt;-</w:t>
      </w:r>
      <w:r>
        <w:rPr>
          <w:rStyle w:val="NormalTok"/>
        </w:rPr>
        <w:t xml:space="preserve"> cluster_size[sampled_clusters]</w:t>
      </w:r>
      <w:r>
        <w:br/>
      </w:r>
      <w:r>
        <w:rPr>
          <w:rStyle w:val="NormalTok"/>
        </w:rPr>
        <w:t xml:space="preserve">    sampled_cluster_total </w:t>
      </w:r>
      <w:r>
        <w:rPr>
          <w:rStyle w:val="OtherTok"/>
        </w:rPr>
        <w:t xml:space="preserve">&lt;-</w:t>
      </w:r>
      <w:r>
        <w:rPr>
          <w:rStyle w:val="NormalTok"/>
        </w:rPr>
        <w:t xml:space="preserve"> cluster_totals[sampled_clusters]</w:t>
      </w:r>
      <w:r>
        <w:br/>
      </w:r>
      <w:r>
        <w:rPr>
          <w:rStyle w:val="NormalTok"/>
        </w:rPr>
        <w:t xml:space="preserve">    sampled_cluster_mean </w:t>
      </w:r>
      <w:r>
        <w:rPr>
          <w:rStyle w:val="OtherTok"/>
        </w:rPr>
        <w:t xml:space="preserve">&lt;-</w:t>
      </w:r>
      <w:r>
        <w:rPr>
          <w:rStyle w:val="NormalTok"/>
        </w:rPr>
        <w:t xml:space="preserve"> cluster_means[sampled_clusters]</w:t>
      </w:r>
      <w:r>
        <w:br/>
      </w:r>
      <w:r>
        <w:rPr>
          <w:rStyle w:val="NormalTok"/>
        </w:rPr>
        <w:t xml:space="preserve">    design_estimates[sample_sim] </w:t>
      </w:r>
      <w:r>
        <w:rPr>
          <w:rStyle w:val="OtherTok"/>
        </w:rPr>
        <w:t xml:space="preserve">&lt;-</w:t>
      </w:r>
      <w:r>
        <w:rPr>
          <w:rStyle w:val="NormalTok"/>
        </w:rPr>
        <w:t xml:space="preserve"> </w:t>
      </w:r>
      <w:r>
        <w:rPr>
          <w:rStyle w:val="FunctionTok"/>
        </w:rPr>
        <w:t xml:space="preserve">mean</w:t>
      </w:r>
      <w:r>
        <w:rPr>
          <w:rStyle w:val="NormalTok"/>
        </w:rPr>
        <w:t xml:space="preserve">(sampled_cluster_mean)</w:t>
      </w:r>
      <w:r>
        <w:br/>
      </w:r>
      <w:r>
        <w:rPr>
          <w:rStyle w:val="NormalTok"/>
        </w:rPr>
        <w:t xml:space="preserve">    simple_estimates[sample_sim] </w:t>
      </w:r>
      <w:r>
        <w:rPr>
          <w:rStyle w:val="OtherTok"/>
        </w:rPr>
        <w:t xml:space="preserve">&lt;-</w:t>
      </w:r>
      <w:r>
        <w:br/>
      </w:r>
      <w:r>
        <w:rPr>
          <w:rStyle w:val="NormalTok"/>
        </w:rPr>
        <w:t xml:space="preserve">      </w:t>
      </w:r>
      <w:r>
        <w:rPr>
          <w:rStyle w:val="FunctionTok"/>
        </w:rPr>
        <w:t xml:space="preserve">sum</w:t>
      </w:r>
      <w:r>
        <w:rPr>
          <w:rStyle w:val="NormalTok"/>
        </w:rPr>
        <w:t xml:space="preserve">(sampled_cluster_total) </w:t>
      </w:r>
      <w:r>
        <w:rPr>
          <w:rStyle w:val="SpecialCharTok"/>
        </w:rPr>
        <w:t xml:space="preserve">/</w:t>
      </w:r>
      <w:r>
        <w:rPr>
          <w:rStyle w:val="NormalTok"/>
        </w:rPr>
        <w:t xml:space="preserve"> </w:t>
      </w:r>
      <w:r>
        <w:rPr>
          <w:rStyle w:val="FunctionTok"/>
        </w:rPr>
        <w:t xml:space="preserve">sum</w:t>
      </w:r>
      <w:r>
        <w:rPr>
          <w:rStyle w:val="NormalTok"/>
        </w:rPr>
        <w:t xml:space="preserve">(sampled_cluster_size)</w:t>
      </w:r>
      <w:r>
        <w:br/>
      </w:r>
      <w:r>
        <w:rPr>
          <w:rStyle w:val="NormalTok"/>
        </w:rPr>
        <w:t xml:space="preserve">  }</w:t>
      </w:r>
      <w:r>
        <w:br/>
      </w:r>
      <w:r>
        <w:rPr>
          <w:rStyle w:val="NormalTok"/>
        </w:rPr>
        <w:t xml:space="preserve">  expected_design_estimates[population_sim] </w:t>
      </w:r>
      <w:r>
        <w:rPr>
          <w:rStyle w:val="OtherTok"/>
        </w:rPr>
        <w:t xml:space="preserve">&lt;-</w:t>
      </w:r>
      <w:r>
        <w:rPr>
          <w:rStyle w:val="NormalTok"/>
        </w:rPr>
        <w:t xml:space="preserve"> </w:t>
      </w:r>
      <w:r>
        <w:rPr>
          <w:rStyle w:val="FunctionTok"/>
        </w:rPr>
        <w:t xml:space="preserve">mean</w:t>
      </w:r>
      <w:r>
        <w:rPr>
          <w:rStyle w:val="NormalTok"/>
        </w:rPr>
        <w:t xml:space="preserve">(design_estimates)</w:t>
      </w:r>
      <w:r>
        <w:br/>
      </w:r>
      <w:r>
        <w:rPr>
          <w:rStyle w:val="NormalTok"/>
        </w:rPr>
        <w:t xml:space="preserve">  expected_simple_estimates[population_sim] </w:t>
      </w:r>
      <w:r>
        <w:rPr>
          <w:rStyle w:val="OtherTok"/>
        </w:rPr>
        <w:t xml:space="preserve">&lt;-</w:t>
      </w:r>
      <w:r>
        <w:rPr>
          <w:rStyle w:val="NormalTok"/>
        </w:rPr>
        <w:t xml:space="preserve"> </w:t>
      </w:r>
      <w:r>
        <w:rPr>
          <w:rStyle w:val="FunctionTok"/>
        </w:rPr>
        <w:t xml:space="preserve">mean</w:t>
      </w:r>
      <w:r>
        <w:rPr>
          <w:rStyle w:val="NormalTok"/>
        </w:rPr>
        <w:t xml:space="preserve">(simple_estimates)</w:t>
      </w:r>
      <w:r>
        <w:br/>
      </w:r>
      <w:r>
        <w:rPr>
          <w:rStyle w:val="NormalTok"/>
        </w:rPr>
        <w:t xml:space="preserve">}</w:t>
      </w:r>
      <w:r>
        <w:br/>
      </w:r>
      <w:r>
        <w:br/>
      </w:r>
      <w:r>
        <w:rPr>
          <w:rStyle w:val="FunctionTok"/>
        </w:rPr>
        <w:t xml:space="preserve">cbind</w:t>
      </w:r>
      <w:r>
        <w:rPr>
          <w:rStyle w:val="NormalTok"/>
        </w:rPr>
        <w:t xml:space="preserve">(</w:t>
      </w:r>
      <w:r>
        <w:br/>
      </w:r>
      <w:r>
        <w:rPr>
          <w:rStyle w:val="NormalTok"/>
        </w:rPr>
        <w:t xml:space="preserve">  theta,</w:t>
      </w:r>
      <w:r>
        <w:br/>
      </w:r>
      <w:r>
        <w:rPr>
          <w:rStyle w:val="NormalTok"/>
        </w:rPr>
        <w:t xml:space="preserve">  </w:t>
      </w:r>
      <w:r>
        <w:rPr>
          <w:rStyle w:val="AttributeTok"/>
        </w:rPr>
        <w:t xml:space="preserve">mean_population =</w:t>
      </w:r>
      <w:r>
        <w:rPr>
          <w:rStyle w:val="NormalTok"/>
        </w:rPr>
        <w:t xml:space="preserve"> </w:t>
      </w:r>
      <w:r>
        <w:rPr>
          <w:rStyle w:val="FunctionTok"/>
        </w:rPr>
        <w:t xml:space="preserve">mean</w:t>
      </w:r>
      <w:r>
        <w:rPr>
          <w:rStyle w:val="NormalTok"/>
        </w:rPr>
        <w:t xml:space="preserve">(population_means),</w:t>
      </w:r>
      <w:r>
        <w:br/>
      </w:r>
      <w:r>
        <w:rPr>
          <w:rStyle w:val="NormalTok"/>
        </w:rPr>
        <w:t xml:space="preserve">  </w:t>
      </w:r>
      <w:r>
        <w:rPr>
          <w:rStyle w:val="AttributeTok"/>
        </w:rPr>
        <w:t xml:space="preserve">expected_pps =</w:t>
      </w:r>
      <w:r>
        <w:rPr>
          <w:rStyle w:val="NormalTok"/>
        </w:rPr>
        <w:t xml:space="preserve"> </w:t>
      </w:r>
      <w:r>
        <w:rPr>
          <w:rStyle w:val="FunctionTok"/>
        </w:rPr>
        <w:t xml:space="preserve">mean</w:t>
      </w:r>
      <w:r>
        <w:rPr>
          <w:rStyle w:val="NormalTok"/>
        </w:rPr>
        <w:t xml:space="preserve">(expected_design_estimates),</w:t>
      </w:r>
      <w:r>
        <w:br/>
      </w:r>
      <w:r>
        <w:rPr>
          <w:rStyle w:val="NormalTok"/>
        </w:rPr>
        <w:t xml:space="preserve">  </w:t>
      </w:r>
      <w:r>
        <w:rPr>
          <w:rStyle w:val="AttributeTok"/>
        </w:rPr>
        <w:t xml:space="preserve">bias_pps =</w:t>
      </w:r>
      <w:r>
        <w:rPr>
          <w:rStyle w:val="NormalTok"/>
        </w:rPr>
        <w:t xml:space="preserve"> </w:t>
      </w:r>
      <w:r>
        <w:rPr>
          <w:rStyle w:val="FunctionTok"/>
        </w:rPr>
        <w:t xml:space="preserve">mean</w:t>
      </w:r>
      <w:r>
        <w:rPr>
          <w:rStyle w:val="NormalTok"/>
        </w:rPr>
        <w:t xml:space="preserve">(expected_design_estimates) </w:t>
      </w:r>
      <w:r>
        <w:rPr>
          <w:rStyle w:val="SpecialCharTok"/>
        </w:rPr>
        <w:t xml:space="preserve">-</w:t>
      </w:r>
      <w:r>
        <w:rPr>
          <w:rStyle w:val="NormalTok"/>
        </w:rPr>
        <w:t xml:space="preserve"> theta,</w:t>
      </w:r>
      <w:r>
        <w:br/>
      </w:r>
      <w:r>
        <w:rPr>
          <w:rStyle w:val="NormalTok"/>
        </w:rPr>
        <w:t xml:space="preserve">  </w:t>
      </w:r>
      <w:r>
        <w:rPr>
          <w:rStyle w:val="AttributeTok"/>
        </w:rPr>
        <w:t xml:space="preserve">expected_simple =</w:t>
      </w:r>
      <w:r>
        <w:rPr>
          <w:rStyle w:val="NormalTok"/>
        </w:rPr>
        <w:t xml:space="preserve"> </w:t>
      </w:r>
      <w:r>
        <w:rPr>
          <w:rStyle w:val="FunctionTok"/>
        </w:rPr>
        <w:t xml:space="preserve">mean</w:t>
      </w:r>
      <w:r>
        <w:rPr>
          <w:rStyle w:val="NormalTok"/>
        </w:rPr>
        <w:t xml:space="preserve">(expected_simple_estimates),</w:t>
      </w:r>
      <w:r>
        <w:br/>
      </w:r>
      <w:r>
        <w:rPr>
          <w:rStyle w:val="NormalTok"/>
        </w:rPr>
        <w:t xml:space="preserve">  </w:t>
      </w:r>
      <w:r>
        <w:rPr>
          <w:rStyle w:val="AttributeTok"/>
        </w:rPr>
        <w:t xml:space="preserve">bias_simple =</w:t>
      </w:r>
      <w:r>
        <w:rPr>
          <w:rStyle w:val="NormalTok"/>
        </w:rPr>
        <w:t xml:space="preserve"> </w:t>
      </w:r>
      <w:r>
        <w:rPr>
          <w:rStyle w:val="FunctionTok"/>
        </w:rPr>
        <w:t xml:space="preserve">mean</w:t>
      </w:r>
      <w:r>
        <w:rPr>
          <w:rStyle w:val="NormalTok"/>
        </w:rPr>
        <w:t xml:space="preserve">(expected_simple_estimates) </w:t>
      </w:r>
      <w:r>
        <w:rPr>
          <w:rStyle w:val="SpecialCharTok"/>
        </w:rPr>
        <w:t xml:space="preserve">-</w:t>
      </w:r>
      <w:r>
        <w:rPr>
          <w:rStyle w:val="NormalTok"/>
        </w:rPr>
        <w:t xml:space="preserve"> theta</w:t>
      </w:r>
      <w:r>
        <w:br/>
      </w:r>
      <w:r>
        <w:rPr>
          <w:rStyle w:val="NormalTok"/>
        </w:rPr>
        <w:t xml:space="preserve">)</w:t>
      </w:r>
    </w:p>
    <w:p>
      <w:pPr>
        <w:pStyle w:val="SourceCode"/>
      </w:pPr>
      <w:r>
        <w:rPr>
          <w:rStyle w:val="VerbatimChar"/>
        </w:rPr>
        <w:t xml:space="preserve">     theta mean_population expected_pps bias_pps expected_simple bias_simple</w:t>
      </w:r>
      <w:r>
        <w:br/>
      </w:r>
      <w:r>
        <w:rPr>
          <w:rStyle w:val="VerbatimChar"/>
        </w:rPr>
        <w:t xml:space="preserve">[1,]   0.3           0.304        0.302  0.00248           0.332      0.0317</w:t>
      </w:r>
    </w:p>
    <w:p>
      <w:pPr>
        <w:pStyle w:val="FirstParagraph"/>
      </w:pPr>
      <w:r>
        <w:t xml:space="preserve">El código reproduce las dos fuentes de aleatoriedad. El ciclo externo representa el modelo</w:t>
      </w:r>
      <w:r>
        <w:t xml:space="preserve"> </w:t>
      </w:r>
      <m:oMath>
        <m:r>
          <m:t>ξ</m:t>
        </m:r>
      </m:oMath>
      <w:r>
        <w:t xml:space="preserve">, porque genera nuevas poblaciones finitas con</w:t>
      </w:r>
      <w:r>
        <w:t xml:space="preserve"> </w:t>
      </w:r>
      <w:r>
        <w:rPr>
          <w:rStyle w:val="VerbatimChar"/>
        </w:rPr>
        <w:t xml:space="preserve">rbinom()</w:t>
      </w:r>
      <w:r>
        <w:t xml:space="preserve">. El ciclo interno representa el diseño</w:t>
      </w:r>
      <w:r>
        <w:t xml:space="preserve"> </w:t>
      </w:r>
      <m:oMath>
        <m:r>
          <m:t>p</m:t>
        </m:r>
      </m:oMath>
      <w:r>
        <w:t xml:space="preserve">, porque para cada población se seleccionan múltiples muestras con</w:t>
      </w:r>
      <w:r>
        <w:t xml:space="preserve"> </w:t>
      </w:r>
      <w:r>
        <w:rPr>
          <w:rStyle w:val="VerbatimChar"/>
        </w:rPr>
        <w:t xml:space="preserve">S.piPS()</w:t>
      </w:r>
      <w:r>
        <w:t xml:space="preserve">. La salida incluye</w:t>
      </w:r>
      <w:r>
        <w:t xml:space="preserve"> </w:t>
      </w:r>
      <w:r>
        <w:rPr>
          <w:rStyle w:val="VerbatimChar"/>
        </w:rPr>
        <w:t xml:space="preserve">mean_population</w:t>
      </w:r>
      <w:r>
        <w:t xml:space="preserve">, que es el promedio de las medias poblacionales generadas;</w:t>
      </w:r>
      <w:r>
        <w:t xml:space="preserve"> </w:t>
      </w:r>
      <w:r>
        <w:rPr>
          <w:rStyle w:val="VerbatimChar"/>
        </w:rPr>
        <w:t xml:space="preserve">expected_pps</w:t>
      </w:r>
      <w:r>
        <w:t xml:space="preserve">, que resume el comportamiento del estimador que incorpora el diseño; y</w:t>
      </w:r>
      <w:r>
        <w:t xml:space="preserve"> </w:t>
      </w:r>
      <w:r>
        <w:rPr>
          <w:rStyle w:val="VerbatimChar"/>
        </w:rPr>
        <w:t xml:space="preserve">expected_simple</w:t>
      </w:r>
      <w:r>
        <w:t xml:space="preserve">, que resume el promedio simple de la muestra seleccionada. Cuando el diseño se incorpora correctamente, el sesgo Monte Carlo respecto de</w:t>
      </w:r>
      <w:r>
        <w:t xml:space="preserve"> </w:t>
      </w:r>
      <w:r>
        <w:rPr>
          <w:rStyle w:val="VerbatimChar"/>
        </w:rPr>
        <w:t xml:space="preserve">theta</w:t>
      </w:r>
      <w:r>
        <w:t xml:space="preserve"> </w:t>
      </w:r>
      <w:r>
        <w:t xml:space="preserve">debe ser pequeño. La comparación con</w:t>
      </w:r>
      <w:r>
        <w:t xml:space="preserve"> </w:t>
      </w:r>
      <w:r>
        <w:rPr>
          <w:rStyle w:val="VerbatimChar"/>
        </w:rPr>
        <w:t xml:space="preserve">expected_simple</w:t>
      </w:r>
      <w:r>
        <w:t xml:space="preserve"> </w:t>
      </w:r>
      <w:r>
        <w:t xml:space="preserve">muestra por qué la inferencia basada en encuestas requiere pesos y varianzas de diseño, incluso cuando se parte de un modelo estadístico sencillo.</w:t>
      </w:r>
    </w:p>
    <w:p>
      <w:pPr>
        <w:pStyle w:val="BodyText"/>
      </w:pPr>
      <w:r>
        <w:t xml:space="preserve">Como explica</w:t>
      </w:r>
      <w:r>
        <w:t xml:space="preserve"> </w:t>
      </w:r>
      <w:r>
        <w:t xml:space="preserve">Pfeffermann (1993)</w:t>
      </w:r>
      <w:r>
        <w:t xml:space="preserve">, en síntesis, la máxima verosimilitud ordinaria es adecuada cuando las observaciones pueden tratarse como IID bajo un modelo probabilístico. En encuestas complejas, la máxima pseudo-verosimilitud ofrece una extensión natural: conserva la estructura de las ecuaciones de estimación, pero pondera cada contribución individual por su peso muestral. La ponderación protege frente a ciertos diseños informativos o a determinadas especificaciones incorrectas, pero su necesidad y sus propiedades dependen del diseño y del modelo. Así, los modelos estadísticos se ajustan de manera más coherente con la población que la encuesta busca representar.</w:t>
      </w:r>
    </w:p>
    <w:bookmarkEnd w:id="307"/>
    <w:bookmarkEnd w:id="308"/>
    <w:bookmarkEnd w:id="309"/>
    <w:bookmarkStart w:id="476" w:name="referencias"/>
    <w:p>
      <w:pPr>
        <w:pStyle w:val="Heading1"/>
      </w:pPr>
      <w:r>
        <w:t xml:space="preserve">Referencias</w:t>
      </w:r>
    </w:p>
    <w:bookmarkStart w:id="475" w:name="refs"/>
    <w:bookmarkStart w:id="311" w:name="ref-Agresti2019Intro"/>
    <w:p>
      <w:pPr>
        <w:pStyle w:val="Bibliography"/>
      </w:pPr>
      <w:r>
        <w:t xml:space="preserve">Agresti, Alan. 2019.</w:t>
      </w:r>
      <w:r>
        <w:t xml:space="preserve"> </w:t>
      </w:r>
      <w:r>
        <w:rPr>
          <w:i/>
          <w:iCs/>
        </w:rPr>
        <w:t xml:space="preserve">An Introduction to Categorical Data Analysis</w:t>
      </w:r>
      <w:r>
        <w:t xml:space="preserve">. 3.ª ed. John Wiley &amp; Sons.</w:t>
      </w:r>
      <w:r>
        <w:t xml:space="preserve"> </w:t>
      </w:r>
      <w:hyperlink r:id="rId310">
        <w:r>
          <w:rPr>
            <w:rStyle w:val="Hyperlink"/>
          </w:rPr>
          <w:t xml:space="preserve">https://doi.org/10.1002/9781119405283</w:t>
        </w:r>
      </w:hyperlink>
      <w:r>
        <w:t xml:space="preserve">.</w:t>
      </w:r>
    </w:p>
    <w:bookmarkEnd w:id="311"/>
    <w:bookmarkStart w:id="313" w:name="ref-asparouhov2006general"/>
    <w:p>
      <w:pPr>
        <w:pStyle w:val="Bibliography"/>
      </w:pPr>
      <w:r>
        <w:t xml:space="preserve">Asparouhov, Tihomir. 2006.</w:t>
      </w:r>
      <w:r>
        <w:t xml:space="preserve"> </w:t>
      </w:r>
      <w:r>
        <w:t xml:space="preserve">«General Multi-Level Modeling with Sampling Weights»</w:t>
      </w:r>
      <w:r>
        <w:t xml:space="preserve">.</w:t>
      </w:r>
      <w:r>
        <w:t xml:space="preserve"> </w:t>
      </w:r>
      <w:r>
        <w:rPr>
          <w:i/>
          <w:iCs/>
        </w:rPr>
        <w:t xml:space="preserve">Communications in Statistics, Theory and Methods</w:t>
      </w:r>
      <w:r>
        <w:t xml:space="preserve"> </w:t>
      </w:r>
      <w:r>
        <w:t xml:space="preserve">35 (3): 439-60.</w:t>
      </w:r>
      <w:r>
        <w:t xml:space="preserve"> </w:t>
      </w:r>
      <w:hyperlink r:id="rId312">
        <w:r>
          <w:rPr>
            <w:rStyle w:val="Hyperlink"/>
          </w:rPr>
          <w:t xml:space="preserve">https://doi.org/10.1080/03610920500476598</w:t>
        </w:r>
      </w:hyperlink>
      <w:r>
        <w:t xml:space="preserve">.</w:t>
      </w:r>
    </w:p>
    <w:bookmarkEnd w:id="313"/>
    <w:bookmarkStart w:id="315" w:name="ref-pipe"/>
    <w:p>
      <w:pPr>
        <w:pStyle w:val="Bibliography"/>
      </w:pPr>
      <w:r>
        <w:t xml:space="preserve">Bache, Stefan Milton, y Hadley Wickham. 2026.</w:t>
      </w:r>
      <w:r>
        <w:t xml:space="preserve"> </w:t>
      </w:r>
      <w:r>
        <w:rPr>
          <w:i/>
          <w:iCs/>
        </w:rPr>
        <w:t xml:space="preserve">magrittr: A Forward-Pipe Operator for R</w:t>
      </w:r>
      <w:r>
        <w:t xml:space="preserve">.</w:t>
      </w:r>
      <w:r>
        <w:t xml:space="preserve"> </w:t>
      </w:r>
      <w:hyperlink r:id="rId314">
        <w:r>
          <w:rPr>
            <w:rStyle w:val="Hyperlink"/>
          </w:rPr>
          <w:t xml:space="preserve">https://doi.org/10.32614/CRAN.package.magrittr</w:t>
        </w:r>
      </w:hyperlink>
      <w:r>
        <w:t xml:space="preserve">.</w:t>
      </w:r>
    </w:p>
    <w:bookmarkEnd w:id="315"/>
    <w:bookmarkStart w:id="317" w:name="ref-BatesEtAl2015"/>
    <w:p>
      <w:pPr>
        <w:pStyle w:val="Bibliography"/>
      </w:pPr>
      <w:r>
        <w:t xml:space="preserve">Bates, Douglas, Martin Mächler, Ben Bolker, y Steve Walker. 2015.</w:t>
      </w:r>
      <w:r>
        <w:t xml:space="preserve"> </w:t>
      </w:r>
      <w:r>
        <w:t xml:space="preserve">«Fitting Linear Mixed-Effects Models Using lme4»</w:t>
      </w:r>
      <w:r>
        <w:t xml:space="preserve">.</w:t>
      </w:r>
      <w:r>
        <w:t xml:space="preserve"> </w:t>
      </w:r>
      <w:r>
        <w:rPr>
          <w:i/>
          <w:iCs/>
        </w:rPr>
        <w:t xml:space="preserve">Journal of Statistical Software</w:t>
      </w:r>
      <w:r>
        <w:t xml:space="preserve"> </w:t>
      </w:r>
      <w:r>
        <w:t xml:space="preserve">67 (1): 1-48.</w:t>
      </w:r>
      <w:r>
        <w:t xml:space="preserve"> </w:t>
      </w:r>
      <w:hyperlink r:id="rId316">
        <w:r>
          <w:rPr>
            <w:rStyle w:val="Hyperlink"/>
          </w:rPr>
          <w:t xml:space="preserve">https://doi.org/10.18637/jss.v067.i01</w:t>
        </w:r>
      </w:hyperlink>
      <w:r>
        <w:t xml:space="preserve">.</w:t>
      </w:r>
    </w:p>
    <w:bookmarkEnd w:id="317"/>
    <w:bookmarkStart w:id="318" w:name="ref-bautista1998"/>
    <w:p>
      <w:pPr>
        <w:pStyle w:val="Bibliography"/>
      </w:pPr>
      <w:r>
        <w:t xml:space="preserve">Bautista, Leonardo. 1998.</w:t>
      </w:r>
      <w:r>
        <w:t xml:space="preserve"> </w:t>
      </w:r>
      <w:r>
        <w:t xml:space="preserve">«Diseños de muestreo estadístico»</w:t>
      </w:r>
      <w:r>
        <w:t xml:space="preserve">.</w:t>
      </w:r>
      <w:r>
        <w:t xml:space="preserve"> </w:t>
      </w:r>
      <w:r>
        <w:rPr>
          <w:i/>
          <w:iCs/>
        </w:rPr>
        <w:t xml:space="preserve">Universidad Nacional de Colombia</w:t>
      </w:r>
      <w:r>
        <w:t xml:space="preserve">.</w:t>
      </w:r>
    </w:p>
    <w:bookmarkEnd w:id="318"/>
    <w:bookmarkStart w:id="319" w:name="ref-binder1983variances"/>
    <w:p>
      <w:pPr>
        <w:pStyle w:val="Bibliography"/>
      </w:pPr>
      <w:r>
        <w:t xml:space="preserve">Binder, David A. 1983.</w:t>
      </w:r>
      <w:r>
        <w:t xml:space="preserve"> </w:t>
      </w:r>
      <w:r>
        <w:t xml:space="preserve">«On the variances of asymptotically normal estimators from complex surveys»</w:t>
      </w:r>
      <w:r>
        <w:t xml:space="preserve">.</w:t>
      </w:r>
      <w:r>
        <w:t xml:space="preserve"> </w:t>
      </w:r>
      <w:r>
        <w:rPr>
          <w:i/>
          <w:iCs/>
        </w:rPr>
        <w:t xml:space="preserve">International Statistical Review/Revue Internationale de Statistique</w:t>
      </w:r>
      <w:r>
        <w:t xml:space="preserve">, 279-92.</w:t>
      </w:r>
    </w:p>
    <w:bookmarkEnd w:id="319"/>
    <w:bookmarkStart w:id="320" w:name="ref-binder2011estimating"/>
    <w:p>
      <w:pPr>
        <w:pStyle w:val="Bibliography"/>
      </w:pPr>
      <w:r>
        <w:t xml:space="preserve">Binder, David A. 2011.</w:t>
      </w:r>
      <w:r>
        <w:t xml:space="preserve"> </w:t>
      </w:r>
      <w:r>
        <w:t xml:space="preserve">«Estimating model parameters from a complex survey under a model-design randomization framework»</w:t>
      </w:r>
      <w:r>
        <w:t xml:space="preserve">.</w:t>
      </w:r>
      <w:r>
        <w:t xml:space="preserve"> </w:t>
      </w:r>
      <w:r>
        <w:rPr>
          <w:i/>
          <w:iCs/>
        </w:rPr>
        <w:t xml:space="preserve">Pakistan Journal of Statistics</w:t>
      </w:r>
      <w:r>
        <w:t xml:space="preserve"> </w:t>
      </w:r>
      <w:r>
        <w:t xml:space="preserve">27 (4).</w:t>
      </w:r>
    </w:p>
    <w:bookmarkEnd w:id="320"/>
    <w:bookmarkStart w:id="322" w:name="ref-BinderKovacevic1995"/>
    <w:p>
      <w:pPr>
        <w:pStyle w:val="Bibliography"/>
      </w:pPr>
      <w:r>
        <w:t xml:space="preserve">Binder, David A., y Milorad S. Kovačević. 1995.</w:t>
      </w:r>
      <w:r>
        <w:t xml:space="preserve"> </w:t>
      </w:r>
      <w:r>
        <w:t xml:space="preserve">«Estimating Some Measures of Income Inequality from Survey Data: An Application of the Estimating Equations Approach»</w:t>
      </w:r>
      <w:r>
        <w:t xml:space="preserve">.</w:t>
      </w:r>
      <w:r>
        <w:t xml:space="preserve"> </w:t>
      </w:r>
      <w:r>
        <w:rPr>
          <w:i/>
          <w:iCs/>
        </w:rPr>
        <w:t xml:space="preserve">Survey Methodology</w:t>
      </w:r>
      <w:r>
        <w:t xml:space="preserve"> </w:t>
      </w:r>
      <w:r>
        <w:t xml:space="preserve">21 (2): 137-45.</w:t>
      </w:r>
      <w:r>
        <w:t xml:space="preserve"> </w:t>
      </w:r>
      <w:hyperlink r:id="rId321">
        <w:r>
          <w:rPr>
            <w:rStyle w:val="Hyperlink"/>
          </w:rPr>
          <w:t xml:space="preserve">https://www150.statcan.gc.ca/n1/en/catalogue/12-001-X199500214396</w:t>
        </w:r>
      </w:hyperlink>
      <w:r>
        <w:t xml:space="preserve">.</w:t>
      </w:r>
    </w:p>
    <w:bookmarkEnd w:id="322"/>
    <w:bookmarkStart w:id="324" w:name="ref-browne2006comparison"/>
    <w:p>
      <w:pPr>
        <w:pStyle w:val="Bibliography"/>
      </w:pPr>
      <w:r>
        <w:t xml:space="preserve">Browne, William J., y David Draper. 2006.</w:t>
      </w:r>
      <w:r>
        <w:t xml:space="preserve"> </w:t>
      </w:r>
      <w:r>
        <w:t xml:space="preserve">«A Comparison of Bayesian and Likelihood-Based Methods for Fitting Multilevel Models»</w:t>
      </w:r>
      <w:r>
        <w:t xml:space="preserve">.</w:t>
      </w:r>
      <w:r>
        <w:t xml:space="preserve"> </w:t>
      </w:r>
      <w:r>
        <w:rPr>
          <w:i/>
          <w:iCs/>
        </w:rPr>
        <w:t xml:space="preserve">Bayesian Analysis</w:t>
      </w:r>
      <w:r>
        <w:t xml:space="preserve"> </w:t>
      </w:r>
      <w:r>
        <w:t xml:space="preserve">1 (3): 473-514.</w:t>
      </w:r>
      <w:r>
        <w:t xml:space="preserve"> </w:t>
      </w:r>
      <w:hyperlink r:id="rId323">
        <w:r>
          <w:rPr>
            <w:rStyle w:val="Hyperlink"/>
          </w:rPr>
          <w:t xml:space="preserve">https://doi.org/10.1214/06-BA117</w:t>
        </w:r>
      </w:hyperlink>
      <w:r>
        <w:t xml:space="preserve">.</w:t>
      </w:r>
    </w:p>
    <w:bookmarkEnd w:id="324"/>
    <w:bookmarkStart w:id="325" w:name="ref-bruch2011variance"/>
    <w:p>
      <w:pPr>
        <w:pStyle w:val="Bibliography"/>
      </w:pPr>
      <w:r>
        <w:t xml:space="preserve">Bruch, Christian, Ralf Münnich, y Stefan Zins. 2011.</w:t>
      </w:r>
      <w:r>
        <w:t xml:space="preserve"> </w:t>
      </w:r>
      <w:r>
        <w:t xml:space="preserve">«Variance estimation for complex surveys»</w:t>
      </w:r>
      <w:r>
        <w:t xml:space="preserve">.</w:t>
      </w:r>
      <w:r>
        <w:t xml:space="preserve"> </w:t>
      </w:r>
      <w:r>
        <w:rPr>
          <w:i/>
          <w:iCs/>
        </w:rPr>
        <w:t xml:space="preserve">Deliverable D3</w:t>
      </w:r>
      <w:r>
        <w:t xml:space="preserve"> </w:t>
      </w:r>
      <w:r>
        <w:t xml:space="preserve">1.</w:t>
      </w:r>
    </w:p>
    <w:bookmarkEnd w:id="325"/>
    <w:bookmarkStart w:id="327" w:name="ref-cai2013investigation"/>
    <w:p>
      <w:pPr>
        <w:pStyle w:val="Bibliography"/>
      </w:pPr>
      <w:r>
        <w:t xml:space="preserve">Cai, Tianji. 2013.</w:t>
      </w:r>
      <w:r>
        <w:t xml:space="preserve"> </w:t>
      </w:r>
      <w:r>
        <w:t xml:space="preserve">«Investigation of Ways to Handle Sampling Weights for Multilevel Model Analyses»</w:t>
      </w:r>
      <w:r>
        <w:t xml:space="preserve">.</w:t>
      </w:r>
      <w:r>
        <w:t xml:space="preserve"> </w:t>
      </w:r>
      <w:r>
        <w:rPr>
          <w:i/>
          <w:iCs/>
        </w:rPr>
        <w:t xml:space="preserve">Sociological Methodology</w:t>
      </w:r>
      <w:r>
        <w:t xml:space="preserve"> </w:t>
      </w:r>
      <w:r>
        <w:t xml:space="preserve">43 (1): 178-219.</w:t>
      </w:r>
      <w:r>
        <w:t xml:space="preserve"> </w:t>
      </w:r>
      <w:hyperlink r:id="rId326">
        <w:r>
          <w:rPr>
            <w:rStyle w:val="Hyperlink"/>
          </w:rPr>
          <w:t xml:space="preserve">https://doi.org/10.1177/0081175013490035</w:t>
        </w:r>
      </w:hyperlink>
      <w:r>
        <w:t xml:space="preserve">.</w:t>
      </w:r>
    </w:p>
    <w:bookmarkEnd w:id="327"/>
    <w:bookmarkStart w:id="329" w:name="ref-Carle2009"/>
    <w:p>
      <w:pPr>
        <w:pStyle w:val="Bibliography"/>
      </w:pPr>
      <w:r>
        <w:t xml:space="preserve">Carle, Adam C. 2009.</w:t>
      </w:r>
      <w:r>
        <w:t xml:space="preserve"> </w:t>
      </w:r>
      <w:r>
        <w:t xml:space="preserve">«Fitting Multilevel Models in Complex Survey Data with Design Weights: Recommendations»</w:t>
      </w:r>
      <w:r>
        <w:t xml:space="preserve">.</w:t>
      </w:r>
      <w:r>
        <w:t xml:space="preserve"> </w:t>
      </w:r>
      <w:r>
        <w:rPr>
          <w:i/>
          <w:iCs/>
        </w:rPr>
        <w:t xml:space="preserve">BMC Medical Research Methodology</w:t>
      </w:r>
      <w:r>
        <w:t xml:space="preserve"> </w:t>
      </w:r>
      <w:r>
        <w:t xml:space="preserve">9: 49.</w:t>
      </w:r>
      <w:r>
        <w:t xml:space="preserve"> </w:t>
      </w:r>
      <w:hyperlink r:id="rId328">
        <w:r>
          <w:rPr>
            <w:rStyle w:val="Hyperlink"/>
          </w:rPr>
          <w:t xml:space="preserve">https://doi.org/10.1186/1471-2288-9-49</w:t>
        </w:r>
      </w:hyperlink>
      <w:r>
        <w:t xml:space="preserve">.</w:t>
      </w:r>
    </w:p>
    <w:bookmarkEnd w:id="329"/>
    <w:bookmarkStart w:id="330" w:name="ref-CasellaBerger2002"/>
    <w:p>
      <w:pPr>
        <w:pStyle w:val="Bibliography"/>
      </w:pPr>
      <w:r>
        <w:t xml:space="preserve">Casella, George, y Roger L. Berger. 2002.</w:t>
      </w:r>
      <w:r>
        <w:t xml:space="preserve"> </w:t>
      </w:r>
      <w:r>
        <w:rPr>
          <w:i/>
          <w:iCs/>
        </w:rPr>
        <w:t xml:space="preserve">Statistical Inference</w:t>
      </w:r>
      <w:r>
        <w:t xml:space="preserve">. 2.ª ed. Duxbury.</w:t>
      </w:r>
    </w:p>
    <w:bookmarkEnd w:id="330"/>
    <w:bookmarkStart w:id="332" w:name="ref-CEPAL2023Diseno"/>
    <w:p>
      <w:pPr>
        <w:pStyle w:val="Bibliography"/>
      </w:pPr>
      <w:r>
        <w:t xml:space="preserve">CEPAL. 2023.</w:t>
      </w:r>
      <w:r>
        <w:t xml:space="preserve"> </w:t>
      </w:r>
      <w:r>
        <w:rPr>
          <w:i/>
          <w:iCs/>
        </w:rPr>
        <w:t xml:space="preserve">Diseño y análisis estadístico de las encuestas de hogares de América Latina</w:t>
      </w:r>
      <w:r>
        <w:t xml:space="preserve">. Metodologías de la CEPAL 5. Naciones Unidas.</w:t>
      </w:r>
      <w:r>
        <w:t xml:space="preserve"> </w:t>
      </w:r>
      <w:hyperlink r:id="rId331">
        <w:r>
          <w:rPr>
            <w:rStyle w:val="Hyperlink"/>
          </w:rPr>
          <w:t xml:space="preserve">https://repositorio.cepal.org/server/api/core/bitstreams/14d443ec-8f1e-44a7-b22b-9f124f205abe/content</w:t>
        </w:r>
      </w:hyperlink>
      <w:r>
        <w:t xml:space="preserve">.</w:t>
      </w:r>
    </w:p>
    <w:bookmarkEnd w:id="332"/>
    <w:bookmarkStart w:id="334" w:name="ref-ChambersSkinner2003"/>
    <w:p>
      <w:pPr>
        <w:pStyle w:val="Bibliography"/>
      </w:pPr>
      <w:r>
        <w:t xml:space="preserve">Chambers, Raymond L., y Chris J. Skinner, eds. 2003.</w:t>
      </w:r>
      <w:r>
        <w:t xml:space="preserve"> </w:t>
      </w:r>
      <w:r>
        <w:rPr>
          <w:i/>
          <w:iCs/>
        </w:rPr>
        <w:t xml:space="preserve">Analysis of Survey Data</w:t>
      </w:r>
      <w:r>
        <w:t xml:space="preserve">. John Wiley &amp; Sons.</w:t>
      </w:r>
      <w:r>
        <w:t xml:space="preserve"> </w:t>
      </w:r>
      <w:hyperlink r:id="rId333">
        <w:r>
          <w:rPr>
            <w:rStyle w:val="Hyperlink"/>
          </w:rPr>
          <w:t xml:space="preserve">https://doi.org/10.1002/0470867205</w:t>
        </w:r>
      </w:hyperlink>
      <w:r>
        <w:t xml:space="preserve">.</w:t>
      </w:r>
    </w:p>
    <w:bookmarkEnd w:id="334"/>
    <w:bookmarkStart w:id="335" w:name="ref-cochran1977sampling"/>
    <w:p>
      <w:pPr>
        <w:pStyle w:val="Bibliography"/>
      </w:pPr>
      <w:r>
        <w:t xml:space="preserve">Cochran, William Gemmell. 1977.</w:t>
      </w:r>
      <w:r>
        <w:t xml:space="preserve"> </w:t>
      </w:r>
      <w:r>
        <w:rPr>
          <w:i/>
          <w:iCs/>
        </w:rPr>
        <w:t xml:space="preserve">Sampling techniques</w:t>
      </w:r>
      <w:r>
        <w:t xml:space="preserve">. John Wiley &amp; Sons.</w:t>
      </w:r>
    </w:p>
    <w:bookmarkEnd w:id="335"/>
    <w:bookmarkStart w:id="337"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r>
        <w:t xml:space="preserve"> </w:t>
      </w:r>
      <w:hyperlink r:id="rId336">
        <w:r>
          <w:rPr>
            <w:rStyle w:val="Hyperlink"/>
          </w:rPr>
          <w:t xml:space="preserve">https://doi.org/10.1080/01621459.1992.10475217</w:t>
        </w:r>
      </w:hyperlink>
      <w:r>
        <w:t xml:space="preserve">.</w:t>
      </w:r>
    </w:p>
    <w:bookmarkEnd w:id="337"/>
    <w:bookmarkStart w:id="339" w:name="ref-DiazMoralesLeon2018"/>
    <w:p>
      <w:pPr>
        <w:pStyle w:val="Bibliography"/>
      </w:pPr>
      <w:r>
        <w:t xml:space="preserve">Díaz Monroy, Luis Guillermo, Mario Alfonso Morales Rivera, y Leidy Rocío León Dávila. 2018.</w:t>
      </w:r>
      <w:r>
        <w:t xml:space="preserve"> </w:t>
      </w:r>
      <w:r>
        <w:rPr>
          <w:i/>
          <w:iCs/>
        </w:rPr>
        <w:t xml:space="preserve">Análisis estadístico de datos categóricos</w:t>
      </w:r>
      <w:r>
        <w:t xml:space="preserve">. 1.ª ed. Editorial Universidad Nacional de Colombia.</w:t>
      </w:r>
      <w:r>
        <w:t xml:space="preserve"> </w:t>
      </w:r>
      <w:hyperlink r:id="rId338">
        <w:r>
          <w:rPr>
            <w:rStyle w:val="Hyperlink"/>
          </w:rPr>
          <w:t xml:space="preserve">https://portaldelibros.unal.edu.co/gpd-anyalisis-estadyustico-de-datos-categy-ricos-9789587834376-667e35367b60f.html</w:t>
        </w:r>
      </w:hyperlink>
      <w:r>
        <w:t xml:space="preserve">.</w:t>
      </w:r>
    </w:p>
    <w:bookmarkEnd w:id="339"/>
    <w:bookmarkStart w:id="340" w:name="ref-DorfmanValliant1993"/>
    <w:p>
      <w:pPr>
        <w:pStyle w:val="Bibliography"/>
      </w:pPr>
      <w:r>
        <w:t xml:space="preserve">Dorfman, Alan H., y Richard Valliant. 1993.</w:t>
      </w:r>
      <w:r>
        <w:t xml:space="preserve"> </w:t>
      </w:r>
      <w:r>
        <w:t xml:space="preserve">«Quantile Variance Estimators in Complex Surveys»</w:t>
      </w:r>
      <w:r>
        <w:t xml:space="preserve">.</w:t>
      </w:r>
      <w:r>
        <w:t xml:space="preserve"> </w:t>
      </w:r>
      <w:r>
        <w:rPr>
          <w:i/>
          <w:iCs/>
        </w:rPr>
        <w:t xml:space="preserve">Proceedings of the Survey Research Methods Section</w:t>
      </w:r>
      <w:r>
        <w:t xml:space="preserve">, 866-71.</w:t>
      </w:r>
    </w:p>
    <w:bookmarkEnd w:id="340"/>
    <w:bookmarkStart w:id="342" w:name="ref-efron1979bootstrap"/>
    <w:p>
      <w:pPr>
        <w:pStyle w:val="Bibliography"/>
      </w:pPr>
      <w:r>
        <w:t xml:space="preserve">Efron, Bradley. 1979.</w:t>
      </w:r>
      <w:r>
        <w:t xml:space="preserve"> </w:t>
      </w:r>
      <w:r>
        <w:t xml:space="preserve">«Bootstrap methods: Another look at the jackknife»</w:t>
      </w:r>
      <w:r>
        <w:t xml:space="preserve">.</w:t>
      </w:r>
      <w:r>
        <w:t xml:space="preserve"> </w:t>
      </w:r>
      <w:r>
        <w:rPr>
          <w:i/>
          <w:iCs/>
        </w:rPr>
        <w:t xml:space="preserve">The Annals of Statistics</w:t>
      </w:r>
      <w:r>
        <w:t xml:space="preserve"> </w:t>
      </w:r>
      <w:r>
        <w:t xml:space="preserve">7 (1): 1-26.</w:t>
      </w:r>
      <w:r>
        <w:t xml:space="preserve"> </w:t>
      </w:r>
      <w:hyperlink r:id="rId341">
        <w:r>
          <w:rPr>
            <w:rStyle w:val="Hyperlink"/>
          </w:rPr>
          <w:t xml:space="preserve">https://doi.org/10.1214/aos/1176344552</w:t>
        </w:r>
      </w:hyperlink>
      <w:r>
        <w:t xml:space="preserve">.</w:t>
      </w:r>
    </w:p>
    <w:bookmarkEnd w:id="342"/>
    <w:bookmarkStart w:id="344" w:name="ref-FAO2026PoU"/>
    <w:p>
      <w:pPr>
        <w:pStyle w:val="Bibliography"/>
      </w:pPr>
      <w:r>
        <w:t xml:space="preserve">FAO. 2026.</w:t>
      </w:r>
      <w:r>
        <w:t xml:space="preserve"> </w:t>
      </w:r>
      <w:r>
        <w:rPr>
          <w:i/>
          <w:iCs/>
        </w:rPr>
        <w:t xml:space="preserve">Indicador 2.1.1: Prevalencia de la subalimentación</w:t>
      </w:r>
      <w:r>
        <w:t xml:space="preserve">.</w:t>
      </w:r>
      <w:r>
        <w:t xml:space="preserve"> </w:t>
      </w:r>
      <w:hyperlink r:id="rId343">
        <w:r>
          <w:rPr>
            <w:rStyle w:val="Hyperlink"/>
          </w:rPr>
          <w:t xml:space="preserve">https://www.fao.org/sustainable-development-goals-data-portal/data/indicators/2.1.1-prevalence-of-undernourishment/es</w:t>
        </w:r>
      </w:hyperlink>
      <w:r>
        <w:t xml:space="preserve">.</w:t>
      </w:r>
    </w:p>
    <w:bookmarkEnd w:id="344"/>
    <w:bookmarkStart w:id="345" w:name="ref-fay1979contingency"/>
    <w:p>
      <w:pPr>
        <w:pStyle w:val="Bibliography"/>
      </w:pPr>
      <w:r>
        <w:t xml:space="preserve">Fay, Robert E. 1979.</w:t>
      </w:r>
      <w:r>
        <w:t xml:space="preserve"> </w:t>
      </w:r>
      <w:r>
        <w:t xml:space="preserve">«On Adjusting the Pearson Chi-Square Statistic for Cluster Sampling»</w:t>
      </w:r>
      <w:r>
        <w:t xml:space="preserve">.</w:t>
      </w:r>
      <w:r>
        <w:t xml:space="preserve"> </w:t>
      </w:r>
      <w:r>
        <w:rPr>
          <w:i/>
          <w:iCs/>
        </w:rPr>
        <w:t xml:space="preserve">Proceedings of the Social Statistics Section, American Statistical Association</w:t>
      </w:r>
      <w:r>
        <w:t xml:space="preserve">, 402-5.</w:t>
      </w:r>
    </w:p>
    <w:bookmarkEnd w:id="345"/>
    <w:bookmarkStart w:id="347" w:name="ref-fellegi1980approximate"/>
    <w:p>
      <w:pPr>
        <w:pStyle w:val="Bibliography"/>
      </w:pPr>
      <w:r>
        <w:t xml:space="preserve">Fellegi, Ivan P. 1980.</w:t>
      </w:r>
      <w:r>
        <w:t xml:space="preserve"> </w:t>
      </w:r>
      <w:r>
        <w:t xml:space="preserve">«Approximate Tests of Independence and Goodness of Fit Based on Stratified Multistage Samples»</w:t>
      </w:r>
      <w:r>
        <w:t xml:space="preserve">.</w:t>
      </w:r>
      <w:r>
        <w:t xml:space="preserve"> </w:t>
      </w:r>
      <w:r>
        <w:rPr>
          <w:i/>
          <w:iCs/>
        </w:rPr>
        <w:t xml:space="preserve">Journal of the American Statistical Association</w:t>
      </w:r>
      <w:r>
        <w:t xml:space="preserve"> </w:t>
      </w:r>
      <w:r>
        <w:t xml:space="preserve">75 (370): 261-68.</w:t>
      </w:r>
      <w:r>
        <w:t xml:space="preserve"> </w:t>
      </w:r>
      <w:hyperlink r:id="rId346">
        <w:r>
          <w:rPr>
            <w:rStyle w:val="Hyperlink"/>
          </w:rPr>
          <w:t xml:space="preserve">https://doi.org/10.2307/2287405</w:t>
        </w:r>
      </w:hyperlink>
      <w:r>
        <w:t xml:space="preserve">.</w:t>
      </w:r>
    </w:p>
    <w:bookmarkEnd w:id="347"/>
    <w:bookmarkStart w:id="348" w:name="ref-finch2019multilevel"/>
    <w:p>
      <w:pPr>
        <w:pStyle w:val="Bibliography"/>
      </w:pPr>
      <w:r>
        <w:t xml:space="preserve">Finch, W. Holmes, Jocelyn E. Bolin, y Ken Kelley. 2019.</w:t>
      </w:r>
      <w:r>
        <w:t xml:space="preserve"> </w:t>
      </w:r>
      <w:r>
        <w:rPr>
          <w:i/>
          <w:iCs/>
        </w:rPr>
        <w:t xml:space="preserve">Multilevel Modeling Using</w:t>
      </w:r>
      <w:r>
        <w:rPr>
          <w:i/>
          <w:iCs/>
        </w:rPr>
        <w:t xml:space="preserve"> </w:t>
      </w:r>
      <w:r>
        <w:rPr>
          <w:i/>
          <w:iCs/>
        </w:rPr>
        <w:t xml:space="preserve">R</w:t>
      </w:r>
      <w:r>
        <w:t xml:space="preserve">. 2.ª ed. CRC Press.</w:t>
      </w:r>
    </w:p>
    <w:bookmarkEnd w:id="348"/>
    <w:bookmarkStart w:id="349" w:name="ref-FoxWeisberg2019"/>
    <w:p>
      <w:pPr>
        <w:pStyle w:val="Bibliography"/>
      </w:pPr>
      <w:r>
        <w:t xml:space="preserve">Fox, John, y Sanford Weisberg. 2019.</w:t>
      </w:r>
      <w:r>
        <w:t xml:space="preserve"> </w:t>
      </w:r>
      <w:r>
        <w:rPr>
          <w:i/>
          <w:iCs/>
        </w:rPr>
        <w:t xml:space="preserve">An R Companion to Applied Regression</w:t>
      </w:r>
      <w:r>
        <w:t xml:space="preserve">. 3.ª ed. SAGE Publications.</w:t>
      </w:r>
    </w:p>
    <w:bookmarkEnd w:id="349"/>
    <w:bookmarkStart w:id="351" w:name="ref-FreedmanEllis2026"/>
    <w:p>
      <w:pPr>
        <w:pStyle w:val="Bibliography"/>
      </w:pPr>
      <w:r>
        <w:t xml:space="preserve">Freedman Ellis, Greg, y Ben Schneider. 2026.</w:t>
      </w:r>
      <w:r>
        <w:t xml:space="preserve"> </w:t>
      </w:r>
      <w:r>
        <w:rPr>
          <w:i/>
          <w:iCs/>
        </w:rPr>
        <w:t xml:space="preserve">srvyr: ’dplyr’-Like Syntax for Summary Statistics of Survey Data</w:t>
      </w:r>
      <w:r>
        <w:t xml:space="preserve">.</w:t>
      </w:r>
      <w:r>
        <w:t xml:space="preserve"> </w:t>
      </w:r>
      <w:hyperlink r:id="rId350">
        <w:r>
          <w:rPr>
            <w:rStyle w:val="Hyperlink"/>
          </w:rPr>
          <w:t xml:space="preserve">https://doi.org/10.32614/CRAN.package.srvyr</w:t>
        </w:r>
      </w:hyperlink>
      <w:r>
        <w:t xml:space="preserve">.</w:t>
      </w:r>
    </w:p>
    <w:bookmarkEnd w:id="351"/>
    <w:bookmarkStart w:id="352" w:name="ref-fuller1975regression"/>
    <w:p>
      <w:pPr>
        <w:pStyle w:val="Bibliography"/>
      </w:pPr>
      <w:r>
        <w:t xml:space="preserve">Fuller, Wayne A. 1975.</w:t>
      </w:r>
      <w:r>
        <w:t xml:space="preserve"> </w:t>
      </w:r>
      <w:r>
        <w:t xml:space="preserve">«Regression analysis for sample survey»</w:t>
      </w:r>
      <w:r>
        <w:t xml:space="preserve">.</w:t>
      </w:r>
      <w:r>
        <w:t xml:space="preserve"> </w:t>
      </w:r>
      <w:r>
        <w:rPr>
          <w:i/>
          <w:iCs/>
        </w:rPr>
        <w:t xml:space="preserve">Sankhya, Series C</w:t>
      </w:r>
      <w:r>
        <w:t xml:space="preserve"> </w:t>
      </w:r>
      <w:r>
        <w:t xml:space="preserve">37: 117-32.</w:t>
      </w:r>
    </w:p>
    <w:bookmarkEnd w:id="352"/>
    <w:bookmarkStart w:id="353" w:name="ref-fuller2002regression"/>
    <w:p>
      <w:pPr>
        <w:pStyle w:val="Bibliography"/>
      </w:pPr>
      <w:r>
        <w:t xml:space="preserve">Fuller, Wayne A. 2002.</w:t>
      </w:r>
      <w:r>
        <w:t xml:space="preserve"> </w:t>
      </w:r>
      <w:r>
        <w:t xml:space="preserve">«Regression estimation for survey samples»</w:t>
      </w:r>
      <w:r>
        <w:t xml:space="preserve">.</w:t>
      </w:r>
      <w:r>
        <w:t xml:space="preserve"> </w:t>
      </w:r>
      <w:r>
        <w:rPr>
          <w:i/>
          <w:iCs/>
        </w:rPr>
        <w:t xml:space="preserve">Survey Methodology</w:t>
      </w:r>
      <w:r>
        <w:t xml:space="preserve"> </w:t>
      </w:r>
      <w:r>
        <w:t xml:space="preserve">28 (1): 5-23.</w:t>
      </w:r>
    </w:p>
    <w:bookmarkEnd w:id="353"/>
    <w:bookmarkStart w:id="354" w:name="ref-gambino2009sampling"/>
    <w:p>
      <w:pPr>
        <w:pStyle w:val="Bibliography"/>
      </w:pPr>
      <w:r>
        <w:t xml:space="preserve">Gambino, Jack G, y Pedro Luis do Nascimento Silva. 2009.</w:t>
      </w:r>
      <w:r>
        <w:t xml:space="preserve"> </w:t>
      </w:r>
      <w:r>
        <w:t xml:space="preserve">«Sampling and estimation in household surveys»</w:t>
      </w:r>
      <w:r>
        <w:t xml:space="preserve">. En</w:t>
      </w:r>
      <w:r>
        <w:t xml:space="preserve"> </w:t>
      </w:r>
      <w:r>
        <w:rPr>
          <w:i/>
          <w:iCs/>
        </w:rPr>
        <w:t xml:space="preserve">Handbook of Statistics</w:t>
      </w:r>
      <w:r>
        <w:t xml:space="preserve">, vol. 29. Elsevier.</w:t>
      </w:r>
    </w:p>
    <w:bookmarkEnd w:id="354"/>
    <w:bookmarkStart w:id="355" w:name="ref-gelman2006data"/>
    <w:p>
      <w:pPr>
        <w:pStyle w:val="Bibliography"/>
      </w:pPr>
      <w:r>
        <w:t xml:space="preserve">Gelman, Andrew, y Jennifer Hill. 2006.</w:t>
      </w:r>
      <w:r>
        <w:t xml:space="preserve"> </w:t>
      </w:r>
      <w:r>
        <w:rPr>
          <w:i/>
          <w:iCs/>
        </w:rPr>
        <w:t xml:space="preserve">Data Analysis Using Regression and Multilevel/Hierarchical Models</w:t>
      </w:r>
      <w:r>
        <w:t xml:space="preserve">. Cambridge University Press.</w:t>
      </w:r>
    </w:p>
    <w:bookmarkEnd w:id="355"/>
    <w:bookmarkStart w:id="356" w:name="ref-goldstein2011multilevel"/>
    <w:p>
      <w:pPr>
        <w:pStyle w:val="Bibliography"/>
      </w:pPr>
      <w:r>
        <w:t xml:space="preserve">Goldstein, Harvey. 2011.</w:t>
      </w:r>
      <w:r>
        <w:t xml:space="preserve"> </w:t>
      </w:r>
      <w:r>
        <w:rPr>
          <w:i/>
          <w:iCs/>
        </w:rPr>
        <w:t xml:space="preserve">Multilevel Statistical Models</w:t>
      </w:r>
      <w:r>
        <w:t xml:space="preserve">. 4.ª ed. John Wiley &amp; Sons.</w:t>
      </w:r>
    </w:p>
    <w:bookmarkEnd w:id="356"/>
    <w:bookmarkStart w:id="357" w:name="ref-Gutierrez2016"/>
    <w:p>
      <w:pPr>
        <w:pStyle w:val="Bibliography"/>
      </w:pPr>
      <w:r>
        <w:t xml:space="preserve">Gutiérrez, Andrés. 2016.</w:t>
      </w:r>
      <w:r>
        <w:t xml:space="preserve"> </w:t>
      </w:r>
      <w:r>
        <w:rPr>
          <w:i/>
          <w:iCs/>
        </w:rPr>
        <w:t xml:space="preserve">Estrategias de muestreo: diseño de encuestas y estimación de parámetros</w:t>
      </w:r>
      <w:r>
        <w:t xml:space="preserve">. Segunda edición. Ediciones de la U.</w:t>
      </w:r>
    </w:p>
    <w:bookmarkEnd w:id="357"/>
    <w:bookmarkStart w:id="359" w:name="ref-GutierrezT2020"/>
    <w:p>
      <w:pPr>
        <w:pStyle w:val="Bibliography"/>
      </w:pPr>
      <w:r>
        <w:t xml:space="preserve">Gutiérrez, Andrés. 2020.</w:t>
      </w:r>
      <w:r>
        <w:t xml:space="preserve"> </w:t>
      </w:r>
      <w:r>
        <w:rPr>
          <w:i/>
          <w:iCs/>
        </w:rPr>
        <w:t xml:space="preserve">TeachingSampling: Selection of Samples and Parameter Estimation in Finite Population</w:t>
      </w:r>
      <w:r>
        <w:t xml:space="preserve">.</w:t>
      </w:r>
      <w:r>
        <w:t xml:space="preserve"> </w:t>
      </w:r>
      <w:hyperlink r:id="rId358">
        <w:r>
          <w:rPr>
            <w:rStyle w:val="Hyperlink"/>
          </w:rPr>
          <w:t xml:space="preserve">https://doi.org/10.32614/CRAN.package.TeachingSampling</w:t>
        </w:r>
      </w:hyperlink>
      <w:r>
        <w:t xml:space="preserve">.</w:t>
      </w:r>
    </w:p>
    <w:bookmarkEnd w:id="359"/>
    <w:bookmarkStart w:id="361" w:name="ref-GutierrezBabativa2023"/>
    <w:p>
      <w:pPr>
        <w:pStyle w:val="Bibliography"/>
      </w:pPr>
      <w:r>
        <w:t xml:space="preserve">Gutiérrez, Andrés, y Giovany Babativa-Márquez. 2023.</w:t>
      </w:r>
      <w:r>
        <w:t xml:space="preserve"> </w:t>
      </w:r>
      <w:r>
        <w:rPr>
          <w:i/>
          <w:iCs/>
        </w:rPr>
        <w:t xml:space="preserve">Efectos de diseño para indicadores sociales en Am</w:t>
      </w:r>
      <w:r>
        <w:rPr>
          <w:i/>
          <w:iCs/>
        </w:rPr>
        <w:t xml:space="preserve">é</w:t>
      </w:r>
      <w:r>
        <w:rPr>
          <w:i/>
          <w:iCs/>
        </w:rPr>
        <w:t xml:space="preserve">rica Latina: función generalizada de varianza para estimadores directos provenientes de encuestas de hogares</w:t>
      </w:r>
      <w:r>
        <w:t xml:space="preserve">. LC/TS.2023/95 No. 106. CEPAL - Serie Estudios Estadísticos. CEPAL.</w:t>
      </w:r>
      <w:r>
        <w:t xml:space="preserve"> </w:t>
      </w:r>
      <w:hyperlink r:id="rId360">
        <w:r>
          <w:rPr>
            <w:rStyle w:val="Hyperlink"/>
          </w:rPr>
          <w:t xml:space="preserve">https://repositorio.cepal.org/server/api/core/bitstreams/feb8c8be-6434-41f2-8fd9-f12f71a0739a/content</w:t>
        </w:r>
      </w:hyperlink>
      <w:r>
        <w:t xml:space="preserve">.</w:t>
      </w:r>
    </w:p>
    <w:bookmarkEnd w:id="361"/>
    <w:bookmarkStart w:id="362" w:name="ref-hansen1953sample"/>
    <w:p>
      <w:pPr>
        <w:pStyle w:val="Bibliography"/>
      </w:pPr>
      <w:r>
        <w:t xml:space="preserve">Hansen, Morris H, William N Hurwitz, William G Madow, et al.</w:t>
      </w:r>
      <w:r>
        <w:t xml:space="preserve"> 1953.</w:t>
      </w:r>
      <w:r>
        <w:t xml:space="preserve"> </w:t>
      </w:r>
      <w:r>
        <w:rPr>
          <w:i/>
          <w:iCs/>
        </w:rPr>
        <w:t xml:space="preserve">Sample survey methods and theory</w:t>
      </w:r>
      <w:r>
        <w:t xml:space="preserve">.</w:t>
      </w:r>
    </w:p>
    <w:bookmarkEnd w:id="362"/>
    <w:bookmarkStart w:id="364" w:name="ref-HeeringaWestBerglund2017"/>
    <w:p>
      <w:pPr>
        <w:pStyle w:val="Bibliography"/>
      </w:pPr>
      <w:r>
        <w:t xml:space="preserve">Heeringa, Steven G., Brady T. West, y Patricia A. Berglund. 2017.</w:t>
      </w:r>
      <w:r>
        <w:t xml:space="preserve"> </w:t>
      </w:r>
      <w:r>
        <w:rPr>
          <w:i/>
          <w:iCs/>
        </w:rPr>
        <w:t xml:space="preserve">Applied Survey Data Analysis</w:t>
      </w:r>
      <w:r>
        <w:t xml:space="preserve">. 2.ª ed. Chapman &amp; Hall/CRC.</w:t>
      </w:r>
      <w:r>
        <w:t xml:space="preserve"> </w:t>
      </w:r>
      <w:hyperlink r:id="rId363">
        <w:r>
          <w:rPr>
            <w:rStyle w:val="Hyperlink"/>
          </w:rPr>
          <w:t xml:space="preserve">https://doi.org/10.1201/9781315153278</w:t>
        </w:r>
      </w:hyperlink>
      <w:r>
        <w:t xml:space="preserve">.</w:t>
      </w:r>
    </w:p>
    <w:bookmarkEnd w:id="364"/>
    <w:bookmarkStart w:id="366" w:name="ref-ggstance2024"/>
    <w:p>
      <w:pPr>
        <w:pStyle w:val="Bibliography"/>
      </w:pPr>
      <w:r>
        <w:t xml:space="preserve">Henry, Lionel, Hadley Wickham, y Winston Chang. 2024.</w:t>
      </w:r>
      <w:r>
        <w:t xml:space="preserve"> </w:t>
      </w:r>
      <w:r>
        <w:rPr>
          <w:i/>
          <w:iCs/>
        </w:rPr>
        <w:t xml:space="preserve">ggstance: Horizontal ’ggplot2’ Components</w:t>
      </w:r>
      <w:r>
        <w:t xml:space="preserve">.</w:t>
      </w:r>
      <w:r>
        <w:t xml:space="preserve"> </w:t>
      </w:r>
      <w:hyperlink r:id="rId365">
        <w:r>
          <w:rPr>
            <w:rStyle w:val="Hyperlink"/>
          </w:rPr>
          <w:t xml:space="preserve">https://doi.org/10.32614/CRAN.package.ggstance</w:t>
        </w:r>
      </w:hyperlink>
      <w:r>
        <w:t xml:space="preserve">.</w:t>
      </w:r>
    </w:p>
    <w:bookmarkEnd w:id="366"/>
    <w:bookmarkStart w:id="368" w:name="ref-HorvitzThompson1952"/>
    <w:p>
      <w:pPr>
        <w:pStyle w:val="Bibliography"/>
      </w:pPr>
      <w:r>
        <w:t xml:space="preserve">Horvitz, Daniel G., y Donovan J. Thompson. 1952.</w:t>
      </w:r>
      <w:r>
        <w:t xml:space="preserve"> </w:t>
      </w:r>
      <w:r>
        <w:t xml:space="preserve">«A Generalization of Sampling Without Replacement from a Finite Universe»</w:t>
      </w:r>
      <w:r>
        <w:t xml:space="preserve">.</w:t>
      </w:r>
      <w:r>
        <w:t xml:space="preserve"> </w:t>
      </w:r>
      <w:r>
        <w:rPr>
          <w:i/>
          <w:iCs/>
        </w:rPr>
        <w:t xml:space="preserve">Journal of the American Statistical Association</w:t>
      </w:r>
      <w:r>
        <w:t xml:space="preserve"> </w:t>
      </w:r>
      <w:r>
        <w:t xml:space="preserve">47 (260): 663-85.</w:t>
      </w:r>
      <w:r>
        <w:t xml:space="preserve"> </w:t>
      </w:r>
      <w:hyperlink r:id="rId367">
        <w:r>
          <w:rPr>
            <w:rStyle w:val="Hyperlink"/>
          </w:rPr>
          <w:t xml:space="preserve">https://doi.org/10.1080/01621459.1952.10483446</w:t>
        </w:r>
      </w:hyperlink>
      <w:r>
        <w:t xml:space="preserve">.</w:t>
      </w:r>
    </w:p>
    <w:bookmarkEnd w:id="368"/>
    <w:bookmarkStart w:id="370" w:name="ref-convey2024"/>
    <w:p>
      <w:pPr>
        <w:pStyle w:val="Bibliography"/>
      </w:pPr>
      <w:r>
        <w:t xml:space="preserve">Jacob, Guilherme, Djalma Pessoa, y Anthony Damico. 2024.</w:t>
      </w:r>
      <w:r>
        <w:t xml:space="preserve"> </w:t>
      </w:r>
      <w:r>
        <w:rPr>
          <w:i/>
          <w:iCs/>
        </w:rPr>
        <w:t xml:space="preserve">convey: Income Concentration Analysis with Complex Survey Samples</w:t>
      </w:r>
      <w:r>
        <w:t xml:space="preserve">.</w:t>
      </w:r>
      <w:r>
        <w:t xml:space="preserve"> </w:t>
      </w:r>
      <w:hyperlink r:id="rId369">
        <w:r>
          <w:rPr>
            <w:rStyle w:val="Hyperlink"/>
          </w:rPr>
          <w:t xml:space="preserve">https://doi.org/10.32614/CRAN.package.convey</w:t>
        </w:r>
      </w:hyperlink>
      <w:r>
        <w:t xml:space="preserve">.</w:t>
      </w:r>
    </w:p>
    <w:bookmarkEnd w:id="370"/>
    <w:bookmarkStart w:id="371" w:name="ref-kalton2003weighting"/>
    <w:p>
      <w:pPr>
        <w:pStyle w:val="Bibliography"/>
      </w:pPr>
      <w:r>
        <w:t xml:space="preserve">Kalton, Graham, y Ismael Flores-Cervantes. 2003.</w:t>
      </w:r>
      <w:r>
        <w:t xml:space="preserve"> </w:t>
      </w:r>
      <w:r>
        <w:t xml:space="preserve">«Weighting methods»</w:t>
      </w:r>
      <w:r>
        <w:t xml:space="preserve">.</w:t>
      </w:r>
      <w:r>
        <w:t xml:space="preserve"> </w:t>
      </w:r>
      <w:r>
        <w:rPr>
          <w:i/>
          <w:iCs/>
        </w:rPr>
        <w:t xml:space="preserve">Journal of official statistics</w:t>
      </w:r>
      <w:r>
        <w:t xml:space="preserve"> </w:t>
      </w:r>
      <w:r>
        <w:t xml:space="preserve">19 (2): 81.</w:t>
      </w:r>
    </w:p>
    <w:bookmarkEnd w:id="371"/>
    <w:bookmarkStart w:id="372" w:name="ref-kish1965survey"/>
    <w:p>
      <w:pPr>
        <w:pStyle w:val="Bibliography"/>
      </w:pPr>
      <w:r>
        <w:t xml:space="preserve">Kish, Leslie. 1965.</w:t>
      </w:r>
      <w:r>
        <w:t xml:space="preserve"> </w:t>
      </w:r>
      <w:r>
        <w:rPr>
          <w:i/>
          <w:iCs/>
        </w:rPr>
        <w:t xml:space="preserve">Survey sampling.</w:t>
      </w:r>
    </w:p>
    <w:bookmarkEnd w:id="372"/>
    <w:bookmarkStart w:id="373" w:name="ref-kish1987statistical"/>
    <w:p>
      <w:pPr>
        <w:pStyle w:val="Bibliography"/>
      </w:pPr>
      <w:r>
        <w:t xml:space="preserve">Kish, Leslie. 1987.</w:t>
      </w:r>
      <w:r>
        <w:t xml:space="preserve"> </w:t>
      </w:r>
      <w:r>
        <w:rPr>
          <w:i/>
          <w:iCs/>
        </w:rPr>
        <w:t xml:space="preserve">Statistical Design for Research</w:t>
      </w:r>
      <w:r>
        <w:t xml:space="preserve">. John Wiley &amp; Sons.</w:t>
      </w:r>
    </w:p>
    <w:bookmarkEnd w:id="373"/>
    <w:bookmarkStart w:id="374" w:name="ref-kish1974inference"/>
    <w:p>
      <w:pPr>
        <w:pStyle w:val="Bibliography"/>
      </w:pPr>
      <w:r>
        <w:t xml:space="preserve">Kish, Leslie, y Martin R. Frankel. 1974.</w:t>
      </w:r>
      <w:r>
        <w:t xml:space="preserve"> </w:t>
      </w:r>
      <w:r>
        <w:t xml:space="preserve">«Inference from complex samples»</w:t>
      </w:r>
      <w:r>
        <w:t xml:space="preserve">.</w:t>
      </w:r>
      <w:r>
        <w:t xml:space="preserve"> </w:t>
      </w:r>
      <w:r>
        <w:rPr>
          <w:i/>
          <w:iCs/>
        </w:rPr>
        <w:t xml:space="preserve">Journal of the Royal Statistical Society, Series B</w:t>
      </w:r>
      <w:r>
        <w:t xml:space="preserve"> </w:t>
      </w:r>
      <w:r>
        <w:t xml:space="preserve">36: 1-37.</w:t>
      </w:r>
    </w:p>
    <w:bookmarkEnd w:id="374"/>
    <w:bookmarkStart w:id="376" w:name="ref-KornGraubard1999"/>
    <w:p>
      <w:pPr>
        <w:pStyle w:val="Bibliography"/>
      </w:pPr>
      <w:r>
        <w:t xml:space="preserve">Korn, Edward L., y Barry I. Graubard. 1999.</w:t>
      </w:r>
      <w:r>
        <w:t xml:space="preserve"> </w:t>
      </w:r>
      <w:r>
        <w:rPr>
          <w:i/>
          <w:iCs/>
        </w:rPr>
        <w:t xml:space="preserve">Analysis of Health Surveys</w:t>
      </w:r>
      <w:r>
        <w:t xml:space="preserve">. John Wiley &amp; Sons.</w:t>
      </w:r>
      <w:r>
        <w:t xml:space="preserve"> </w:t>
      </w:r>
      <w:hyperlink r:id="rId375">
        <w:r>
          <w:rPr>
            <w:rStyle w:val="Hyperlink"/>
          </w:rPr>
          <w:t xml:space="preserve">https://doi.org/10.1002/9781118032619</w:t>
        </w:r>
      </w:hyperlink>
      <w:r>
        <w:t xml:space="preserve">.</w:t>
      </w:r>
    </w:p>
    <w:bookmarkEnd w:id="376"/>
    <w:bookmarkStart w:id="377" w:name="ref-korn1995analysis"/>
    <w:p>
      <w:pPr>
        <w:pStyle w:val="Bibliography"/>
      </w:pPr>
      <w:r>
        <w:t xml:space="preserve">Korn, Edward L, y Barry I Graubard. 1995.</w:t>
      </w:r>
      <w:r>
        <w:t xml:space="preserve"> </w:t>
      </w:r>
      <w:r>
        <w:t xml:space="preserve">«Analysis of large health surveys: accounting for the sampling design»</w:t>
      </w:r>
      <w:r>
        <w:t xml:space="preserve">.</w:t>
      </w:r>
      <w:r>
        <w:t xml:space="preserve"> </w:t>
      </w:r>
      <w:r>
        <w:rPr>
          <w:i/>
          <w:iCs/>
        </w:rPr>
        <w:t xml:space="preserve">Journal of the Royal Statistical Society: Series A (Statistics in Society)</w:t>
      </w:r>
      <w:r>
        <w:t xml:space="preserve"> </w:t>
      </w:r>
      <w:r>
        <w:t xml:space="preserve">158 (2): 263-95.</w:t>
      </w:r>
    </w:p>
    <w:bookmarkEnd w:id="377"/>
    <w:bookmarkStart w:id="378" w:name="ref-kovacevic1997"/>
    <w:p>
      <w:pPr>
        <w:pStyle w:val="Bibliography"/>
      </w:pPr>
      <w:r>
        <w:t xml:space="preserve">Kovacevic, Milorad S, y David A Binder. 1997.</w:t>
      </w:r>
      <w:r>
        <w:t xml:space="preserve"> </w:t>
      </w:r>
      <w:r>
        <w:t xml:space="preserve">«Variance estimation for measures of income inequality and polarization-the estimating equations approach»</w:t>
      </w:r>
      <w:r>
        <w:t xml:space="preserve">.</w:t>
      </w:r>
      <w:r>
        <w:t xml:space="preserve"> </w:t>
      </w:r>
      <w:r>
        <w:rPr>
          <w:i/>
          <w:iCs/>
        </w:rPr>
        <w:t xml:space="preserve">Journal of Official Statistics</w:t>
      </w:r>
      <w:r>
        <w:t xml:space="preserve"> </w:t>
      </w:r>
      <w:r>
        <w:t xml:space="preserve">13 (1): 41.</w:t>
      </w:r>
    </w:p>
    <w:bookmarkEnd w:id="378"/>
    <w:bookmarkStart w:id="379" w:name="ref-kovar1988"/>
    <w:p>
      <w:pPr>
        <w:pStyle w:val="Bibliography"/>
      </w:pPr>
      <w:r>
        <w:t xml:space="preserve">Kovar, JG, JNK Rao, y CFJ Wu. 1988.</w:t>
      </w:r>
      <w:r>
        <w:t xml:space="preserve"> </w:t>
      </w:r>
      <w:r>
        <w:t xml:space="preserve">«Bootstrap and other methods to measure errors in survey estimates»</w:t>
      </w:r>
      <w:r>
        <w:t xml:space="preserve">.</w:t>
      </w:r>
      <w:r>
        <w:t xml:space="preserve"> </w:t>
      </w:r>
      <w:r>
        <w:rPr>
          <w:i/>
          <w:iCs/>
        </w:rPr>
        <w:t xml:space="preserve">Canadian Journal of Statistics</w:t>
      </w:r>
      <w:r>
        <w:t xml:space="preserve"> </w:t>
      </w:r>
      <w:r>
        <w:t xml:space="preserve">16 (S1): 25-45.</w:t>
      </w:r>
    </w:p>
    <w:bookmarkEnd w:id="379"/>
    <w:bookmarkStart w:id="380" w:name="ref-kreft1998introducing"/>
    <w:p>
      <w:pPr>
        <w:pStyle w:val="Bibliography"/>
      </w:pPr>
      <w:r>
        <w:t xml:space="preserve">Kreft, Ita G. G., y Jan De Leeuw. 1998.</w:t>
      </w:r>
      <w:r>
        <w:t xml:space="preserve"> </w:t>
      </w:r>
      <w:r>
        <w:rPr>
          <w:i/>
          <w:iCs/>
        </w:rPr>
        <w:t xml:space="preserve">Introducing Multilevel Modeling</w:t>
      </w:r>
      <w:r>
        <w:t xml:space="preserve">. Sage Publications.</w:t>
      </w:r>
    </w:p>
    <w:bookmarkEnd w:id="380"/>
    <w:bookmarkStart w:id="382" w:name="ref-LangelTille2013"/>
    <w:p>
      <w:pPr>
        <w:pStyle w:val="Bibliography"/>
      </w:pPr>
      <w:r>
        <w:t xml:space="preserve">Langel, Matti, y Yves Tillé. 2013.</w:t>
      </w:r>
      <w:r>
        <w:t xml:space="preserve"> </w:t>
      </w:r>
      <w:r>
        <w:t xml:space="preserve">«Variance Estimation of the Gini Index: Revisiting a Result Several Times Published»</w:t>
      </w:r>
      <w:r>
        <w:t xml:space="preserve">.</w:t>
      </w:r>
      <w:r>
        <w:t xml:space="preserve"> </w:t>
      </w:r>
      <w:r>
        <w:rPr>
          <w:i/>
          <w:iCs/>
        </w:rPr>
        <w:t xml:space="preserve">Journal of the Royal Statistical Society: Series A (Statistics in Society)</w:t>
      </w:r>
      <w:r>
        <w:t xml:space="preserve"> </w:t>
      </w:r>
      <w:r>
        <w:t xml:space="preserve">176 (2): 521-40.</w:t>
      </w:r>
      <w:r>
        <w:t xml:space="preserve"> </w:t>
      </w:r>
      <w:hyperlink r:id="rId381">
        <w:r>
          <w:rPr>
            <w:rStyle w:val="Hyperlink"/>
          </w:rPr>
          <w:t xml:space="preserve">https://doi.org/10.1111/j.1467-985X.2012.01048.x</w:t>
        </w:r>
      </w:hyperlink>
      <w:r>
        <w:t xml:space="preserve">.</w:t>
      </w:r>
    </w:p>
    <w:bookmarkEnd w:id="382"/>
    <w:bookmarkStart w:id="384" w:name="ref-Li_Valliant_2015"/>
    <w:p>
      <w:pPr>
        <w:pStyle w:val="Bibliography"/>
      </w:pPr>
      <w:r>
        <w:t xml:space="preserve">Li, Jianzhu, y Richard Valliant. 2015.</w:t>
      </w:r>
      <w:r>
        <w:t xml:space="preserve"> </w:t>
      </w:r>
      <w:r>
        <w:t xml:space="preserve">«Linear Regression Diagnostics in Cluster Samples»</w:t>
      </w:r>
      <w:r>
        <w:t xml:space="preserve">.</w:t>
      </w:r>
      <w:r>
        <w:t xml:space="preserve"> </w:t>
      </w:r>
      <w:r>
        <w:rPr>
          <w:i/>
          <w:iCs/>
        </w:rPr>
        <w:t xml:space="preserve">Journal of Official Statistics</w:t>
      </w:r>
      <w:r>
        <w:t xml:space="preserve"> </w:t>
      </w:r>
      <w:r>
        <w:t xml:space="preserve">31 (1): 61-75.</w:t>
      </w:r>
      <w:r>
        <w:t xml:space="preserve"> </w:t>
      </w:r>
      <w:hyperlink r:id="rId383">
        <w:r>
          <w:rPr>
            <w:rStyle w:val="Hyperlink"/>
          </w:rPr>
          <w:t xml:space="preserve">https://doi.org/10.1515/jos-2015-0003</w:t>
        </w:r>
      </w:hyperlink>
      <w:r>
        <w:t xml:space="preserve">.</w:t>
      </w:r>
    </w:p>
    <w:bookmarkEnd w:id="384"/>
    <w:bookmarkStart w:id="386" w:name="ref-Long2026Svycor"/>
    <w:p>
      <w:pPr>
        <w:pStyle w:val="Bibliography"/>
      </w:pPr>
      <w:r>
        <w:t xml:space="preserve">Long, Jacob A. 2026a.</w:t>
      </w:r>
      <w:r>
        <w:t xml:space="preserve"> </w:t>
      </w:r>
      <w:r>
        <w:rPr>
          <w:i/>
          <w:iCs/>
        </w:rPr>
        <w:t xml:space="preserve">Calculate Correlations and Correlation Tables with Complex Survey Data</w:t>
      </w:r>
      <w:r>
        <w:t xml:space="preserve">.</w:t>
      </w:r>
      <w:r>
        <w:t xml:space="preserve"> </w:t>
      </w:r>
      <w:hyperlink r:id="rId385">
        <w:r>
          <w:rPr>
            <w:rStyle w:val="Hyperlink"/>
          </w:rPr>
          <w:t xml:space="preserve">https://www.jtools.jacob-long.com/articles/svycor</w:t>
        </w:r>
      </w:hyperlink>
      <w:r>
        <w:t xml:space="preserve">.</w:t>
      </w:r>
    </w:p>
    <w:bookmarkEnd w:id="386"/>
    <w:bookmarkStart w:id="388" w:name="ref-jtools2026"/>
    <w:p>
      <w:pPr>
        <w:pStyle w:val="Bibliography"/>
      </w:pPr>
      <w:r>
        <w:t xml:space="preserve">Long, Jacob A. 2026b.</w:t>
      </w:r>
      <w:r>
        <w:t xml:space="preserve"> </w:t>
      </w:r>
      <w:r>
        <w:rPr>
          <w:i/>
          <w:iCs/>
        </w:rPr>
        <w:t xml:space="preserve">jtools: Analysis and Presentation of Social Scientific Data</w:t>
      </w:r>
      <w:r>
        <w:t xml:space="preserve">.</w:t>
      </w:r>
      <w:r>
        <w:t xml:space="preserve"> </w:t>
      </w:r>
      <w:hyperlink r:id="rId387">
        <w:r>
          <w:rPr>
            <w:rStyle w:val="Hyperlink"/>
          </w:rPr>
          <w:t xml:space="preserve">https://doi.org/10.32614/CRAN.package.jtools</w:t>
        </w:r>
      </w:hyperlink>
      <w:r>
        <w:t xml:space="preserve">.</w:t>
      </w:r>
    </w:p>
    <w:bookmarkEnd w:id="388"/>
    <w:bookmarkStart w:id="390" w:name="ref-performance2026"/>
    <w:p>
      <w:pPr>
        <w:pStyle w:val="Bibliography"/>
      </w:pPr>
      <w:r>
        <w:t xml:space="preserve">Lüdecke, Daniel, Mattan S. Ben-Shachar, Indrajeet Patil, Philip Waggoner, y Dominique Makowski. 2026.</w:t>
      </w:r>
      <w:r>
        <w:t xml:space="preserve"> </w:t>
      </w:r>
      <w:r>
        <w:rPr>
          <w:i/>
          <w:iCs/>
        </w:rPr>
        <w:t xml:space="preserve">performance: Assessment of Regression Models Performance</w:t>
      </w:r>
      <w:r>
        <w:t xml:space="preserve">.</w:t>
      </w:r>
      <w:r>
        <w:t xml:space="preserve"> </w:t>
      </w:r>
      <w:hyperlink r:id="rId389">
        <w:r>
          <w:rPr>
            <w:rStyle w:val="Hyperlink"/>
          </w:rPr>
          <w:t xml:space="preserve">https://doi.org/10.32614/CRAN.package.performance</w:t>
        </w:r>
      </w:hyperlink>
      <w:r>
        <w:t xml:space="preserve">.</w:t>
      </w:r>
    </w:p>
    <w:bookmarkEnd w:id="390"/>
    <w:bookmarkStart w:id="391" w:name="ref-Lumley2010"/>
    <w:p>
      <w:pPr>
        <w:pStyle w:val="Bibliography"/>
      </w:pPr>
      <w:r>
        <w:t xml:space="preserve">Lumley, Thomas. 2010.</w:t>
      </w:r>
      <w:r>
        <w:t xml:space="preserve"> </w:t>
      </w:r>
      <w:r>
        <w:rPr>
          <w:i/>
          <w:iCs/>
        </w:rPr>
        <w:t xml:space="preserve">Complex Surveys: A Guide to Analysis Using R: A Guide to Analysis Using R</w:t>
      </w:r>
      <w:r>
        <w:t xml:space="preserve">. John Wiley &amp; Sons.</w:t>
      </w:r>
    </w:p>
    <w:bookmarkEnd w:id="391"/>
    <w:bookmarkStart w:id="393" w:name="ref-svyVGAM2026"/>
    <w:p>
      <w:pPr>
        <w:pStyle w:val="Bibliography"/>
      </w:pPr>
      <w:r>
        <w:t xml:space="preserve">Lumley, Thomas. 2026.</w:t>
      </w:r>
      <w:r>
        <w:t xml:space="preserve"> </w:t>
      </w:r>
      <w:r>
        <w:rPr>
          <w:i/>
          <w:iCs/>
        </w:rPr>
        <w:t xml:space="preserve">svyVGAM: Design-Based Inference in Vector Generalised Linear Models</w:t>
      </w:r>
      <w:r>
        <w:t xml:space="preserve">.</w:t>
      </w:r>
      <w:r>
        <w:t xml:space="preserve"> </w:t>
      </w:r>
      <w:hyperlink r:id="rId392">
        <w:r>
          <w:rPr>
            <w:rStyle w:val="Hyperlink"/>
          </w:rPr>
          <w:t xml:space="preserve">https://doi.org/10.32614/CRAN.package.svyVGAM</w:t>
        </w:r>
      </w:hyperlink>
      <w:r>
        <w:t xml:space="preserve">.</w:t>
      </w:r>
    </w:p>
    <w:bookmarkEnd w:id="393"/>
    <w:bookmarkStart w:id="395" w:name="ref-Lumley2026"/>
    <w:p>
      <w:pPr>
        <w:pStyle w:val="Bibliography"/>
      </w:pPr>
      <w:r>
        <w:t xml:space="preserve">Lumley, Thomas, Peter Gao, Ben Schneider, y Stas Kolenikov. 2026.</w:t>
      </w:r>
      <w:r>
        <w:t xml:space="preserve"> </w:t>
      </w:r>
      <w:r>
        <w:rPr>
          <w:i/>
          <w:iCs/>
        </w:rPr>
        <w:t xml:space="preserve">survey: Analysis of Complex Survey Samples</w:t>
      </w:r>
      <w:r>
        <w:t xml:space="preserve">.</w:t>
      </w:r>
      <w:r>
        <w:t xml:space="preserve"> </w:t>
      </w:r>
      <w:hyperlink r:id="rId394">
        <w:r>
          <w:rPr>
            <w:rStyle w:val="Hyperlink"/>
          </w:rPr>
          <w:t xml:space="preserve">https://doi.org/10.32614/CRAN.package.survey</w:t>
        </w:r>
      </w:hyperlink>
      <w:r>
        <w:t xml:space="preserve">.</w:t>
      </w:r>
    </w:p>
    <w:bookmarkEnd w:id="395"/>
    <w:bookmarkStart w:id="397" w:name="ref-McCullaghNelder1989"/>
    <w:p>
      <w:pPr>
        <w:pStyle w:val="Bibliography"/>
      </w:pPr>
      <w:r>
        <w:t xml:space="preserve">McCullagh, Peter, y John A. Nelder. 1989.</w:t>
      </w:r>
      <w:r>
        <w:t xml:space="preserve"> </w:t>
      </w:r>
      <w:r>
        <w:rPr>
          <w:i/>
          <w:iCs/>
        </w:rPr>
        <w:t xml:space="preserve">Generalized Linear Models</w:t>
      </w:r>
      <w:r>
        <w:t xml:space="preserve">. 2.ª ed. Chapman &amp; Hall.</w:t>
      </w:r>
      <w:r>
        <w:t xml:space="preserve"> </w:t>
      </w:r>
      <w:hyperlink r:id="rId396">
        <w:r>
          <w:rPr>
            <w:rStyle w:val="Hyperlink"/>
          </w:rPr>
          <w:t xml:space="preserve">https://doi.org/10.1007/978-1-4899-3242-6</w:t>
        </w:r>
      </w:hyperlink>
      <w:r>
        <w:t xml:space="preserve">.</w:t>
      </w:r>
    </w:p>
    <w:bookmarkEnd w:id="397"/>
    <w:bookmarkStart w:id="399" w:name="ref-merlo2006brief"/>
    <w:p>
      <w:pPr>
        <w:pStyle w:val="Bibliography"/>
      </w:pPr>
      <w:r>
        <w:t xml:space="preserve">Merlo, Juan, Basile Chaix, Henrik Ohlsson, et al. 2006.</w:t>
      </w:r>
      <w:r>
        <w:t xml:space="preserve"> </w:t>
      </w:r>
      <w:r>
        <w:t xml:space="preserve">«A Brief Conceptual Tutorial of Multilevel Analysis in Social Epidemiology: Using Measures of Clustering in Multilevel Logistic Regression to Investigate Contextual Phenomena»</w:t>
      </w:r>
      <w:r>
        <w:t xml:space="preserve">.</w:t>
      </w:r>
      <w:r>
        <w:t xml:space="preserve"> </w:t>
      </w:r>
      <w:r>
        <w:rPr>
          <w:i/>
          <w:iCs/>
        </w:rPr>
        <w:t xml:space="preserve">Journal of Epidemiology &amp; Community Health</w:t>
      </w:r>
      <w:r>
        <w:t xml:space="preserve"> </w:t>
      </w:r>
      <w:r>
        <w:t xml:space="preserve">60 (4): 290-97.</w:t>
      </w:r>
      <w:r>
        <w:t xml:space="preserve"> </w:t>
      </w:r>
      <w:hyperlink r:id="rId398">
        <w:r>
          <w:rPr>
            <w:rStyle w:val="Hyperlink"/>
          </w:rPr>
          <w:t xml:space="preserve">https://doi.org/10.1136/jech.2004.029454</w:t>
        </w:r>
      </w:hyperlink>
      <w:r>
        <w:t xml:space="preserve">.</w:t>
      </w:r>
    </w:p>
    <w:bookmarkEnd w:id="399"/>
    <w:bookmarkStart w:id="400" w:name="ref-molina1992pseudo"/>
    <w:p>
      <w:pPr>
        <w:pStyle w:val="Bibliography"/>
      </w:pPr>
      <w:r>
        <w:t xml:space="preserve">Molina, Elizabeth A., y Chris J. Skinner. 1992.</w:t>
      </w:r>
      <w:r>
        <w:t xml:space="preserve"> </w:t>
      </w:r>
      <w:r>
        <w:t xml:space="preserve">«Pseudo-likelihood and quasi-likelihood estimation for complex sampling schemes»</w:t>
      </w:r>
      <w:r>
        <w:t xml:space="preserve">.</w:t>
      </w:r>
      <w:r>
        <w:t xml:space="preserve"> </w:t>
      </w:r>
      <w:r>
        <w:rPr>
          <w:i/>
          <w:iCs/>
        </w:rPr>
        <w:t xml:space="preserve">Computational Statistics &amp; Data Analysis</w:t>
      </w:r>
      <w:r>
        <w:t xml:space="preserve"> </w:t>
      </w:r>
      <w:r>
        <w:t xml:space="preserve">13: 395-405.</w:t>
      </w:r>
    </w:p>
    <w:bookmarkEnd w:id="400"/>
    <w:bookmarkStart w:id="402" w:name="ref-ONUDeff"/>
    <w:p>
      <w:pPr>
        <w:pStyle w:val="Bibliography"/>
      </w:pPr>
      <w:r>
        <w:t xml:space="preserve">Naciones Unidas. 2009.</w:t>
      </w:r>
      <w:r>
        <w:t xml:space="preserve"> </w:t>
      </w:r>
      <w:r>
        <w:rPr>
          <w:i/>
          <w:iCs/>
        </w:rPr>
        <w:t xml:space="preserve">Diseño de Muestras para Encuestas de Hogares: Directrices Prácticas.</w:t>
      </w:r>
      <w:r>
        <w:t xml:space="preserve"> Estudios de Métodos, Serie F 98. Naciones Unidas.</w:t>
      </w:r>
      <w:r>
        <w:t xml:space="preserve"> </w:t>
      </w:r>
      <w:hyperlink r:id="rId401">
        <w:r>
          <w:rPr>
            <w:rStyle w:val="Hyperlink"/>
          </w:rPr>
          <w:t xml:space="preserve">https://unstats.un.org/unsd/publication/seriesf/seriesf_98s.pdf</w:t>
        </w:r>
      </w:hyperlink>
      <w:r>
        <w:t xml:space="preserve">.</w:t>
      </w:r>
    </w:p>
    <w:bookmarkEnd w:id="402"/>
    <w:bookmarkStart w:id="403" w:name="ref-UNhandbook"/>
    <w:p>
      <w:pPr>
        <w:pStyle w:val="Bibliography"/>
      </w:pPr>
      <w:r>
        <w:t xml:space="preserve">Naciones Unidas. 2026.</w:t>
      </w:r>
      <w:r>
        <w:t xml:space="preserve"> </w:t>
      </w:r>
      <w:r>
        <w:rPr>
          <w:i/>
          <w:iCs/>
        </w:rPr>
        <w:t xml:space="preserve">Handbook of Surveys on Households and Individuals Foundations and Emerging Approaches</w:t>
      </w:r>
      <w:r>
        <w:t xml:space="preserve">. Naciones Unidas.</w:t>
      </w:r>
    </w:p>
    <w:bookmarkEnd w:id="403"/>
    <w:bookmarkStart w:id="405" w:name="ref-nelder1972generalized"/>
    <w:p>
      <w:pPr>
        <w:pStyle w:val="Bibliography"/>
      </w:pPr>
      <w:r>
        <w:t xml:space="preserve">Nelder, John A., y Robert W. M. Wedderburn. 1972.</w:t>
      </w:r>
      <w:r>
        <w:t xml:space="preserve"> </w:t>
      </w:r>
      <w:r>
        <w:t xml:space="preserve">«Generalized Linear Models»</w:t>
      </w:r>
      <w:r>
        <w:t xml:space="preserve">.</w:t>
      </w:r>
      <w:r>
        <w:t xml:space="preserve"> </w:t>
      </w:r>
      <w:r>
        <w:rPr>
          <w:i/>
          <w:iCs/>
        </w:rPr>
        <w:t xml:space="preserve">Journal of the Royal Statistical Society: Series A (General)</w:t>
      </w:r>
      <w:r>
        <w:t xml:space="preserve"> </w:t>
      </w:r>
      <w:r>
        <w:t xml:space="preserve">135 (3): 370-84.</w:t>
      </w:r>
      <w:r>
        <w:t xml:space="preserve"> </w:t>
      </w:r>
      <w:hyperlink r:id="rId404">
        <w:r>
          <w:rPr>
            <w:rStyle w:val="Hyperlink"/>
          </w:rPr>
          <w:t xml:space="preserve">https://doi.org/10.2307/2344614</w:t>
        </w:r>
      </w:hyperlink>
      <w:r>
        <w:t xml:space="preserve">.</w:t>
      </w:r>
    </w:p>
    <w:bookmarkEnd w:id="405"/>
    <w:bookmarkStart w:id="406" w:name="ref-osier2009variance"/>
    <w:p>
      <w:pPr>
        <w:pStyle w:val="Bibliography"/>
      </w:pPr>
      <w:r>
        <w:t xml:space="preserve">Osier, Guillaume. 2009.</w:t>
      </w:r>
      <w:r>
        <w:t xml:space="preserve"> </w:t>
      </w:r>
      <w:r>
        <w:t xml:space="preserve">«Variance estimation for complex indicators of poverty and inequality using linearization techniques»</w:t>
      </w:r>
      <w:r>
        <w:t xml:space="preserve">.</w:t>
      </w:r>
      <w:r>
        <w:t xml:space="preserve"> </w:t>
      </w:r>
      <w:r>
        <w:rPr>
          <w:i/>
          <w:iCs/>
        </w:rPr>
        <w:t xml:space="preserve">Survey research methods</w:t>
      </w:r>
      <w:r>
        <w:t xml:space="preserve"> </w:t>
      </w:r>
      <w:r>
        <w:t xml:space="preserve">3: 167-95.</w:t>
      </w:r>
    </w:p>
    <w:bookmarkEnd w:id="406"/>
    <w:bookmarkStart w:id="408" w:name="ref-Park2003Design"/>
    <w:p>
      <w:pPr>
        <w:pStyle w:val="Bibliography"/>
      </w:pPr>
      <w:r>
        <w:t xml:space="preserve">Park, Inho, Marianne Winglee, Jay Clark, Keith Rust, Andrea Sedlak, y David Morganstein. 2003.</w:t>
      </w:r>
      <w:r>
        <w:t xml:space="preserve"> </w:t>
      </w:r>
      <w:r>
        <w:t xml:space="preserve">«Design Effects and Survey Planning»</w:t>
      </w:r>
      <w:r>
        <w:t xml:space="preserve">.</w:t>
      </w:r>
      <w:r>
        <w:t xml:space="preserve"> </w:t>
      </w:r>
      <w:r>
        <w:rPr>
          <w:i/>
          <w:iCs/>
        </w:rPr>
        <w:t xml:space="preserve">Proceedings of the Section on Survey Research Methods</w:t>
      </w:r>
      <w:r>
        <w:t xml:space="preserve">, 3179-86.</w:t>
      </w:r>
      <w:r>
        <w:t xml:space="preserve"> </w:t>
      </w:r>
      <w:hyperlink r:id="rId407">
        <w:r>
          <w:rPr>
            <w:rStyle w:val="Hyperlink"/>
          </w:rPr>
          <w:t xml:space="preserve">https://www.asasrms.org/Proceedings/y2003/Files/JSM2003-000156.pdf</w:t>
        </w:r>
      </w:hyperlink>
      <w:r>
        <w:t xml:space="preserve">.</w:t>
      </w:r>
    </w:p>
    <w:bookmarkEnd w:id="408"/>
    <w:bookmarkStart w:id="410" w:name="ref-Pebesma2018sf"/>
    <w:p>
      <w:pPr>
        <w:pStyle w:val="Bibliography"/>
      </w:pPr>
      <w:r>
        <w:t xml:space="preserve">Pebesma, Edzer. 2018.</w:t>
      </w:r>
      <w:r>
        <w:t xml:space="preserve"> </w:t>
      </w:r>
      <w:r>
        <w:t xml:space="preserve">«Simple Features for R: Standardized Support for Spatial Vector Data»</w:t>
      </w:r>
      <w:r>
        <w:t xml:space="preserve">.</w:t>
      </w:r>
      <w:r>
        <w:t xml:space="preserve"> </w:t>
      </w:r>
      <w:r>
        <w:rPr>
          <w:i/>
          <w:iCs/>
        </w:rPr>
        <w:t xml:space="preserve">The R Journal</w:t>
      </w:r>
      <w:r>
        <w:t xml:space="preserve"> </w:t>
      </w:r>
      <w:r>
        <w:t xml:space="preserve">10 (1): 439-46.</w:t>
      </w:r>
      <w:r>
        <w:t xml:space="preserve"> </w:t>
      </w:r>
      <w:hyperlink r:id="rId409">
        <w:r>
          <w:rPr>
            <w:rStyle w:val="Hyperlink"/>
          </w:rPr>
          <w:t xml:space="preserve">https://doi.org/10.32614/RJ-2018-009</w:t>
        </w:r>
      </w:hyperlink>
      <w:r>
        <w:t xml:space="preserve">.</w:t>
      </w:r>
    </w:p>
    <w:bookmarkEnd w:id="410"/>
    <w:bookmarkStart w:id="412" w:name="ref-sf2026"/>
    <w:p>
      <w:pPr>
        <w:pStyle w:val="Bibliography"/>
      </w:pPr>
      <w:r>
        <w:t xml:space="preserve">Pebesma, Edzer, Roger Bivand, Etienne Racine, et al. 2026.</w:t>
      </w:r>
      <w:r>
        <w:t xml:space="preserve"> </w:t>
      </w:r>
      <w:r>
        <w:rPr>
          <w:i/>
          <w:iCs/>
        </w:rPr>
        <w:t xml:space="preserve">sf: Simple Features for R</w:t>
      </w:r>
      <w:r>
        <w:t xml:space="preserve">.</w:t>
      </w:r>
      <w:r>
        <w:t xml:space="preserve"> </w:t>
      </w:r>
      <w:hyperlink r:id="rId411">
        <w:r>
          <w:rPr>
            <w:rStyle w:val="Hyperlink"/>
          </w:rPr>
          <w:t xml:space="preserve">https://doi.org/10.32614/CRAN.package.sf</w:t>
        </w:r>
      </w:hyperlink>
      <w:r>
        <w:t xml:space="preserve">.</w:t>
      </w:r>
    </w:p>
    <w:bookmarkEnd w:id="412"/>
    <w:bookmarkStart w:id="414" w:name="ref-patchwork"/>
    <w:p>
      <w:pPr>
        <w:pStyle w:val="Bibliography"/>
      </w:pPr>
      <w:r>
        <w:t xml:space="preserve">Pedersen, Thomas Lin. 2025.</w:t>
      </w:r>
      <w:r>
        <w:t xml:space="preserve"> </w:t>
      </w:r>
      <w:r>
        <w:rPr>
          <w:i/>
          <w:iCs/>
        </w:rPr>
        <w:t xml:space="preserve">patchwork: The composer of plots</w:t>
      </w:r>
      <w:r>
        <w:t xml:space="preserve">.</w:t>
      </w:r>
      <w:r>
        <w:t xml:space="preserve"> </w:t>
      </w:r>
      <w:hyperlink r:id="rId413">
        <w:r>
          <w:rPr>
            <w:rStyle w:val="Hyperlink"/>
          </w:rPr>
          <w:t xml:space="preserve">https://doi.org/10.32614/CRAN.package.patchwork</w:t>
        </w:r>
      </w:hyperlink>
      <w:r>
        <w:t xml:space="preserve">.</w:t>
      </w:r>
    </w:p>
    <w:bookmarkEnd w:id="414"/>
    <w:bookmarkStart w:id="416" w:name="ref-pfeffermann1993role"/>
    <w:p>
      <w:pPr>
        <w:pStyle w:val="Bibliography"/>
      </w:pPr>
      <w:r>
        <w:t xml:space="preserve">Pfeffermann, Danny. 1993.</w:t>
      </w:r>
      <w:r>
        <w:t xml:space="preserve"> </w:t>
      </w:r>
      <w:r>
        <w:t xml:space="preserve">«The Role of Sampling Weights When Modeling Survey Data»</w:t>
      </w:r>
      <w:r>
        <w:t xml:space="preserve">.</w:t>
      </w:r>
      <w:r>
        <w:t xml:space="preserve"> </w:t>
      </w:r>
      <w:r>
        <w:rPr>
          <w:i/>
          <w:iCs/>
        </w:rPr>
        <w:t xml:space="preserve">International Statistical Review</w:t>
      </w:r>
      <w:r>
        <w:t xml:space="preserve"> </w:t>
      </w:r>
      <w:r>
        <w:t xml:space="preserve">61 (2): 317-37.</w:t>
      </w:r>
      <w:r>
        <w:t xml:space="preserve"> </w:t>
      </w:r>
      <w:hyperlink r:id="rId415">
        <w:r>
          <w:rPr>
            <w:rStyle w:val="Hyperlink"/>
          </w:rPr>
          <w:t xml:space="preserve">https://doi.org/10.2307/1403631</w:t>
        </w:r>
      </w:hyperlink>
      <w:r>
        <w:t xml:space="preserve">.</w:t>
      </w:r>
    </w:p>
    <w:bookmarkEnd w:id="416"/>
    <w:bookmarkStart w:id="417" w:name="ref-pfeffermann2011modelling"/>
    <w:p>
      <w:pPr>
        <w:pStyle w:val="Bibliography"/>
      </w:pPr>
      <w:r>
        <w:t xml:space="preserve">Pfeffermann, Danny. 2011.</w:t>
      </w:r>
      <w:r>
        <w:t xml:space="preserve"> </w:t>
      </w:r>
      <w:r>
        <w:t xml:space="preserve">«Modelling of complex survey data:</w:t>
      </w:r>
      <w:r>
        <w:t xml:space="preserve"> </w:t>
      </w:r>
      <w:r>
        <w:t xml:space="preserve">W</w:t>
      </w:r>
      <w:r>
        <w:t xml:space="preserve">hy model?</w:t>
      </w:r>
      <w:r>
        <w:t xml:space="preserve"> </w:t>
      </w:r>
      <w:r>
        <w:t xml:space="preserve">W</w:t>
      </w:r>
      <w:r>
        <w:t xml:space="preserve">hy is it a problem?</w:t>
      </w:r>
      <w:r>
        <w:t xml:space="preserve"> </w:t>
      </w:r>
      <w:r>
        <w:t xml:space="preserve">H</w:t>
      </w:r>
      <w:r>
        <w:t xml:space="preserve">ow can we approach it?»</w:t>
      </w:r>
      <w:r>
        <w:t xml:space="preserve"> </w:t>
      </w:r>
      <w:r>
        <w:rPr>
          <w:i/>
          <w:iCs/>
        </w:rPr>
        <w:t xml:space="preserve">Survey Methodology</w:t>
      </w:r>
      <w:r>
        <w:t xml:space="preserve"> </w:t>
      </w:r>
      <w:r>
        <w:t xml:space="preserve">37 (2): 115-36.</w:t>
      </w:r>
    </w:p>
    <w:bookmarkEnd w:id="417"/>
    <w:bookmarkStart w:id="419" w:name="ref-pfeffermann1998weighting"/>
    <w:p>
      <w:pPr>
        <w:pStyle w:val="Bibliography"/>
      </w:pPr>
      <w:r>
        <w:t xml:space="preserve">Pfeffermann, Danny, Chris J. Skinner, David J. Holmes, Harvey Goldstein, y Jon Rasbash. 1998.</w:t>
      </w:r>
      <w:r>
        <w:t xml:space="preserve"> </w:t>
      </w:r>
      <w:r>
        <w:t xml:space="preserve">«Weighting for Unequal Selection Probabilities in Multilevel Models»</w:t>
      </w:r>
      <w:r>
        <w:t xml:space="preserve">.</w:t>
      </w:r>
      <w:r>
        <w:t xml:space="preserve"> </w:t>
      </w:r>
      <w:r>
        <w:rPr>
          <w:i/>
          <w:iCs/>
        </w:rPr>
        <w:t xml:space="preserve">Journal of the Royal Statistical Society: Series B</w:t>
      </w:r>
      <w:r>
        <w:t xml:space="preserve"> </w:t>
      </w:r>
      <w:r>
        <w:t xml:space="preserve">60 (1): 23-40.</w:t>
      </w:r>
      <w:r>
        <w:t xml:space="preserve"> </w:t>
      </w:r>
      <w:hyperlink r:id="rId418">
        <w:r>
          <w:rPr>
            <w:rStyle w:val="Hyperlink"/>
          </w:rPr>
          <w:t xml:space="preserve">https://doi.org/10.1111/1467-9868.00106</w:t>
        </w:r>
      </w:hyperlink>
      <w:r>
        <w:t xml:space="preserve">.</w:t>
      </w:r>
    </w:p>
    <w:bookmarkEnd w:id="419"/>
    <w:bookmarkStart w:id="421" w:name="ref-PositProjects2026"/>
    <w:p>
      <w:pPr>
        <w:pStyle w:val="Bibliography"/>
      </w:pPr>
      <w:r>
        <w:t xml:space="preserve">Posit Software, PBC. 2026.</w:t>
      </w:r>
      <w:r>
        <w:t xml:space="preserve"> </w:t>
      </w:r>
      <w:r>
        <w:rPr>
          <w:i/>
          <w:iCs/>
        </w:rPr>
        <w:t xml:space="preserve">RStudio Projects</w:t>
      </w:r>
      <w:r>
        <w:t xml:space="preserve">. Posit Software, PBC.</w:t>
      </w:r>
      <w:r>
        <w:t xml:space="preserve"> </w:t>
      </w:r>
      <w:hyperlink r:id="rId420">
        <w:r>
          <w:rPr>
            <w:rStyle w:val="Hyperlink"/>
          </w:rPr>
          <w:t xml:space="preserve">https://docs.posit.co/ide/user/ide/guide/code/projects.html</w:t>
        </w:r>
      </w:hyperlink>
      <w:r>
        <w:t xml:space="preserve">.</w:t>
      </w:r>
    </w:p>
    <w:bookmarkEnd w:id="421"/>
    <w:bookmarkStart w:id="423" w:name="ref-biscale2025"/>
    <w:p>
      <w:pPr>
        <w:pStyle w:val="Bibliography"/>
      </w:pPr>
      <w:r>
        <w:t xml:space="preserve">Prener, Christopher, Timo Grossenbacher, y Angelo Zehr. 2025.</w:t>
      </w:r>
      <w:r>
        <w:t xml:space="preserve"> </w:t>
      </w:r>
      <w:r>
        <w:rPr>
          <w:i/>
          <w:iCs/>
        </w:rPr>
        <w:t xml:space="preserve">biscale: Tools and Palettes for Bivariate Thematic Mapping</w:t>
      </w:r>
      <w:r>
        <w:t xml:space="preserve">.</w:t>
      </w:r>
      <w:r>
        <w:t xml:space="preserve"> </w:t>
      </w:r>
      <w:hyperlink r:id="rId422">
        <w:r>
          <w:rPr>
            <w:rStyle w:val="Hyperlink"/>
          </w:rPr>
          <w:t xml:space="preserve">https://doi.org/10.32614/CRAN.package.biscale</w:t>
        </w:r>
      </w:hyperlink>
      <w:r>
        <w:t xml:space="preserve">.</w:t>
      </w:r>
    </w:p>
    <w:bookmarkEnd w:id="423"/>
    <w:bookmarkStart w:id="425" w:name="ref-RCoreTeam2026"/>
    <w:p>
      <w:pPr>
        <w:pStyle w:val="Bibliography"/>
      </w:pPr>
      <w:r>
        <w:t xml:space="preserve">R Core Team. 2026a.</w:t>
      </w:r>
      <w:r>
        <w:t xml:space="preserve"> </w:t>
      </w:r>
      <w:r>
        <w:rPr>
          <w:i/>
          <w:iCs/>
        </w:rPr>
        <w:t xml:space="preserve">R: A Language and Environment for Statistical Computing</w:t>
      </w:r>
      <w:r>
        <w:t xml:space="preserve">. R Foundation for Statistical Computing.</w:t>
      </w:r>
      <w:r>
        <w:t xml:space="preserve"> </w:t>
      </w:r>
      <w:hyperlink r:id="rId424">
        <w:r>
          <w:rPr>
            <w:rStyle w:val="Hyperlink"/>
          </w:rPr>
          <w:t xml:space="preserve">https://www.R-project.org/</w:t>
        </w:r>
      </w:hyperlink>
      <w:r>
        <w:t xml:space="preserve">.</w:t>
      </w:r>
    </w:p>
    <w:bookmarkEnd w:id="425"/>
    <w:bookmarkStart w:id="427" w:name="ref-RCoreSerialization2026"/>
    <w:p>
      <w:pPr>
        <w:pStyle w:val="Bibliography"/>
      </w:pPr>
      <w:r>
        <w:t xml:space="preserve">R Core Team. 2026b.</w:t>
      </w:r>
      <w:r>
        <w:t xml:space="preserve"> </w:t>
      </w:r>
      <w:r>
        <w:rPr>
          <w:i/>
          <w:iCs/>
        </w:rPr>
        <w:t xml:space="preserve">Serialization Interface for Single Objects</w:t>
      </w:r>
      <w:r>
        <w:t xml:space="preserve">. R Foundation for Statistical Computing.</w:t>
      </w:r>
      <w:r>
        <w:t xml:space="preserve"> </w:t>
      </w:r>
      <w:hyperlink r:id="rId426">
        <w:r>
          <w:rPr>
            <w:rStyle w:val="Hyperlink"/>
          </w:rPr>
          <w:t xml:space="preserve">https://stat.ethz.ch/R-manual/R-devel/library/base/html/readRDS.html</w:t>
        </w:r>
      </w:hyperlink>
      <w:r>
        <w:t xml:space="preserve">.</w:t>
      </w:r>
    </w:p>
    <w:bookmarkEnd w:id="427"/>
    <w:bookmarkStart w:id="429" w:name="ref-rabehesketh2006multilevel"/>
    <w:p>
      <w:pPr>
        <w:pStyle w:val="Bibliography"/>
      </w:pPr>
      <w:r>
        <w:t xml:space="preserve">Rabe-Hesketh, Sophia, y Anders Skrondal. 2006.</w:t>
      </w:r>
      <w:r>
        <w:t xml:space="preserve"> </w:t>
      </w:r>
      <w:r>
        <w:t xml:space="preserve">«Multilevel Modelling of Complex Survey Data»</w:t>
      </w:r>
      <w:r>
        <w:t xml:space="preserve">.</w:t>
      </w:r>
      <w:r>
        <w:t xml:space="preserve"> </w:t>
      </w:r>
      <w:r>
        <w:rPr>
          <w:i/>
          <w:iCs/>
        </w:rPr>
        <w:t xml:space="preserve">Journal of the Royal Statistical Society: Series A</w:t>
      </w:r>
      <w:r>
        <w:t xml:space="preserve"> </w:t>
      </w:r>
      <w:r>
        <w:t xml:space="preserve">169 (4): 805-27.</w:t>
      </w:r>
      <w:r>
        <w:t xml:space="preserve"> </w:t>
      </w:r>
      <w:hyperlink r:id="rId428">
        <w:r>
          <w:rPr>
            <w:rStyle w:val="Hyperlink"/>
          </w:rPr>
          <w:t xml:space="preserve">https://doi.org/10.1111/j.1467-985X.2006.00426.x</w:t>
        </w:r>
      </w:hyperlink>
      <w:r>
        <w:t xml:space="preserve">.</w:t>
      </w:r>
    </w:p>
    <w:bookmarkEnd w:id="429"/>
    <w:bookmarkStart w:id="430" w:name="ref-rabehesketh2012multilevel"/>
    <w:p>
      <w:pPr>
        <w:pStyle w:val="Bibliography"/>
      </w:pPr>
      <w:r>
        <w:t xml:space="preserve">Rabe-Hesketh, Sophia, y Anders Skrondal. 2012.</w:t>
      </w:r>
      <w:r>
        <w:t xml:space="preserve"> </w:t>
      </w:r>
      <w:r>
        <w:rPr>
          <w:i/>
          <w:iCs/>
        </w:rPr>
        <w:t xml:space="preserve">Multilevel and Longitudinal Modeling Using Stata</w:t>
      </w:r>
      <w:r>
        <w:t xml:space="preserve">. 3.ª ed. Stata Press.</w:t>
      </w:r>
    </w:p>
    <w:bookmarkEnd w:id="430"/>
    <w:bookmarkStart w:id="432" w:name="ref-RaoScott1981"/>
    <w:p>
      <w:pPr>
        <w:pStyle w:val="Bibliography"/>
      </w:pPr>
      <w:r>
        <w:t xml:space="preserve">Rao, J. N. K., y Alastair J. Scott. 1981.</w:t>
      </w:r>
      <w:r>
        <w:t xml:space="preserve"> </w:t>
      </w:r>
      <w:r>
        <w:t xml:space="preserve">«The Analysis of Categorical Data From Complex Sample Surveys: Chi-Squared Tests for Goodness of Fit and Independence in Two-Way Tables»</w:t>
      </w:r>
      <w:r>
        <w:t xml:space="preserve">.</w:t>
      </w:r>
      <w:r>
        <w:t xml:space="preserve"> </w:t>
      </w:r>
      <w:r>
        <w:rPr>
          <w:i/>
          <w:iCs/>
        </w:rPr>
        <w:t xml:space="preserve">Journal of the American Statistical Association</w:t>
      </w:r>
      <w:r>
        <w:t xml:space="preserve"> </w:t>
      </w:r>
      <w:r>
        <w:t xml:space="preserve">76 (374): 221-30.</w:t>
      </w:r>
      <w:r>
        <w:t xml:space="preserve"> </w:t>
      </w:r>
      <w:hyperlink r:id="rId431">
        <w:r>
          <w:rPr>
            <w:rStyle w:val="Hyperlink"/>
          </w:rPr>
          <w:t xml:space="preserve">https://doi.org/10.1080/01621459.1981.10477633</w:t>
        </w:r>
      </w:hyperlink>
      <w:r>
        <w:t xml:space="preserve">.</w:t>
      </w:r>
    </w:p>
    <w:bookmarkEnd w:id="432"/>
    <w:bookmarkStart w:id="433" w:name="ref-rao1992resampling"/>
    <w:p>
      <w:pPr>
        <w:pStyle w:val="Bibliography"/>
      </w:pPr>
      <w:r>
        <w:t xml:space="preserve">Rao, J. N. K., C. F. J. Wu, y K. Yue. 1992.</w:t>
      </w:r>
      <w:r>
        <w:t xml:space="preserve"> </w:t>
      </w:r>
      <w:r>
        <w:t xml:space="preserve">«Some recent work on resampling methods for complex surveys»</w:t>
      </w:r>
      <w:r>
        <w:t xml:space="preserve">.</w:t>
      </w:r>
      <w:r>
        <w:t xml:space="preserve"> </w:t>
      </w:r>
      <w:r>
        <w:rPr>
          <w:i/>
          <w:iCs/>
        </w:rPr>
        <w:t xml:space="preserve">Survey Methodology</w:t>
      </w:r>
      <w:r>
        <w:t xml:space="preserve"> </w:t>
      </w:r>
      <w:r>
        <w:t xml:space="preserve">18: 209-17.</w:t>
      </w:r>
    </w:p>
    <w:bookmarkEnd w:id="433"/>
    <w:bookmarkStart w:id="434" w:name="ref-rao1984chisquare"/>
    <w:p>
      <w:pPr>
        <w:pStyle w:val="Bibliography"/>
      </w:pPr>
      <w:r>
        <w:t xml:space="preserve">Rao, Jon N. K., y Alastair J. Scott. 1984.</w:t>
      </w:r>
      <w:r>
        <w:t xml:space="preserve"> </w:t>
      </w:r>
      <w:r>
        <w:t xml:space="preserve">«On chi-squared tests for multiway contingency tables with cell proportions estimated from survey data»</w:t>
      </w:r>
      <w:r>
        <w:t xml:space="preserve">.</w:t>
      </w:r>
      <w:r>
        <w:t xml:space="preserve"> </w:t>
      </w:r>
      <w:r>
        <w:rPr>
          <w:i/>
          <w:iCs/>
        </w:rPr>
        <w:t xml:space="preserve">The Annals of Statistics</w:t>
      </w:r>
      <w:r>
        <w:t xml:space="preserve"> </w:t>
      </w:r>
      <w:r>
        <w:t xml:space="preserve">12 (1): 46-60.</w:t>
      </w:r>
    </w:p>
    <w:bookmarkEnd w:id="434"/>
    <w:bookmarkStart w:id="436" w:name="ref-broom2026"/>
    <w:p>
      <w:pPr>
        <w:pStyle w:val="Bibliography"/>
      </w:pPr>
      <w:r>
        <w:t xml:space="preserve">Robinson, David, Alex Hayes, Simon Couch, y Emil Hvitfeldt. 2026.</w:t>
      </w:r>
      <w:r>
        <w:t xml:space="preserve"> </w:t>
      </w:r>
      <w:r>
        <w:rPr>
          <w:i/>
          <w:iCs/>
        </w:rPr>
        <w:t xml:space="preserve">broom: Convert Statistical Objects into Tidy Tibbles</w:t>
      </w:r>
      <w:r>
        <w:t xml:space="preserve">.</w:t>
      </w:r>
      <w:r>
        <w:t xml:space="preserve"> </w:t>
      </w:r>
      <w:hyperlink r:id="rId435">
        <w:r>
          <w:rPr>
            <w:rStyle w:val="Hyperlink"/>
          </w:rPr>
          <w:t xml:space="preserve">https://doi.org/10.32614/CRAN.package.broom</w:t>
        </w:r>
      </w:hyperlink>
      <w:r>
        <w:t xml:space="preserve">.</w:t>
      </w:r>
    </w:p>
    <w:bookmarkEnd w:id="436"/>
    <w:bookmarkStart w:id="437" w:name="ref-sarndal2005nonresponse"/>
    <w:p>
      <w:pPr>
        <w:pStyle w:val="Bibliography"/>
      </w:pPr>
      <w:r>
        <w:t xml:space="preserve">Särndal, Carl-Erik, y Sixten Lundström. 2005.</w:t>
      </w:r>
      <w:r>
        <w:t xml:space="preserve"> </w:t>
      </w:r>
      <w:r>
        <w:rPr>
          <w:i/>
          <w:iCs/>
        </w:rPr>
        <w:t xml:space="preserve">Estimation in surveys with nonresponse</w:t>
      </w:r>
      <w:r>
        <w:t xml:space="preserve">. John Wiley &amp; Sons.</w:t>
      </w:r>
    </w:p>
    <w:bookmarkEnd w:id="437"/>
    <w:bookmarkStart w:id="438" w:name="ref-sarndal2003model"/>
    <w:p>
      <w:pPr>
        <w:pStyle w:val="Bibliography"/>
      </w:pPr>
      <w:r>
        <w:t xml:space="preserve">Särndal, Carl-Erik, Bengt Swensson, y Jan Wretman. 2003.</w:t>
      </w:r>
      <w:r>
        <w:t xml:space="preserve"> </w:t>
      </w:r>
      <w:r>
        <w:rPr>
          <w:i/>
          <w:iCs/>
        </w:rPr>
        <w:t xml:space="preserve">Model assisted survey sampling</w:t>
      </w:r>
      <w:r>
        <w:t xml:space="preserve">. Springer Science &amp; Business Media.</w:t>
      </w:r>
    </w:p>
    <w:bookmarkEnd w:id="438"/>
    <w:bookmarkStart w:id="440" w:name="ref-SchulzeWaltrupKauermann2016"/>
    <w:p>
      <w:pPr>
        <w:pStyle w:val="Bibliography"/>
      </w:pPr>
      <w:r>
        <w:t xml:space="preserve">Schulze Waltrup, Linda, y Göran Kauermann. 2016.</w:t>
      </w:r>
      <w:r>
        <w:t xml:space="preserve"> </w:t>
      </w:r>
      <w:r>
        <w:t xml:space="preserve">«A Short Note on Quantile and Expectile Estimation in Unequal Probability Samples»</w:t>
      </w:r>
      <w:r>
        <w:t xml:space="preserve">.</w:t>
      </w:r>
      <w:r>
        <w:t xml:space="preserve"> </w:t>
      </w:r>
      <w:r>
        <w:rPr>
          <w:i/>
          <w:iCs/>
        </w:rPr>
        <w:t xml:space="preserve">Survey Methodology</w:t>
      </w:r>
      <w:r>
        <w:t xml:space="preserve"> </w:t>
      </w:r>
      <w:r>
        <w:t xml:space="preserve">42 (1): 179-87.</w:t>
      </w:r>
      <w:r>
        <w:t xml:space="preserve"> </w:t>
      </w:r>
      <w:hyperlink r:id="rId439">
        <w:r>
          <w:rPr>
            <w:rStyle w:val="Hyperlink"/>
          </w:rPr>
          <w:t xml:space="preserve">https://www150.statcan.gc.ca/n1/en/catalogue/12-001-X201600114545</w:t>
        </w:r>
      </w:hyperlink>
      <w:r>
        <w:t xml:space="preserve">.</w:t>
      </w:r>
    </w:p>
    <w:bookmarkEnd w:id="440"/>
    <w:bookmarkStart w:id="441" w:name="ref-shah1977inference"/>
    <w:p>
      <w:pPr>
        <w:pStyle w:val="Bibliography"/>
      </w:pPr>
      <w:r>
        <w:t xml:space="preserve">Shah, Babubhai V., Maurice M. Holt, y Ralph F. Folsom. 1977.</w:t>
      </w:r>
      <w:r>
        <w:t xml:space="preserve"> </w:t>
      </w:r>
      <w:r>
        <w:t xml:space="preserve">«Inference about regression models from sample survey data»</w:t>
      </w:r>
      <w:r>
        <w:t xml:space="preserve">.</w:t>
      </w:r>
      <w:r>
        <w:t xml:space="preserve"> </w:t>
      </w:r>
      <w:r>
        <w:rPr>
          <w:i/>
          <w:iCs/>
        </w:rPr>
        <w:t xml:space="preserve">Bulletin of the International Statistical Institute</w:t>
      </w:r>
      <w:r>
        <w:t xml:space="preserve"> </w:t>
      </w:r>
      <w:r>
        <w:t xml:space="preserve">41 (3): 43-57.</w:t>
      </w:r>
    </w:p>
    <w:bookmarkEnd w:id="441"/>
    <w:bookmarkStart w:id="442" w:name="ref-skinner1989analysis"/>
    <w:p>
      <w:pPr>
        <w:pStyle w:val="Bibliography"/>
      </w:pPr>
      <w:r>
        <w:t xml:space="preserve">Skinner, Chris J., David Holt, y Tom M. F. Smith, eds. 1989.</w:t>
      </w:r>
      <w:r>
        <w:t xml:space="preserve"> </w:t>
      </w:r>
      <w:r>
        <w:rPr>
          <w:i/>
          <w:iCs/>
        </w:rPr>
        <w:t xml:space="preserve">Analysis of complex surveys</w:t>
      </w:r>
      <w:r>
        <w:t xml:space="preserve">. John Wiley &amp; Sons.</w:t>
      </w:r>
    </w:p>
    <w:bookmarkEnd w:id="442"/>
    <w:bookmarkStart w:id="443" w:name="ref-snijders2011"/>
    <w:p>
      <w:pPr>
        <w:pStyle w:val="Bibliography"/>
      </w:pPr>
      <w:r>
        <w:t xml:space="preserve">Snijders, Tom AB, y Roel Bosker. 2011.</w:t>
      </w:r>
      <w:r>
        <w:t xml:space="preserve"> </w:t>
      </w:r>
      <w:r>
        <w:rPr>
          <w:i/>
          <w:iCs/>
        </w:rPr>
        <w:t xml:space="preserve">Multilevel analysis: An introduction to basic and advanced multilevel modeling</w:t>
      </w:r>
      <w:r>
        <w:t xml:space="preserve">.</w:t>
      </w:r>
    </w:p>
    <w:bookmarkEnd w:id="443"/>
    <w:bookmarkStart w:id="445" w:name="ref-dotwhisker2025"/>
    <w:p>
      <w:pPr>
        <w:pStyle w:val="Bibliography"/>
      </w:pPr>
      <w:r>
        <w:t xml:space="preserve">Solt, Frederick, y Yue Hu. 2025.</w:t>
      </w:r>
      <w:r>
        <w:t xml:space="preserve"> </w:t>
      </w:r>
      <w:r>
        <w:rPr>
          <w:i/>
          <w:iCs/>
        </w:rPr>
        <w:t xml:space="preserve">dotwhisker: Dot-and-Whisker Plots of Regression Results</w:t>
      </w:r>
      <w:r>
        <w:t xml:space="preserve">.</w:t>
      </w:r>
      <w:r>
        <w:t xml:space="preserve"> </w:t>
      </w:r>
      <w:hyperlink r:id="rId444">
        <w:r>
          <w:rPr>
            <w:rStyle w:val="Hyperlink"/>
          </w:rPr>
          <w:t xml:space="preserve">https://doi.org/10.32614/CRAN.package.dotwhisker</w:t>
        </w:r>
      </w:hyperlink>
      <w:r>
        <w:t xml:space="preserve">.</w:t>
      </w:r>
    </w:p>
    <w:bookmarkEnd w:id="445"/>
    <w:bookmarkStart w:id="447" w:name="ref-Tennekes2018tmap"/>
    <w:p>
      <w:pPr>
        <w:pStyle w:val="Bibliography"/>
      </w:pPr>
      <w:r>
        <w:t xml:space="preserve">Tennekes, Martijn. 2018.</w:t>
      </w:r>
      <w:r>
        <w:t xml:space="preserve"> </w:t>
      </w:r>
      <w:r>
        <w:t xml:space="preserve">«tmap: Thematic Maps in R»</w:t>
      </w:r>
      <w:r>
        <w:t xml:space="preserve">.</w:t>
      </w:r>
      <w:r>
        <w:t xml:space="preserve"> </w:t>
      </w:r>
      <w:r>
        <w:rPr>
          <w:i/>
          <w:iCs/>
        </w:rPr>
        <w:t xml:space="preserve">Journal of Statistical Software</w:t>
      </w:r>
      <w:r>
        <w:t xml:space="preserve"> </w:t>
      </w:r>
      <w:r>
        <w:t xml:space="preserve">84 (6): 1-39.</w:t>
      </w:r>
      <w:r>
        <w:t xml:space="preserve"> </w:t>
      </w:r>
      <w:hyperlink r:id="rId446">
        <w:r>
          <w:rPr>
            <w:rStyle w:val="Hyperlink"/>
          </w:rPr>
          <w:t xml:space="preserve">https://doi.org/10.18637/jss.v084.i06</w:t>
        </w:r>
      </w:hyperlink>
      <w:r>
        <w:t xml:space="preserve">.</w:t>
      </w:r>
    </w:p>
    <w:bookmarkEnd w:id="447"/>
    <w:bookmarkStart w:id="449" w:name="ref-tmap2026"/>
    <w:p>
      <w:pPr>
        <w:pStyle w:val="Bibliography"/>
      </w:pPr>
      <w:r>
        <w:t xml:space="preserve">Tennekes, Martijn. 2026.</w:t>
      </w:r>
      <w:r>
        <w:t xml:space="preserve"> </w:t>
      </w:r>
      <w:r>
        <w:rPr>
          <w:i/>
          <w:iCs/>
        </w:rPr>
        <w:t xml:space="preserve">tmap: Thematic Maps</w:t>
      </w:r>
      <w:r>
        <w:t xml:space="preserve">.</w:t>
      </w:r>
      <w:r>
        <w:t xml:space="preserve"> </w:t>
      </w:r>
      <w:hyperlink r:id="rId448">
        <w:r>
          <w:rPr>
            <w:rStyle w:val="Hyperlink"/>
          </w:rPr>
          <w:t xml:space="preserve">https://doi.org/10.32614/CRAN.package.tmap</w:t>
        </w:r>
      </w:hyperlink>
      <w:r>
        <w:t xml:space="preserve">.</w:t>
      </w:r>
    </w:p>
    <w:bookmarkEnd w:id="449"/>
    <w:bookmarkStart w:id="450" w:name="ref-thomas1987chisquare"/>
    <w:p>
      <w:pPr>
        <w:pStyle w:val="Bibliography"/>
      </w:pPr>
      <w:r>
        <w:t xml:space="preserve">Thomas, D. Roland, y Jon N. K. Rao. 1987.</w:t>
      </w:r>
      <w:r>
        <w:t xml:space="preserve"> </w:t>
      </w:r>
      <w:r>
        <w:t xml:space="preserve">«Small-sample comparisons of level and power for simple goodness-of-fit statistics under cluster sampling»</w:t>
      </w:r>
      <w:r>
        <w:t xml:space="preserve">.</w:t>
      </w:r>
      <w:r>
        <w:t xml:space="preserve"> </w:t>
      </w:r>
      <w:r>
        <w:rPr>
          <w:i/>
          <w:iCs/>
        </w:rPr>
        <w:t xml:space="preserve">Journal of the American Statistical Association</w:t>
      </w:r>
      <w:r>
        <w:t xml:space="preserve"> </w:t>
      </w:r>
      <w:r>
        <w:t xml:space="preserve">82 (398): 630-36.</w:t>
      </w:r>
    </w:p>
    <w:bookmarkEnd w:id="450"/>
    <w:bookmarkStart w:id="451" w:name="ref-Tukey1977EDA"/>
    <w:p>
      <w:pPr>
        <w:pStyle w:val="Bibliography"/>
      </w:pPr>
      <w:r>
        <w:t xml:space="preserve">Tukey, John W. 1977.</w:t>
      </w:r>
      <w:r>
        <w:t xml:space="preserve"> </w:t>
      </w:r>
      <w:r>
        <w:rPr>
          <w:i/>
          <w:iCs/>
        </w:rPr>
        <w:t xml:space="preserve">Exploratory Data Analysis</w:t>
      </w:r>
      <w:r>
        <w:t xml:space="preserve">. Addison-Wesley.</w:t>
      </w:r>
    </w:p>
    <w:bookmarkEnd w:id="451"/>
    <w:bookmarkStart w:id="453" w:name="ref-Valliant2024"/>
    <w:p>
      <w:pPr>
        <w:pStyle w:val="Bibliography"/>
      </w:pPr>
      <w:r>
        <w:t xml:space="preserve">Valliant, Richard. 2024.</w:t>
      </w:r>
      <w:r>
        <w:t xml:space="preserve"> </w:t>
      </w:r>
      <w:r>
        <w:rPr>
          <w:i/>
          <w:iCs/>
        </w:rPr>
        <w:t xml:space="preserve">svydiags: Regression Model Diagnostics for Survey Data</w:t>
      </w:r>
      <w:r>
        <w:t xml:space="preserve">.</w:t>
      </w:r>
      <w:r>
        <w:t xml:space="preserve"> </w:t>
      </w:r>
      <w:hyperlink r:id="rId452">
        <w:r>
          <w:rPr>
            <w:rStyle w:val="Hyperlink"/>
          </w:rPr>
          <w:t xml:space="preserve">https://doi.org/10.32614/CRAN.package.svydiags</w:t>
        </w:r>
      </w:hyperlink>
      <w:r>
        <w:t xml:space="preserve">.</w:t>
      </w:r>
    </w:p>
    <w:bookmarkEnd w:id="453"/>
    <w:bookmarkStart w:id="455" w:name="ref-gtools2025"/>
    <w:p>
      <w:pPr>
        <w:pStyle w:val="Bibliography"/>
      </w:pPr>
      <w:r>
        <w:t xml:space="preserve">Warnes, Gregory R., Ben Bolker, Thomas Lumley, et al. 2023.</w:t>
      </w:r>
      <w:r>
        <w:t xml:space="preserve"> </w:t>
      </w:r>
      <w:r>
        <w:rPr>
          <w:i/>
          <w:iCs/>
        </w:rPr>
        <w:t xml:space="preserve">gtools: Various R Programming Tools</w:t>
      </w:r>
      <w:r>
        <w:t xml:space="preserve">.</w:t>
      </w:r>
      <w:r>
        <w:t xml:space="preserve"> </w:t>
      </w:r>
      <w:hyperlink r:id="rId454">
        <w:r>
          <w:rPr>
            <w:rStyle w:val="Hyperlink"/>
          </w:rPr>
          <w:t xml:space="preserve">https://doi.org/10.32614/CRAN.package.gtools</w:t>
        </w:r>
      </w:hyperlink>
      <w:r>
        <w:t xml:space="preserve">.</w:t>
      </w:r>
    </w:p>
    <w:bookmarkEnd w:id="455"/>
    <w:bookmarkStart w:id="457" w:name="ref-Wickham2014"/>
    <w:p>
      <w:pPr>
        <w:pStyle w:val="Bibliography"/>
      </w:pPr>
      <w:r>
        <w:t xml:space="preserve">Wickham, Hadley. 2014.</w:t>
      </w:r>
      <w:r>
        <w:t xml:space="preserve"> </w:t>
      </w:r>
      <w:r>
        <w:t xml:space="preserve">«Tidy Data»</w:t>
      </w:r>
      <w:r>
        <w:t xml:space="preserve">.</w:t>
      </w:r>
      <w:r>
        <w:t xml:space="preserve"> </w:t>
      </w:r>
      <w:r>
        <w:rPr>
          <w:i/>
          <w:iCs/>
        </w:rPr>
        <w:t xml:space="preserve">Journal of Statistical Software</w:t>
      </w:r>
      <w:r>
        <w:t xml:space="preserve"> </w:t>
      </w:r>
      <w:r>
        <w:t xml:space="preserve">59 (10): 1-23.</w:t>
      </w:r>
      <w:r>
        <w:t xml:space="preserve"> </w:t>
      </w:r>
      <w:hyperlink r:id="rId456">
        <w:r>
          <w:rPr>
            <w:rStyle w:val="Hyperlink"/>
          </w:rPr>
          <w:t xml:space="preserve">https://doi.org/10.18637/jss.v059.i10</w:t>
        </w:r>
      </w:hyperlink>
      <w:r>
        <w:t xml:space="preserve">.</w:t>
      </w:r>
    </w:p>
    <w:bookmarkEnd w:id="457"/>
    <w:bookmarkStart w:id="459" w:name="ref-Wickham2016ggplot2"/>
    <w:p>
      <w:pPr>
        <w:pStyle w:val="Bibliography"/>
      </w:pPr>
      <w:r>
        <w:t xml:space="preserve">Wickham, Hadley. 2016.</w:t>
      </w:r>
      <w:r>
        <w:t xml:space="preserve"> </w:t>
      </w:r>
      <w:r>
        <w:rPr>
          <w:i/>
          <w:iCs/>
        </w:rPr>
        <w:t xml:space="preserve">ggplot2: Elegant Graphics for Data Analysis</w:t>
      </w:r>
      <w:r>
        <w:t xml:space="preserve">. 2.ª ed. Springer.</w:t>
      </w:r>
      <w:r>
        <w:t xml:space="preserve"> </w:t>
      </w:r>
      <w:hyperlink r:id="rId458">
        <w:r>
          <w:rPr>
            <w:rStyle w:val="Hyperlink"/>
          </w:rPr>
          <w:t xml:space="preserve">https://doi.org/10.1007/978-3-319-24277-4</w:t>
        </w:r>
      </w:hyperlink>
      <w:r>
        <w:t xml:space="preserve">.</w:t>
      </w:r>
    </w:p>
    <w:bookmarkEnd w:id="459"/>
    <w:bookmarkStart w:id="461" w:name="ref-tidyverse2026"/>
    <w:p>
      <w:pPr>
        <w:pStyle w:val="Bibliography"/>
      </w:pPr>
      <w:r>
        <w:t xml:space="preserve">Wickham, Hadley, Mara Averick, Jennifer Bryan, et al. 2026.</w:t>
      </w:r>
      <w:r>
        <w:t xml:space="preserve"> </w:t>
      </w:r>
      <w:r>
        <w:rPr>
          <w:i/>
          <w:iCs/>
        </w:rPr>
        <w:t xml:space="preserve">tidyverse: Easily Install and Load the Tidyverse</w:t>
      </w:r>
      <w:r>
        <w:t xml:space="preserve">.</w:t>
      </w:r>
      <w:r>
        <w:t xml:space="preserve"> </w:t>
      </w:r>
      <w:hyperlink r:id="rId460">
        <w:r>
          <w:rPr>
            <w:rStyle w:val="Hyperlink"/>
          </w:rPr>
          <w:t xml:space="preserve">https://doi.org/10.32614/CRAN.package.tidyverse</w:t>
        </w:r>
      </w:hyperlink>
      <w:r>
        <w:t xml:space="preserve">.</w:t>
      </w:r>
    </w:p>
    <w:bookmarkEnd w:id="461"/>
    <w:bookmarkStart w:id="463" w:name="ref-WickhamEtAl2023"/>
    <w:p>
      <w:pPr>
        <w:pStyle w:val="Bibliography"/>
      </w:pPr>
      <w:r>
        <w:t xml:space="preserve">Wickham, Hadley, Mine Çetinkaya-Rundel, y Garrett Grolemund. 2023.</w:t>
      </w:r>
      <w:r>
        <w:t xml:space="preserve"> </w:t>
      </w:r>
      <w:r>
        <w:rPr>
          <w:i/>
          <w:iCs/>
        </w:rPr>
        <w:t xml:space="preserve">R for Data Science: Import, Tidy, Transform, Visualize, and Model Data</w:t>
      </w:r>
      <w:r>
        <w:t xml:space="preserve">. 2.ª ed. O’Reilly Media.</w:t>
      </w:r>
      <w:r>
        <w:t xml:space="preserve"> </w:t>
      </w:r>
      <w:hyperlink r:id="rId462">
        <w:r>
          <w:rPr>
            <w:rStyle w:val="Hyperlink"/>
          </w:rPr>
          <w:t xml:space="preserve">https://r4ds.hadley.nz/</w:t>
        </w:r>
      </w:hyperlink>
      <w:r>
        <w:t xml:space="preserve">.</w:t>
      </w:r>
    </w:p>
    <w:bookmarkEnd w:id="463"/>
    <w:bookmarkStart w:id="465" w:name="ref-ggplot22026"/>
    <w:p>
      <w:pPr>
        <w:pStyle w:val="Bibliography"/>
      </w:pPr>
      <w:r>
        <w:t xml:space="preserve">Wickham, Hadley, Winston Chang, Lionel Henry, et al. 2026.</w:t>
      </w:r>
      <w:r>
        <w:t xml:space="preserve"> </w:t>
      </w:r>
      <w:r>
        <w:rPr>
          <w:i/>
          <w:iCs/>
        </w:rPr>
        <w:t xml:space="preserve">ggplot2: Create Elegant Data Visualisations Using the Grammar of Graphics</w:t>
      </w:r>
      <w:r>
        <w:t xml:space="preserve">.</w:t>
      </w:r>
      <w:r>
        <w:t xml:space="preserve"> </w:t>
      </w:r>
      <w:hyperlink r:id="rId464">
        <w:r>
          <w:rPr>
            <w:rStyle w:val="Hyperlink"/>
          </w:rPr>
          <w:t xml:space="preserve">https://doi.org/10.32614/CRAN.package.ggplot2</w:t>
        </w:r>
      </w:hyperlink>
      <w:r>
        <w:t xml:space="preserve">.</w:t>
      </w:r>
    </w:p>
    <w:bookmarkEnd w:id="465"/>
    <w:bookmarkStart w:id="467" w:name="ref-dplyr2026"/>
    <w:p>
      <w:pPr>
        <w:pStyle w:val="Bibliography"/>
      </w:pPr>
      <w:r>
        <w:t xml:space="preserve">Wickham, Hadley, Romain François, Lionel Henry, Kirill Müller, y Davis Vaughan. 2026.</w:t>
      </w:r>
      <w:r>
        <w:t xml:space="preserve"> </w:t>
      </w:r>
      <w:r>
        <w:rPr>
          <w:i/>
          <w:iCs/>
        </w:rPr>
        <w:t xml:space="preserve">dplyr: A Grammar of Data Manipulation</w:t>
      </w:r>
      <w:r>
        <w:t xml:space="preserve">.</w:t>
      </w:r>
      <w:r>
        <w:t xml:space="preserve"> </w:t>
      </w:r>
      <w:hyperlink r:id="rId466">
        <w:r>
          <w:rPr>
            <w:rStyle w:val="Hyperlink"/>
          </w:rPr>
          <w:t xml:space="preserve">https://doi.org/10.32614/CRAN.package.dplyr</w:t>
        </w:r>
      </w:hyperlink>
      <w:r>
        <w:t xml:space="preserve">.</w:t>
      </w:r>
    </w:p>
    <w:bookmarkEnd w:id="467"/>
    <w:bookmarkStart w:id="469" w:name="ref-cowplot2025"/>
    <w:p>
      <w:pPr>
        <w:pStyle w:val="Bibliography"/>
      </w:pPr>
      <w:r>
        <w:t xml:space="preserve">Wilke, Claus O. 2025.</w:t>
      </w:r>
      <w:r>
        <w:t xml:space="preserve"> </w:t>
      </w:r>
      <w:r>
        <w:rPr>
          <w:i/>
          <w:iCs/>
        </w:rPr>
        <w:t xml:space="preserve">cowplot: Streamlined Plot Theme and Plot Annotations for ’ggplot2’</w:t>
      </w:r>
      <w:r>
        <w:t xml:space="preserve">.</w:t>
      </w:r>
      <w:r>
        <w:t xml:space="preserve"> </w:t>
      </w:r>
      <w:hyperlink r:id="rId468">
        <w:r>
          <w:rPr>
            <w:rStyle w:val="Hyperlink"/>
          </w:rPr>
          <w:t xml:space="preserve">https://doi.org/10.32614/CRAN.package.cowplot</w:t>
        </w:r>
      </w:hyperlink>
      <w:r>
        <w:t xml:space="preserve">.</w:t>
      </w:r>
    </w:p>
    <w:bookmarkEnd w:id="469"/>
    <w:bookmarkStart w:id="470" w:name="ref-wilkinson2005grammar"/>
    <w:p>
      <w:pPr>
        <w:pStyle w:val="Bibliography"/>
      </w:pPr>
      <w:r>
        <w:t xml:space="preserve">Wilkinson, Leland. 2005.</w:t>
      </w:r>
      <w:r>
        <w:t xml:space="preserve"> </w:t>
      </w:r>
      <w:r>
        <w:rPr>
          <w:i/>
          <w:iCs/>
        </w:rPr>
        <w:t xml:space="preserve">The grammar of graphics</w:t>
      </w:r>
      <w:r>
        <w:t xml:space="preserve">. 2.ª ed. Springer.</w:t>
      </w:r>
    </w:p>
    <w:bookmarkEnd w:id="470"/>
    <w:bookmarkStart w:id="472" w:name="ref-Wolter2007Variance"/>
    <w:p>
      <w:pPr>
        <w:pStyle w:val="Bibliography"/>
      </w:pPr>
      <w:r>
        <w:t xml:space="preserve">Wolter, Kirk M. 2007.</w:t>
      </w:r>
      <w:r>
        <w:t xml:space="preserve"> </w:t>
      </w:r>
      <w:r>
        <w:rPr>
          <w:i/>
          <w:iCs/>
        </w:rPr>
        <w:t xml:space="preserve">Introduction to Variance Estimation</w:t>
      </w:r>
      <w:r>
        <w:t xml:space="preserve">. 2.ª ed. Springer Series en Statistics. Springer.</w:t>
      </w:r>
      <w:r>
        <w:t xml:space="preserve"> </w:t>
      </w:r>
      <w:hyperlink r:id="rId471">
        <w:r>
          <w:rPr>
            <w:rStyle w:val="Hyperlink"/>
          </w:rPr>
          <w:t xml:space="preserve">https://doi.org/10.1007/978-0-387-35099-8</w:t>
        </w:r>
      </w:hyperlink>
      <w:r>
        <w:t xml:space="preserve">.</w:t>
      </w:r>
    </w:p>
    <w:bookmarkEnd w:id="472"/>
    <w:bookmarkStart w:id="474" w:name="ref-Woodruff1952"/>
    <w:p>
      <w:pPr>
        <w:pStyle w:val="Bibliography"/>
      </w:pPr>
      <w:r>
        <w:t xml:space="preserve">Woodruff, Ralph S. 1952.</w:t>
      </w:r>
      <w:r>
        <w:t xml:space="preserve"> </w:t>
      </w:r>
      <w:r>
        <w:t xml:space="preserve">«Confidence Intervals for Medians and Other Position Measures»</w:t>
      </w:r>
      <w:r>
        <w:t xml:space="preserve">.</w:t>
      </w:r>
      <w:r>
        <w:t xml:space="preserve"> </w:t>
      </w:r>
      <w:r>
        <w:rPr>
          <w:i/>
          <w:iCs/>
        </w:rPr>
        <w:t xml:space="preserve">Journal of the American Statistical Association</w:t>
      </w:r>
      <w:r>
        <w:t xml:space="preserve"> </w:t>
      </w:r>
      <w:r>
        <w:t xml:space="preserve">47 (260): 635-46.</w:t>
      </w:r>
      <w:r>
        <w:t xml:space="preserve"> </w:t>
      </w:r>
      <w:hyperlink r:id="rId473">
        <w:r>
          <w:rPr>
            <w:rStyle w:val="Hyperlink"/>
          </w:rPr>
          <w:t xml:space="preserve">https://doi.org/10.1080/01621459.1952.10483443</w:t>
        </w:r>
      </w:hyperlink>
      <w:r>
        <w:t xml:space="preserve">.</w:t>
      </w:r>
    </w:p>
    <w:bookmarkEnd w:id="474"/>
    <w:bookmarkEnd w:id="475"/>
    <w:bookmarkEnd w:id="4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1">
    <w:p>
      <w:pPr>
        <w:pStyle w:val="FootnoteText"/>
      </w:pPr>
      <w:r>
        <w:rPr>
          <w:rStyle w:val="FootnoteReference"/>
        </w:rPr>
        <w:footnoteRef/>
      </w:r>
      <w:r>
        <w:t xml:space="preserve"> </w:t>
      </w:r>
      <w:r>
        <w:t xml:space="preserve">Adaptada de https://tech.popdata.org/pma-data-hub/posts/2021-08-15-covid-analysis/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36" Target="media/rId136.png" /><Relationship Type="http://schemas.openxmlformats.org/officeDocument/2006/relationships/image" Id="rId87" Target="media/rId87.png" /><Relationship Type="http://schemas.openxmlformats.org/officeDocument/2006/relationships/image" Id="rId225" Target="media/rId225.png" /><Relationship Type="http://schemas.openxmlformats.org/officeDocument/2006/relationships/image" Id="rId193" Target="media/rId193.png" /><Relationship Type="http://schemas.openxmlformats.org/officeDocument/2006/relationships/image" Id="rId82" Target="media/rId82.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74" Target="media/rId74.png" /><Relationship Type="http://schemas.openxmlformats.org/officeDocument/2006/relationships/image" Id="rId184" Target="media/rId184.png" /><Relationship Type="http://schemas.openxmlformats.org/officeDocument/2006/relationships/image" Id="rId78" Target="media/rId78.png" /><Relationship Type="http://schemas.openxmlformats.org/officeDocument/2006/relationships/image" Id="rId263" Target="media/rId263.png" /><Relationship Type="http://schemas.openxmlformats.org/officeDocument/2006/relationships/image" Id="rId253" Target="media/rId253.png" /><Relationship Type="http://schemas.openxmlformats.org/officeDocument/2006/relationships/image" Id="rId245" Target="media/rId245.png" /><Relationship Type="http://schemas.openxmlformats.org/officeDocument/2006/relationships/image" Id="rId220" Target="media/rId220.png" /><Relationship Type="http://schemas.openxmlformats.org/officeDocument/2006/relationships/image" Id="rId282" Target="media/rId282.png" /><Relationship Type="http://schemas.openxmlformats.org/officeDocument/2006/relationships/image" Id="rId288" Target="media/rId288.png" /><Relationship Type="http://schemas.openxmlformats.org/officeDocument/2006/relationships/image" Id="rId275" Target="media/rId275.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image" Id="rId161" Target="media/rId161.png" /><Relationship Type="http://schemas.openxmlformats.org/officeDocument/2006/relationships/image" Id="rId157" Target="media/rId157.png" /><Relationship Type="http://schemas.openxmlformats.org/officeDocument/2006/relationships/image" Id="rId233" Target="media/rId233.png" /><Relationship Type="http://schemas.openxmlformats.org/officeDocument/2006/relationships/image" Id="rId269" Target="media/rId269.png" /><Relationship Type="http://schemas.openxmlformats.org/officeDocument/2006/relationships/image" Id="rId249" Target="media/rId249.png" /><Relationship Type="http://schemas.openxmlformats.org/officeDocument/2006/relationships/image" Id="rId213" Target="media/rId213.png" /><Relationship Type="http://schemas.openxmlformats.org/officeDocument/2006/relationships/image" Id="rId241" Target="media/rId241.png" /><Relationship Type="http://schemas.openxmlformats.org/officeDocument/2006/relationships/image" Id="rId188" Target="media/rId188.png" /><Relationship Type="http://schemas.openxmlformats.org/officeDocument/2006/relationships/image" Id="rId96" Target="media/rId96.png" /><Relationship Type="http://schemas.openxmlformats.org/officeDocument/2006/relationships/image" Id="rId178" Target="media/rId178.png" /><Relationship Type="http://schemas.openxmlformats.org/officeDocument/2006/relationships/image" Id="rId100" Target="media/rId100.png" /><Relationship Type="http://schemas.openxmlformats.org/officeDocument/2006/relationships/image" Id="rId91" Target="media/rId91.png" /><Relationship Type="http://schemas.openxmlformats.org/officeDocument/2006/relationships/hyperlink" Id="rId10" Target="Libro.pdf" TargetMode="External" /><Relationship Type="http://schemas.openxmlformats.org/officeDocument/2006/relationships/hyperlink" Id="rId9" Target="http://creativecommons.org/licenses/by-nc-sa/4.0/" TargetMode="External" /><Relationship Type="http://schemas.openxmlformats.org/officeDocument/2006/relationships/hyperlink" Id="rId420" Target="https://docs.posit.co/ide/user/ide/guide/code/projects.html" TargetMode="External" /><Relationship Type="http://schemas.openxmlformats.org/officeDocument/2006/relationships/hyperlink" Id="rId333" Target="https://doi.org/10.1002/0470867205" TargetMode="External" /><Relationship Type="http://schemas.openxmlformats.org/officeDocument/2006/relationships/hyperlink" Id="rId375" Target="https://doi.org/10.1002/9781118032619" TargetMode="External" /><Relationship Type="http://schemas.openxmlformats.org/officeDocument/2006/relationships/hyperlink" Id="rId310" Target="https://doi.org/10.1002/9781119405283" TargetMode="External" /><Relationship Type="http://schemas.openxmlformats.org/officeDocument/2006/relationships/hyperlink" Id="rId471" Target="https://doi.org/10.1007/978-0-387-35099-8" TargetMode="External" /><Relationship Type="http://schemas.openxmlformats.org/officeDocument/2006/relationships/hyperlink" Id="rId396" Target="https://doi.org/10.1007/978-1-4899-3242-6" TargetMode="External" /><Relationship Type="http://schemas.openxmlformats.org/officeDocument/2006/relationships/hyperlink" Id="rId458" Target="https://doi.org/10.1007/978-3-319-24277-4" TargetMode="External" /><Relationship Type="http://schemas.openxmlformats.org/officeDocument/2006/relationships/hyperlink" Id="rId473" Target="https://doi.org/10.1080/01621459.1952.10483443" TargetMode="External" /><Relationship Type="http://schemas.openxmlformats.org/officeDocument/2006/relationships/hyperlink" Id="rId367" Target="https://doi.org/10.1080/01621459.1952.10483446" TargetMode="External" /><Relationship Type="http://schemas.openxmlformats.org/officeDocument/2006/relationships/hyperlink" Id="rId431" Target="https://doi.org/10.1080/01621459.1981.10477633" TargetMode="External" /><Relationship Type="http://schemas.openxmlformats.org/officeDocument/2006/relationships/hyperlink" Id="rId336" Target="https://doi.org/10.1080/01621459.1992.10475217" TargetMode="External" /><Relationship Type="http://schemas.openxmlformats.org/officeDocument/2006/relationships/hyperlink" Id="rId312" Target="https://doi.org/10.1080/03610920500476598" TargetMode="External" /><Relationship Type="http://schemas.openxmlformats.org/officeDocument/2006/relationships/hyperlink" Id="rId418" Target="https://doi.org/10.1111/1467-9868.00106" TargetMode="External" /><Relationship Type="http://schemas.openxmlformats.org/officeDocument/2006/relationships/hyperlink" Id="rId428" Target="https://doi.org/10.1111/j.1467-985X.2006.00426.x" TargetMode="External" /><Relationship Type="http://schemas.openxmlformats.org/officeDocument/2006/relationships/hyperlink" Id="rId381" Target="https://doi.org/10.1111/j.1467-985X.2012.01048.x" TargetMode="External" /><Relationship Type="http://schemas.openxmlformats.org/officeDocument/2006/relationships/hyperlink" Id="rId398" Target="https://doi.org/10.1136/jech.2004.029454" TargetMode="External" /><Relationship Type="http://schemas.openxmlformats.org/officeDocument/2006/relationships/hyperlink" Id="rId326" Target="https://doi.org/10.1177/0081175013490035" TargetMode="External" /><Relationship Type="http://schemas.openxmlformats.org/officeDocument/2006/relationships/hyperlink" Id="rId328" Target="https://doi.org/10.1186/1471-2288-9-49" TargetMode="External" /><Relationship Type="http://schemas.openxmlformats.org/officeDocument/2006/relationships/hyperlink" Id="rId363" Target="https://doi.org/10.1201/9781315153278" TargetMode="External" /><Relationship Type="http://schemas.openxmlformats.org/officeDocument/2006/relationships/hyperlink" Id="rId323" Target="https://doi.org/10.1214/06-BA117" TargetMode="External" /><Relationship Type="http://schemas.openxmlformats.org/officeDocument/2006/relationships/hyperlink" Id="rId341" Target="https://doi.org/10.1214/aos/1176344552" TargetMode="External" /><Relationship Type="http://schemas.openxmlformats.org/officeDocument/2006/relationships/hyperlink" Id="rId383" Target="https://doi.org/10.1515/jos-2015-0003" TargetMode="External" /><Relationship Type="http://schemas.openxmlformats.org/officeDocument/2006/relationships/hyperlink" Id="rId456" Target="https://doi.org/10.18637/jss.v059.i10" TargetMode="External" /><Relationship Type="http://schemas.openxmlformats.org/officeDocument/2006/relationships/hyperlink" Id="rId316" Target="https://doi.org/10.18637/jss.v067.i01" TargetMode="External" /><Relationship Type="http://schemas.openxmlformats.org/officeDocument/2006/relationships/hyperlink" Id="rId446" Target="https://doi.org/10.18637/jss.v084.i06" TargetMode="External" /><Relationship Type="http://schemas.openxmlformats.org/officeDocument/2006/relationships/hyperlink" Id="rId415" Target="https://doi.org/10.2307/1403631" TargetMode="External" /><Relationship Type="http://schemas.openxmlformats.org/officeDocument/2006/relationships/hyperlink" Id="rId346" Target="https://doi.org/10.2307/2287405" TargetMode="External" /><Relationship Type="http://schemas.openxmlformats.org/officeDocument/2006/relationships/hyperlink" Id="rId404" Target="https://doi.org/10.2307/2344614" TargetMode="External" /><Relationship Type="http://schemas.openxmlformats.org/officeDocument/2006/relationships/hyperlink" Id="rId358" Target="https://doi.org/10.32614/CRAN.package.TeachingSampling" TargetMode="External" /><Relationship Type="http://schemas.openxmlformats.org/officeDocument/2006/relationships/hyperlink" Id="rId422" Target="https://doi.org/10.32614/CRAN.package.biscale" TargetMode="External" /><Relationship Type="http://schemas.openxmlformats.org/officeDocument/2006/relationships/hyperlink" Id="rId435" Target="https://doi.org/10.32614/CRAN.package.broom" TargetMode="External" /><Relationship Type="http://schemas.openxmlformats.org/officeDocument/2006/relationships/hyperlink" Id="rId369" Target="https://doi.org/10.32614/CRAN.package.convey" TargetMode="External" /><Relationship Type="http://schemas.openxmlformats.org/officeDocument/2006/relationships/hyperlink" Id="rId468" Target="https://doi.org/10.32614/CRAN.package.cowplot" TargetMode="External" /><Relationship Type="http://schemas.openxmlformats.org/officeDocument/2006/relationships/hyperlink" Id="rId444" Target="https://doi.org/10.32614/CRAN.package.dotwhisker" TargetMode="External" /><Relationship Type="http://schemas.openxmlformats.org/officeDocument/2006/relationships/hyperlink" Id="rId466" Target="https://doi.org/10.32614/CRAN.package.dplyr" TargetMode="External" /><Relationship Type="http://schemas.openxmlformats.org/officeDocument/2006/relationships/hyperlink" Id="rId464" Target="https://doi.org/10.32614/CRAN.package.ggplot2" TargetMode="External" /><Relationship Type="http://schemas.openxmlformats.org/officeDocument/2006/relationships/hyperlink" Id="rId365" Target="https://doi.org/10.32614/CRAN.package.ggstance" TargetMode="External" /><Relationship Type="http://schemas.openxmlformats.org/officeDocument/2006/relationships/hyperlink" Id="rId454" Target="https://doi.org/10.32614/CRAN.package.gtools" TargetMode="External" /><Relationship Type="http://schemas.openxmlformats.org/officeDocument/2006/relationships/hyperlink" Id="rId387" Target="https://doi.org/10.32614/CRAN.package.jtools" TargetMode="External" /><Relationship Type="http://schemas.openxmlformats.org/officeDocument/2006/relationships/hyperlink" Id="rId314" Target="https://doi.org/10.32614/CRAN.package.magrittr" TargetMode="External" /><Relationship Type="http://schemas.openxmlformats.org/officeDocument/2006/relationships/hyperlink" Id="rId413" Target="https://doi.org/10.32614/CRAN.package.patchwork" TargetMode="External" /><Relationship Type="http://schemas.openxmlformats.org/officeDocument/2006/relationships/hyperlink" Id="rId389" Target="https://doi.org/10.32614/CRAN.package.performance" TargetMode="External" /><Relationship Type="http://schemas.openxmlformats.org/officeDocument/2006/relationships/hyperlink" Id="rId411" Target="https://doi.org/10.32614/CRAN.package.sf" TargetMode="External" /><Relationship Type="http://schemas.openxmlformats.org/officeDocument/2006/relationships/hyperlink" Id="rId350" Target="https://doi.org/10.32614/CRAN.package.srvyr" TargetMode="External" /><Relationship Type="http://schemas.openxmlformats.org/officeDocument/2006/relationships/hyperlink" Id="rId394" Target="https://doi.org/10.32614/CRAN.package.survey" TargetMode="External" /><Relationship Type="http://schemas.openxmlformats.org/officeDocument/2006/relationships/hyperlink" Id="rId392" Target="https://doi.org/10.32614/CRAN.package.svyVGAM" TargetMode="External" /><Relationship Type="http://schemas.openxmlformats.org/officeDocument/2006/relationships/hyperlink" Id="rId452" Target="https://doi.org/10.32614/CRAN.package.svydiags" TargetMode="External" /><Relationship Type="http://schemas.openxmlformats.org/officeDocument/2006/relationships/hyperlink" Id="rId460" Target="https://doi.org/10.32614/CRAN.package.tidyverse" TargetMode="External" /><Relationship Type="http://schemas.openxmlformats.org/officeDocument/2006/relationships/hyperlink" Id="rId448" Target="https://doi.org/10.32614/CRAN.package.tmap" TargetMode="External" /><Relationship Type="http://schemas.openxmlformats.org/officeDocument/2006/relationships/hyperlink" Id="rId409" Target="https://doi.org/10.32614/RJ-2018-009" TargetMode="External" /><Relationship Type="http://schemas.openxmlformats.org/officeDocument/2006/relationships/hyperlink" Id="rId338" Target="https://portaldelibros.unal.edu.co/gpd-anyalisis-estadyustico-de-datos-categy-ricos-9789587834376-667e35367b60f.html" TargetMode="External" /><Relationship Type="http://schemas.openxmlformats.org/officeDocument/2006/relationships/hyperlink" Id="rId462" Target="https://r4ds.hadley.nz/" TargetMode="External" /><Relationship Type="http://schemas.openxmlformats.org/officeDocument/2006/relationships/hyperlink" Id="rId331" Target="https://repositorio.cepal.org/server/api/core/bitstreams/14d443ec-8f1e-44a7-b22b-9f124f205abe/content" TargetMode="External" /><Relationship Type="http://schemas.openxmlformats.org/officeDocument/2006/relationships/hyperlink" Id="rId360" Target="https://repositorio.cepal.org/server/api/core/bitstreams/feb8c8be-6434-41f2-8fd9-f12f71a0739a/content" TargetMode="External" /><Relationship Type="http://schemas.openxmlformats.org/officeDocument/2006/relationships/hyperlink" Id="rId426" Target="https://stat.ethz.ch/R-manual/R-devel/library/base/html/readRDS.html" TargetMode="External" /><Relationship Type="http://schemas.openxmlformats.org/officeDocument/2006/relationships/hyperlink" Id="rId401" Target="https://unstats.un.org/unsd/publication/seriesf/seriesf_98s.pdf" TargetMode="External" /><Relationship Type="http://schemas.openxmlformats.org/officeDocument/2006/relationships/hyperlink" Id="rId424" Target="https://www.R-project.org/" TargetMode="External" /><Relationship Type="http://schemas.openxmlformats.org/officeDocument/2006/relationships/hyperlink" Id="rId407" Target="https://www.asasrms.org/Proceedings/y2003/Files/JSM2003-000156.pdf" TargetMode="External" /><Relationship Type="http://schemas.openxmlformats.org/officeDocument/2006/relationships/hyperlink" Id="rId343" Target="https://www.fao.org/sustainable-development-goals-data-portal/data/indicators/2.1.1-prevalence-of-undernourishment/es" TargetMode="External" /><Relationship Type="http://schemas.openxmlformats.org/officeDocument/2006/relationships/hyperlink" Id="rId385" Target="https://www.jtools.jacob-long.com/articles/svycor" TargetMode="External" /><Relationship Type="http://schemas.openxmlformats.org/officeDocument/2006/relationships/hyperlink" Id="rId321" Target="https://www150.statcan.gc.ca/n1/en/catalogue/12-001-X199500214396" TargetMode="External" /><Relationship Type="http://schemas.openxmlformats.org/officeDocument/2006/relationships/hyperlink" Id="rId439" Target="https://www150.statcan.gc.ca/n1/en/catalogue/12-001-X201600114545" TargetMode="External" /></Relationships>
</file>

<file path=word/_rels/footnotes.xml.rels><?xml version="1.0" encoding="UTF-8"?><Relationships xmlns="http://schemas.openxmlformats.org/package/2006/relationships"><Relationship Type="http://schemas.openxmlformats.org/officeDocument/2006/relationships/hyperlink" Id="rId10" Target="Libro.pdf" TargetMode="External" /><Relationship Type="http://schemas.openxmlformats.org/officeDocument/2006/relationships/hyperlink" Id="rId9" Target="http://creativecommons.org/licenses/by-nc-sa/4.0/" TargetMode="External" /><Relationship Type="http://schemas.openxmlformats.org/officeDocument/2006/relationships/hyperlink" Id="rId420" Target="https://docs.posit.co/ide/user/ide/guide/code/projects.html" TargetMode="External" /><Relationship Type="http://schemas.openxmlformats.org/officeDocument/2006/relationships/hyperlink" Id="rId333" Target="https://doi.org/10.1002/0470867205" TargetMode="External" /><Relationship Type="http://schemas.openxmlformats.org/officeDocument/2006/relationships/hyperlink" Id="rId375" Target="https://doi.org/10.1002/9781118032619" TargetMode="External" /><Relationship Type="http://schemas.openxmlformats.org/officeDocument/2006/relationships/hyperlink" Id="rId310" Target="https://doi.org/10.1002/9781119405283" TargetMode="External" /><Relationship Type="http://schemas.openxmlformats.org/officeDocument/2006/relationships/hyperlink" Id="rId471" Target="https://doi.org/10.1007/978-0-387-35099-8" TargetMode="External" /><Relationship Type="http://schemas.openxmlformats.org/officeDocument/2006/relationships/hyperlink" Id="rId396" Target="https://doi.org/10.1007/978-1-4899-3242-6" TargetMode="External" /><Relationship Type="http://schemas.openxmlformats.org/officeDocument/2006/relationships/hyperlink" Id="rId458" Target="https://doi.org/10.1007/978-3-319-24277-4" TargetMode="External" /><Relationship Type="http://schemas.openxmlformats.org/officeDocument/2006/relationships/hyperlink" Id="rId473" Target="https://doi.org/10.1080/01621459.1952.10483443" TargetMode="External" /><Relationship Type="http://schemas.openxmlformats.org/officeDocument/2006/relationships/hyperlink" Id="rId367" Target="https://doi.org/10.1080/01621459.1952.10483446" TargetMode="External" /><Relationship Type="http://schemas.openxmlformats.org/officeDocument/2006/relationships/hyperlink" Id="rId431" Target="https://doi.org/10.1080/01621459.1981.10477633" TargetMode="External" /><Relationship Type="http://schemas.openxmlformats.org/officeDocument/2006/relationships/hyperlink" Id="rId336" Target="https://doi.org/10.1080/01621459.1992.10475217" TargetMode="External" /><Relationship Type="http://schemas.openxmlformats.org/officeDocument/2006/relationships/hyperlink" Id="rId312" Target="https://doi.org/10.1080/03610920500476598" TargetMode="External" /><Relationship Type="http://schemas.openxmlformats.org/officeDocument/2006/relationships/hyperlink" Id="rId418" Target="https://doi.org/10.1111/1467-9868.00106" TargetMode="External" /><Relationship Type="http://schemas.openxmlformats.org/officeDocument/2006/relationships/hyperlink" Id="rId428" Target="https://doi.org/10.1111/j.1467-985X.2006.00426.x" TargetMode="External" /><Relationship Type="http://schemas.openxmlformats.org/officeDocument/2006/relationships/hyperlink" Id="rId381" Target="https://doi.org/10.1111/j.1467-985X.2012.01048.x" TargetMode="External" /><Relationship Type="http://schemas.openxmlformats.org/officeDocument/2006/relationships/hyperlink" Id="rId398" Target="https://doi.org/10.1136/jech.2004.029454" TargetMode="External" /><Relationship Type="http://schemas.openxmlformats.org/officeDocument/2006/relationships/hyperlink" Id="rId326" Target="https://doi.org/10.1177/0081175013490035" TargetMode="External" /><Relationship Type="http://schemas.openxmlformats.org/officeDocument/2006/relationships/hyperlink" Id="rId328" Target="https://doi.org/10.1186/1471-2288-9-49" TargetMode="External" /><Relationship Type="http://schemas.openxmlformats.org/officeDocument/2006/relationships/hyperlink" Id="rId363" Target="https://doi.org/10.1201/9781315153278" TargetMode="External" /><Relationship Type="http://schemas.openxmlformats.org/officeDocument/2006/relationships/hyperlink" Id="rId323" Target="https://doi.org/10.1214/06-BA117" TargetMode="External" /><Relationship Type="http://schemas.openxmlformats.org/officeDocument/2006/relationships/hyperlink" Id="rId341" Target="https://doi.org/10.1214/aos/1176344552" TargetMode="External" /><Relationship Type="http://schemas.openxmlformats.org/officeDocument/2006/relationships/hyperlink" Id="rId383" Target="https://doi.org/10.1515/jos-2015-0003" TargetMode="External" /><Relationship Type="http://schemas.openxmlformats.org/officeDocument/2006/relationships/hyperlink" Id="rId456" Target="https://doi.org/10.18637/jss.v059.i10" TargetMode="External" /><Relationship Type="http://schemas.openxmlformats.org/officeDocument/2006/relationships/hyperlink" Id="rId316" Target="https://doi.org/10.18637/jss.v067.i01" TargetMode="External" /><Relationship Type="http://schemas.openxmlformats.org/officeDocument/2006/relationships/hyperlink" Id="rId446" Target="https://doi.org/10.18637/jss.v084.i06" TargetMode="External" /><Relationship Type="http://schemas.openxmlformats.org/officeDocument/2006/relationships/hyperlink" Id="rId415" Target="https://doi.org/10.2307/1403631" TargetMode="External" /><Relationship Type="http://schemas.openxmlformats.org/officeDocument/2006/relationships/hyperlink" Id="rId346" Target="https://doi.org/10.2307/2287405" TargetMode="External" /><Relationship Type="http://schemas.openxmlformats.org/officeDocument/2006/relationships/hyperlink" Id="rId404" Target="https://doi.org/10.2307/2344614" TargetMode="External" /><Relationship Type="http://schemas.openxmlformats.org/officeDocument/2006/relationships/hyperlink" Id="rId358" Target="https://doi.org/10.32614/CRAN.package.TeachingSampling" TargetMode="External" /><Relationship Type="http://schemas.openxmlformats.org/officeDocument/2006/relationships/hyperlink" Id="rId422" Target="https://doi.org/10.32614/CRAN.package.biscale" TargetMode="External" /><Relationship Type="http://schemas.openxmlformats.org/officeDocument/2006/relationships/hyperlink" Id="rId435" Target="https://doi.org/10.32614/CRAN.package.broom" TargetMode="External" /><Relationship Type="http://schemas.openxmlformats.org/officeDocument/2006/relationships/hyperlink" Id="rId369" Target="https://doi.org/10.32614/CRAN.package.convey" TargetMode="External" /><Relationship Type="http://schemas.openxmlformats.org/officeDocument/2006/relationships/hyperlink" Id="rId468" Target="https://doi.org/10.32614/CRAN.package.cowplot" TargetMode="External" /><Relationship Type="http://schemas.openxmlformats.org/officeDocument/2006/relationships/hyperlink" Id="rId444" Target="https://doi.org/10.32614/CRAN.package.dotwhisker" TargetMode="External" /><Relationship Type="http://schemas.openxmlformats.org/officeDocument/2006/relationships/hyperlink" Id="rId466" Target="https://doi.org/10.32614/CRAN.package.dplyr" TargetMode="External" /><Relationship Type="http://schemas.openxmlformats.org/officeDocument/2006/relationships/hyperlink" Id="rId464" Target="https://doi.org/10.32614/CRAN.package.ggplot2" TargetMode="External" /><Relationship Type="http://schemas.openxmlformats.org/officeDocument/2006/relationships/hyperlink" Id="rId365" Target="https://doi.org/10.32614/CRAN.package.ggstance" TargetMode="External" /><Relationship Type="http://schemas.openxmlformats.org/officeDocument/2006/relationships/hyperlink" Id="rId454" Target="https://doi.org/10.32614/CRAN.package.gtools" TargetMode="External" /><Relationship Type="http://schemas.openxmlformats.org/officeDocument/2006/relationships/hyperlink" Id="rId387" Target="https://doi.org/10.32614/CRAN.package.jtools" TargetMode="External" /><Relationship Type="http://schemas.openxmlformats.org/officeDocument/2006/relationships/hyperlink" Id="rId314" Target="https://doi.org/10.32614/CRAN.package.magrittr" TargetMode="External" /><Relationship Type="http://schemas.openxmlformats.org/officeDocument/2006/relationships/hyperlink" Id="rId413" Target="https://doi.org/10.32614/CRAN.package.patchwork" TargetMode="External" /><Relationship Type="http://schemas.openxmlformats.org/officeDocument/2006/relationships/hyperlink" Id="rId389" Target="https://doi.org/10.32614/CRAN.package.performance" TargetMode="External" /><Relationship Type="http://schemas.openxmlformats.org/officeDocument/2006/relationships/hyperlink" Id="rId411" Target="https://doi.org/10.32614/CRAN.package.sf" TargetMode="External" /><Relationship Type="http://schemas.openxmlformats.org/officeDocument/2006/relationships/hyperlink" Id="rId350" Target="https://doi.org/10.32614/CRAN.package.srvyr" TargetMode="External" /><Relationship Type="http://schemas.openxmlformats.org/officeDocument/2006/relationships/hyperlink" Id="rId394" Target="https://doi.org/10.32614/CRAN.package.survey" TargetMode="External" /><Relationship Type="http://schemas.openxmlformats.org/officeDocument/2006/relationships/hyperlink" Id="rId392" Target="https://doi.org/10.32614/CRAN.package.svyVGAM" TargetMode="External" /><Relationship Type="http://schemas.openxmlformats.org/officeDocument/2006/relationships/hyperlink" Id="rId452" Target="https://doi.org/10.32614/CRAN.package.svydiags" TargetMode="External" /><Relationship Type="http://schemas.openxmlformats.org/officeDocument/2006/relationships/hyperlink" Id="rId460" Target="https://doi.org/10.32614/CRAN.package.tidyverse" TargetMode="External" /><Relationship Type="http://schemas.openxmlformats.org/officeDocument/2006/relationships/hyperlink" Id="rId448" Target="https://doi.org/10.32614/CRAN.package.tmap" TargetMode="External" /><Relationship Type="http://schemas.openxmlformats.org/officeDocument/2006/relationships/hyperlink" Id="rId409" Target="https://doi.org/10.32614/RJ-2018-009" TargetMode="External" /><Relationship Type="http://schemas.openxmlformats.org/officeDocument/2006/relationships/hyperlink" Id="rId338" Target="https://portaldelibros.unal.edu.co/gpd-anyalisis-estadyustico-de-datos-categy-ricos-9789587834376-667e35367b60f.html" TargetMode="External" /><Relationship Type="http://schemas.openxmlformats.org/officeDocument/2006/relationships/hyperlink" Id="rId462" Target="https://r4ds.hadley.nz/" TargetMode="External" /><Relationship Type="http://schemas.openxmlformats.org/officeDocument/2006/relationships/hyperlink" Id="rId331" Target="https://repositorio.cepal.org/server/api/core/bitstreams/14d443ec-8f1e-44a7-b22b-9f124f205abe/content" TargetMode="External" /><Relationship Type="http://schemas.openxmlformats.org/officeDocument/2006/relationships/hyperlink" Id="rId360" Target="https://repositorio.cepal.org/server/api/core/bitstreams/feb8c8be-6434-41f2-8fd9-f12f71a0739a/content" TargetMode="External" /><Relationship Type="http://schemas.openxmlformats.org/officeDocument/2006/relationships/hyperlink" Id="rId426" Target="https://stat.ethz.ch/R-manual/R-devel/library/base/html/readRDS.html" TargetMode="External" /><Relationship Type="http://schemas.openxmlformats.org/officeDocument/2006/relationships/hyperlink" Id="rId401" Target="https://unstats.un.org/unsd/publication/seriesf/seriesf_98s.pdf" TargetMode="External" /><Relationship Type="http://schemas.openxmlformats.org/officeDocument/2006/relationships/hyperlink" Id="rId424" Target="https://www.R-project.org/" TargetMode="External" /><Relationship Type="http://schemas.openxmlformats.org/officeDocument/2006/relationships/hyperlink" Id="rId407" Target="https://www.asasrms.org/Proceedings/y2003/Files/JSM2003-000156.pdf" TargetMode="External" /><Relationship Type="http://schemas.openxmlformats.org/officeDocument/2006/relationships/hyperlink" Id="rId343" Target="https://www.fao.org/sustainable-development-goals-data-portal/data/indicators/2.1.1-prevalence-of-undernourishment/es" TargetMode="External" /><Relationship Type="http://schemas.openxmlformats.org/officeDocument/2006/relationships/hyperlink" Id="rId385" Target="https://www.jtools.jacob-long.com/articles/svycor" TargetMode="External" /><Relationship Type="http://schemas.openxmlformats.org/officeDocument/2006/relationships/hyperlink" Id="rId321" Target="https://www150.statcan.gc.ca/n1/en/catalogue/12-001-X199500214396" TargetMode="External" /><Relationship Type="http://schemas.openxmlformats.org/officeDocument/2006/relationships/hyperlink" Id="rId439" Target="https://www150.statcan.gc.ca/n1/en/catalogue/12-001-X2016001145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Encuestas de Hogares</dc:title>
  <dc:creator>Andrés Gutiérrez, Stalyn Guerrero, Giovany Babativa y Cristian Téllez</dc:creator>
  <dc:language>es</dc:language>
  <cp:keywords/>
  <dcterms:created xsi:type="dcterms:W3CDTF">2026-07-27T19:16:13Z</dcterms:created>
  <dcterms:modified xsi:type="dcterms:W3CDTF">2026-07-27T19:16:13Z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27 de julio de 2026</vt:lpwstr>
  </property>
  <property fmtid="{D5CDD505-2E9C-101B-9397-08002B2CF9AE}" pid="9" name="date-format">
    <vt:lpwstr>long</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usando R</vt:lpwstr>
  </property>
  <property fmtid="{D5CDD505-2E9C-101B-9397-08002B2CF9AE}" pid="16" name="template-partials">
    <vt:lpwstr/>
  </property>
  <property fmtid="{D5CDD505-2E9C-101B-9397-08002B2CF9AE}" pid="17" name="toc-title">
    <vt:lpwstr>Tabla de contenidos</vt:lpwstr>
  </property>
</Properties>
</file>