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64BE" w14:textId="77777777" w:rsid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741E2503" w14:textId="77777777" w:rsid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72C188C1" w14:textId="77777777" w:rsid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230E37E6" w14:textId="77777777" w:rsid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0DFFBCE9" w14:textId="77777777" w:rsid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1EC41DC7" w14:textId="77777777" w:rsid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6036D0C9" w14:textId="77777777" w:rsid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5263A4A1" w14:textId="64B71F40" w:rsidR="00AF6CDE" w:rsidRP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r w:rsidRPr="00AF6CDE">
        <w:rPr>
          <w:rFonts w:asciiTheme="majorHAnsi" w:eastAsia="Times New Roman" w:hAnsiTheme="majorHAnsi" w:cs="Times New Roman"/>
          <w:b/>
          <w:bCs/>
          <w:color w:val="156082" w:themeColor="accent1"/>
          <w:kern w:val="0"/>
          <w:sz w:val="32"/>
          <w:szCs w:val="32"/>
          <w:lang w:val="es-ES"/>
          <w14:ligatures w14:val="none"/>
        </w:rPr>
        <w:t>Informe Metodológico</w:t>
      </w:r>
    </w:p>
    <w:p w14:paraId="53AF990B" w14:textId="77777777" w:rsidR="00AF6CDE" w:rsidRP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128F0BB2" w14:textId="77777777" w:rsidR="00AF6CDE" w:rsidRP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14C07732" w14:textId="77777777" w:rsidR="00AF6CDE" w:rsidRP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36A9703D" w14:textId="179FD130" w:rsidR="00AF6CDE" w:rsidRP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r w:rsidRPr="00AF6CDE">
        <w:rPr>
          <w:rFonts w:asciiTheme="majorHAnsi" w:eastAsia="Times New Roman" w:hAnsiTheme="majorHAnsi" w:cs="Times New Roman"/>
          <w:b/>
          <w:bCs/>
          <w:color w:val="156082" w:themeColor="accent1"/>
          <w:kern w:val="0"/>
          <w:sz w:val="32"/>
          <w:szCs w:val="32"/>
          <w:lang w:val="es-ES"/>
          <w14:ligatures w14:val="none"/>
        </w:rPr>
        <w:t>Estimación del Promedio de Hijos Nacidos Vivos por Distrito en Perú</w:t>
      </w:r>
      <w:r>
        <w:rPr>
          <w:rFonts w:asciiTheme="majorHAnsi" w:eastAsia="Times New Roman" w:hAnsiTheme="majorHAnsi" w:cs="Times New Roman"/>
          <w:b/>
          <w:bCs/>
          <w:color w:val="156082" w:themeColor="accent1"/>
          <w:kern w:val="0"/>
          <w:sz w:val="32"/>
          <w:szCs w:val="32"/>
          <w:lang w:val="es-ES"/>
          <w14:ligatures w14:val="none"/>
        </w:rPr>
        <w:t xml:space="preserve"> </w:t>
      </w:r>
      <w:r w:rsidRPr="00AF6CDE">
        <w:rPr>
          <w:rFonts w:asciiTheme="majorHAnsi" w:eastAsia="Times New Roman" w:hAnsiTheme="majorHAnsi" w:cs="Times New Roman"/>
          <w:b/>
          <w:bCs/>
          <w:color w:val="156082" w:themeColor="accent1"/>
          <w:kern w:val="0"/>
          <w:sz w:val="32"/>
          <w:szCs w:val="32"/>
          <w:lang w:val="es-ES"/>
          <w14:ligatures w14:val="none"/>
        </w:rPr>
        <w:t>Mediante Métodos de Estimación en Áreas Pequeñas</w:t>
      </w:r>
      <w:r w:rsidRPr="00AF6CDE">
        <w:rPr>
          <w:rFonts w:asciiTheme="majorHAnsi" w:eastAsia="Times New Roman" w:hAnsiTheme="majorHAnsi" w:cs="Times New Roman"/>
          <w:b/>
          <w:bCs/>
          <w:color w:val="156082" w:themeColor="accent1"/>
          <w:kern w:val="0"/>
          <w:sz w:val="32"/>
          <w:szCs w:val="32"/>
          <w:vertAlign w:val="superscript"/>
          <w:lang w:val="es-ES"/>
          <w14:ligatures w14:val="none"/>
        </w:rPr>
        <w:footnoteReference w:id="1"/>
      </w:r>
    </w:p>
    <w:p w14:paraId="1D439B0B" w14:textId="77777777" w:rsidR="00AF6CDE" w:rsidRPr="00AF6CDE" w:rsidRDefault="00AF6CDE" w:rsidP="00AF6CDE">
      <w:pPr>
        <w:spacing w:after="0" w:line="240" w:lineRule="auto"/>
        <w:jc w:val="center"/>
        <w:rPr>
          <w:rFonts w:asciiTheme="majorHAnsi" w:eastAsia="Times New Roman" w:hAnsiTheme="majorHAnsi" w:cs="Times New Roman"/>
          <w:b/>
          <w:bCs/>
          <w:color w:val="156082" w:themeColor="accent1"/>
          <w:kern w:val="0"/>
          <w:sz w:val="32"/>
          <w:szCs w:val="32"/>
          <w:lang w:val="es-ES"/>
          <w14:ligatures w14:val="none"/>
        </w:rPr>
      </w:pPr>
    </w:p>
    <w:p w14:paraId="1DD7848A" w14:textId="77777777" w:rsidR="00AF6CDE" w:rsidRPr="00AF6CDE" w:rsidRDefault="00AF6CDE" w:rsidP="00AF6CDE">
      <w:pPr>
        <w:spacing w:after="0" w:line="240" w:lineRule="auto"/>
        <w:jc w:val="center"/>
        <w:rPr>
          <w:rFonts w:asciiTheme="majorHAnsi" w:eastAsia="Times New Roman" w:hAnsiTheme="majorHAnsi" w:cs="Times New Roman"/>
          <w:color w:val="156082" w:themeColor="accent1"/>
          <w:kern w:val="0"/>
          <w:sz w:val="24"/>
          <w:szCs w:val="24"/>
          <w:lang w:val="es-ES"/>
          <w14:ligatures w14:val="none"/>
        </w:rPr>
      </w:pPr>
    </w:p>
    <w:p w14:paraId="70045E4C" w14:textId="5D185A8B" w:rsidR="00AF6CDE" w:rsidRPr="00AF6CDE" w:rsidRDefault="00AF6CDE" w:rsidP="00AF6CDE">
      <w:pPr>
        <w:spacing w:after="0" w:line="240" w:lineRule="auto"/>
        <w:jc w:val="center"/>
        <w:rPr>
          <w:rFonts w:asciiTheme="majorHAnsi" w:eastAsia="Times New Roman" w:hAnsiTheme="majorHAnsi" w:cs="Times New Roman"/>
          <w:color w:val="156082" w:themeColor="accent1"/>
          <w:kern w:val="0"/>
          <w:sz w:val="24"/>
          <w:szCs w:val="24"/>
          <w:lang w:val="es-ES"/>
          <w14:ligatures w14:val="none"/>
        </w:rPr>
      </w:pPr>
      <w:r w:rsidRPr="00AF6CDE">
        <w:rPr>
          <w:rFonts w:asciiTheme="majorHAnsi" w:eastAsia="Times New Roman" w:hAnsiTheme="majorHAnsi" w:cs="Times New Roman"/>
          <w:color w:val="156082" w:themeColor="accent1"/>
          <w:kern w:val="0"/>
          <w:sz w:val="24"/>
          <w:szCs w:val="24"/>
          <w:lang w:val="es-ES"/>
          <w14:ligatures w14:val="none"/>
        </w:rPr>
        <w:t>Diciembre 202</w:t>
      </w:r>
      <w:r>
        <w:rPr>
          <w:rFonts w:asciiTheme="majorHAnsi" w:eastAsia="Times New Roman" w:hAnsiTheme="majorHAnsi" w:cs="Times New Roman"/>
          <w:color w:val="156082" w:themeColor="accent1"/>
          <w:kern w:val="0"/>
          <w:sz w:val="24"/>
          <w:szCs w:val="24"/>
          <w:lang w:val="es-ES"/>
          <w14:ligatures w14:val="none"/>
        </w:rPr>
        <w:t>5</w:t>
      </w:r>
    </w:p>
    <w:p w14:paraId="227F19B2" w14:textId="1EFBD905" w:rsidR="00AF6CDE" w:rsidRDefault="00AF6CDE"/>
    <w:p w14:paraId="3EC16225" w14:textId="77777777" w:rsidR="00AF6CDE" w:rsidRDefault="00AF6CDE">
      <w:r>
        <w:br w:type="page"/>
      </w:r>
    </w:p>
    <w:p w14:paraId="4FF256E1" w14:textId="17C045FC" w:rsidR="00AF6CDE" w:rsidRDefault="00AF6CDE"/>
    <w:sdt>
      <w:sdtPr>
        <w:rPr>
          <w:rFonts w:asciiTheme="minorHAnsi" w:eastAsiaTheme="minorHAnsi" w:hAnsiTheme="minorHAnsi" w:cstheme="minorBidi"/>
          <w:color w:val="auto"/>
          <w:kern w:val="2"/>
          <w:sz w:val="22"/>
          <w:szCs w:val="22"/>
          <w:lang w:val="es-CO"/>
          <w14:ligatures w14:val="standardContextual"/>
        </w:rPr>
        <w:id w:val="-946935186"/>
        <w:docPartObj>
          <w:docPartGallery w:val="Table of Contents"/>
          <w:docPartUnique/>
        </w:docPartObj>
      </w:sdtPr>
      <w:sdtEndPr>
        <w:rPr>
          <w:b/>
          <w:bCs/>
          <w:noProof/>
        </w:rPr>
      </w:sdtEndPr>
      <w:sdtContent>
        <w:p w14:paraId="13D5E63E" w14:textId="653D4A0C" w:rsidR="007245F6" w:rsidRDefault="007245F6">
          <w:pPr>
            <w:pStyle w:val="TOCHeading"/>
          </w:pPr>
          <w:r>
            <w:t>Table of Contents</w:t>
          </w:r>
        </w:p>
        <w:p w14:paraId="4AB4B1B3" w14:textId="77777777" w:rsidR="00025697" w:rsidRPr="00025697" w:rsidRDefault="00025697" w:rsidP="00025697">
          <w:pPr>
            <w:rPr>
              <w:lang w:val="en-US"/>
            </w:rPr>
          </w:pPr>
        </w:p>
        <w:p w14:paraId="2757C268" w14:textId="7163C88D" w:rsidR="001F27B9" w:rsidRDefault="007245F6">
          <w:pPr>
            <w:pStyle w:val="TOC1"/>
            <w:tabs>
              <w:tab w:val="left" w:pos="440"/>
              <w:tab w:val="right" w:leader="dot" w:pos="9350"/>
            </w:tabs>
            <w:rPr>
              <w:rFonts w:eastAsiaTheme="minorEastAsia"/>
              <w:noProof/>
              <w:sz w:val="24"/>
              <w:szCs w:val="24"/>
              <w:lang w:eastAsia="es-CO"/>
            </w:rPr>
          </w:pPr>
          <w:r>
            <w:fldChar w:fldCharType="begin"/>
          </w:r>
          <w:r>
            <w:instrText xml:space="preserve"> TOC \o "1-3" \h \z \u </w:instrText>
          </w:r>
          <w:r>
            <w:fldChar w:fldCharType="separate"/>
          </w:r>
          <w:hyperlink w:anchor="_Toc207902567" w:history="1">
            <w:r w:rsidR="001F27B9" w:rsidRPr="003949C7">
              <w:rPr>
                <w:rStyle w:val="Hyperlink"/>
                <w:noProof/>
                <w:lang w:val="es-CL"/>
              </w:rPr>
              <w:t>1.</w:t>
            </w:r>
            <w:r w:rsidR="001F27B9">
              <w:rPr>
                <w:rFonts w:eastAsiaTheme="minorEastAsia"/>
                <w:noProof/>
                <w:sz w:val="24"/>
                <w:szCs w:val="24"/>
                <w:lang w:eastAsia="es-CO"/>
              </w:rPr>
              <w:tab/>
            </w:r>
            <w:r w:rsidR="001F27B9" w:rsidRPr="003949C7">
              <w:rPr>
                <w:rStyle w:val="Hyperlink"/>
                <w:noProof/>
                <w:lang w:val="es-CL"/>
              </w:rPr>
              <w:t>Antecedentes</w:t>
            </w:r>
            <w:r w:rsidR="001F27B9">
              <w:rPr>
                <w:noProof/>
                <w:webHidden/>
              </w:rPr>
              <w:tab/>
            </w:r>
            <w:r w:rsidR="001F27B9">
              <w:rPr>
                <w:noProof/>
                <w:webHidden/>
              </w:rPr>
              <w:fldChar w:fldCharType="begin"/>
            </w:r>
            <w:r w:rsidR="001F27B9">
              <w:rPr>
                <w:noProof/>
                <w:webHidden/>
              </w:rPr>
              <w:instrText xml:space="preserve"> PAGEREF _Toc207902567 \h </w:instrText>
            </w:r>
            <w:r w:rsidR="001F27B9">
              <w:rPr>
                <w:noProof/>
                <w:webHidden/>
              </w:rPr>
            </w:r>
            <w:r w:rsidR="001F27B9">
              <w:rPr>
                <w:noProof/>
                <w:webHidden/>
              </w:rPr>
              <w:fldChar w:fldCharType="separate"/>
            </w:r>
            <w:r w:rsidR="001F27B9">
              <w:rPr>
                <w:noProof/>
                <w:webHidden/>
              </w:rPr>
              <w:t>3</w:t>
            </w:r>
            <w:r w:rsidR="001F27B9">
              <w:rPr>
                <w:noProof/>
                <w:webHidden/>
              </w:rPr>
              <w:fldChar w:fldCharType="end"/>
            </w:r>
          </w:hyperlink>
        </w:p>
        <w:p w14:paraId="6CC9CAF9" w14:textId="6D0AFEBA" w:rsidR="001F27B9" w:rsidRDefault="001F27B9">
          <w:pPr>
            <w:pStyle w:val="TOC1"/>
            <w:tabs>
              <w:tab w:val="left" w:pos="440"/>
              <w:tab w:val="right" w:leader="dot" w:pos="9350"/>
            </w:tabs>
            <w:rPr>
              <w:rFonts w:eastAsiaTheme="minorEastAsia"/>
              <w:noProof/>
              <w:sz w:val="24"/>
              <w:szCs w:val="24"/>
              <w:lang w:eastAsia="es-CO"/>
            </w:rPr>
          </w:pPr>
          <w:hyperlink w:anchor="_Toc207902568" w:history="1">
            <w:r w:rsidRPr="003949C7">
              <w:rPr>
                <w:rStyle w:val="Hyperlink"/>
                <w:noProof/>
                <w:lang w:val="es-CL"/>
              </w:rPr>
              <w:t>2.</w:t>
            </w:r>
            <w:r>
              <w:rPr>
                <w:rFonts w:eastAsiaTheme="minorEastAsia"/>
                <w:noProof/>
                <w:sz w:val="24"/>
                <w:szCs w:val="24"/>
                <w:lang w:eastAsia="es-CO"/>
              </w:rPr>
              <w:tab/>
            </w:r>
            <w:r w:rsidRPr="003949C7">
              <w:rPr>
                <w:rStyle w:val="Hyperlink"/>
                <w:noProof/>
                <w:lang w:val="es-CL"/>
              </w:rPr>
              <w:t>Modelos de estimación en áreas pequeñas.</w:t>
            </w:r>
            <w:r>
              <w:rPr>
                <w:noProof/>
                <w:webHidden/>
              </w:rPr>
              <w:tab/>
            </w:r>
            <w:r>
              <w:rPr>
                <w:noProof/>
                <w:webHidden/>
              </w:rPr>
              <w:fldChar w:fldCharType="begin"/>
            </w:r>
            <w:r>
              <w:rPr>
                <w:noProof/>
                <w:webHidden/>
              </w:rPr>
              <w:instrText xml:space="preserve"> PAGEREF _Toc207902568 \h </w:instrText>
            </w:r>
            <w:r>
              <w:rPr>
                <w:noProof/>
                <w:webHidden/>
              </w:rPr>
            </w:r>
            <w:r>
              <w:rPr>
                <w:noProof/>
                <w:webHidden/>
              </w:rPr>
              <w:fldChar w:fldCharType="separate"/>
            </w:r>
            <w:r>
              <w:rPr>
                <w:noProof/>
                <w:webHidden/>
              </w:rPr>
              <w:t>4</w:t>
            </w:r>
            <w:r>
              <w:rPr>
                <w:noProof/>
                <w:webHidden/>
              </w:rPr>
              <w:fldChar w:fldCharType="end"/>
            </w:r>
          </w:hyperlink>
        </w:p>
        <w:p w14:paraId="147C9F55" w14:textId="425147C9" w:rsidR="001F27B9" w:rsidRDefault="001F27B9">
          <w:pPr>
            <w:pStyle w:val="TOC2"/>
            <w:tabs>
              <w:tab w:val="left" w:pos="960"/>
              <w:tab w:val="right" w:leader="dot" w:pos="9350"/>
            </w:tabs>
            <w:rPr>
              <w:rFonts w:eastAsiaTheme="minorEastAsia"/>
              <w:noProof/>
              <w:sz w:val="24"/>
              <w:szCs w:val="24"/>
              <w:lang w:eastAsia="es-CO"/>
            </w:rPr>
          </w:pPr>
          <w:hyperlink w:anchor="_Toc207902569" w:history="1">
            <w:r w:rsidRPr="003949C7">
              <w:rPr>
                <w:rStyle w:val="Hyperlink"/>
                <w:noProof/>
              </w:rPr>
              <w:t>2.1</w:t>
            </w:r>
            <w:r>
              <w:rPr>
                <w:rFonts w:eastAsiaTheme="minorEastAsia"/>
                <w:noProof/>
                <w:sz w:val="24"/>
                <w:szCs w:val="24"/>
                <w:lang w:eastAsia="es-CO"/>
              </w:rPr>
              <w:tab/>
            </w:r>
            <w:r w:rsidRPr="003949C7">
              <w:rPr>
                <w:rStyle w:val="Hyperlink"/>
                <w:noProof/>
              </w:rPr>
              <w:t>Modelo Fay-Herriot (FH)</w:t>
            </w:r>
            <w:r>
              <w:rPr>
                <w:noProof/>
                <w:webHidden/>
              </w:rPr>
              <w:tab/>
            </w:r>
            <w:r>
              <w:rPr>
                <w:noProof/>
                <w:webHidden/>
              </w:rPr>
              <w:fldChar w:fldCharType="begin"/>
            </w:r>
            <w:r>
              <w:rPr>
                <w:noProof/>
                <w:webHidden/>
              </w:rPr>
              <w:instrText xml:space="preserve"> PAGEREF _Toc207902569 \h </w:instrText>
            </w:r>
            <w:r>
              <w:rPr>
                <w:noProof/>
                <w:webHidden/>
              </w:rPr>
            </w:r>
            <w:r>
              <w:rPr>
                <w:noProof/>
                <w:webHidden/>
              </w:rPr>
              <w:fldChar w:fldCharType="separate"/>
            </w:r>
            <w:r>
              <w:rPr>
                <w:noProof/>
                <w:webHidden/>
              </w:rPr>
              <w:t>4</w:t>
            </w:r>
            <w:r>
              <w:rPr>
                <w:noProof/>
                <w:webHidden/>
              </w:rPr>
              <w:fldChar w:fldCharType="end"/>
            </w:r>
          </w:hyperlink>
        </w:p>
        <w:p w14:paraId="0BF93083" w14:textId="654052D4" w:rsidR="001F27B9" w:rsidRDefault="001F27B9">
          <w:pPr>
            <w:pStyle w:val="TOC2"/>
            <w:tabs>
              <w:tab w:val="right" w:leader="dot" w:pos="9350"/>
            </w:tabs>
            <w:rPr>
              <w:rFonts w:eastAsiaTheme="minorEastAsia"/>
              <w:noProof/>
              <w:sz w:val="24"/>
              <w:szCs w:val="24"/>
              <w:lang w:eastAsia="es-CO"/>
            </w:rPr>
          </w:pPr>
          <w:hyperlink w:anchor="_Toc207902570" w:history="1">
            <w:r w:rsidRPr="003949C7">
              <w:rPr>
                <w:rStyle w:val="Hyperlink"/>
                <w:rFonts w:eastAsia="Times New Roman"/>
                <w:noProof/>
                <w:lang w:val="es-CL"/>
              </w:rPr>
              <w:t>2.2  Modelo con errores anidados (BHF)</w:t>
            </w:r>
            <w:r>
              <w:rPr>
                <w:noProof/>
                <w:webHidden/>
              </w:rPr>
              <w:tab/>
            </w:r>
            <w:r>
              <w:rPr>
                <w:noProof/>
                <w:webHidden/>
              </w:rPr>
              <w:fldChar w:fldCharType="begin"/>
            </w:r>
            <w:r>
              <w:rPr>
                <w:noProof/>
                <w:webHidden/>
              </w:rPr>
              <w:instrText xml:space="preserve"> PAGEREF _Toc207902570 \h </w:instrText>
            </w:r>
            <w:r>
              <w:rPr>
                <w:noProof/>
                <w:webHidden/>
              </w:rPr>
            </w:r>
            <w:r>
              <w:rPr>
                <w:noProof/>
                <w:webHidden/>
              </w:rPr>
              <w:fldChar w:fldCharType="separate"/>
            </w:r>
            <w:r>
              <w:rPr>
                <w:noProof/>
                <w:webHidden/>
              </w:rPr>
              <w:t>4</w:t>
            </w:r>
            <w:r>
              <w:rPr>
                <w:noProof/>
                <w:webHidden/>
              </w:rPr>
              <w:fldChar w:fldCharType="end"/>
            </w:r>
          </w:hyperlink>
        </w:p>
        <w:p w14:paraId="71C6C0A4" w14:textId="44A7C24F" w:rsidR="001F27B9" w:rsidRDefault="001F27B9">
          <w:pPr>
            <w:pStyle w:val="TOC2"/>
            <w:tabs>
              <w:tab w:val="right" w:leader="dot" w:pos="9350"/>
            </w:tabs>
            <w:rPr>
              <w:rFonts w:eastAsiaTheme="minorEastAsia"/>
              <w:noProof/>
              <w:sz w:val="24"/>
              <w:szCs w:val="24"/>
              <w:lang w:eastAsia="es-CO"/>
            </w:rPr>
          </w:pPr>
          <w:hyperlink w:anchor="_Toc207902571" w:history="1">
            <w:r w:rsidRPr="003949C7">
              <w:rPr>
                <w:rStyle w:val="Hyperlink"/>
                <w:rFonts w:eastAsia="Times New Roman"/>
                <w:noProof/>
                <w:lang w:val="es-CL"/>
              </w:rPr>
              <w:t>2.3 Método de Elbers, Lanjouw y Lanjouw (ELL)</w:t>
            </w:r>
            <w:r>
              <w:rPr>
                <w:noProof/>
                <w:webHidden/>
              </w:rPr>
              <w:tab/>
            </w:r>
            <w:r>
              <w:rPr>
                <w:noProof/>
                <w:webHidden/>
              </w:rPr>
              <w:fldChar w:fldCharType="begin"/>
            </w:r>
            <w:r>
              <w:rPr>
                <w:noProof/>
                <w:webHidden/>
              </w:rPr>
              <w:instrText xml:space="preserve"> PAGEREF _Toc207902571 \h </w:instrText>
            </w:r>
            <w:r>
              <w:rPr>
                <w:noProof/>
                <w:webHidden/>
              </w:rPr>
            </w:r>
            <w:r>
              <w:rPr>
                <w:noProof/>
                <w:webHidden/>
              </w:rPr>
              <w:fldChar w:fldCharType="separate"/>
            </w:r>
            <w:r>
              <w:rPr>
                <w:noProof/>
                <w:webHidden/>
              </w:rPr>
              <w:t>5</w:t>
            </w:r>
            <w:r>
              <w:rPr>
                <w:noProof/>
                <w:webHidden/>
              </w:rPr>
              <w:fldChar w:fldCharType="end"/>
            </w:r>
          </w:hyperlink>
        </w:p>
        <w:p w14:paraId="70D9567A" w14:textId="1ABDDDBE" w:rsidR="001F27B9" w:rsidRDefault="001F27B9">
          <w:pPr>
            <w:pStyle w:val="TOC2"/>
            <w:tabs>
              <w:tab w:val="right" w:leader="dot" w:pos="9350"/>
            </w:tabs>
            <w:rPr>
              <w:rFonts w:eastAsiaTheme="minorEastAsia"/>
              <w:noProof/>
              <w:sz w:val="24"/>
              <w:szCs w:val="24"/>
              <w:lang w:eastAsia="es-CO"/>
            </w:rPr>
          </w:pPr>
          <w:hyperlink w:anchor="_Toc207902572" w:history="1">
            <w:r w:rsidRPr="003949C7">
              <w:rPr>
                <w:rStyle w:val="Hyperlink"/>
                <w:rFonts w:eastAsia="Times New Roman"/>
                <w:noProof/>
                <w:lang w:val="es-CL"/>
              </w:rPr>
              <w:t>2.4  Mejor predictor empírico (EBP)</w:t>
            </w:r>
            <w:r>
              <w:rPr>
                <w:noProof/>
                <w:webHidden/>
              </w:rPr>
              <w:tab/>
            </w:r>
            <w:r>
              <w:rPr>
                <w:noProof/>
                <w:webHidden/>
              </w:rPr>
              <w:fldChar w:fldCharType="begin"/>
            </w:r>
            <w:r>
              <w:rPr>
                <w:noProof/>
                <w:webHidden/>
              </w:rPr>
              <w:instrText xml:space="preserve"> PAGEREF _Toc207902572 \h </w:instrText>
            </w:r>
            <w:r>
              <w:rPr>
                <w:noProof/>
                <w:webHidden/>
              </w:rPr>
            </w:r>
            <w:r>
              <w:rPr>
                <w:noProof/>
                <w:webHidden/>
              </w:rPr>
              <w:fldChar w:fldCharType="separate"/>
            </w:r>
            <w:r>
              <w:rPr>
                <w:noProof/>
                <w:webHidden/>
              </w:rPr>
              <w:t>5</w:t>
            </w:r>
            <w:r>
              <w:rPr>
                <w:noProof/>
                <w:webHidden/>
              </w:rPr>
              <w:fldChar w:fldCharType="end"/>
            </w:r>
          </w:hyperlink>
        </w:p>
        <w:p w14:paraId="5CD76CBF" w14:textId="24F7F43E" w:rsidR="001F27B9" w:rsidRDefault="001F27B9">
          <w:pPr>
            <w:pStyle w:val="TOC1"/>
            <w:tabs>
              <w:tab w:val="left" w:pos="440"/>
              <w:tab w:val="right" w:leader="dot" w:pos="9350"/>
            </w:tabs>
            <w:rPr>
              <w:rFonts w:eastAsiaTheme="minorEastAsia"/>
              <w:noProof/>
              <w:sz w:val="24"/>
              <w:szCs w:val="24"/>
              <w:lang w:eastAsia="es-CO"/>
            </w:rPr>
          </w:pPr>
          <w:hyperlink w:anchor="_Toc207902573" w:history="1">
            <w:r w:rsidRPr="003949C7">
              <w:rPr>
                <w:rStyle w:val="Hyperlink"/>
                <w:noProof/>
                <w:lang w:val="es-CL"/>
              </w:rPr>
              <w:t>3.</w:t>
            </w:r>
            <w:r>
              <w:rPr>
                <w:rFonts w:eastAsiaTheme="minorEastAsia"/>
                <w:noProof/>
                <w:sz w:val="24"/>
                <w:szCs w:val="24"/>
                <w:lang w:eastAsia="es-CO"/>
              </w:rPr>
              <w:tab/>
            </w:r>
            <w:r w:rsidRPr="003949C7">
              <w:rPr>
                <w:rStyle w:val="Hyperlink"/>
                <w:noProof/>
                <w:lang w:val="es-CL"/>
              </w:rPr>
              <w:t>Metodología de estimación distrital de fecundidad y mortalidad en el Perú</w:t>
            </w:r>
            <w:r>
              <w:rPr>
                <w:noProof/>
                <w:webHidden/>
              </w:rPr>
              <w:tab/>
            </w:r>
            <w:r>
              <w:rPr>
                <w:noProof/>
                <w:webHidden/>
              </w:rPr>
              <w:fldChar w:fldCharType="begin"/>
            </w:r>
            <w:r>
              <w:rPr>
                <w:noProof/>
                <w:webHidden/>
              </w:rPr>
              <w:instrText xml:space="preserve"> PAGEREF _Toc207902573 \h </w:instrText>
            </w:r>
            <w:r>
              <w:rPr>
                <w:noProof/>
                <w:webHidden/>
              </w:rPr>
            </w:r>
            <w:r>
              <w:rPr>
                <w:noProof/>
                <w:webHidden/>
              </w:rPr>
              <w:fldChar w:fldCharType="separate"/>
            </w:r>
            <w:r>
              <w:rPr>
                <w:noProof/>
                <w:webHidden/>
              </w:rPr>
              <w:t>5</w:t>
            </w:r>
            <w:r>
              <w:rPr>
                <w:noProof/>
                <w:webHidden/>
              </w:rPr>
              <w:fldChar w:fldCharType="end"/>
            </w:r>
          </w:hyperlink>
        </w:p>
        <w:p w14:paraId="4F73C0EA" w14:textId="58FAE6E1" w:rsidR="001F27B9" w:rsidRDefault="001F27B9">
          <w:pPr>
            <w:pStyle w:val="TOC1"/>
            <w:tabs>
              <w:tab w:val="left" w:pos="440"/>
              <w:tab w:val="right" w:leader="dot" w:pos="9350"/>
            </w:tabs>
            <w:rPr>
              <w:rFonts w:eastAsiaTheme="minorEastAsia"/>
              <w:noProof/>
              <w:sz w:val="24"/>
              <w:szCs w:val="24"/>
              <w:lang w:eastAsia="es-CO"/>
            </w:rPr>
          </w:pPr>
          <w:hyperlink w:anchor="_Toc207902574" w:history="1">
            <w:r w:rsidRPr="003949C7">
              <w:rPr>
                <w:rStyle w:val="Hyperlink"/>
                <w:noProof/>
                <w:lang w:val="es-CL"/>
              </w:rPr>
              <w:t>4.</w:t>
            </w:r>
            <w:r>
              <w:rPr>
                <w:rFonts w:eastAsiaTheme="minorEastAsia"/>
                <w:noProof/>
                <w:sz w:val="24"/>
                <w:szCs w:val="24"/>
                <w:lang w:eastAsia="es-CO"/>
              </w:rPr>
              <w:tab/>
            </w:r>
            <w:r w:rsidRPr="003949C7">
              <w:rPr>
                <w:rStyle w:val="Hyperlink"/>
                <w:noProof/>
                <w:lang w:val="es-CL"/>
              </w:rPr>
              <w:t>Implementación del modelo SAE en indicadores de fecundidad y mortalidad</w:t>
            </w:r>
            <w:r>
              <w:rPr>
                <w:noProof/>
                <w:webHidden/>
              </w:rPr>
              <w:tab/>
            </w:r>
            <w:r>
              <w:rPr>
                <w:noProof/>
                <w:webHidden/>
              </w:rPr>
              <w:fldChar w:fldCharType="begin"/>
            </w:r>
            <w:r>
              <w:rPr>
                <w:noProof/>
                <w:webHidden/>
              </w:rPr>
              <w:instrText xml:space="preserve"> PAGEREF _Toc207902574 \h </w:instrText>
            </w:r>
            <w:r>
              <w:rPr>
                <w:noProof/>
                <w:webHidden/>
              </w:rPr>
            </w:r>
            <w:r>
              <w:rPr>
                <w:noProof/>
                <w:webHidden/>
              </w:rPr>
              <w:fldChar w:fldCharType="separate"/>
            </w:r>
            <w:r>
              <w:rPr>
                <w:noProof/>
                <w:webHidden/>
              </w:rPr>
              <w:t>6</w:t>
            </w:r>
            <w:r>
              <w:rPr>
                <w:noProof/>
                <w:webHidden/>
              </w:rPr>
              <w:fldChar w:fldCharType="end"/>
            </w:r>
          </w:hyperlink>
        </w:p>
        <w:p w14:paraId="26BCAF92" w14:textId="166BED6F" w:rsidR="001F27B9" w:rsidRDefault="001F27B9">
          <w:pPr>
            <w:pStyle w:val="TOC2"/>
            <w:tabs>
              <w:tab w:val="right" w:leader="dot" w:pos="9350"/>
            </w:tabs>
            <w:rPr>
              <w:rFonts w:eastAsiaTheme="minorEastAsia"/>
              <w:noProof/>
              <w:sz w:val="24"/>
              <w:szCs w:val="24"/>
              <w:lang w:eastAsia="es-CO"/>
            </w:rPr>
          </w:pPr>
          <w:hyperlink w:anchor="_Toc207902575" w:history="1">
            <w:r w:rsidRPr="003949C7">
              <w:rPr>
                <w:rStyle w:val="Hyperlink"/>
                <w:rFonts w:eastAsia="Times New Roman"/>
                <w:noProof/>
                <w:lang w:val="es-CL"/>
              </w:rPr>
              <w:t>4.1 Fecundidad</w:t>
            </w:r>
            <w:r>
              <w:rPr>
                <w:noProof/>
                <w:webHidden/>
              </w:rPr>
              <w:tab/>
            </w:r>
            <w:r>
              <w:rPr>
                <w:noProof/>
                <w:webHidden/>
              </w:rPr>
              <w:fldChar w:fldCharType="begin"/>
            </w:r>
            <w:r>
              <w:rPr>
                <w:noProof/>
                <w:webHidden/>
              </w:rPr>
              <w:instrText xml:space="preserve"> PAGEREF _Toc207902575 \h </w:instrText>
            </w:r>
            <w:r>
              <w:rPr>
                <w:noProof/>
                <w:webHidden/>
              </w:rPr>
            </w:r>
            <w:r>
              <w:rPr>
                <w:noProof/>
                <w:webHidden/>
              </w:rPr>
              <w:fldChar w:fldCharType="separate"/>
            </w:r>
            <w:r>
              <w:rPr>
                <w:noProof/>
                <w:webHidden/>
              </w:rPr>
              <w:t>7</w:t>
            </w:r>
            <w:r>
              <w:rPr>
                <w:noProof/>
                <w:webHidden/>
              </w:rPr>
              <w:fldChar w:fldCharType="end"/>
            </w:r>
          </w:hyperlink>
        </w:p>
        <w:p w14:paraId="2FA8305C" w14:textId="6BD6D841" w:rsidR="001F27B9" w:rsidRDefault="001F27B9">
          <w:pPr>
            <w:pStyle w:val="TOC3"/>
            <w:tabs>
              <w:tab w:val="right" w:leader="dot" w:pos="9350"/>
            </w:tabs>
            <w:rPr>
              <w:rFonts w:eastAsiaTheme="minorEastAsia"/>
              <w:noProof/>
              <w:sz w:val="24"/>
              <w:szCs w:val="24"/>
              <w:lang w:eastAsia="es-CO"/>
            </w:rPr>
          </w:pPr>
          <w:hyperlink w:anchor="_Toc207902576" w:history="1">
            <w:r w:rsidRPr="003949C7">
              <w:rPr>
                <w:rStyle w:val="Hyperlink"/>
                <w:noProof/>
              </w:rPr>
              <w:t>4.1.1 Definición y descripción de los indicadores de fecundidad</w:t>
            </w:r>
            <w:r>
              <w:rPr>
                <w:noProof/>
                <w:webHidden/>
              </w:rPr>
              <w:tab/>
            </w:r>
            <w:r>
              <w:rPr>
                <w:noProof/>
                <w:webHidden/>
              </w:rPr>
              <w:fldChar w:fldCharType="begin"/>
            </w:r>
            <w:r>
              <w:rPr>
                <w:noProof/>
                <w:webHidden/>
              </w:rPr>
              <w:instrText xml:space="preserve"> PAGEREF _Toc207902576 \h </w:instrText>
            </w:r>
            <w:r>
              <w:rPr>
                <w:noProof/>
                <w:webHidden/>
              </w:rPr>
            </w:r>
            <w:r>
              <w:rPr>
                <w:noProof/>
                <w:webHidden/>
              </w:rPr>
              <w:fldChar w:fldCharType="separate"/>
            </w:r>
            <w:r>
              <w:rPr>
                <w:noProof/>
                <w:webHidden/>
              </w:rPr>
              <w:t>7</w:t>
            </w:r>
            <w:r>
              <w:rPr>
                <w:noProof/>
                <w:webHidden/>
              </w:rPr>
              <w:fldChar w:fldCharType="end"/>
            </w:r>
          </w:hyperlink>
        </w:p>
        <w:p w14:paraId="6253F55D" w14:textId="4065AA1F" w:rsidR="001F27B9" w:rsidRDefault="001F27B9">
          <w:pPr>
            <w:pStyle w:val="TOC3"/>
            <w:tabs>
              <w:tab w:val="right" w:leader="dot" w:pos="9350"/>
            </w:tabs>
            <w:rPr>
              <w:rFonts w:eastAsiaTheme="minorEastAsia"/>
              <w:noProof/>
              <w:sz w:val="24"/>
              <w:szCs w:val="24"/>
              <w:lang w:eastAsia="es-CO"/>
            </w:rPr>
          </w:pPr>
          <w:hyperlink w:anchor="_Toc207902577" w:history="1">
            <w:r w:rsidRPr="003949C7">
              <w:rPr>
                <w:rStyle w:val="Hyperlink"/>
                <w:noProof/>
              </w:rPr>
              <w:t>4.1.1 Evaluación de la estimación directa</w:t>
            </w:r>
            <w:r>
              <w:rPr>
                <w:noProof/>
                <w:webHidden/>
              </w:rPr>
              <w:tab/>
            </w:r>
            <w:r>
              <w:rPr>
                <w:noProof/>
                <w:webHidden/>
              </w:rPr>
              <w:fldChar w:fldCharType="begin"/>
            </w:r>
            <w:r>
              <w:rPr>
                <w:noProof/>
                <w:webHidden/>
              </w:rPr>
              <w:instrText xml:space="preserve"> PAGEREF _Toc207902577 \h </w:instrText>
            </w:r>
            <w:r>
              <w:rPr>
                <w:noProof/>
                <w:webHidden/>
              </w:rPr>
            </w:r>
            <w:r>
              <w:rPr>
                <w:noProof/>
                <w:webHidden/>
              </w:rPr>
              <w:fldChar w:fldCharType="separate"/>
            </w:r>
            <w:r>
              <w:rPr>
                <w:noProof/>
                <w:webHidden/>
              </w:rPr>
              <w:t>8</w:t>
            </w:r>
            <w:r>
              <w:rPr>
                <w:noProof/>
                <w:webHidden/>
              </w:rPr>
              <w:fldChar w:fldCharType="end"/>
            </w:r>
          </w:hyperlink>
        </w:p>
        <w:p w14:paraId="49F8D69D" w14:textId="7FE1D9DC" w:rsidR="001F27B9" w:rsidRDefault="001F27B9">
          <w:pPr>
            <w:pStyle w:val="TOC3"/>
            <w:tabs>
              <w:tab w:val="left" w:pos="1200"/>
              <w:tab w:val="right" w:leader="dot" w:pos="9350"/>
            </w:tabs>
            <w:rPr>
              <w:rFonts w:eastAsiaTheme="minorEastAsia"/>
              <w:noProof/>
              <w:sz w:val="24"/>
              <w:szCs w:val="24"/>
              <w:lang w:eastAsia="es-CO"/>
            </w:rPr>
          </w:pPr>
          <w:hyperlink w:anchor="_Toc207902578" w:history="1">
            <w:r w:rsidRPr="003949C7">
              <w:rPr>
                <w:rStyle w:val="Hyperlink"/>
                <w:noProof/>
              </w:rPr>
              <w:t>4.1.2</w:t>
            </w:r>
            <w:r>
              <w:rPr>
                <w:rFonts w:eastAsiaTheme="minorEastAsia"/>
                <w:noProof/>
                <w:sz w:val="24"/>
                <w:szCs w:val="24"/>
                <w:lang w:eastAsia="es-CO"/>
              </w:rPr>
              <w:tab/>
            </w:r>
            <w:r w:rsidRPr="003949C7">
              <w:rPr>
                <w:rStyle w:val="Hyperlink"/>
                <w:noProof/>
              </w:rPr>
              <w:t>Indicadores de calidad propuestos</w:t>
            </w:r>
            <w:r>
              <w:rPr>
                <w:noProof/>
                <w:webHidden/>
              </w:rPr>
              <w:tab/>
            </w:r>
            <w:r>
              <w:rPr>
                <w:noProof/>
                <w:webHidden/>
              </w:rPr>
              <w:fldChar w:fldCharType="begin"/>
            </w:r>
            <w:r>
              <w:rPr>
                <w:noProof/>
                <w:webHidden/>
              </w:rPr>
              <w:instrText xml:space="preserve"> PAGEREF _Toc207902578 \h </w:instrText>
            </w:r>
            <w:r>
              <w:rPr>
                <w:noProof/>
                <w:webHidden/>
              </w:rPr>
            </w:r>
            <w:r>
              <w:rPr>
                <w:noProof/>
                <w:webHidden/>
              </w:rPr>
              <w:fldChar w:fldCharType="separate"/>
            </w:r>
            <w:r>
              <w:rPr>
                <w:noProof/>
                <w:webHidden/>
              </w:rPr>
              <w:t>8</w:t>
            </w:r>
            <w:r>
              <w:rPr>
                <w:noProof/>
                <w:webHidden/>
              </w:rPr>
              <w:fldChar w:fldCharType="end"/>
            </w:r>
          </w:hyperlink>
        </w:p>
        <w:p w14:paraId="6A4E191A" w14:textId="5B286A45" w:rsidR="001F27B9" w:rsidRDefault="001F27B9">
          <w:pPr>
            <w:pStyle w:val="TOC3"/>
            <w:tabs>
              <w:tab w:val="right" w:leader="dot" w:pos="9350"/>
            </w:tabs>
            <w:rPr>
              <w:rFonts w:eastAsiaTheme="minorEastAsia"/>
              <w:noProof/>
              <w:sz w:val="24"/>
              <w:szCs w:val="24"/>
              <w:lang w:eastAsia="es-CO"/>
            </w:rPr>
          </w:pPr>
          <w:hyperlink w:anchor="_Toc207902579" w:history="1">
            <w:r w:rsidRPr="003949C7">
              <w:rPr>
                <w:rStyle w:val="Hyperlink"/>
                <w:noProof/>
              </w:rPr>
              <w:t>4.1.3 Reglas de decisión para la inclusión de distritos</w:t>
            </w:r>
            <w:r>
              <w:rPr>
                <w:noProof/>
                <w:webHidden/>
              </w:rPr>
              <w:tab/>
            </w:r>
            <w:r>
              <w:rPr>
                <w:noProof/>
                <w:webHidden/>
              </w:rPr>
              <w:fldChar w:fldCharType="begin"/>
            </w:r>
            <w:r>
              <w:rPr>
                <w:noProof/>
                <w:webHidden/>
              </w:rPr>
              <w:instrText xml:space="preserve"> PAGEREF _Toc207902579 \h </w:instrText>
            </w:r>
            <w:r>
              <w:rPr>
                <w:noProof/>
                <w:webHidden/>
              </w:rPr>
            </w:r>
            <w:r>
              <w:rPr>
                <w:noProof/>
                <w:webHidden/>
              </w:rPr>
              <w:fldChar w:fldCharType="separate"/>
            </w:r>
            <w:r>
              <w:rPr>
                <w:noProof/>
                <w:webHidden/>
              </w:rPr>
              <w:t>9</w:t>
            </w:r>
            <w:r>
              <w:rPr>
                <w:noProof/>
                <w:webHidden/>
              </w:rPr>
              <w:fldChar w:fldCharType="end"/>
            </w:r>
          </w:hyperlink>
        </w:p>
        <w:p w14:paraId="5125F301" w14:textId="62B66015" w:rsidR="001F27B9" w:rsidRDefault="001F27B9">
          <w:pPr>
            <w:pStyle w:val="TOC1"/>
            <w:tabs>
              <w:tab w:val="left" w:pos="440"/>
              <w:tab w:val="right" w:leader="dot" w:pos="9350"/>
            </w:tabs>
            <w:rPr>
              <w:rFonts w:eastAsiaTheme="minorEastAsia"/>
              <w:noProof/>
              <w:sz w:val="24"/>
              <w:szCs w:val="24"/>
              <w:lang w:eastAsia="es-CO"/>
            </w:rPr>
          </w:pPr>
          <w:hyperlink w:anchor="_Toc207902580" w:history="1">
            <w:r w:rsidRPr="003949C7">
              <w:rPr>
                <w:rStyle w:val="Hyperlink"/>
                <w:noProof/>
                <w:lang w:val="es-CL"/>
              </w:rPr>
              <w:t>5.</w:t>
            </w:r>
            <w:r>
              <w:rPr>
                <w:rFonts w:eastAsiaTheme="minorEastAsia"/>
                <w:noProof/>
                <w:sz w:val="24"/>
                <w:szCs w:val="24"/>
                <w:lang w:eastAsia="es-CO"/>
              </w:rPr>
              <w:tab/>
            </w:r>
            <w:r w:rsidRPr="003949C7">
              <w:rPr>
                <w:rStyle w:val="Hyperlink"/>
                <w:noProof/>
                <w:lang w:val="es-CL"/>
              </w:rPr>
              <w:t>Estimación de la varianza del estimador directo</w:t>
            </w:r>
            <w:r>
              <w:rPr>
                <w:noProof/>
                <w:webHidden/>
              </w:rPr>
              <w:tab/>
            </w:r>
            <w:r>
              <w:rPr>
                <w:noProof/>
                <w:webHidden/>
              </w:rPr>
              <w:fldChar w:fldCharType="begin"/>
            </w:r>
            <w:r>
              <w:rPr>
                <w:noProof/>
                <w:webHidden/>
              </w:rPr>
              <w:instrText xml:space="preserve"> PAGEREF _Toc207902580 \h </w:instrText>
            </w:r>
            <w:r>
              <w:rPr>
                <w:noProof/>
                <w:webHidden/>
              </w:rPr>
            </w:r>
            <w:r>
              <w:rPr>
                <w:noProof/>
                <w:webHidden/>
              </w:rPr>
              <w:fldChar w:fldCharType="separate"/>
            </w:r>
            <w:r>
              <w:rPr>
                <w:noProof/>
                <w:webHidden/>
              </w:rPr>
              <w:t>11</w:t>
            </w:r>
            <w:r>
              <w:rPr>
                <w:noProof/>
                <w:webHidden/>
              </w:rPr>
              <w:fldChar w:fldCharType="end"/>
            </w:r>
          </w:hyperlink>
        </w:p>
        <w:p w14:paraId="37E8512B" w14:textId="1666A9EE" w:rsidR="001F27B9" w:rsidRDefault="001F27B9">
          <w:pPr>
            <w:pStyle w:val="TOC2"/>
            <w:tabs>
              <w:tab w:val="left" w:pos="960"/>
              <w:tab w:val="right" w:leader="dot" w:pos="9350"/>
            </w:tabs>
            <w:rPr>
              <w:rFonts w:eastAsiaTheme="minorEastAsia"/>
              <w:noProof/>
              <w:sz w:val="24"/>
              <w:szCs w:val="24"/>
              <w:lang w:eastAsia="es-CO"/>
            </w:rPr>
          </w:pPr>
          <w:hyperlink w:anchor="_Toc207902581" w:history="1">
            <w:r w:rsidRPr="003949C7">
              <w:rPr>
                <w:rStyle w:val="Hyperlink"/>
                <w:rFonts w:eastAsia="Times New Roman"/>
                <w:noProof/>
                <w:lang w:val="es-CL"/>
              </w:rPr>
              <w:t>5.1</w:t>
            </w:r>
            <w:r>
              <w:rPr>
                <w:rFonts w:eastAsiaTheme="minorEastAsia"/>
                <w:noProof/>
                <w:sz w:val="24"/>
                <w:szCs w:val="24"/>
                <w:lang w:eastAsia="es-CO"/>
              </w:rPr>
              <w:tab/>
            </w:r>
            <w:r w:rsidRPr="003949C7">
              <w:rPr>
                <w:rStyle w:val="Hyperlink"/>
                <w:rFonts w:eastAsia="Times New Roman"/>
                <w:noProof/>
                <w:lang w:val="es-CL"/>
              </w:rPr>
              <w:t>Aproximación de la varianza en encuestas de hogares</w:t>
            </w:r>
            <w:r>
              <w:rPr>
                <w:noProof/>
                <w:webHidden/>
              </w:rPr>
              <w:tab/>
            </w:r>
            <w:r>
              <w:rPr>
                <w:noProof/>
                <w:webHidden/>
              </w:rPr>
              <w:fldChar w:fldCharType="begin"/>
            </w:r>
            <w:r>
              <w:rPr>
                <w:noProof/>
                <w:webHidden/>
              </w:rPr>
              <w:instrText xml:space="preserve"> PAGEREF _Toc207902581 \h </w:instrText>
            </w:r>
            <w:r>
              <w:rPr>
                <w:noProof/>
                <w:webHidden/>
              </w:rPr>
            </w:r>
            <w:r>
              <w:rPr>
                <w:noProof/>
                <w:webHidden/>
              </w:rPr>
              <w:fldChar w:fldCharType="separate"/>
            </w:r>
            <w:r>
              <w:rPr>
                <w:noProof/>
                <w:webHidden/>
              </w:rPr>
              <w:t>11</w:t>
            </w:r>
            <w:r>
              <w:rPr>
                <w:noProof/>
                <w:webHidden/>
              </w:rPr>
              <w:fldChar w:fldCharType="end"/>
            </w:r>
          </w:hyperlink>
        </w:p>
        <w:p w14:paraId="667EB65C" w14:textId="261AB2E2" w:rsidR="001F27B9" w:rsidRDefault="001F27B9">
          <w:pPr>
            <w:pStyle w:val="TOC2"/>
            <w:tabs>
              <w:tab w:val="left" w:pos="960"/>
              <w:tab w:val="right" w:leader="dot" w:pos="9350"/>
            </w:tabs>
            <w:rPr>
              <w:rFonts w:eastAsiaTheme="minorEastAsia"/>
              <w:noProof/>
              <w:sz w:val="24"/>
              <w:szCs w:val="24"/>
              <w:lang w:eastAsia="es-CO"/>
            </w:rPr>
          </w:pPr>
          <w:hyperlink w:anchor="_Toc207902582" w:history="1">
            <w:r w:rsidRPr="003949C7">
              <w:rPr>
                <w:rStyle w:val="Hyperlink"/>
                <w:rFonts w:eastAsia="Times New Roman"/>
                <w:noProof/>
                <w:lang w:val="es-CL"/>
              </w:rPr>
              <w:t>5.2</w:t>
            </w:r>
            <w:r>
              <w:rPr>
                <w:rFonts w:eastAsiaTheme="minorEastAsia"/>
                <w:noProof/>
                <w:sz w:val="24"/>
                <w:szCs w:val="24"/>
                <w:lang w:eastAsia="es-CO"/>
              </w:rPr>
              <w:tab/>
            </w:r>
            <w:r w:rsidRPr="003949C7">
              <w:rPr>
                <w:rStyle w:val="Hyperlink"/>
                <w:rFonts w:eastAsia="Times New Roman"/>
                <w:noProof/>
                <w:lang w:val="es-CL"/>
              </w:rPr>
              <w:t>Estimación de varianza para modelos SAE en Perú</w:t>
            </w:r>
            <w:r>
              <w:rPr>
                <w:noProof/>
                <w:webHidden/>
              </w:rPr>
              <w:tab/>
            </w:r>
            <w:r>
              <w:rPr>
                <w:noProof/>
                <w:webHidden/>
              </w:rPr>
              <w:fldChar w:fldCharType="begin"/>
            </w:r>
            <w:r>
              <w:rPr>
                <w:noProof/>
                <w:webHidden/>
              </w:rPr>
              <w:instrText xml:space="preserve"> PAGEREF _Toc207902582 \h </w:instrText>
            </w:r>
            <w:r>
              <w:rPr>
                <w:noProof/>
                <w:webHidden/>
              </w:rPr>
            </w:r>
            <w:r>
              <w:rPr>
                <w:noProof/>
                <w:webHidden/>
              </w:rPr>
              <w:fldChar w:fldCharType="separate"/>
            </w:r>
            <w:r>
              <w:rPr>
                <w:noProof/>
                <w:webHidden/>
              </w:rPr>
              <w:t>13</w:t>
            </w:r>
            <w:r>
              <w:rPr>
                <w:noProof/>
                <w:webHidden/>
              </w:rPr>
              <w:fldChar w:fldCharType="end"/>
            </w:r>
          </w:hyperlink>
        </w:p>
        <w:p w14:paraId="2626DC29" w14:textId="53BCA562" w:rsidR="001F27B9" w:rsidRDefault="001F27B9">
          <w:pPr>
            <w:pStyle w:val="TOC3"/>
            <w:tabs>
              <w:tab w:val="right" w:leader="dot" w:pos="9350"/>
            </w:tabs>
            <w:rPr>
              <w:rFonts w:eastAsiaTheme="minorEastAsia"/>
              <w:noProof/>
              <w:sz w:val="24"/>
              <w:szCs w:val="24"/>
              <w:lang w:eastAsia="es-CO"/>
            </w:rPr>
          </w:pPr>
          <w:hyperlink w:anchor="_Toc207902583" w:history="1">
            <w:r w:rsidRPr="003949C7">
              <w:rPr>
                <w:rStyle w:val="Hyperlink"/>
                <w:noProof/>
              </w:rPr>
              <w:t>5.2.1 Función generalizada de varianza para el indicador “Promedio de hijos nacidos vivos”</w:t>
            </w:r>
            <w:r>
              <w:rPr>
                <w:noProof/>
                <w:webHidden/>
              </w:rPr>
              <w:tab/>
            </w:r>
            <w:r>
              <w:rPr>
                <w:noProof/>
                <w:webHidden/>
              </w:rPr>
              <w:fldChar w:fldCharType="begin"/>
            </w:r>
            <w:r>
              <w:rPr>
                <w:noProof/>
                <w:webHidden/>
              </w:rPr>
              <w:instrText xml:space="preserve"> PAGEREF _Toc207902583 \h </w:instrText>
            </w:r>
            <w:r>
              <w:rPr>
                <w:noProof/>
                <w:webHidden/>
              </w:rPr>
            </w:r>
            <w:r>
              <w:rPr>
                <w:noProof/>
                <w:webHidden/>
              </w:rPr>
              <w:fldChar w:fldCharType="separate"/>
            </w:r>
            <w:r>
              <w:rPr>
                <w:noProof/>
                <w:webHidden/>
              </w:rPr>
              <w:t>13</w:t>
            </w:r>
            <w:r>
              <w:rPr>
                <w:noProof/>
                <w:webHidden/>
              </w:rPr>
              <w:fldChar w:fldCharType="end"/>
            </w:r>
          </w:hyperlink>
        </w:p>
        <w:p w14:paraId="3BD8EA96" w14:textId="2D14F3B0" w:rsidR="001F27B9" w:rsidRDefault="001F27B9">
          <w:pPr>
            <w:pStyle w:val="TOC1"/>
            <w:tabs>
              <w:tab w:val="left" w:pos="440"/>
              <w:tab w:val="right" w:leader="dot" w:pos="9350"/>
            </w:tabs>
            <w:rPr>
              <w:rFonts w:eastAsiaTheme="minorEastAsia"/>
              <w:noProof/>
              <w:sz w:val="24"/>
              <w:szCs w:val="24"/>
              <w:lang w:eastAsia="es-CO"/>
            </w:rPr>
          </w:pPr>
          <w:hyperlink w:anchor="_Toc207902584" w:history="1">
            <w:r w:rsidRPr="003949C7">
              <w:rPr>
                <w:rStyle w:val="Hyperlink"/>
                <w:noProof/>
                <w:lang w:val="es-CL"/>
              </w:rPr>
              <w:t>6.</w:t>
            </w:r>
            <w:r>
              <w:rPr>
                <w:rFonts w:eastAsiaTheme="minorEastAsia"/>
                <w:noProof/>
                <w:sz w:val="24"/>
                <w:szCs w:val="24"/>
                <w:lang w:eastAsia="es-CO"/>
              </w:rPr>
              <w:tab/>
            </w:r>
            <w:r w:rsidRPr="003949C7">
              <w:rPr>
                <w:rStyle w:val="Hyperlink"/>
                <w:noProof/>
                <w:lang w:val="es-CL"/>
              </w:rPr>
              <w:t>Procedimiento final de estimación distrital de fecundidad y mortalidad en Perú</w:t>
            </w:r>
            <w:r>
              <w:rPr>
                <w:noProof/>
                <w:webHidden/>
              </w:rPr>
              <w:tab/>
            </w:r>
            <w:r>
              <w:rPr>
                <w:noProof/>
                <w:webHidden/>
              </w:rPr>
              <w:fldChar w:fldCharType="begin"/>
            </w:r>
            <w:r>
              <w:rPr>
                <w:noProof/>
                <w:webHidden/>
              </w:rPr>
              <w:instrText xml:space="preserve"> PAGEREF _Toc207902584 \h </w:instrText>
            </w:r>
            <w:r>
              <w:rPr>
                <w:noProof/>
                <w:webHidden/>
              </w:rPr>
            </w:r>
            <w:r>
              <w:rPr>
                <w:noProof/>
                <w:webHidden/>
              </w:rPr>
              <w:fldChar w:fldCharType="separate"/>
            </w:r>
            <w:r>
              <w:rPr>
                <w:noProof/>
                <w:webHidden/>
              </w:rPr>
              <w:t>16</w:t>
            </w:r>
            <w:r>
              <w:rPr>
                <w:noProof/>
                <w:webHidden/>
              </w:rPr>
              <w:fldChar w:fldCharType="end"/>
            </w:r>
          </w:hyperlink>
        </w:p>
        <w:p w14:paraId="0BAC403B" w14:textId="702B1878" w:rsidR="001F27B9" w:rsidRDefault="001F27B9">
          <w:pPr>
            <w:pStyle w:val="TOC2"/>
            <w:tabs>
              <w:tab w:val="left" w:pos="960"/>
              <w:tab w:val="right" w:leader="dot" w:pos="9350"/>
            </w:tabs>
            <w:rPr>
              <w:rFonts w:eastAsiaTheme="minorEastAsia"/>
              <w:noProof/>
              <w:sz w:val="24"/>
              <w:szCs w:val="24"/>
              <w:lang w:eastAsia="es-CO"/>
            </w:rPr>
          </w:pPr>
          <w:hyperlink w:anchor="_Toc207902585" w:history="1">
            <w:r w:rsidRPr="003949C7">
              <w:rPr>
                <w:rStyle w:val="Hyperlink"/>
                <w:rFonts w:eastAsia="Times New Roman"/>
                <w:noProof/>
                <w:lang w:val="es-CL"/>
              </w:rPr>
              <w:t>6.1</w:t>
            </w:r>
            <w:r>
              <w:rPr>
                <w:rFonts w:eastAsiaTheme="minorEastAsia"/>
                <w:noProof/>
                <w:sz w:val="24"/>
                <w:szCs w:val="24"/>
                <w:lang w:eastAsia="es-CO"/>
              </w:rPr>
              <w:tab/>
            </w:r>
            <w:r w:rsidRPr="003949C7">
              <w:rPr>
                <w:rStyle w:val="Hyperlink"/>
                <w:rFonts w:eastAsia="Times New Roman"/>
                <w:noProof/>
                <w:lang w:val="es-CL"/>
              </w:rPr>
              <w:t>Covariables incluidas en el análisis</w:t>
            </w:r>
            <w:r>
              <w:rPr>
                <w:noProof/>
                <w:webHidden/>
              </w:rPr>
              <w:tab/>
            </w:r>
            <w:r>
              <w:rPr>
                <w:noProof/>
                <w:webHidden/>
              </w:rPr>
              <w:fldChar w:fldCharType="begin"/>
            </w:r>
            <w:r>
              <w:rPr>
                <w:noProof/>
                <w:webHidden/>
              </w:rPr>
              <w:instrText xml:space="preserve"> PAGEREF _Toc207902585 \h </w:instrText>
            </w:r>
            <w:r>
              <w:rPr>
                <w:noProof/>
                <w:webHidden/>
              </w:rPr>
            </w:r>
            <w:r>
              <w:rPr>
                <w:noProof/>
                <w:webHidden/>
              </w:rPr>
              <w:fldChar w:fldCharType="separate"/>
            </w:r>
            <w:r>
              <w:rPr>
                <w:noProof/>
                <w:webHidden/>
              </w:rPr>
              <w:t>16</w:t>
            </w:r>
            <w:r>
              <w:rPr>
                <w:noProof/>
                <w:webHidden/>
              </w:rPr>
              <w:fldChar w:fldCharType="end"/>
            </w:r>
          </w:hyperlink>
        </w:p>
        <w:p w14:paraId="6A28D2B3" w14:textId="56F2053D" w:rsidR="001F27B9" w:rsidRDefault="001F27B9">
          <w:pPr>
            <w:pStyle w:val="TOC2"/>
            <w:tabs>
              <w:tab w:val="left" w:pos="960"/>
              <w:tab w:val="right" w:leader="dot" w:pos="9350"/>
            </w:tabs>
            <w:rPr>
              <w:rFonts w:eastAsiaTheme="minorEastAsia"/>
              <w:noProof/>
              <w:sz w:val="24"/>
              <w:szCs w:val="24"/>
              <w:lang w:eastAsia="es-CO"/>
            </w:rPr>
          </w:pPr>
          <w:hyperlink w:anchor="_Toc207902586" w:history="1">
            <w:r w:rsidRPr="003949C7">
              <w:rPr>
                <w:rStyle w:val="Hyperlink"/>
                <w:noProof/>
              </w:rPr>
              <w:t>6.2</w:t>
            </w:r>
            <w:r>
              <w:rPr>
                <w:rFonts w:eastAsiaTheme="minorEastAsia"/>
                <w:noProof/>
                <w:sz w:val="24"/>
                <w:szCs w:val="24"/>
                <w:lang w:eastAsia="es-CO"/>
              </w:rPr>
              <w:tab/>
            </w:r>
            <w:r w:rsidRPr="003949C7">
              <w:rPr>
                <w:rStyle w:val="Hyperlink"/>
                <w:noProof/>
              </w:rPr>
              <w:t>Estimación de coeficientes de regresión del modelo sintético</w:t>
            </w:r>
            <w:r>
              <w:rPr>
                <w:noProof/>
                <w:webHidden/>
              </w:rPr>
              <w:tab/>
            </w:r>
            <w:r>
              <w:rPr>
                <w:noProof/>
                <w:webHidden/>
              </w:rPr>
              <w:fldChar w:fldCharType="begin"/>
            </w:r>
            <w:r>
              <w:rPr>
                <w:noProof/>
                <w:webHidden/>
              </w:rPr>
              <w:instrText xml:space="preserve"> PAGEREF _Toc207902586 \h </w:instrText>
            </w:r>
            <w:r>
              <w:rPr>
                <w:noProof/>
                <w:webHidden/>
              </w:rPr>
            </w:r>
            <w:r>
              <w:rPr>
                <w:noProof/>
                <w:webHidden/>
              </w:rPr>
              <w:fldChar w:fldCharType="separate"/>
            </w:r>
            <w:r>
              <w:rPr>
                <w:noProof/>
                <w:webHidden/>
              </w:rPr>
              <w:t>17</w:t>
            </w:r>
            <w:r>
              <w:rPr>
                <w:noProof/>
                <w:webHidden/>
              </w:rPr>
              <w:fldChar w:fldCharType="end"/>
            </w:r>
          </w:hyperlink>
        </w:p>
        <w:p w14:paraId="3B2810DE" w14:textId="62F09F1C" w:rsidR="001F27B9" w:rsidRDefault="001F27B9">
          <w:pPr>
            <w:pStyle w:val="TOC2"/>
            <w:tabs>
              <w:tab w:val="left" w:pos="960"/>
              <w:tab w:val="right" w:leader="dot" w:pos="9350"/>
            </w:tabs>
            <w:rPr>
              <w:rFonts w:eastAsiaTheme="minorEastAsia"/>
              <w:noProof/>
              <w:sz w:val="24"/>
              <w:szCs w:val="24"/>
              <w:lang w:eastAsia="es-CO"/>
            </w:rPr>
          </w:pPr>
          <w:hyperlink w:anchor="_Toc207902587" w:history="1">
            <w:r w:rsidRPr="003949C7">
              <w:rPr>
                <w:rStyle w:val="Hyperlink"/>
                <w:noProof/>
              </w:rPr>
              <w:t>6.3</w:t>
            </w:r>
            <w:r>
              <w:rPr>
                <w:rFonts w:eastAsiaTheme="minorEastAsia"/>
                <w:noProof/>
                <w:sz w:val="24"/>
                <w:szCs w:val="24"/>
                <w:lang w:eastAsia="es-CO"/>
              </w:rPr>
              <w:tab/>
            </w:r>
            <w:r w:rsidRPr="003949C7">
              <w:rPr>
                <w:rStyle w:val="Hyperlink"/>
                <w:noProof/>
              </w:rPr>
              <w:t>Estimación de la varianza del modelo sintético</w:t>
            </w:r>
            <w:r>
              <w:rPr>
                <w:noProof/>
                <w:webHidden/>
              </w:rPr>
              <w:tab/>
            </w:r>
            <w:r>
              <w:rPr>
                <w:noProof/>
                <w:webHidden/>
              </w:rPr>
              <w:fldChar w:fldCharType="begin"/>
            </w:r>
            <w:r>
              <w:rPr>
                <w:noProof/>
                <w:webHidden/>
              </w:rPr>
              <w:instrText xml:space="preserve"> PAGEREF _Toc207902587 \h </w:instrText>
            </w:r>
            <w:r>
              <w:rPr>
                <w:noProof/>
                <w:webHidden/>
              </w:rPr>
            </w:r>
            <w:r>
              <w:rPr>
                <w:noProof/>
                <w:webHidden/>
              </w:rPr>
              <w:fldChar w:fldCharType="separate"/>
            </w:r>
            <w:r>
              <w:rPr>
                <w:noProof/>
                <w:webHidden/>
              </w:rPr>
              <w:t>17</w:t>
            </w:r>
            <w:r>
              <w:rPr>
                <w:noProof/>
                <w:webHidden/>
              </w:rPr>
              <w:fldChar w:fldCharType="end"/>
            </w:r>
          </w:hyperlink>
        </w:p>
        <w:p w14:paraId="0B1BE773" w14:textId="6F75BF51" w:rsidR="001F27B9" w:rsidRDefault="001F27B9">
          <w:pPr>
            <w:pStyle w:val="TOC1"/>
            <w:tabs>
              <w:tab w:val="left" w:pos="440"/>
              <w:tab w:val="right" w:leader="dot" w:pos="9350"/>
            </w:tabs>
            <w:rPr>
              <w:rFonts w:eastAsiaTheme="minorEastAsia"/>
              <w:noProof/>
              <w:sz w:val="24"/>
              <w:szCs w:val="24"/>
              <w:lang w:eastAsia="es-CO"/>
            </w:rPr>
          </w:pPr>
          <w:hyperlink w:anchor="_Toc207902588" w:history="1">
            <w:r w:rsidRPr="003949C7">
              <w:rPr>
                <w:rStyle w:val="Hyperlink"/>
                <w:noProof/>
                <w:lang w:val="es-CL"/>
              </w:rPr>
              <w:t>7.</w:t>
            </w:r>
            <w:r>
              <w:rPr>
                <w:rFonts w:eastAsiaTheme="minorEastAsia"/>
                <w:noProof/>
                <w:sz w:val="24"/>
                <w:szCs w:val="24"/>
                <w:lang w:eastAsia="es-CO"/>
              </w:rPr>
              <w:tab/>
            </w:r>
            <w:r w:rsidRPr="003949C7">
              <w:rPr>
                <w:rStyle w:val="Hyperlink"/>
                <w:noProof/>
                <w:lang w:val="es-CL"/>
              </w:rPr>
              <w:t>Estimación del error en el modelo</w:t>
            </w:r>
            <w:r>
              <w:rPr>
                <w:noProof/>
                <w:webHidden/>
              </w:rPr>
              <w:tab/>
            </w:r>
            <w:r>
              <w:rPr>
                <w:noProof/>
                <w:webHidden/>
              </w:rPr>
              <w:fldChar w:fldCharType="begin"/>
            </w:r>
            <w:r>
              <w:rPr>
                <w:noProof/>
                <w:webHidden/>
              </w:rPr>
              <w:instrText xml:space="preserve"> PAGEREF _Toc207902588 \h </w:instrText>
            </w:r>
            <w:r>
              <w:rPr>
                <w:noProof/>
                <w:webHidden/>
              </w:rPr>
            </w:r>
            <w:r>
              <w:rPr>
                <w:noProof/>
                <w:webHidden/>
              </w:rPr>
              <w:fldChar w:fldCharType="separate"/>
            </w:r>
            <w:r>
              <w:rPr>
                <w:noProof/>
                <w:webHidden/>
              </w:rPr>
              <w:t>18</w:t>
            </w:r>
            <w:r>
              <w:rPr>
                <w:noProof/>
                <w:webHidden/>
              </w:rPr>
              <w:fldChar w:fldCharType="end"/>
            </w:r>
          </w:hyperlink>
        </w:p>
        <w:p w14:paraId="488ACF3D" w14:textId="1F1FD522" w:rsidR="001F27B9" w:rsidRDefault="001F27B9">
          <w:pPr>
            <w:pStyle w:val="TOC1"/>
            <w:tabs>
              <w:tab w:val="left" w:pos="440"/>
              <w:tab w:val="right" w:leader="dot" w:pos="9350"/>
            </w:tabs>
            <w:rPr>
              <w:rFonts w:eastAsiaTheme="minorEastAsia"/>
              <w:noProof/>
              <w:sz w:val="24"/>
              <w:szCs w:val="24"/>
              <w:lang w:eastAsia="es-CO"/>
            </w:rPr>
          </w:pPr>
          <w:hyperlink w:anchor="_Toc207902589" w:history="1">
            <w:r w:rsidRPr="003949C7">
              <w:rPr>
                <w:rStyle w:val="Hyperlink"/>
                <w:noProof/>
                <w:lang w:val="es-CL"/>
              </w:rPr>
              <w:t>8.</w:t>
            </w:r>
            <w:r>
              <w:rPr>
                <w:rFonts w:eastAsiaTheme="minorEastAsia"/>
                <w:noProof/>
                <w:sz w:val="24"/>
                <w:szCs w:val="24"/>
                <w:lang w:eastAsia="es-CO"/>
              </w:rPr>
              <w:tab/>
            </w:r>
            <w:r w:rsidRPr="003949C7">
              <w:rPr>
                <w:rStyle w:val="Hyperlink"/>
                <w:noProof/>
                <w:lang w:val="es-CL"/>
              </w:rPr>
              <w:t>Resultados y validación de los modelos</w:t>
            </w:r>
            <w:r>
              <w:rPr>
                <w:noProof/>
                <w:webHidden/>
              </w:rPr>
              <w:tab/>
            </w:r>
            <w:r>
              <w:rPr>
                <w:noProof/>
                <w:webHidden/>
              </w:rPr>
              <w:fldChar w:fldCharType="begin"/>
            </w:r>
            <w:r>
              <w:rPr>
                <w:noProof/>
                <w:webHidden/>
              </w:rPr>
              <w:instrText xml:space="preserve"> PAGEREF _Toc207902589 \h </w:instrText>
            </w:r>
            <w:r>
              <w:rPr>
                <w:noProof/>
                <w:webHidden/>
              </w:rPr>
            </w:r>
            <w:r>
              <w:rPr>
                <w:noProof/>
                <w:webHidden/>
              </w:rPr>
              <w:fldChar w:fldCharType="separate"/>
            </w:r>
            <w:r>
              <w:rPr>
                <w:noProof/>
                <w:webHidden/>
              </w:rPr>
              <w:t>18</w:t>
            </w:r>
            <w:r>
              <w:rPr>
                <w:noProof/>
                <w:webHidden/>
              </w:rPr>
              <w:fldChar w:fldCharType="end"/>
            </w:r>
          </w:hyperlink>
        </w:p>
        <w:p w14:paraId="103D344D" w14:textId="73BC07E1" w:rsidR="001F27B9" w:rsidRDefault="001F27B9">
          <w:pPr>
            <w:pStyle w:val="TOC2"/>
            <w:tabs>
              <w:tab w:val="left" w:pos="960"/>
              <w:tab w:val="right" w:leader="dot" w:pos="9350"/>
            </w:tabs>
            <w:rPr>
              <w:rFonts w:eastAsiaTheme="minorEastAsia"/>
              <w:noProof/>
              <w:sz w:val="24"/>
              <w:szCs w:val="24"/>
              <w:lang w:eastAsia="es-CO"/>
            </w:rPr>
          </w:pPr>
          <w:hyperlink w:anchor="_Toc207902590" w:history="1">
            <w:r w:rsidRPr="003949C7">
              <w:rPr>
                <w:rStyle w:val="Hyperlink"/>
                <w:noProof/>
              </w:rPr>
              <w:t>8.1</w:t>
            </w:r>
            <w:r>
              <w:rPr>
                <w:rFonts w:eastAsiaTheme="minorEastAsia"/>
                <w:noProof/>
                <w:sz w:val="24"/>
                <w:szCs w:val="24"/>
                <w:lang w:eastAsia="es-CO"/>
              </w:rPr>
              <w:tab/>
            </w:r>
            <w:r w:rsidRPr="003949C7">
              <w:rPr>
                <w:rStyle w:val="Hyperlink"/>
                <w:noProof/>
              </w:rPr>
              <w:t>Indicador Promedio de hijos nacidos vivos</w:t>
            </w:r>
            <w:r>
              <w:rPr>
                <w:noProof/>
                <w:webHidden/>
              </w:rPr>
              <w:tab/>
            </w:r>
            <w:r>
              <w:rPr>
                <w:noProof/>
                <w:webHidden/>
              </w:rPr>
              <w:fldChar w:fldCharType="begin"/>
            </w:r>
            <w:r>
              <w:rPr>
                <w:noProof/>
                <w:webHidden/>
              </w:rPr>
              <w:instrText xml:space="preserve"> PAGEREF _Toc207902590 \h </w:instrText>
            </w:r>
            <w:r>
              <w:rPr>
                <w:noProof/>
                <w:webHidden/>
              </w:rPr>
            </w:r>
            <w:r>
              <w:rPr>
                <w:noProof/>
                <w:webHidden/>
              </w:rPr>
              <w:fldChar w:fldCharType="separate"/>
            </w:r>
            <w:r>
              <w:rPr>
                <w:noProof/>
                <w:webHidden/>
              </w:rPr>
              <w:t>19</w:t>
            </w:r>
            <w:r>
              <w:rPr>
                <w:noProof/>
                <w:webHidden/>
              </w:rPr>
              <w:fldChar w:fldCharType="end"/>
            </w:r>
          </w:hyperlink>
        </w:p>
        <w:p w14:paraId="170C18FC" w14:textId="4FDB6EDB" w:rsidR="001F27B9" w:rsidRDefault="001F27B9">
          <w:pPr>
            <w:pStyle w:val="TOC3"/>
            <w:tabs>
              <w:tab w:val="right" w:leader="dot" w:pos="9350"/>
            </w:tabs>
            <w:rPr>
              <w:rFonts w:eastAsiaTheme="minorEastAsia"/>
              <w:noProof/>
              <w:sz w:val="24"/>
              <w:szCs w:val="24"/>
              <w:lang w:eastAsia="es-CO"/>
            </w:rPr>
          </w:pPr>
          <w:hyperlink w:anchor="_Toc207902591" w:history="1">
            <w:r w:rsidRPr="003949C7">
              <w:rPr>
                <w:rStyle w:val="Hyperlink"/>
                <w:noProof/>
              </w:rPr>
              <w:t>8.1.1 Validación de supuestos del modelo</w:t>
            </w:r>
            <w:r>
              <w:rPr>
                <w:noProof/>
                <w:webHidden/>
              </w:rPr>
              <w:tab/>
            </w:r>
            <w:r>
              <w:rPr>
                <w:noProof/>
                <w:webHidden/>
              </w:rPr>
              <w:fldChar w:fldCharType="begin"/>
            </w:r>
            <w:r>
              <w:rPr>
                <w:noProof/>
                <w:webHidden/>
              </w:rPr>
              <w:instrText xml:space="preserve"> PAGEREF _Toc207902591 \h </w:instrText>
            </w:r>
            <w:r>
              <w:rPr>
                <w:noProof/>
                <w:webHidden/>
              </w:rPr>
            </w:r>
            <w:r>
              <w:rPr>
                <w:noProof/>
                <w:webHidden/>
              </w:rPr>
              <w:fldChar w:fldCharType="separate"/>
            </w:r>
            <w:r>
              <w:rPr>
                <w:noProof/>
                <w:webHidden/>
              </w:rPr>
              <w:t>19</w:t>
            </w:r>
            <w:r>
              <w:rPr>
                <w:noProof/>
                <w:webHidden/>
              </w:rPr>
              <w:fldChar w:fldCharType="end"/>
            </w:r>
          </w:hyperlink>
        </w:p>
        <w:p w14:paraId="46273910" w14:textId="0901A74E" w:rsidR="001F27B9" w:rsidRDefault="001F27B9">
          <w:pPr>
            <w:pStyle w:val="TOC3"/>
            <w:tabs>
              <w:tab w:val="right" w:leader="dot" w:pos="9350"/>
            </w:tabs>
            <w:rPr>
              <w:rFonts w:eastAsiaTheme="minorEastAsia"/>
              <w:noProof/>
              <w:sz w:val="24"/>
              <w:szCs w:val="24"/>
              <w:lang w:eastAsia="es-CO"/>
            </w:rPr>
          </w:pPr>
          <w:hyperlink w:anchor="_Toc207902592" w:history="1">
            <w:r w:rsidRPr="003949C7">
              <w:rPr>
                <w:rStyle w:val="Hyperlink"/>
                <w:noProof/>
              </w:rPr>
              <w:t>8.1.2 Mapas del indicador y precisión</w:t>
            </w:r>
            <w:r>
              <w:rPr>
                <w:noProof/>
                <w:webHidden/>
              </w:rPr>
              <w:tab/>
            </w:r>
            <w:r>
              <w:rPr>
                <w:noProof/>
                <w:webHidden/>
              </w:rPr>
              <w:fldChar w:fldCharType="begin"/>
            </w:r>
            <w:r>
              <w:rPr>
                <w:noProof/>
                <w:webHidden/>
              </w:rPr>
              <w:instrText xml:space="preserve"> PAGEREF _Toc207902592 \h </w:instrText>
            </w:r>
            <w:r>
              <w:rPr>
                <w:noProof/>
                <w:webHidden/>
              </w:rPr>
            </w:r>
            <w:r>
              <w:rPr>
                <w:noProof/>
                <w:webHidden/>
              </w:rPr>
              <w:fldChar w:fldCharType="separate"/>
            </w:r>
            <w:r>
              <w:rPr>
                <w:noProof/>
                <w:webHidden/>
              </w:rPr>
              <w:t>24</w:t>
            </w:r>
            <w:r>
              <w:rPr>
                <w:noProof/>
                <w:webHidden/>
              </w:rPr>
              <w:fldChar w:fldCharType="end"/>
            </w:r>
          </w:hyperlink>
        </w:p>
        <w:p w14:paraId="69C4F985" w14:textId="774DDC57" w:rsidR="001F27B9" w:rsidRDefault="001F27B9">
          <w:pPr>
            <w:pStyle w:val="TOC1"/>
            <w:tabs>
              <w:tab w:val="left" w:pos="440"/>
              <w:tab w:val="right" w:leader="dot" w:pos="9350"/>
            </w:tabs>
            <w:rPr>
              <w:rFonts w:eastAsiaTheme="minorEastAsia"/>
              <w:noProof/>
              <w:sz w:val="24"/>
              <w:szCs w:val="24"/>
              <w:lang w:eastAsia="es-CO"/>
            </w:rPr>
          </w:pPr>
          <w:hyperlink w:anchor="_Toc207902593" w:history="1">
            <w:r w:rsidRPr="003949C7">
              <w:rPr>
                <w:rStyle w:val="Hyperlink"/>
                <w:noProof/>
              </w:rPr>
              <w:t>9.</w:t>
            </w:r>
            <w:r>
              <w:rPr>
                <w:rFonts w:eastAsiaTheme="minorEastAsia"/>
                <w:noProof/>
                <w:sz w:val="24"/>
                <w:szCs w:val="24"/>
                <w:lang w:eastAsia="es-CO"/>
              </w:rPr>
              <w:tab/>
            </w:r>
            <w:r w:rsidRPr="003949C7">
              <w:rPr>
                <w:rStyle w:val="Hyperlink"/>
                <w:noProof/>
              </w:rPr>
              <w:t>Referencias</w:t>
            </w:r>
            <w:r>
              <w:rPr>
                <w:noProof/>
                <w:webHidden/>
              </w:rPr>
              <w:tab/>
            </w:r>
            <w:r>
              <w:rPr>
                <w:noProof/>
                <w:webHidden/>
              </w:rPr>
              <w:fldChar w:fldCharType="begin"/>
            </w:r>
            <w:r>
              <w:rPr>
                <w:noProof/>
                <w:webHidden/>
              </w:rPr>
              <w:instrText xml:space="preserve"> PAGEREF _Toc207902593 \h </w:instrText>
            </w:r>
            <w:r>
              <w:rPr>
                <w:noProof/>
                <w:webHidden/>
              </w:rPr>
            </w:r>
            <w:r>
              <w:rPr>
                <w:noProof/>
                <w:webHidden/>
              </w:rPr>
              <w:fldChar w:fldCharType="separate"/>
            </w:r>
            <w:r>
              <w:rPr>
                <w:noProof/>
                <w:webHidden/>
              </w:rPr>
              <w:t>26</w:t>
            </w:r>
            <w:r>
              <w:rPr>
                <w:noProof/>
                <w:webHidden/>
              </w:rPr>
              <w:fldChar w:fldCharType="end"/>
            </w:r>
          </w:hyperlink>
        </w:p>
        <w:p w14:paraId="699B96AB" w14:textId="4997DC6B" w:rsidR="007245F6" w:rsidRDefault="007245F6">
          <w:r>
            <w:rPr>
              <w:b/>
              <w:bCs/>
              <w:noProof/>
            </w:rPr>
            <w:fldChar w:fldCharType="end"/>
          </w:r>
        </w:p>
      </w:sdtContent>
    </w:sdt>
    <w:p w14:paraId="0374B670" w14:textId="007303C2" w:rsidR="00AF6CDE" w:rsidRDefault="00AF6CDE" w:rsidP="003C7483">
      <w:pPr>
        <w:pStyle w:val="Heading1"/>
        <w:numPr>
          <w:ilvl w:val="0"/>
          <w:numId w:val="13"/>
        </w:numPr>
        <w:rPr>
          <w:lang w:val="es-CL"/>
        </w:rPr>
      </w:pPr>
      <w:bookmarkStart w:id="0" w:name="_Toc90573169"/>
      <w:bookmarkStart w:id="1" w:name="_Toc207902567"/>
      <w:r w:rsidRPr="00AF6CDE">
        <w:rPr>
          <w:lang w:val="es-CL"/>
        </w:rPr>
        <w:lastRenderedPageBreak/>
        <w:t>Antecedentes</w:t>
      </w:r>
      <w:bookmarkEnd w:id="0"/>
      <w:bookmarkEnd w:id="1"/>
    </w:p>
    <w:p w14:paraId="0354F883" w14:textId="77777777" w:rsidR="007245F6" w:rsidRDefault="007245F6">
      <w:pPr>
        <w:rPr>
          <w:rFonts w:asciiTheme="majorHAnsi" w:eastAsiaTheme="majorEastAsia" w:hAnsiTheme="majorHAnsi" w:cs="Times New Roman"/>
          <w:color w:val="0F4761" w:themeColor="accent1" w:themeShade="BF"/>
          <w:kern w:val="0"/>
          <w:sz w:val="32"/>
          <w:szCs w:val="32"/>
          <w:lang w:val="es-CL"/>
          <w14:ligatures w14:val="none"/>
        </w:rPr>
      </w:pPr>
    </w:p>
    <w:p w14:paraId="5BA9AF8B" w14:textId="40E74528" w:rsidR="00481AD5" w:rsidRPr="007245F6" w:rsidRDefault="007245F6" w:rsidP="00D87D01">
      <w:r w:rsidRPr="007245F6">
        <w:rPr>
          <w:lang w:val="es-CL"/>
        </w:rPr>
        <w:t>Perú</w:t>
      </w:r>
      <w:r w:rsidRPr="007245F6">
        <w:t>, en el marco de su compromiso con la generación de información social y demográfica de calidad, ha reconocido la importancia de contar con indicadores confiables que reflejen la dinámica de la fecundidad y la mortalidad infantil. Tradicionalmente, las encuestas nacionales han permitido estimar estos fenómenos a nivel agregado principalmente nacional y departamental mediante métodos estándar de análisis de encuestas complejas. Dichas estimaciones han sido la base para diseñar y evaluar políticas públicas de salud, población y desarrollo social.</w:t>
      </w:r>
    </w:p>
    <w:p w14:paraId="6F2248EA" w14:textId="15F1DEB9" w:rsidR="007245F6" w:rsidRPr="007245F6" w:rsidRDefault="007245F6" w:rsidP="00D87D01">
      <w:r w:rsidRPr="007245F6">
        <w:t xml:space="preserve">Sin embargo, las estimaciones tradicionales presentan limitaciones cuando se requiere información para dominios más desagregados, como provincias o distritos. En estos niveles, las muestras suelen ser reducidas o incluso nulas, lo que disminuye la precisión de los resultados y debilita sus propiedades estadísticas de consistencia e </w:t>
      </w:r>
      <w:proofErr w:type="spellStart"/>
      <w:r w:rsidRPr="007245F6">
        <w:t>insesgamiento</w:t>
      </w:r>
      <w:proofErr w:type="spellEnd"/>
      <w:r w:rsidRPr="007245F6">
        <w:t>.</w:t>
      </w:r>
    </w:p>
    <w:p w14:paraId="6F9A568A" w14:textId="4B49B243" w:rsidR="007245F6" w:rsidRPr="007245F6" w:rsidRDefault="007245F6" w:rsidP="00D87D01">
      <w:r w:rsidRPr="007245F6">
        <w:t>Durante los últimos años, se ha intensificado la demanda de contar con estadísticas más detalladas que permitan orientar de manera eficiente las intervenciones en salud sexual y reproductiva, así como la atención de la niñez en el territorio. Esta necesidad obedece al interés de disponer de estimaciones precisas y oportunas de indicadores clave de fecundidad y mortalidad infantil en áreas pequeñas, a fin de fortalecer la planificación de políticas y la asignación de recursos en los distintos niveles de gobierno.</w:t>
      </w:r>
    </w:p>
    <w:p w14:paraId="56BFD980" w14:textId="77777777" w:rsidR="007245F6" w:rsidRPr="007245F6" w:rsidRDefault="007245F6" w:rsidP="00D87D01">
      <w:r w:rsidRPr="007245F6">
        <w:t xml:space="preserve">En respuesta a este desafío, surge el proyecto </w:t>
      </w:r>
      <w:proofErr w:type="spellStart"/>
      <w:r w:rsidRPr="007245F6">
        <w:t>SAEfertility</w:t>
      </w:r>
      <w:proofErr w:type="spellEnd"/>
      <w:r w:rsidRPr="007245F6">
        <w:t>, que incorpora avances recientes en metodologías de estimación en áreas pequeñas (SAE). El proyecto utiliza bases de datos individuales de mujeres en edad fértil y registros de nacimientos para el año 2024, aplicando procedimientos que combinan el conteo de eventos y el cálculo del tiempo de exposición al riesgo, integrando el diseño muestral para garantizar la representatividad de los resultados.</w:t>
      </w:r>
    </w:p>
    <w:p w14:paraId="245C0895" w14:textId="0D8E27E8" w:rsidR="0073650C" w:rsidRDefault="007245F6" w:rsidP="00D87D01">
      <w:r w:rsidRPr="007245F6">
        <w:t>Los indicadores principales considerados son: tasas específicas de fecundidad (ASFR), tasa global de fecundidad (TFR), promedio de hijos nacidos vivos, así como los indicadores de mortalidad infantil (IMR), mortalidad de la niñez (CMR) y mortalidad en menores de cinco años (U5MR). Estos resultados buscan responder a la creciente necesidad de información granular y de alta calidad para el monitoreo de la fecundidad y la salud infantil en el Perú.</w:t>
      </w:r>
    </w:p>
    <w:p w14:paraId="7E02A767" w14:textId="77777777" w:rsidR="0073650C" w:rsidRDefault="0073650C" w:rsidP="007245F6">
      <w:pPr>
        <w:rPr>
          <w:rFonts w:ascii="Calibri" w:hAnsi="Calibri" w:cs="Calibri"/>
        </w:rPr>
      </w:pPr>
    </w:p>
    <w:p w14:paraId="27CE4059" w14:textId="10508F73" w:rsidR="0073650C" w:rsidRDefault="0073650C" w:rsidP="003C7483">
      <w:pPr>
        <w:pStyle w:val="Heading1"/>
        <w:numPr>
          <w:ilvl w:val="0"/>
          <w:numId w:val="13"/>
        </w:numPr>
        <w:rPr>
          <w:lang w:val="es-CL"/>
        </w:rPr>
      </w:pPr>
      <w:bookmarkStart w:id="2" w:name="_Toc207902568"/>
      <w:r w:rsidRPr="0073650C">
        <w:rPr>
          <w:lang w:val="es-CL"/>
        </w:rPr>
        <w:t>Modelos de estimación en áreas pequeñas</w:t>
      </w:r>
      <w:r>
        <w:rPr>
          <w:lang w:val="es-CL"/>
        </w:rPr>
        <w:t>.</w:t>
      </w:r>
      <w:bookmarkEnd w:id="2"/>
    </w:p>
    <w:p w14:paraId="7CE4F8A5" w14:textId="77777777" w:rsidR="0073650C" w:rsidRPr="0073650C" w:rsidRDefault="0073650C" w:rsidP="0073650C">
      <w:pPr>
        <w:keepNext/>
        <w:keepLines/>
        <w:spacing w:before="240" w:after="0" w:line="240" w:lineRule="auto"/>
        <w:ind w:left="720"/>
        <w:outlineLvl w:val="0"/>
        <w:rPr>
          <w:rFonts w:asciiTheme="majorHAnsi" w:eastAsiaTheme="majorEastAsia" w:hAnsiTheme="majorHAnsi" w:cs="Times New Roman"/>
          <w:color w:val="0F4761" w:themeColor="accent1" w:themeShade="BF"/>
          <w:kern w:val="0"/>
          <w:sz w:val="32"/>
          <w:szCs w:val="32"/>
          <w:lang w:val="es-CL"/>
          <w14:ligatures w14:val="none"/>
        </w:rPr>
      </w:pPr>
    </w:p>
    <w:p w14:paraId="7DDE8D03" w14:textId="3A14AF6B" w:rsidR="0073650C" w:rsidRDefault="0073650C" w:rsidP="00D87D01">
      <w:r w:rsidRPr="0073650C">
        <w:t>Los métodos de estimación en áreas pequeñas (SAE) se clasifican, en términos generales, de acuerdo con el nivel de agregación de la información auxiliar utilizada. En la literatura se distinguen dos enfoques principales:</w:t>
      </w:r>
      <w:r>
        <w:t xml:space="preserve"> </w:t>
      </w:r>
      <w:r w:rsidRPr="0073650C">
        <w:t>Modelos de área</w:t>
      </w:r>
      <w:r>
        <w:t xml:space="preserve">: </w:t>
      </w:r>
      <w:r w:rsidRPr="0073650C">
        <w:t>establecen la relación entre estimadores directos obtenidos para cada dominio geográfico o poblacional y un conjunto de covariables disponibles en forma agregada. Estos modelos son especialmente útiles cuando no se dispone de información individual o existen restricciones de confidencialidad.</w:t>
      </w:r>
      <w:r>
        <w:t xml:space="preserve"> </w:t>
      </w:r>
      <w:r w:rsidRPr="0073650C">
        <w:t xml:space="preserve">Modelos a nivel de unidad: permiten vincular </w:t>
      </w:r>
      <w:r w:rsidRPr="0073650C">
        <w:lastRenderedPageBreak/>
        <w:t>directamente el valor de la variable de interés para cada individuo con covariables observadas a ese mismo nivel.</w:t>
      </w:r>
      <w:r>
        <w:t xml:space="preserve"> </w:t>
      </w:r>
      <w:r w:rsidRPr="0073650C">
        <w:t>A continuación, se describen los modelos más utilizados en la literatura especializada de estimación en áreas pequeñas, los cuales han sido aplicados en múltiples contextos para generar indicadores sociodemográficos y de bienestar.</w:t>
      </w:r>
    </w:p>
    <w:p w14:paraId="522B7680" w14:textId="77777777" w:rsidR="00D87D01" w:rsidRPr="00CB34DF" w:rsidRDefault="00D87D01" w:rsidP="00D87D01"/>
    <w:p w14:paraId="7DC82BD7" w14:textId="6C9AB338" w:rsidR="003C7483" w:rsidRPr="003C7483" w:rsidRDefault="0073650C" w:rsidP="008A63E9">
      <w:pPr>
        <w:pStyle w:val="Heading2"/>
        <w:numPr>
          <w:ilvl w:val="1"/>
          <w:numId w:val="13"/>
        </w:numPr>
      </w:pPr>
      <w:bookmarkStart w:id="3" w:name="_Toc207902569"/>
      <w:r w:rsidRPr="00825C5D">
        <w:t>Modelo Fay-</w:t>
      </w:r>
      <w:proofErr w:type="spellStart"/>
      <w:r w:rsidRPr="00825C5D">
        <w:t>Herriot</w:t>
      </w:r>
      <w:proofErr w:type="spellEnd"/>
      <w:r w:rsidRPr="00825C5D">
        <w:t xml:space="preserve"> (FH)</w:t>
      </w:r>
      <w:bookmarkEnd w:id="3"/>
      <w:r w:rsidRPr="00825C5D">
        <w:t xml:space="preserve"> </w:t>
      </w:r>
    </w:p>
    <w:p w14:paraId="467EE366" w14:textId="207427F2" w:rsidR="0073650C" w:rsidRDefault="0073650C" w:rsidP="00D87D01">
      <w:r>
        <w:t xml:space="preserve">El modelo de Fay y </w:t>
      </w:r>
      <w:proofErr w:type="spellStart"/>
      <w:r>
        <w:t>Herriot</w:t>
      </w:r>
      <w:proofErr w:type="spellEnd"/>
      <w:r>
        <w:t xml:space="preserve"> (1979) es el más representativo entre los modelos de área. Su estructura es de dos niveles: en el primero, se utiliza un estimador directo insesgado a nivel de dominio, y en el segundo, se incorpora un conjunto de covariables asociadas al área, mediante un modelo de regresión lineal:</w:t>
      </w:r>
    </w:p>
    <w:p w14:paraId="342313FF" w14:textId="024E66DE" w:rsidR="0073650C" w:rsidRPr="0073650C" w:rsidRDefault="00351E3A" w:rsidP="00D87D01">
      <w:pPr>
        <w:rPr>
          <w:rFonts w:eastAsiaTheme="minorEastAsia"/>
          <w:lang w:val="es-ES"/>
        </w:rPr>
      </w:pPr>
      <m:oMathPara>
        <m:oMath>
          <m:sSubSup>
            <m:sSubSupPr>
              <m:ctrlPr>
                <w:rPr>
                  <w:rFonts w:ascii="Cambria Math" w:hAnsi="Cambria Math" w:cs="Times New Roman"/>
                  <w:lang w:val="es-ES"/>
                </w:rPr>
              </m:ctrlPr>
            </m:sSubSupPr>
            <m:e>
              <m:acc>
                <m:accPr>
                  <m:ctrlPr>
                    <w:rPr>
                      <w:rFonts w:ascii="Cambria Math" w:hAnsi="Cambria Math" w:cs="Times New Roman"/>
                      <w:lang w:val="es-ES"/>
                    </w:rPr>
                  </m:ctrlPr>
                </m:accPr>
                <m:e>
                  <m:r>
                    <w:rPr>
                      <w:rFonts w:ascii="Cambria Math" w:hAnsi="Cambria Math"/>
                      <w:lang w:val="es-ES"/>
                    </w:rPr>
                    <m:t>θ</m:t>
                  </m:r>
                </m:e>
              </m:acc>
            </m:e>
            <m:sub>
              <m:r>
                <w:rPr>
                  <w:rFonts w:ascii="Cambria Math" w:hAnsi="Cambria Math"/>
                  <w:lang w:val="es-ES"/>
                </w:rPr>
                <m:t>d</m:t>
              </m:r>
            </m:sub>
            <m:sup>
              <m:r>
                <w:rPr>
                  <w:rFonts w:ascii="Cambria Math" w:hAnsi="Cambria Math"/>
                  <w:lang w:val="es-ES"/>
                </w:rPr>
                <m:t>Dir</m:t>
              </m:r>
            </m:sup>
          </m:sSubSup>
          <m:r>
            <m:rPr>
              <m:sty m:val="p"/>
            </m:rPr>
            <w:rPr>
              <w:rFonts w:ascii="Cambria Math" w:hAnsi="Cambria Math"/>
              <w:lang w:val="es-ES"/>
            </w:rPr>
            <m:t>=</m:t>
          </m:r>
          <m:sSup>
            <m:sSupPr>
              <m:ctrlPr>
                <w:rPr>
                  <w:rFonts w:ascii="Cambria Math" w:hAnsi="Cambria Math" w:cs="Times New Roman"/>
                  <w:lang w:val="es-ES"/>
                </w:rPr>
              </m:ctrlPr>
            </m:sSupPr>
            <m:e>
              <m:sSub>
                <m:sSubPr>
                  <m:ctrlPr>
                    <w:rPr>
                      <w:rFonts w:ascii="Cambria Math" w:hAnsi="Cambria Math" w:cs="Times New Roman"/>
                      <w:lang w:val="es-ES"/>
                    </w:rPr>
                  </m:ctrlPr>
                </m:sSubPr>
                <m:e>
                  <m:r>
                    <m:rPr>
                      <m:sty m:val="bi"/>
                    </m:rPr>
                    <w:rPr>
                      <w:rFonts w:ascii="Cambria Math" w:hAnsi="Cambria Math"/>
                      <w:lang w:val="es-ES"/>
                    </w:rPr>
                    <m:t>x</m:t>
                  </m:r>
                </m:e>
                <m:sub>
                  <m:r>
                    <w:rPr>
                      <w:rFonts w:ascii="Cambria Math" w:hAnsi="Cambria Math"/>
                      <w:lang w:val="es-ES"/>
                    </w:rPr>
                    <m:t>d</m:t>
                  </m:r>
                </m:sub>
              </m:sSub>
            </m:e>
            <m:sup>
              <m:r>
                <m:rPr>
                  <m:sty m:val="p"/>
                </m:rPr>
                <w:rPr>
                  <w:rFonts w:ascii="Cambria Math" w:hAnsi="Cambria Math"/>
                  <w:lang w:val="es-ES"/>
                </w:rPr>
                <m:t>'</m:t>
              </m:r>
            </m:sup>
          </m:sSup>
          <m:r>
            <m:rPr>
              <m:sty m:val="bi"/>
            </m:rPr>
            <w:rPr>
              <w:rFonts w:ascii="Cambria Math" w:hAnsi="Cambria Math"/>
              <w:lang w:val="es-ES"/>
            </w:rPr>
            <m:t>β</m:t>
          </m:r>
          <m:r>
            <m:rPr>
              <m:sty m:val="p"/>
            </m:rPr>
            <w:rPr>
              <w:rFonts w:ascii="Cambria Math" w:hAnsi="Cambria Math"/>
              <w:lang w:val="es-ES"/>
            </w:rPr>
            <m:t>+</m:t>
          </m:r>
          <m:sSub>
            <m:sSubPr>
              <m:ctrlPr>
                <w:rPr>
                  <w:rFonts w:ascii="Cambria Math" w:hAnsi="Cambria Math" w:cs="Times New Roman"/>
                  <w:lang w:val="es-ES"/>
                </w:rPr>
              </m:ctrlPr>
            </m:sSubPr>
            <m:e>
              <m:r>
                <w:rPr>
                  <w:rFonts w:ascii="Cambria Math" w:hAnsi="Cambria Math"/>
                  <w:lang w:val="es-ES"/>
                </w:rPr>
                <m:t>u</m:t>
              </m:r>
            </m:e>
            <m:sub>
              <m:r>
                <w:rPr>
                  <w:rFonts w:ascii="Cambria Math" w:hAnsi="Cambria Math"/>
                  <w:lang w:val="es-ES"/>
                </w:rPr>
                <m:t>d</m:t>
              </m:r>
            </m:sub>
          </m:sSub>
          <m:r>
            <m:rPr>
              <m:sty m:val="p"/>
            </m:rPr>
            <w:rPr>
              <w:rFonts w:ascii="Cambria Math" w:hAnsi="Cambria Math"/>
              <w:lang w:val="es-ES"/>
            </w:rPr>
            <m:t>+</m:t>
          </m:r>
          <m:sSub>
            <m:sSubPr>
              <m:ctrlPr>
                <w:rPr>
                  <w:rFonts w:ascii="Cambria Math" w:hAnsi="Cambria Math" w:cs="Times New Roman"/>
                  <w:lang w:val="es-ES"/>
                </w:rPr>
              </m:ctrlPr>
            </m:sSubPr>
            <m:e>
              <m:r>
                <w:rPr>
                  <w:rFonts w:ascii="Cambria Math" w:hAnsi="Cambria Math"/>
                  <w:lang w:val="es-ES"/>
                </w:rPr>
                <m:t>e</m:t>
              </m:r>
            </m:e>
            <m:sub>
              <m:r>
                <w:rPr>
                  <w:rFonts w:ascii="Cambria Math" w:hAnsi="Cambria Math"/>
                  <w:lang w:val="es-ES"/>
                </w:rPr>
                <m:t>d</m:t>
              </m:r>
            </m:sub>
          </m:sSub>
          <m:r>
            <m:rPr>
              <m:sty m:val="p"/>
            </m:rPr>
            <w:rPr>
              <w:rFonts w:ascii="Cambria Math" w:hAnsi="Cambria Math"/>
              <w:lang w:val="es-ES"/>
            </w:rPr>
            <m:t xml:space="preserve">,          </m:t>
          </m:r>
          <m:r>
            <w:rPr>
              <w:rFonts w:ascii="Cambria Math" w:hAnsi="Cambria Math"/>
              <w:lang w:val="es-ES"/>
            </w:rPr>
            <m:t>d</m:t>
          </m:r>
          <m:r>
            <m:rPr>
              <m:sty m:val="p"/>
            </m:rPr>
            <w:rPr>
              <w:rFonts w:ascii="Cambria Math" w:hAnsi="Cambria Math"/>
              <w:lang w:val="es-ES"/>
            </w:rPr>
            <m:t>=1,…,</m:t>
          </m:r>
          <m:r>
            <w:rPr>
              <w:rFonts w:ascii="Cambria Math" w:hAnsi="Cambria Math"/>
              <w:lang w:val="es-ES"/>
            </w:rPr>
            <m:t>D</m:t>
          </m:r>
        </m:oMath>
      </m:oMathPara>
    </w:p>
    <w:p w14:paraId="326C5E30" w14:textId="5720AC85" w:rsidR="00D13F20" w:rsidRDefault="0073650C" w:rsidP="00D87D01">
      <w:r>
        <w:rPr>
          <w:rFonts w:eastAsiaTheme="minorEastAsia"/>
          <w:lang w:val="es-ES"/>
        </w:rPr>
        <w:t xml:space="preserve">Donde, </w:t>
      </w:r>
      <m:oMath>
        <m:r>
          <m:rPr>
            <m:sty m:val="bi"/>
          </m:rPr>
          <w:rPr>
            <w:rFonts w:ascii="Cambria Math" w:eastAsiaTheme="minorEastAsia" w:hAnsi="Cambria Math"/>
            <w:lang w:val="es-ES"/>
          </w:rPr>
          <m:t>β</m:t>
        </m:r>
      </m:oMath>
      <w:r>
        <w:rPr>
          <w:rFonts w:eastAsiaTheme="minorEastAsia"/>
          <w:b/>
          <w:lang w:val="es-ES"/>
        </w:rPr>
        <w:t xml:space="preserve"> </w:t>
      </w:r>
      <w:r>
        <w:t>es el vector de parámetros comunes a todos los dominios;</w:t>
      </w:r>
      <m:oMath>
        <m:sSub>
          <m:sSubPr>
            <m:ctrlPr>
              <w:rPr>
                <w:rFonts w:ascii="Cambria Math" w:hAnsi="Cambria Math" w:cs="Times New Roman"/>
                <w:lang w:val="es-ES"/>
              </w:rPr>
            </m:ctrlPr>
          </m:sSubPr>
          <m:e>
            <m:r>
              <w:rPr>
                <w:rFonts w:ascii="Cambria Math" w:hAnsi="Cambria Math"/>
                <w:lang w:val="es-ES"/>
              </w:rPr>
              <m:t xml:space="preserve"> u</m:t>
            </m:r>
          </m:e>
          <m:sub>
            <m:r>
              <w:rPr>
                <w:rFonts w:ascii="Cambria Math" w:hAnsi="Cambria Math"/>
                <w:lang w:val="es-ES"/>
              </w:rPr>
              <m:t>d</m:t>
            </m:r>
          </m:sub>
        </m:sSub>
      </m:oMath>
      <w:r w:rsidR="00D13F20">
        <w:rPr>
          <w:rFonts w:eastAsiaTheme="minorEastAsia"/>
          <w:lang w:val="es-ES"/>
        </w:rPr>
        <w:t xml:space="preserve"> </w:t>
      </w:r>
      <w:r w:rsidR="00D13F20">
        <w:t xml:space="preserve">corresponde a un efecto aleatorio específico de cada área, que captura la variabilidad no explicada por las covariables; </w:t>
      </w:r>
      <m:oMath>
        <m:sSub>
          <m:sSubPr>
            <m:ctrlPr>
              <w:rPr>
                <w:rFonts w:ascii="Cambria Math" w:hAnsi="Cambria Math" w:cs="Times New Roman"/>
                <w:lang w:val="es-ES"/>
              </w:rPr>
            </m:ctrlPr>
          </m:sSubPr>
          <m:e>
            <m:r>
              <w:rPr>
                <w:rFonts w:ascii="Cambria Math" w:hAnsi="Cambria Math"/>
                <w:lang w:val="es-ES"/>
              </w:rPr>
              <m:t>e</m:t>
            </m:r>
          </m:e>
          <m:sub>
            <m:r>
              <w:rPr>
                <w:rFonts w:ascii="Cambria Math" w:hAnsi="Cambria Math"/>
                <w:lang w:val="es-ES"/>
              </w:rPr>
              <m:t>d</m:t>
            </m:r>
          </m:sub>
        </m:sSub>
      </m:oMath>
      <w:r w:rsidR="00D13F20">
        <w:t xml:space="preserve">representa el error de muestreo asociado al estimador directo. Se asume que </w:t>
      </w:r>
      <m:oMath>
        <m:sSub>
          <m:sSubPr>
            <m:ctrlPr>
              <w:rPr>
                <w:rFonts w:ascii="Cambria Math" w:hAnsi="Cambria Math"/>
                <w:lang w:val="es-ES"/>
              </w:rPr>
            </m:ctrlPr>
          </m:sSubPr>
          <m:e>
            <m:r>
              <w:rPr>
                <w:rFonts w:ascii="Cambria Math" w:hAnsi="Cambria Math"/>
                <w:lang w:val="es-ES"/>
              </w:rPr>
              <m:t>u</m:t>
            </m:r>
          </m:e>
          <m:sub>
            <m:r>
              <w:rPr>
                <w:rFonts w:ascii="Cambria Math" w:hAnsi="Cambria Math"/>
                <w:lang w:val="es-ES"/>
              </w:rPr>
              <m:t>d</m:t>
            </m:r>
          </m:sub>
        </m:sSub>
        <m:nary>
          <m:naryPr>
            <m:chr m:val="∼"/>
            <m:limLoc m:val="undOvr"/>
            <m:subHide m:val="1"/>
            <m:ctrlPr>
              <w:rPr>
                <w:rFonts w:ascii="Cambria Math" w:hAnsi="Cambria Math"/>
                <w:lang w:val="es-ES"/>
              </w:rPr>
            </m:ctrlPr>
          </m:naryPr>
          <m:sub/>
          <m:sup>
            <m:r>
              <w:rPr>
                <w:rFonts w:ascii="Cambria Math" w:hAnsi="Cambria Math"/>
                <w:lang w:val="es-ES"/>
              </w:rPr>
              <m:t>iid</m:t>
            </m:r>
          </m:sup>
          <m:e>
            <m:r>
              <m:rPr>
                <m:sty m:val="p"/>
              </m:rPr>
              <w:rPr>
                <w:rFonts w:ascii="Cambria Math" w:hAnsi="Cambria Math"/>
                <w:lang w:val="es-ES"/>
              </w:rPr>
              <m:t>(</m:t>
            </m:r>
          </m:e>
        </m:nary>
        <m:r>
          <m:rPr>
            <m:sty m:val="p"/>
          </m:rPr>
          <w:rPr>
            <w:rFonts w:ascii="Cambria Math" w:hAnsi="Cambria Math"/>
            <w:lang w:val="es-ES"/>
          </w:rPr>
          <m:t>0,</m:t>
        </m:r>
        <m:sSubSup>
          <m:sSubSupPr>
            <m:ctrlPr>
              <w:rPr>
                <w:rFonts w:ascii="Cambria Math" w:hAnsi="Cambria Math"/>
                <w:lang w:val="es-ES"/>
              </w:rPr>
            </m:ctrlPr>
          </m:sSubSupPr>
          <m:e>
            <m:r>
              <w:rPr>
                <w:rFonts w:ascii="Cambria Math" w:hAnsi="Cambria Math"/>
                <w:lang w:val="es-ES"/>
              </w:rPr>
              <m:t>σ</m:t>
            </m:r>
          </m:e>
          <m:sub>
            <m:r>
              <w:rPr>
                <w:rFonts w:ascii="Cambria Math" w:hAnsi="Cambria Math"/>
                <w:lang w:val="es-ES"/>
              </w:rPr>
              <m:t>u</m:t>
            </m:r>
          </m:sub>
          <m:sup>
            <m:r>
              <m:rPr>
                <m:sty m:val="p"/>
              </m:rPr>
              <w:rPr>
                <w:rFonts w:ascii="Cambria Math" w:hAnsi="Cambria Math"/>
                <w:lang w:val="es-ES"/>
              </w:rPr>
              <m:t>2</m:t>
            </m:r>
          </m:sup>
        </m:sSubSup>
        <m:r>
          <m:rPr>
            <m:sty m:val="p"/>
          </m:rPr>
          <w:rPr>
            <w:rFonts w:ascii="Cambria Math" w:hAnsi="Cambria Math"/>
            <w:lang w:val="es-ES"/>
          </w:rPr>
          <m:t>)</m:t>
        </m:r>
      </m:oMath>
      <w:r w:rsidR="00D13F20">
        <w:rPr>
          <w:lang w:val="es-ES"/>
        </w:rPr>
        <w:t xml:space="preserve"> </w:t>
      </w:r>
      <w:r w:rsidR="00D13F20">
        <w:t xml:space="preserve">y que los errores de muestreo </w:t>
      </w:r>
      <m:oMath>
        <m:sSub>
          <m:sSubPr>
            <m:ctrlPr>
              <w:rPr>
                <w:rFonts w:ascii="Cambria Math" w:hAnsi="Cambria Math"/>
                <w:lang w:val="es-ES"/>
              </w:rPr>
            </m:ctrlPr>
          </m:sSubPr>
          <m:e>
            <m:r>
              <w:rPr>
                <w:rFonts w:ascii="Cambria Math" w:hAnsi="Cambria Math"/>
                <w:lang w:val="es-ES"/>
              </w:rPr>
              <m:t>e</m:t>
            </m:r>
          </m:e>
          <m:sub>
            <m:r>
              <w:rPr>
                <w:rFonts w:ascii="Cambria Math" w:hAnsi="Cambria Math"/>
                <w:lang w:val="es-ES"/>
              </w:rPr>
              <m:t>d</m:t>
            </m:r>
          </m:sub>
        </m:sSub>
        <m:nary>
          <m:naryPr>
            <m:chr m:val="∼"/>
            <m:limLoc m:val="undOvr"/>
            <m:subHide m:val="1"/>
            <m:ctrlPr>
              <w:rPr>
                <w:rFonts w:ascii="Cambria Math" w:hAnsi="Cambria Math"/>
                <w:lang w:val="es-ES"/>
              </w:rPr>
            </m:ctrlPr>
          </m:naryPr>
          <m:sub/>
          <m:sup>
            <m:r>
              <w:rPr>
                <w:rFonts w:ascii="Cambria Math" w:hAnsi="Cambria Math"/>
                <w:lang w:val="es-ES"/>
              </w:rPr>
              <m:t>ind</m:t>
            </m:r>
          </m:sup>
          <m:e>
            <m:r>
              <m:rPr>
                <m:sty m:val="p"/>
              </m:rPr>
              <w:rPr>
                <w:rFonts w:ascii="Cambria Math" w:hAnsi="Cambria Math"/>
                <w:lang w:val="es-ES"/>
              </w:rPr>
              <m:t>(</m:t>
            </m:r>
          </m:e>
        </m:nary>
        <m:r>
          <m:rPr>
            <m:sty m:val="p"/>
          </m:rPr>
          <w:rPr>
            <w:rFonts w:ascii="Cambria Math" w:hAnsi="Cambria Math"/>
            <w:lang w:val="es-ES"/>
          </w:rPr>
          <m:t>0,</m:t>
        </m:r>
        <m:sSub>
          <m:sSubPr>
            <m:ctrlPr>
              <w:rPr>
                <w:rFonts w:ascii="Cambria Math" w:hAnsi="Cambria Math"/>
                <w:lang w:val="es-ES"/>
              </w:rPr>
            </m:ctrlPr>
          </m:sSubPr>
          <m:e>
            <m:r>
              <w:rPr>
                <w:rFonts w:ascii="Cambria Math" w:hAnsi="Cambria Math"/>
                <w:lang w:val="es-ES"/>
              </w:rPr>
              <m:t>ψ</m:t>
            </m:r>
          </m:e>
          <m:sub>
            <m:r>
              <w:rPr>
                <w:rFonts w:ascii="Cambria Math" w:hAnsi="Cambria Math"/>
                <w:lang w:val="es-ES"/>
              </w:rPr>
              <m:t>d</m:t>
            </m:r>
          </m:sub>
        </m:sSub>
        <m:r>
          <m:rPr>
            <m:sty m:val="p"/>
          </m:rPr>
          <w:rPr>
            <w:rFonts w:ascii="Cambria Math" w:hAnsi="Cambria Math"/>
            <w:lang w:val="es-ES"/>
          </w:rPr>
          <m:t>)</m:t>
        </m:r>
      </m:oMath>
      <w:r w:rsidR="00D13F20" w:rsidRPr="00094A10">
        <w:rPr>
          <w:lang w:val="es-ES"/>
        </w:rPr>
        <w:t xml:space="preserve"> </w:t>
      </w:r>
      <w:r w:rsidR="00D13F20">
        <w:t xml:space="preserve">, siendo mutuamente independientes. En la práctica, las varianzas </w:t>
      </w:r>
      <m:oMath>
        <m:acc>
          <m:accPr>
            <m:ctrlPr>
              <w:rPr>
                <w:rFonts w:ascii="Cambria Math" w:hAnsi="Cambria Math"/>
                <w:lang w:val="es-ES"/>
              </w:rPr>
            </m:ctrlPr>
          </m:accPr>
          <m:e>
            <m:sSubSup>
              <m:sSubSupPr>
                <m:ctrlPr>
                  <w:rPr>
                    <w:rFonts w:ascii="Cambria Math" w:hAnsi="Cambria Math"/>
                    <w:lang w:val="es-ES"/>
                  </w:rPr>
                </m:ctrlPr>
              </m:sSubSupPr>
              <m:e>
                <m:r>
                  <w:rPr>
                    <w:rFonts w:ascii="Cambria Math" w:hAnsi="Cambria Math"/>
                    <w:lang w:val="es-ES"/>
                  </w:rPr>
                  <m:t>σ</m:t>
                </m:r>
              </m:e>
              <m:sub>
                <m:r>
                  <w:rPr>
                    <w:rFonts w:ascii="Cambria Math" w:hAnsi="Cambria Math"/>
                    <w:lang w:val="es-ES"/>
                  </w:rPr>
                  <m:t>u</m:t>
                </m:r>
              </m:sub>
              <m:sup>
                <m:r>
                  <m:rPr>
                    <m:sty m:val="p"/>
                  </m:rPr>
                  <w:rPr>
                    <w:rFonts w:ascii="Cambria Math" w:hAnsi="Cambria Math"/>
                    <w:lang w:val="es-ES"/>
                  </w:rPr>
                  <m:t>2</m:t>
                </m:r>
              </m:sup>
            </m:sSubSup>
          </m:e>
        </m:acc>
      </m:oMath>
      <w:r w:rsidR="00D13F20" w:rsidRPr="00094A10">
        <w:rPr>
          <w:lang w:val="es-ES"/>
        </w:rPr>
        <w:t xml:space="preserve"> y </w:t>
      </w:r>
      <m:oMath>
        <m:sSub>
          <m:sSubPr>
            <m:ctrlPr>
              <w:rPr>
                <w:rFonts w:ascii="Cambria Math" w:hAnsi="Cambria Math"/>
                <w:lang w:val="es-ES"/>
              </w:rPr>
            </m:ctrlPr>
          </m:sSubPr>
          <m:e>
            <m:acc>
              <m:accPr>
                <m:ctrlPr>
                  <w:rPr>
                    <w:rFonts w:ascii="Cambria Math" w:hAnsi="Cambria Math"/>
                    <w:lang w:val="es-ES"/>
                  </w:rPr>
                </m:ctrlPr>
              </m:accPr>
              <m:e>
                <m:r>
                  <w:rPr>
                    <w:rFonts w:ascii="Cambria Math" w:hAnsi="Cambria Math"/>
                    <w:lang w:val="es-ES"/>
                  </w:rPr>
                  <m:t>ψ</m:t>
                </m:r>
              </m:e>
            </m:acc>
          </m:e>
          <m:sub>
            <m:r>
              <w:rPr>
                <w:rFonts w:ascii="Cambria Math" w:hAnsi="Cambria Math"/>
                <w:lang w:val="es-ES"/>
              </w:rPr>
              <m:t>d</m:t>
            </m:r>
          </m:sub>
        </m:sSub>
      </m:oMath>
      <w:r w:rsidR="00D13F20">
        <w:rPr>
          <w:rStyle w:val="vlist-s"/>
          <w:rFonts w:ascii="Arial" w:hAnsi="Arial" w:cs="Arial"/>
        </w:rPr>
        <w:t>​</w:t>
      </w:r>
      <w:r w:rsidR="00D13F20">
        <w:t xml:space="preserve"> deben ser estimadas mediante métodos como máxima verosimilitud, máxima verosimilitud restringida o técnicas basadas en momentos. </w:t>
      </w:r>
    </w:p>
    <w:p w14:paraId="5E708B3D" w14:textId="7A330AE0" w:rsidR="00825C5D" w:rsidRPr="00825C5D" w:rsidRDefault="008A63E9" w:rsidP="003C7483">
      <w:pPr>
        <w:pStyle w:val="Heading2"/>
        <w:rPr>
          <w:rFonts w:eastAsia="Times New Roman"/>
          <w:lang w:val="es-CL"/>
        </w:rPr>
      </w:pPr>
      <w:bookmarkStart w:id="4" w:name="_Toc207902570"/>
      <w:proofErr w:type="gramStart"/>
      <w:r>
        <w:rPr>
          <w:rFonts w:eastAsia="Times New Roman"/>
          <w:lang w:val="es-CL"/>
        </w:rPr>
        <w:t xml:space="preserve">2.2 </w:t>
      </w:r>
      <w:r w:rsidR="003C7483">
        <w:rPr>
          <w:rFonts w:eastAsia="Times New Roman"/>
          <w:lang w:val="es-CL"/>
        </w:rPr>
        <w:t xml:space="preserve"> </w:t>
      </w:r>
      <w:r w:rsidR="00D13F20" w:rsidRPr="00D13F20">
        <w:rPr>
          <w:rFonts w:eastAsia="Times New Roman"/>
          <w:lang w:val="es-CL"/>
        </w:rPr>
        <w:t>Modelo</w:t>
      </w:r>
      <w:proofErr w:type="gramEnd"/>
      <w:r w:rsidR="00D13F20" w:rsidRPr="00D13F20">
        <w:rPr>
          <w:rFonts w:eastAsia="Times New Roman"/>
          <w:lang w:val="es-CL"/>
        </w:rPr>
        <w:t xml:space="preserve"> con errores anidados (BHF)</w:t>
      </w:r>
      <w:bookmarkEnd w:id="4"/>
    </w:p>
    <w:p w14:paraId="713FD49B" w14:textId="0AFF3716" w:rsidR="00D13F20" w:rsidRDefault="00D13F20" w:rsidP="00D87D01">
      <w:pPr>
        <w:rPr>
          <w:rFonts w:eastAsiaTheme="minorEastAsia"/>
          <w:lang w:val="es-ES"/>
        </w:rPr>
      </w:pPr>
      <w:r>
        <w:t xml:space="preserve">El modelo de </w:t>
      </w:r>
      <w:proofErr w:type="spellStart"/>
      <w:r>
        <w:t>Battese</w:t>
      </w:r>
      <w:proofErr w:type="spellEnd"/>
      <w:r>
        <w:t xml:space="preserve">, </w:t>
      </w:r>
      <w:proofErr w:type="spellStart"/>
      <w:r>
        <w:t>Harter</w:t>
      </w:r>
      <w:proofErr w:type="spellEnd"/>
      <w:r>
        <w:t xml:space="preserve"> y Fuller (1977) pertenece a la familia de modelos a nivel de unidad. En este caso, se relaciona una variable de interés </w:t>
      </w:r>
      <m:oMath>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di</m:t>
            </m:r>
          </m:sub>
        </m:sSub>
        <m:r>
          <m:rPr>
            <m:sty m:val="p"/>
          </m:rPr>
          <w:rPr>
            <w:rFonts w:ascii="Cambria Math" w:hAnsi="Cambria Math"/>
            <w:lang w:val="es-ES"/>
          </w:rPr>
          <m:t>)</m:t>
        </m:r>
      </m:oMath>
      <w:r w:rsidR="00CB34DF" w:rsidRPr="00094A10">
        <w:rPr>
          <w:lang w:val="es-ES"/>
        </w:rPr>
        <w:t xml:space="preserve"> </w:t>
      </w:r>
      <w:r>
        <w:rPr>
          <w:rStyle w:val="vlist-s"/>
          <w:rFonts w:ascii="Arial" w:hAnsi="Arial" w:cs="Arial"/>
        </w:rPr>
        <w:t>​</w:t>
      </w:r>
      <w:r>
        <w:t xml:space="preserve"> con covariables observadas para el individuo  </w:t>
      </w:r>
      <w:r w:rsidR="00CB34DF" w:rsidRPr="00094A10">
        <w:rPr>
          <w:lang w:val="es-ES"/>
        </w:rPr>
        <w:t xml:space="preserve"> </w:t>
      </w:r>
      <m:oMath>
        <m:r>
          <w:rPr>
            <w:rFonts w:ascii="Cambria Math" w:hAnsi="Cambria Math"/>
            <w:lang w:val="es-ES"/>
          </w:rPr>
          <m:t>i</m:t>
        </m:r>
      </m:oMath>
      <w:r w:rsidR="00CB34DF" w:rsidRPr="00094A10">
        <w:rPr>
          <w:lang w:val="es-ES"/>
        </w:rPr>
        <w:t xml:space="preserve"> </w:t>
      </w:r>
      <w:r>
        <w:t xml:space="preserve">en el dominio </w:t>
      </w:r>
      <w:r w:rsidR="00CB34DF" w:rsidRPr="00094A10">
        <w:rPr>
          <w:lang w:val="es-ES"/>
        </w:rPr>
        <w:t xml:space="preserve"> </w:t>
      </w:r>
      <m:oMath>
        <m:r>
          <w:rPr>
            <w:rFonts w:ascii="Cambria Math" w:hAnsi="Cambria Math"/>
            <w:lang w:val="es-ES"/>
          </w:rPr>
          <m:t>d</m:t>
        </m:r>
      </m:oMath>
      <w:r w:rsidR="00CB34DF">
        <w:rPr>
          <w:rFonts w:eastAsiaTheme="minorEastAsia"/>
          <w:lang w:val="es-ES"/>
        </w:rPr>
        <w:t>:</w:t>
      </w:r>
    </w:p>
    <w:p w14:paraId="680790C7" w14:textId="4A4BBA36" w:rsidR="00CB34DF" w:rsidRPr="00CB34DF" w:rsidRDefault="00351E3A" w:rsidP="00D87D01">
      <w:pPr>
        <w:rPr>
          <w:rFonts w:ascii="Cambria Math" w:eastAsiaTheme="minorEastAsia" w:hAnsi="Cambria Math" w:cs="Times New Roman"/>
          <w:iCs/>
          <w:lang w:val="es-ES"/>
        </w:rPr>
      </w:pPr>
      <m:oMathPara>
        <m:oMath>
          <m:sSub>
            <m:sSubPr>
              <m:ctrlPr>
                <w:rPr>
                  <w:rFonts w:ascii="Cambria Math" w:hAnsi="Cambria Math" w:cs="Times New Roman"/>
                  <w:lang w:val="es-ES"/>
                </w:rPr>
              </m:ctrlPr>
            </m:sSubPr>
            <m:e>
              <m:r>
                <w:rPr>
                  <w:rFonts w:ascii="Cambria Math" w:hAnsi="Cambria Math" w:cs="Times New Roman"/>
                  <w:lang w:val="es-ES"/>
                </w:rPr>
                <m:t>Y</m:t>
              </m:r>
            </m:e>
            <m:sub>
              <m:r>
                <w:rPr>
                  <w:rFonts w:ascii="Cambria Math" w:hAnsi="Cambria Math" w:cs="Times New Roman"/>
                  <w:lang w:val="es-ES"/>
                </w:rPr>
                <m:t>di</m:t>
              </m:r>
            </m:sub>
          </m:sSub>
          <m:r>
            <m:rPr>
              <m:sty m:val="p"/>
            </m:rPr>
            <w:rPr>
              <w:rFonts w:ascii="Cambria Math" w:hAnsi="Cambria Math" w:cs="Times New Roman"/>
              <w:lang w:val="pt-BR"/>
            </w:rPr>
            <m:t>=</m:t>
          </m:r>
          <m:sSup>
            <m:sSupPr>
              <m:ctrlPr>
                <w:rPr>
                  <w:rFonts w:ascii="Cambria Math" w:hAnsi="Cambria Math" w:cs="Times New Roman"/>
                  <w:lang w:val="es-ES"/>
                </w:rPr>
              </m:ctrlPr>
            </m:sSupPr>
            <m:e>
              <m:sSub>
                <m:sSubPr>
                  <m:ctrlPr>
                    <w:rPr>
                      <w:rFonts w:ascii="Cambria Math" w:hAnsi="Cambria Math" w:cs="Times New Roman"/>
                      <w:lang w:val="es-ES"/>
                    </w:rPr>
                  </m:ctrlPr>
                </m:sSubPr>
                <m:e>
                  <m:r>
                    <m:rPr>
                      <m:sty m:val="bi"/>
                    </m:rPr>
                    <w:rPr>
                      <w:rFonts w:ascii="Cambria Math" w:hAnsi="Cambria Math" w:cs="Times New Roman"/>
                      <w:lang w:val="es-ES"/>
                    </w:rPr>
                    <m:t>x</m:t>
                  </m:r>
                </m:e>
                <m:sub>
                  <m:r>
                    <w:rPr>
                      <w:rFonts w:ascii="Cambria Math" w:hAnsi="Cambria Math" w:cs="Times New Roman"/>
                      <w:lang w:val="es-ES"/>
                    </w:rPr>
                    <m:t>di</m:t>
                  </m:r>
                </m:sub>
              </m:sSub>
            </m:e>
            <m:sup>
              <m:r>
                <m:rPr>
                  <m:sty m:val="p"/>
                </m:rPr>
                <w:rPr>
                  <w:rFonts w:ascii="Cambria Math" w:hAnsi="Cambria Math" w:cs="Times New Roman"/>
                  <w:lang w:val="pt-BR"/>
                </w:rPr>
                <m:t>'</m:t>
              </m:r>
            </m:sup>
          </m:sSup>
          <m:r>
            <m:rPr>
              <m:sty m:val="bi"/>
            </m:rPr>
            <w:rPr>
              <w:rFonts w:ascii="Cambria Math" w:hAnsi="Cambria Math" w:cs="Times New Roman"/>
              <w:lang w:val="es-ES"/>
            </w:rPr>
            <m:t>β</m:t>
          </m:r>
          <m:r>
            <m:rPr>
              <m:sty m:val="p"/>
            </m:rPr>
            <w:rPr>
              <w:rFonts w:ascii="Cambria Math" w:hAnsi="Cambria Math" w:cs="Times New Roman"/>
              <w:lang w:val="pt-BR"/>
            </w:rPr>
            <m:t>+</m:t>
          </m:r>
          <m:sSub>
            <m:sSubPr>
              <m:ctrlPr>
                <w:rPr>
                  <w:rFonts w:ascii="Cambria Math" w:hAnsi="Cambria Math" w:cs="Times New Roman"/>
                  <w:lang w:val="es-ES"/>
                </w:rPr>
              </m:ctrlPr>
            </m:sSubPr>
            <m:e>
              <m:r>
                <w:rPr>
                  <w:rFonts w:ascii="Cambria Math" w:hAnsi="Cambria Math" w:cs="Times New Roman"/>
                  <w:lang w:val="es-ES"/>
                </w:rPr>
                <m:t>u</m:t>
              </m:r>
            </m:e>
            <m:sub>
              <m:r>
                <w:rPr>
                  <w:rFonts w:ascii="Cambria Math" w:hAnsi="Cambria Math" w:cs="Times New Roman"/>
                  <w:lang w:val="es-ES"/>
                </w:rPr>
                <m:t>d</m:t>
              </m:r>
            </m:sub>
          </m:sSub>
          <m:r>
            <m:rPr>
              <m:sty m:val="p"/>
            </m:rPr>
            <w:rPr>
              <w:rFonts w:ascii="Cambria Math" w:hAnsi="Cambria Math" w:cs="Times New Roman"/>
              <w:lang w:val="pt-BR"/>
            </w:rPr>
            <m:t>+</m:t>
          </m:r>
          <m:sSub>
            <m:sSubPr>
              <m:ctrlPr>
                <w:rPr>
                  <w:rFonts w:ascii="Cambria Math" w:hAnsi="Cambria Math" w:cs="Times New Roman"/>
                  <w:lang w:val="es-ES"/>
                </w:rPr>
              </m:ctrlPr>
            </m:sSubPr>
            <m:e>
              <m:r>
                <w:rPr>
                  <w:rFonts w:ascii="Cambria Math" w:hAnsi="Cambria Math" w:cs="Times New Roman"/>
                  <w:lang w:val="es-ES"/>
                </w:rPr>
                <m:t>e</m:t>
              </m:r>
            </m:e>
            <m:sub>
              <m:r>
                <w:rPr>
                  <w:rFonts w:ascii="Cambria Math" w:hAnsi="Cambria Math" w:cs="Times New Roman"/>
                  <w:lang w:val="es-ES"/>
                </w:rPr>
                <m:t>di</m:t>
              </m:r>
            </m:sub>
          </m:sSub>
          <m:r>
            <m:rPr>
              <m:sty m:val="p"/>
            </m:rPr>
            <w:rPr>
              <w:rFonts w:ascii="Cambria Math" w:hAnsi="Cambria Math" w:cs="Times New Roman"/>
              <w:lang w:val="pt-BR"/>
            </w:rPr>
            <m:t>, </m:t>
          </m:r>
          <m:r>
            <w:rPr>
              <w:rFonts w:ascii="Cambria Math" w:hAnsi="Cambria Math" w:cs="Times New Roman"/>
              <w:lang w:val="es-ES"/>
            </w:rPr>
            <m:t>i</m:t>
          </m:r>
          <m:r>
            <m:rPr>
              <m:sty m:val="p"/>
            </m:rPr>
            <w:rPr>
              <w:rFonts w:ascii="Cambria Math" w:hAnsi="Cambria Math" w:cs="Times New Roman"/>
              <w:lang w:val="pt-BR"/>
            </w:rPr>
            <m:t>=1,…,</m:t>
          </m:r>
          <m:sSub>
            <m:sSubPr>
              <m:ctrlPr>
                <w:rPr>
                  <w:rFonts w:ascii="Cambria Math" w:hAnsi="Cambria Math" w:cs="Times New Roman"/>
                  <w:lang w:val="es-ES"/>
                </w:rPr>
              </m:ctrlPr>
            </m:sSubPr>
            <m:e>
              <m:r>
                <w:rPr>
                  <w:rFonts w:ascii="Cambria Math" w:hAnsi="Cambria Math" w:cs="Times New Roman"/>
                  <w:lang w:val="es-ES"/>
                </w:rPr>
                <m:t>N</m:t>
              </m:r>
            </m:e>
            <m:sub>
              <m:r>
                <w:rPr>
                  <w:rFonts w:ascii="Cambria Math" w:hAnsi="Cambria Math" w:cs="Times New Roman"/>
                  <w:lang w:val="es-ES"/>
                </w:rPr>
                <m:t>d</m:t>
              </m:r>
            </m:sub>
          </m:sSub>
          <m:r>
            <m:rPr>
              <m:sty m:val="p"/>
            </m:rPr>
            <w:rPr>
              <w:rFonts w:ascii="Cambria Math" w:hAnsi="Cambria Math" w:cs="Times New Roman"/>
              <w:lang w:val="pt-BR"/>
            </w:rPr>
            <m:t>, </m:t>
          </m:r>
          <m:r>
            <w:rPr>
              <w:rFonts w:ascii="Cambria Math" w:hAnsi="Cambria Math" w:cs="Times New Roman"/>
              <w:lang w:val="es-ES"/>
            </w:rPr>
            <m:t>d</m:t>
          </m:r>
          <m:r>
            <m:rPr>
              <m:sty m:val="p"/>
            </m:rPr>
            <w:rPr>
              <w:rFonts w:ascii="Cambria Math" w:hAnsi="Cambria Math" w:cs="Times New Roman"/>
              <w:lang w:val="pt-BR"/>
            </w:rPr>
            <m:t>=1,…,</m:t>
          </m:r>
          <m:r>
            <w:rPr>
              <w:rFonts w:ascii="Cambria Math" w:hAnsi="Cambria Math" w:cs="Times New Roman"/>
              <w:lang w:val="es-ES"/>
            </w:rPr>
            <m:t>D</m:t>
          </m:r>
        </m:oMath>
      </m:oMathPara>
    </w:p>
    <w:p w14:paraId="2E1DD1EA" w14:textId="490ABFDF" w:rsidR="00CB34DF" w:rsidRDefault="00CB34DF" w:rsidP="00D87D01">
      <w:r>
        <w:rPr>
          <w:rFonts w:ascii="Cambria Math" w:hAnsi="Cambria Math" w:cs="Times New Roman"/>
          <w:lang w:val="es-ES"/>
        </w:rPr>
        <w:t xml:space="preserve">En este caso, </w:t>
      </w:r>
      <m:oMath>
        <m:sSub>
          <m:sSubPr>
            <m:ctrlPr>
              <w:rPr>
                <w:rFonts w:ascii="Cambria Math" w:hAnsi="Cambria Math"/>
                <w:lang w:val="es-ES"/>
              </w:rPr>
            </m:ctrlPr>
          </m:sSubPr>
          <m:e>
            <m:r>
              <w:rPr>
                <w:rFonts w:ascii="Cambria Math" w:hAnsi="Cambria Math"/>
                <w:lang w:val="es-ES"/>
              </w:rPr>
              <m:t>u</m:t>
            </m:r>
          </m:e>
          <m:sub>
            <m:r>
              <w:rPr>
                <w:rFonts w:ascii="Cambria Math" w:hAnsi="Cambria Math"/>
                <w:lang w:val="es-ES"/>
              </w:rPr>
              <m:t xml:space="preserve">d </m:t>
            </m:r>
          </m:sub>
        </m:sSub>
      </m:oMath>
      <w:r>
        <w:t xml:space="preserve">es un efecto aleatorio común al dominio, y </w:t>
      </w:r>
      <m:oMath>
        <m:sSub>
          <m:sSubPr>
            <m:ctrlPr>
              <w:rPr>
                <w:rFonts w:ascii="Cambria Math" w:hAnsi="Cambria Math" w:cs="Times New Roman"/>
                <w:lang w:val="es-ES"/>
              </w:rPr>
            </m:ctrlPr>
          </m:sSubPr>
          <m:e>
            <m:r>
              <w:rPr>
                <w:rFonts w:ascii="Cambria Math" w:hAnsi="Cambria Math" w:cs="Times New Roman"/>
                <w:lang w:val="es-ES"/>
              </w:rPr>
              <m:t>e</m:t>
            </m:r>
          </m:e>
          <m:sub>
            <m:r>
              <w:rPr>
                <w:rFonts w:ascii="Cambria Math" w:hAnsi="Cambria Math" w:cs="Times New Roman"/>
                <w:lang w:val="es-ES"/>
              </w:rPr>
              <m:t>di</m:t>
            </m:r>
          </m:sub>
        </m:sSub>
      </m:oMath>
      <w:r>
        <w:rPr>
          <w:rFonts w:eastAsiaTheme="minorEastAsia"/>
          <w:lang w:val="es-ES"/>
        </w:rPr>
        <w:t xml:space="preserve"> el error individual. </w:t>
      </w:r>
      <w:r>
        <w:t>Se asume independencia entre ambos componentes, permitiendo modelar la heterogeneidad tanto a nivel agregado como individual. Este modelo resulta adecuado cuando se dispone de información a nivel de hogares o personas.</w:t>
      </w:r>
    </w:p>
    <w:p w14:paraId="5548CE0F" w14:textId="15A8D920" w:rsidR="00CB34DF" w:rsidRPr="00825C5D" w:rsidRDefault="008A63E9" w:rsidP="003C7483">
      <w:pPr>
        <w:pStyle w:val="Heading2"/>
        <w:rPr>
          <w:rFonts w:eastAsia="Times New Roman"/>
          <w:lang w:val="es-CL"/>
        </w:rPr>
      </w:pPr>
      <w:bookmarkStart w:id="5" w:name="_Toc207902571"/>
      <w:r>
        <w:rPr>
          <w:rFonts w:eastAsia="Times New Roman"/>
          <w:lang w:val="es-CL"/>
        </w:rPr>
        <w:t xml:space="preserve">2.3 </w:t>
      </w:r>
      <w:r w:rsidR="00CB34DF" w:rsidRPr="00CB34DF">
        <w:rPr>
          <w:rFonts w:eastAsia="Times New Roman"/>
          <w:lang w:val="es-CL"/>
        </w:rPr>
        <w:t xml:space="preserve">Método de </w:t>
      </w:r>
      <w:proofErr w:type="spellStart"/>
      <w:r w:rsidR="00CB34DF" w:rsidRPr="00CB34DF">
        <w:rPr>
          <w:rFonts w:eastAsia="Times New Roman"/>
          <w:lang w:val="es-CL"/>
        </w:rPr>
        <w:t>Elbers</w:t>
      </w:r>
      <w:proofErr w:type="spellEnd"/>
      <w:r w:rsidR="00CB34DF" w:rsidRPr="00CB34DF">
        <w:rPr>
          <w:rFonts w:eastAsia="Times New Roman"/>
          <w:lang w:val="es-CL"/>
        </w:rPr>
        <w:t xml:space="preserve">, </w:t>
      </w:r>
      <w:proofErr w:type="spellStart"/>
      <w:r w:rsidR="00CB34DF" w:rsidRPr="00CB34DF">
        <w:rPr>
          <w:rFonts w:eastAsia="Times New Roman"/>
          <w:lang w:val="es-CL"/>
        </w:rPr>
        <w:t>Lanjouw</w:t>
      </w:r>
      <w:proofErr w:type="spellEnd"/>
      <w:r w:rsidR="00CB34DF" w:rsidRPr="00CB34DF">
        <w:rPr>
          <w:rFonts w:eastAsia="Times New Roman"/>
          <w:lang w:val="es-CL"/>
        </w:rPr>
        <w:t xml:space="preserve"> y </w:t>
      </w:r>
      <w:proofErr w:type="spellStart"/>
      <w:r w:rsidR="00CB34DF" w:rsidRPr="00CB34DF">
        <w:rPr>
          <w:rFonts w:eastAsia="Times New Roman"/>
          <w:lang w:val="es-CL"/>
        </w:rPr>
        <w:t>Lanjouw</w:t>
      </w:r>
      <w:proofErr w:type="spellEnd"/>
      <w:r w:rsidR="00CB34DF" w:rsidRPr="00CB34DF">
        <w:rPr>
          <w:rFonts w:eastAsia="Times New Roman"/>
          <w:lang w:val="es-CL"/>
        </w:rPr>
        <w:t xml:space="preserve"> (ELL)</w:t>
      </w:r>
      <w:bookmarkEnd w:id="5"/>
    </w:p>
    <w:p w14:paraId="6F73C5E3" w14:textId="77777777" w:rsidR="00D87D01" w:rsidRDefault="00CB34DF" w:rsidP="00D87D01">
      <w:pPr>
        <w:rPr>
          <w:lang w:val="es-CL"/>
        </w:rPr>
      </w:pPr>
      <w:r w:rsidRPr="00CB34DF">
        <w:rPr>
          <w:lang w:val="es-CL"/>
        </w:rPr>
        <w:t xml:space="preserve">El enfoque propuesto por </w:t>
      </w:r>
      <w:proofErr w:type="spellStart"/>
      <w:r w:rsidRPr="00CB34DF">
        <w:rPr>
          <w:lang w:val="es-CL"/>
        </w:rPr>
        <w:t>Elbers</w:t>
      </w:r>
      <w:proofErr w:type="spellEnd"/>
      <w:r w:rsidRPr="00CB34DF">
        <w:rPr>
          <w:lang w:val="es-CL"/>
        </w:rPr>
        <w:t xml:space="preserve">, </w:t>
      </w:r>
      <w:proofErr w:type="spellStart"/>
      <w:r w:rsidRPr="00CB34DF">
        <w:rPr>
          <w:lang w:val="es-CL"/>
        </w:rPr>
        <w:t>Lanjouw</w:t>
      </w:r>
      <w:proofErr w:type="spellEnd"/>
      <w:r w:rsidRPr="00CB34DF">
        <w:rPr>
          <w:lang w:val="es-CL"/>
        </w:rPr>
        <w:t xml:space="preserve"> y </w:t>
      </w:r>
      <w:proofErr w:type="spellStart"/>
      <w:r w:rsidRPr="00CB34DF">
        <w:rPr>
          <w:lang w:val="es-CL"/>
        </w:rPr>
        <w:t>Lanjouw</w:t>
      </w:r>
      <w:proofErr w:type="spellEnd"/>
      <w:r w:rsidRPr="00CB34DF">
        <w:rPr>
          <w:lang w:val="es-CL"/>
        </w:rPr>
        <w:t xml:space="preserve"> (2003) es un modelo a nivel de unidad ampliamente aplicado en la construcción de mapas de bienestar. Parte de una transformación logarítmica de la variable de interés (por ejemplo, ingreso o gasto per cápita), que se relaciona con covariables individuales a través de un modelo de regresión:</w:t>
      </w:r>
    </w:p>
    <w:p w14:paraId="668C9EB9" w14:textId="77777777" w:rsidR="00D87D01" w:rsidRDefault="00351E3A" w:rsidP="00D87D01">
      <w:pPr>
        <w:rPr>
          <w:rFonts w:eastAsiaTheme="minorEastAsia"/>
          <w:lang w:val="es-CL"/>
        </w:rPr>
      </w:pPr>
      <m:oMathPara>
        <m:oMath>
          <m:sSubSup>
            <m:sSubSupPr>
              <m:ctrlPr>
                <w:rPr>
                  <w:rFonts w:ascii="Cambria Math" w:hAnsi="Cambria Math"/>
                  <w:lang w:val="es-CL"/>
                </w:rPr>
              </m:ctrlPr>
            </m:sSubSupPr>
            <m:e>
              <m:r>
                <w:rPr>
                  <w:rFonts w:ascii="Cambria Math" w:hAnsi="Cambria Math"/>
                  <w:lang w:val="es-CL"/>
                </w:rPr>
                <m:t>Y</m:t>
              </m:r>
            </m:e>
            <m:sub>
              <m:r>
                <w:rPr>
                  <w:rFonts w:ascii="Cambria Math" w:hAnsi="Cambria Math"/>
                  <w:lang w:val="es-CL"/>
                </w:rPr>
                <m:t>di</m:t>
              </m:r>
            </m:sub>
            <m:sup>
              <m:r>
                <m:rPr>
                  <m:sty m:val="p"/>
                </m:rPr>
                <w:rPr>
                  <w:rFonts w:ascii="Cambria Math" w:hAnsi="Cambria Math"/>
                  <w:lang w:val="es-CL"/>
                </w:rPr>
                <m:t>*</m:t>
              </m:r>
            </m:sup>
          </m:sSubSup>
          <m:r>
            <w:rPr>
              <w:rFonts w:ascii="Cambria Math" w:hAnsi="Cambria Math"/>
              <w:lang w:val="es-CL"/>
            </w:rPr>
            <m:t>=</m:t>
          </m:r>
          <m:sSup>
            <m:sSupPr>
              <m:ctrlPr>
                <w:rPr>
                  <w:rFonts w:ascii="Cambria Math" w:hAnsi="Cambria Math"/>
                  <w:lang w:val="es-CL"/>
                </w:rPr>
              </m:ctrlPr>
            </m:sSupPr>
            <m:e>
              <m:sSub>
                <m:sSubPr>
                  <m:ctrlPr>
                    <w:rPr>
                      <w:rFonts w:ascii="Cambria Math" w:hAnsi="Cambria Math"/>
                      <w:lang w:val="es-CL"/>
                    </w:rPr>
                  </m:ctrlPr>
                </m:sSubPr>
                <m:e>
                  <m:r>
                    <m:rPr>
                      <m:sty m:val="bi"/>
                    </m:rPr>
                    <w:rPr>
                      <w:rFonts w:ascii="Cambria Math" w:hAnsi="Cambria Math"/>
                      <w:lang w:val="es-CL"/>
                    </w:rPr>
                    <m:t>x</m:t>
                  </m:r>
                </m:e>
                <m:sub>
                  <m:r>
                    <w:rPr>
                      <w:rFonts w:ascii="Cambria Math" w:hAnsi="Cambria Math"/>
                      <w:lang w:val="es-CL"/>
                    </w:rPr>
                    <m:t>di</m:t>
                  </m:r>
                </m:sub>
              </m:sSub>
            </m:e>
            <m:sup>
              <m:r>
                <m:rPr>
                  <m:sty m:val="p"/>
                </m:rPr>
                <w:rPr>
                  <w:rFonts w:ascii="Cambria Math" w:hAnsi="Cambria Math"/>
                  <w:lang w:val="es-CL"/>
                </w:rPr>
                <m:t>'</m:t>
              </m:r>
            </m:sup>
          </m:sSup>
          <m:r>
            <m:rPr>
              <m:sty m:val="bi"/>
            </m:rPr>
            <w:rPr>
              <w:rFonts w:ascii="Cambria Math" w:hAnsi="Cambria Math"/>
              <w:lang w:val="es-CL"/>
            </w:rPr>
            <m:t>β</m:t>
          </m:r>
          <m:r>
            <w:rPr>
              <w:rFonts w:ascii="Cambria Math" w:hAnsi="Cambria Math"/>
              <w:lang w:val="es-CL"/>
            </w:rPr>
            <m:t>+</m:t>
          </m:r>
          <m:sSub>
            <m:sSubPr>
              <m:ctrlPr>
                <w:rPr>
                  <w:rFonts w:ascii="Cambria Math" w:hAnsi="Cambria Math"/>
                  <w:lang w:val="es-CL"/>
                </w:rPr>
              </m:ctrlPr>
            </m:sSubPr>
            <m:e>
              <m:r>
                <w:rPr>
                  <w:rFonts w:ascii="Cambria Math" w:hAnsi="Cambria Math"/>
                  <w:lang w:val="es-CL"/>
                </w:rPr>
                <m:t>u</m:t>
              </m:r>
            </m:e>
            <m:sub>
              <m:r>
                <w:rPr>
                  <w:rFonts w:ascii="Cambria Math" w:hAnsi="Cambria Math"/>
                  <w:lang w:val="es-CL"/>
                </w:rPr>
                <m:t>d</m:t>
              </m:r>
            </m:sub>
          </m:sSub>
          <m:r>
            <w:rPr>
              <w:rFonts w:ascii="Cambria Math" w:hAnsi="Cambria Math"/>
              <w:lang w:val="es-CL"/>
            </w:rPr>
            <m:t>+</m:t>
          </m:r>
          <m:sSub>
            <m:sSubPr>
              <m:ctrlPr>
                <w:rPr>
                  <w:rFonts w:ascii="Cambria Math" w:hAnsi="Cambria Math"/>
                  <w:lang w:val="es-CL"/>
                </w:rPr>
              </m:ctrlPr>
            </m:sSubPr>
            <m:e>
              <m:r>
                <w:rPr>
                  <w:rFonts w:ascii="Cambria Math" w:hAnsi="Cambria Math"/>
                  <w:lang w:val="es-CL"/>
                </w:rPr>
                <m:t>e</m:t>
              </m:r>
            </m:e>
            <m:sub>
              <m:r>
                <w:rPr>
                  <w:rFonts w:ascii="Cambria Math" w:hAnsi="Cambria Math"/>
                  <w:lang w:val="es-CL"/>
                </w:rPr>
                <m:t>di</m:t>
              </m:r>
            </m:sub>
          </m:sSub>
          <m:r>
            <w:rPr>
              <w:rFonts w:ascii="Cambria Math" w:hAnsi="Cambria Math"/>
              <w:lang w:val="es-CL"/>
            </w:rPr>
            <m:t>, i=1,…,</m:t>
          </m:r>
          <m:sSub>
            <m:sSubPr>
              <m:ctrlPr>
                <w:rPr>
                  <w:rFonts w:ascii="Cambria Math" w:hAnsi="Cambria Math"/>
                  <w:lang w:val="es-CL"/>
                </w:rPr>
              </m:ctrlPr>
            </m:sSubPr>
            <m:e>
              <m:r>
                <w:rPr>
                  <w:rFonts w:ascii="Cambria Math" w:hAnsi="Cambria Math"/>
                  <w:lang w:val="es-CL"/>
                </w:rPr>
                <m:t>N</m:t>
              </m:r>
            </m:e>
            <m:sub>
              <m:r>
                <w:rPr>
                  <w:rFonts w:ascii="Cambria Math" w:hAnsi="Cambria Math"/>
                  <w:lang w:val="es-CL"/>
                </w:rPr>
                <m:t>d</m:t>
              </m:r>
            </m:sub>
          </m:sSub>
          <m:r>
            <w:rPr>
              <w:rFonts w:ascii="Cambria Math" w:hAnsi="Cambria Math"/>
              <w:lang w:val="es-CL"/>
            </w:rPr>
            <m:t>, d=1,…,D</m:t>
          </m:r>
        </m:oMath>
      </m:oMathPara>
    </w:p>
    <w:p w14:paraId="3C9EA092" w14:textId="77777777" w:rsidR="00D87D01" w:rsidRDefault="00D87D01" w:rsidP="00D87D01">
      <w:r>
        <w:rPr>
          <w:rFonts w:eastAsiaTheme="minorEastAsia"/>
          <w:lang w:val="es-CL"/>
        </w:rPr>
        <w:t xml:space="preserve">Donde </w:t>
      </w:r>
      <m:oMath>
        <m:sSubSup>
          <m:sSubSupPr>
            <m:ctrlPr>
              <w:rPr>
                <w:rFonts w:ascii="Cambria Math" w:hAnsi="Cambria Math"/>
                <w:lang w:val="es-CL"/>
              </w:rPr>
            </m:ctrlPr>
          </m:sSubSupPr>
          <m:e>
            <m:r>
              <w:rPr>
                <w:rFonts w:ascii="Cambria Math" w:hAnsi="Cambria Math"/>
                <w:lang w:val="es-CL"/>
              </w:rPr>
              <m:t>Y</m:t>
            </m:r>
          </m:e>
          <m:sub>
            <m:r>
              <w:rPr>
                <w:rFonts w:ascii="Cambria Math" w:hAnsi="Cambria Math"/>
                <w:lang w:val="es-CL"/>
              </w:rPr>
              <m:t>di</m:t>
            </m:r>
          </m:sub>
          <m:sup>
            <m:r>
              <m:rPr>
                <m:sty m:val="p"/>
              </m:rPr>
              <w:rPr>
                <w:rFonts w:ascii="Cambria Math" w:hAnsi="Cambria Math"/>
                <w:lang w:val="es-CL"/>
              </w:rPr>
              <m:t>*</m:t>
            </m:r>
          </m:sup>
        </m:sSubSup>
      </m:oMath>
      <w:r>
        <w:rPr>
          <w:rFonts w:eastAsiaTheme="minorEastAsia"/>
          <w:lang w:val="es-CL"/>
        </w:rPr>
        <w:t xml:space="preserve"> </w:t>
      </w:r>
      <w:r>
        <w:t xml:space="preserve">corresponde a la transformación log-shift de la variable, </w:t>
      </w:r>
      <m:oMath>
        <m:sSub>
          <m:sSubPr>
            <m:ctrlPr>
              <w:rPr>
                <w:rFonts w:ascii="Cambria Math" w:hAnsi="Cambria Math"/>
                <w:lang w:val="es-CL"/>
              </w:rPr>
            </m:ctrlPr>
          </m:sSubPr>
          <m:e>
            <m:r>
              <w:rPr>
                <w:rFonts w:ascii="Cambria Math" w:hAnsi="Cambria Math"/>
                <w:lang w:val="es-CL"/>
              </w:rPr>
              <m:t>u</m:t>
            </m:r>
          </m:e>
          <m:sub>
            <m:r>
              <w:rPr>
                <w:rFonts w:ascii="Cambria Math" w:hAnsi="Cambria Math"/>
                <w:lang w:val="es-CL"/>
              </w:rPr>
              <m:t>d</m:t>
            </m:r>
          </m:sub>
        </m:sSub>
      </m:oMath>
      <w:r>
        <w:t xml:space="preserve">representa efectos específicos de cada área y </w:t>
      </w:r>
      <m:oMath>
        <m:sSub>
          <m:sSubPr>
            <m:ctrlPr>
              <w:rPr>
                <w:rFonts w:ascii="Cambria Math" w:hAnsi="Cambria Math"/>
                <w:lang w:val="es-CL"/>
              </w:rPr>
            </m:ctrlPr>
          </m:sSubPr>
          <m:e>
            <m:r>
              <w:rPr>
                <w:rFonts w:ascii="Cambria Math" w:hAnsi="Cambria Math"/>
                <w:lang w:val="es-CL"/>
              </w:rPr>
              <m:t>e</m:t>
            </m:r>
          </m:e>
          <m:sub>
            <m:r>
              <w:rPr>
                <w:rFonts w:ascii="Cambria Math" w:hAnsi="Cambria Math"/>
                <w:lang w:val="es-CL"/>
              </w:rPr>
              <m:t>di</m:t>
            </m:r>
          </m:sub>
        </m:sSub>
      </m:oMath>
      <w:r>
        <w:rPr>
          <w:rFonts w:eastAsiaTheme="minorEastAsia"/>
          <w:lang w:val="es-CL"/>
        </w:rPr>
        <w:t xml:space="preserve"> </w:t>
      </w:r>
      <w:r>
        <w:t>el error individual.</w:t>
      </w:r>
    </w:p>
    <w:p w14:paraId="2F73452F" w14:textId="77777777" w:rsidR="00D87D01" w:rsidRDefault="00D87D01" w:rsidP="00D87D01"/>
    <w:p w14:paraId="567DD027" w14:textId="2BDFC827" w:rsidR="00D87D01" w:rsidRDefault="008A63E9" w:rsidP="003C7483">
      <w:pPr>
        <w:pStyle w:val="Heading2"/>
        <w:rPr>
          <w:rFonts w:eastAsia="Times New Roman"/>
          <w:lang w:val="es-CL"/>
        </w:rPr>
      </w:pPr>
      <w:bookmarkStart w:id="6" w:name="_Toc207902572"/>
      <w:proofErr w:type="gramStart"/>
      <w:r>
        <w:rPr>
          <w:rFonts w:eastAsia="Times New Roman"/>
          <w:lang w:val="es-CL"/>
        </w:rPr>
        <w:lastRenderedPageBreak/>
        <w:t xml:space="preserve">2.4 </w:t>
      </w:r>
      <w:r w:rsidR="003C7483">
        <w:rPr>
          <w:rFonts w:eastAsia="Times New Roman"/>
          <w:lang w:val="es-CL"/>
        </w:rPr>
        <w:t xml:space="preserve"> </w:t>
      </w:r>
      <w:r w:rsidR="00D87D01" w:rsidRPr="00D87D01">
        <w:rPr>
          <w:rFonts w:eastAsia="Times New Roman"/>
          <w:lang w:val="es-CL"/>
        </w:rPr>
        <w:t>Mejor</w:t>
      </w:r>
      <w:proofErr w:type="gramEnd"/>
      <w:r w:rsidR="00D87D01" w:rsidRPr="00D87D01">
        <w:rPr>
          <w:rFonts w:eastAsia="Times New Roman"/>
          <w:lang w:val="es-CL"/>
        </w:rPr>
        <w:t xml:space="preserve"> predictor empírico (EBP)</w:t>
      </w:r>
      <w:bookmarkEnd w:id="6"/>
    </w:p>
    <w:p w14:paraId="75CBD726" w14:textId="77777777" w:rsidR="00D87D01" w:rsidRDefault="00D87D01" w:rsidP="00D87D01">
      <w:pPr>
        <w:keepNext/>
        <w:keepLines/>
        <w:spacing w:before="240" w:after="0" w:line="240" w:lineRule="auto"/>
        <w:ind w:firstLine="708"/>
        <w:outlineLvl w:val="0"/>
        <w:rPr>
          <w:rFonts w:eastAsia="Times New Roman" w:cstheme="majorBidi"/>
          <w:color w:val="0F4761" w:themeColor="accent1" w:themeShade="BF"/>
          <w:sz w:val="28"/>
          <w:szCs w:val="28"/>
          <w:lang w:val="es-CL"/>
        </w:rPr>
      </w:pPr>
    </w:p>
    <w:p w14:paraId="1B07B7AE" w14:textId="77777777" w:rsidR="00D87D01" w:rsidRDefault="00D87D01" w:rsidP="00D87D01">
      <w:pPr>
        <w:rPr>
          <w:lang w:val="es-CL"/>
        </w:rPr>
      </w:pPr>
      <w:r w:rsidRPr="00D87D01">
        <w:rPr>
          <w:lang w:val="es-CL"/>
        </w:rPr>
        <w:t>Molina y Rao (2010) desarrollaron un enfoque que extiende los modelos con errores anidados para la estimación de indicadores no lineales. El procedimiento permite obtener predictores consistentes y eficientes de medidas complejas, como los índices de Foster-</w:t>
      </w:r>
      <w:proofErr w:type="spellStart"/>
      <w:r w:rsidRPr="00D87D01">
        <w:rPr>
          <w:lang w:val="es-CL"/>
        </w:rPr>
        <w:t>Greer</w:t>
      </w:r>
      <w:proofErr w:type="spellEnd"/>
      <w:r w:rsidRPr="00D87D01">
        <w:rPr>
          <w:lang w:val="es-CL"/>
        </w:rPr>
        <w:t>-</w:t>
      </w:r>
      <w:proofErr w:type="spellStart"/>
      <w:r w:rsidRPr="00D87D01">
        <w:rPr>
          <w:lang w:val="es-CL"/>
        </w:rPr>
        <w:t>Thorbecke</w:t>
      </w:r>
      <w:proofErr w:type="spellEnd"/>
      <w:r w:rsidRPr="00D87D01">
        <w:rPr>
          <w:lang w:val="es-CL"/>
        </w:rPr>
        <w:t xml:space="preserve"> (FGT), al combinar información de las unidades observadas con predicciones para las unidades no muestreadas en cada dominio.</w:t>
      </w:r>
    </w:p>
    <w:p w14:paraId="49292983" w14:textId="1DD0C9BA" w:rsidR="00CB34DF" w:rsidRDefault="00CB34DF" w:rsidP="00825C5D">
      <w:pPr>
        <w:jc w:val="both"/>
        <w:rPr>
          <w:lang w:val="es-CL"/>
        </w:rPr>
      </w:pPr>
    </w:p>
    <w:p w14:paraId="051E7CF2" w14:textId="432BEE4F" w:rsidR="00825C5D" w:rsidRDefault="00825C5D" w:rsidP="003C7483">
      <w:pPr>
        <w:pStyle w:val="Heading1"/>
        <w:numPr>
          <w:ilvl w:val="0"/>
          <w:numId w:val="13"/>
        </w:numPr>
        <w:rPr>
          <w:lang w:val="es-CL"/>
        </w:rPr>
      </w:pPr>
      <w:bookmarkStart w:id="7" w:name="_Toc207902573"/>
      <w:r w:rsidRPr="00825C5D">
        <w:rPr>
          <w:lang w:val="es-CL"/>
        </w:rPr>
        <w:t>Metodología de estimación distrital de fecundidad y mortalidad en el Perú</w:t>
      </w:r>
      <w:bookmarkEnd w:id="7"/>
    </w:p>
    <w:p w14:paraId="799B1A4B" w14:textId="77777777" w:rsidR="00825C5D" w:rsidRPr="00825C5D" w:rsidRDefault="00825C5D" w:rsidP="00825C5D">
      <w:pPr>
        <w:keepNext/>
        <w:keepLines/>
        <w:spacing w:before="240" w:after="0" w:line="240" w:lineRule="auto"/>
        <w:ind w:left="360"/>
        <w:outlineLvl w:val="0"/>
        <w:rPr>
          <w:rFonts w:asciiTheme="majorHAnsi" w:eastAsiaTheme="majorEastAsia" w:hAnsiTheme="majorHAnsi" w:cs="Times New Roman"/>
          <w:color w:val="0F4761" w:themeColor="accent1" w:themeShade="BF"/>
          <w:kern w:val="0"/>
          <w:sz w:val="32"/>
          <w:szCs w:val="32"/>
          <w:lang w:val="es-CL"/>
          <w14:ligatures w14:val="none"/>
        </w:rPr>
      </w:pPr>
    </w:p>
    <w:p w14:paraId="0D5BE640" w14:textId="6B746059" w:rsidR="00825C5D" w:rsidRDefault="00825C5D" w:rsidP="00825C5D">
      <w:pPr>
        <w:rPr>
          <w:lang w:val="es-CL"/>
        </w:rPr>
      </w:pPr>
      <w:r w:rsidRPr="00825C5D">
        <w:rPr>
          <w:lang w:val="es-CL"/>
        </w:rPr>
        <w:t>Aunque existe una amplia variedad de enfoques para la estimación en áreas pequeñas, la metodología aplicada en este documento se fundamenta en el modelo de áreas de Fay-</w:t>
      </w:r>
      <w:proofErr w:type="spellStart"/>
      <w:r w:rsidRPr="00825C5D">
        <w:rPr>
          <w:lang w:val="es-CL"/>
        </w:rPr>
        <w:t>Herriot</w:t>
      </w:r>
      <w:proofErr w:type="spellEnd"/>
      <w:r w:rsidRPr="00825C5D">
        <w:rPr>
          <w:lang w:val="es-CL"/>
        </w:rPr>
        <w:t>. Este enfoque utiliza un estimador compuesto, definido como una combinación lineal entre el estimador directo y el estimador sintético, en la cual la ponderación depende de la magnitud relativa de sus varianzas. Así, cuando la varianza del estimador directo es pequeña frente a la heterogeneidad no explicada por las covariables, se le asigna mayor peso al estimador directo, y viceversa.</w:t>
      </w:r>
    </w:p>
    <w:p w14:paraId="7004B44F" w14:textId="28C2181B" w:rsidR="00825C5D" w:rsidRDefault="00825C5D" w:rsidP="00825C5D">
      <w:r w:rsidRPr="00825C5D">
        <w:rPr>
          <w:lang w:val="es-CL"/>
        </w:rPr>
        <w:t>El modelo de Fay-</w:t>
      </w:r>
      <w:proofErr w:type="spellStart"/>
      <w:r w:rsidRPr="00825C5D">
        <w:rPr>
          <w:lang w:val="es-CL"/>
        </w:rPr>
        <w:t>Herriot</w:t>
      </w:r>
      <w:proofErr w:type="spellEnd"/>
      <w:r w:rsidRPr="00825C5D">
        <w:rPr>
          <w:lang w:val="es-CL"/>
        </w:rPr>
        <w:t xml:space="preserve"> fue seleccionado frente a otras alternativas, como los modelos a nivel de unidad (por ejemplo, BHF o ELL), debido a la disponibilidad de información auxiliar de alta cobertura y calidad, censos de población y vivienda, </w:t>
      </w:r>
      <w:proofErr w:type="spellStart"/>
      <w:r w:rsidRPr="00825C5D">
        <w:rPr>
          <w:lang w:val="es-CL"/>
        </w:rPr>
        <w:t>y</w:t>
      </w:r>
      <w:proofErr w:type="spellEnd"/>
      <w:r w:rsidRPr="00825C5D">
        <w:rPr>
          <w:lang w:val="es-CL"/>
        </w:rPr>
        <w:t xml:space="preserve"> </w:t>
      </w:r>
      <w:r>
        <w:rPr>
          <w:lang w:val="es-CL"/>
        </w:rPr>
        <w:t>información satelital</w:t>
      </w:r>
      <w:r w:rsidRPr="00825C5D">
        <w:rPr>
          <w:lang w:val="es-CL"/>
        </w:rPr>
        <w:t>. Esta riqueza de información permite fortalecer los vínculos entre los estimadores directos y las variables auxiliares en el marco del proyecto.</w:t>
      </w:r>
      <w:r>
        <w:rPr>
          <w:lang w:val="es-CL"/>
        </w:rPr>
        <w:t xml:space="preserve"> </w:t>
      </w:r>
      <w:r>
        <w:t>En términos formales, el modelo Fay-</w:t>
      </w:r>
      <w:proofErr w:type="spellStart"/>
      <w:r>
        <w:t>Herriot</w:t>
      </w:r>
      <w:proofErr w:type="spellEnd"/>
      <w:r>
        <w:t xml:space="preserve"> se estructura en dos niveles:</w:t>
      </w:r>
    </w:p>
    <w:p w14:paraId="79C3C931" w14:textId="6A645841" w:rsidR="00825C5D" w:rsidRDefault="00825C5D" w:rsidP="00825C5D">
      <w:pPr>
        <w:pStyle w:val="ListParagraph"/>
        <w:numPr>
          <w:ilvl w:val="0"/>
          <w:numId w:val="4"/>
        </w:numPr>
        <w:rPr>
          <w:lang w:val="es-CL"/>
        </w:rPr>
      </w:pPr>
      <w:r w:rsidRPr="00825C5D">
        <w:rPr>
          <w:lang w:val="es-CL"/>
        </w:rPr>
        <w:t>Nivel 1 – Modelo de vínculo (estimación sintética):</w:t>
      </w:r>
    </w:p>
    <w:p w14:paraId="13FC759D" w14:textId="23ED0A01" w:rsidR="00825C5D" w:rsidRPr="00825C5D" w:rsidRDefault="00351E3A" w:rsidP="00825C5D">
      <w:pPr>
        <w:ind w:left="360"/>
        <w:rPr>
          <w:rFonts w:eastAsiaTheme="minorEastAsia"/>
          <w:lang w:val="es-CL"/>
        </w:rPr>
      </w:pPr>
      <m:oMathPara>
        <m:oMath>
          <m:sSub>
            <m:sSubPr>
              <m:ctrlPr>
                <w:rPr>
                  <w:rFonts w:ascii="Cambria Math" w:hAnsi="Cambria Math"/>
                  <w:lang w:val="es-CL"/>
                </w:rPr>
              </m:ctrlPr>
            </m:sSubPr>
            <m:e>
              <m:r>
                <w:rPr>
                  <w:rFonts w:ascii="Cambria Math" w:hAnsi="Cambria Math"/>
                  <w:lang w:val="es-CL"/>
                </w:rPr>
                <m:t>θ</m:t>
              </m:r>
            </m:e>
            <m:sub>
              <m:r>
                <w:rPr>
                  <w:rFonts w:ascii="Cambria Math" w:hAnsi="Cambria Math"/>
                  <w:lang w:val="es-CL"/>
                </w:rPr>
                <m:t>d</m:t>
              </m:r>
            </m:sub>
          </m:sSub>
          <m:r>
            <w:rPr>
              <w:rFonts w:ascii="Cambria Math" w:hAnsi="Cambria Math"/>
              <w:lang w:val="es-CL"/>
            </w:rPr>
            <m:t>=</m:t>
          </m:r>
          <m:sSup>
            <m:sSupPr>
              <m:ctrlPr>
                <w:rPr>
                  <w:rFonts w:ascii="Cambria Math" w:hAnsi="Cambria Math"/>
                  <w:lang w:val="es-CL"/>
                </w:rPr>
              </m:ctrlPr>
            </m:sSupPr>
            <m:e>
              <m:sSub>
                <m:sSubPr>
                  <m:ctrlPr>
                    <w:rPr>
                      <w:rFonts w:ascii="Cambria Math" w:hAnsi="Cambria Math"/>
                      <w:lang w:val="es-CL"/>
                    </w:rPr>
                  </m:ctrlPr>
                </m:sSubPr>
                <m:e>
                  <m:r>
                    <m:rPr>
                      <m:sty m:val="bi"/>
                    </m:rPr>
                    <w:rPr>
                      <w:rFonts w:ascii="Cambria Math" w:hAnsi="Cambria Math"/>
                      <w:lang w:val="es-CL"/>
                    </w:rPr>
                    <m:t>x</m:t>
                  </m:r>
                </m:e>
                <m:sub>
                  <m:r>
                    <w:rPr>
                      <w:rFonts w:ascii="Cambria Math" w:hAnsi="Cambria Math"/>
                      <w:lang w:val="es-CL"/>
                    </w:rPr>
                    <m:t>d</m:t>
                  </m:r>
                </m:sub>
              </m:sSub>
            </m:e>
            <m:sup>
              <m:r>
                <m:rPr>
                  <m:sty m:val="p"/>
                </m:rPr>
                <w:rPr>
                  <w:rFonts w:ascii="Cambria Math" w:hAnsi="Cambria Math"/>
                  <w:lang w:val="es-CL"/>
                </w:rPr>
                <m:t>'</m:t>
              </m:r>
            </m:sup>
          </m:sSup>
          <m:r>
            <w:rPr>
              <w:rFonts w:ascii="Cambria Math" w:hAnsi="Cambria Math"/>
              <w:lang w:val="es-CL"/>
            </w:rPr>
            <m:t>β+</m:t>
          </m:r>
          <m:sSub>
            <m:sSubPr>
              <m:ctrlPr>
                <w:rPr>
                  <w:rFonts w:ascii="Cambria Math" w:hAnsi="Cambria Math"/>
                  <w:lang w:val="es-CL"/>
                </w:rPr>
              </m:ctrlPr>
            </m:sSubPr>
            <m:e>
              <m:r>
                <w:rPr>
                  <w:rFonts w:ascii="Cambria Math" w:hAnsi="Cambria Math"/>
                  <w:lang w:val="es-CL"/>
                </w:rPr>
                <m:t>u</m:t>
              </m:r>
            </m:e>
            <m:sub>
              <m:r>
                <w:rPr>
                  <w:rFonts w:ascii="Cambria Math" w:hAnsi="Cambria Math"/>
                  <w:lang w:val="es-CL"/>
                </w:rPr>
                <m:t>d</m:t>
              </m:r>
            </m:sub>
          </m:sSub>
          <m:r>
            <w:rPr>
              <w:rFonts w:ascii="Cambria Math" w:hAnsi="Cambria Math"/>
              <w:lang w:val="es-CL"/>
            </w:rPr>
            <m:t xml:space="preserve"> ,  con </m:t>
          </m:r>
          <m:sSub>
            <m:sSubPr>
              <m:ctrlPr>
                <w:rPr>
                  <w:rFonts w:ascii="Cambria Math" w:hAnsi="Cambria Math"/>
                  <w:lang w:val="es-CL"/>
                </w:rPr>
              </m:ctrlPr>
            </m:sSubPr>
            <m:e>
              <m:r>
                <w:rPr>
                  <w:rFonts w:ascii="Cambria Math" w:hAnsi="Cambria Math"/>
                  <w:lang w:val="es-CL"/>
                </w:rPr>
                <m:t xml:space="preserve">   u</m:t>
              </m:r>
            </m:e>
            <m:sub>
              <m:r>
                <w:rPr>
                  <w:rFonts w:ascii="Cambria Math" w:hAnsi="Cambria Math"/>
                  <w:lang w:val="es-CL"/>
                </w:rPr>
                <m:t>d</m:t>
              </m:r>
            </m:sub>
          </m:sSub>
          <m:limUpp>
            <m:limUppPr>
              <m:ctrlPr>
                <w:rPr>
                  <w:rFonts w:ascii="Cambria Math" w:hAnsi="Cambria Math"/>
                  <w:lang w:val="es-CL"/>
                </w:rPr>
              </m:ctrlPr>
            </m:limUppPr>
            <m:e>
              <m:r>
                <w:rPr>
                  <w:rFonts w:ascii="Cambria Math" w:hAnsi="Cambria Math"/>
                  <w:lang w:val="es-CL"/>
                </w:rPr>
                <m:t>∼</m:t>
              </m:r>
            </m:e>
            <m:lim>
              <m:r>
                <w:rPr>
                  <w:rFonts w:ascii="Cambria Math" w:hAnsi="Cambria Math"/>
                  <w:lang w:val="es-CL"/>
                </w:rPr>
                <m:t>iid</m:t>
              </m:r>
            </m:lim>
          </m:limUpp>
          <m:r>
            <w:rPr>
              <w:rFonts w:ascii="Cambria Math" w:hAnsi="Cambria Math"/>
              <w:lang w:val="es-CL"/>
            </w:rPr>
            <m:t>(0,</m:t>
          </m:r>
          <m:sSubSup>
            <m:sSubSupPr>
              <m:ctrlPr>
                <w:rPr>
                  <w:rFonts w:ascii="Cambria Math" w:hAnsi="Cambria Math"/>
                  <w:lang w:val="es-CL"/>
                </w:rPr>
              </m:ctrlPr>
            </m:sSubSupPr>
            <m:e>
              <m:r>
                <w:rPr>
                  <w:rFonts w:ascii="Cambria Math" w:hAnsi="Cambria Math"/>
                  <w:lang w:val="es-CL"/>
                </w:rPr>
                <m:t>σ</m:t>
              </m:r>
            </m:e>
            <m:sub>
              <m:r>
                <w:rPr>
                  <w:rFonts w:ascii="Cambria Math" w:hAnsi="Cambria Math"/>
                  <w:lang w:val="es-CL"/>
                </w:rPr>
                <m:t>u</m:t>
              </m:r>
            </m:sub>
            <m:sup>
              <m:r>
                <w:rPr>
                  <w:rFonts w:ascii="Cambria Math" w:hAnsi="Cambria Math"/>
                  <w:lang w:val="es-CL"/>
                </w:rPr>
                <m:t>2</m:t>
              </m:r>
            </m:sup>
          </m:sSubSup>
          <m:r>
            <w:rPr>
              <w:rFonts w:ascii="Cambria Math" w:hAnsi="Cambria Math"/>
              <w:lang w:val="es-CL"/>
            </w:rPr>
            <m:t>)</m:t>
          </m:r>
        </m:oMath>
      </m:oMathPara>
    </w:p>
    <w:p w14:paraId="662B4552" w14:textId="06F50456" w:rsidR="00825C5D" w:rsidRDefault="00825C5D" w:rsidP="00DD4A4F">
      <w:r>
        <w:rPr>
          <w:lang w:val="es-CL"/>
        </w:rPr>
        <w:t xml:space="preserve">Donde </w:t>
      </w:r>
      <m:oMath>
        <m:sSub>
          <m:sSubPr>
            <m:ctrlPr>
              <w:rPr>
                <w:rFonts w:ascii="Cambria Math" w:hAnsi="Cambria Math"/>
                <w:lang w:val="es-CL"/>
              </w:rPr>
            </m:ctrlPr>
          </m:sSubPr>
          <m:e>
            <m:r>
              <w:rPr>
                <w:rFonts w:ascii="Cambria Math" w:hAnsi="Cambria Math"/>
                <w:lang w:val="es-CL"/>
              </w:rPr>
              <m:t>θ</m:t>
            </m:r>
          </m:e>
          <m:sub>
            <m:r>
              <w:rPr>
                <w:rFonts w:ascii="Cambria Math" w:hAnsi="Cambria Math"/>
                <w:lang w:val="es-CL"/>
              </w:rPr>
              <m:t>d</m:t>
            </m:r>
          </m:sub>
        </m:sSub>
      </m:oMath>
      <w:r>
        <w:rPr>
          <w:rFonts w:eastAsiaTheme="minorEastAsia"/>
          <w:lang w:val="es-CL"/>
        </w:rPr>
        <w:t xml:space="preserve"> </w:t>
      </w:r>
      <w:r>
        <w:t xml:space="preserve">representa el indicador de interés (por ejemplo, TFR, IMR o U5MR) en el distrito </w:t>
      </w:r>
      <w:proofErr w:type="spellStart"/>
      <w:r>
        <w:rPr>
          <w:rStyle w:val="katex-mathml"/>
        </w:rPr>
        <w:t>dd</w:t>
      </w:r>
      <w:r>
        <w:rPr>
          <w:rStyle w:val="mord"/>
        </w:rPr>
        <w:t>d</w:t>
      </w:r>
      <w:proofErr w:type="spellEnd"/>
      <w:r>
        <w:t xml:space="preserve">, </w:t>
      </w:r>
      <w:proofErr w:type="spellStart"/>
      <w:r>
        <w:rPr>
          <w:rStyle w:val="katex-mathml"/>
        </w:rPr>
        <w:t>xdx_d</w:t>
      </w:r>
      <w:r>
        <w:rPr>
          <w:rStyle w:val="mord"/>
        </w:rPr>
        <w:t>xd</w:t>
      </w:r>
      <w:proofErr w:type="spellEnd"/>
      <w:r>
        <w:rPr>
          <w:rStyle w:val="vlist-s"/>
          <w:rFonts w:ascii="Arial" w:hAnsi="Arial" w:cs="Arial"/>
        </w:rPr>
        <w:t>​</w:t>
      </w:r>
      <w:r>
        <w:t xml:space="preserve"> es el vector de covariables auxiliares y </w:t>
      </w:r>
      <w:proofErr w:type="spellStart"/>
      <w:r>
        <w:rPr>
          <w:rStyle w:val="katex-mathml"/>
        </w:rPr>
        <w:t>udu_d</w:t>
      </w:r>
      <w:r>
        <w:rPr>
          <w:rStyle w:val="mord"/>
        </w:rPr>
        <w:t>ud</w:t>
      </w:r>
      <w:proofErr w:type="spellEnd"/>
      <w:r>
        <w:rPr>
          <w:rStyle w:val="vlist-s"/>
          <w:rFonts w:ascii="Arial" w:hAnsi="Arial" w:cs="Arial"/>
        </w:rPr>
        <w:t>​</w:t>
      </w:r>
      <w:r>
        <w:t xml:space="preserve"> un efecto aleatorio que captura la variabilidad no explicada.</w:t>
      </w:r>
    </w:p>
    <w:p w14:paraId="3FF5B79D" w14:textId="485F9A2C" w:rsidR="00825C5D" w:rsidRDefault="00825C5D" w:rsidP="00825C5D">
      <w:pPr>
        <w:pStyle w:val="ListParagraph"/>
        <w:numPr>
          <w:ilvl w:val="0"/>
          <w:numId w:val="4"/>
        </w:numPr>
        <w:rPr>
          <w:lang w:val="es-CL"/>
        </w:rPr>
      </w:pPr>
      <w:r w:rsidRPr="00825C5D">
        <w:rPr>
          <w:lang w:val="es-CL"/>
        </w:rPr>
        <w:t>Nivel 2 – Modelo de muestreo (estimación directa):</w:t>
      </w:r>
    </w:p>
    <w:p w14:paraId="202959D2" w14:textId="3006DF40" w:rsidR="00825C5D" w:rsidRPr="00825C5D" w:rsidRDefault="00351E3A" w:rsidP="00825C5D">
      <w:pPr>
        <w:pStyle w:val="ListParagraph"/>
        <w:rPr>
          <w:rFonts w:eastAsiaTheme="minorEastAsia"/>
          <w:bCs/>
          <w:lang w:val="es-CL"/>
        </w:rPr>
      </w:pPr>
      <m:oMathPara>
        <m:oMath>
          <m:sSubSup>
            <m:sSubSupPr>
              <m:ctrlPr>
                <w:rPr>
                  <w:rFonts w:ascii="Cambria Math" w:hAnsi="Cambria Math"/>
                  <w:bCs/>
                  <w:lang w:val="es-CL"/>
                </w:rPr>
              </m:ctrlPr>
            </m:sSubSupPr>
            <m:e>
              <m:acc>
                <m:accPr>
                  <m:ctrlPr>
                    <w:rPr>
                      <w:rFonts w:ascii="Cambria Math" w:hAnsi="Cambria Math"/>
                      <w:bCs/>
                      <w:lang w:val="es-CL"/>
                    </w:rPr>
                  </m:ctrlPr>
                </m:accPr>
                <m:e>
                  <m:r>
                    <w:rPr>
                      <w:rFonts w:ascii="Cambria Math" w:hAnsi="Cambria Math"/>
                      <w:lang w:val="es-CL"/>
                    </w:rPr>
                    <m:t>θ</m:t>
                  </m:r>
                </m:e>
              </m:acc>
            </m:e>
            <m:sub>
              <m:r>
                <w:rPr>
                  <w:rFonts w:ascii="Cambria Math" w:hAnsi="Cambria Math"/>
                  <w:lang w:val="es-CL"/>
                </w:rPr>
                <m:t>d</m:t>
              </m:r>
            </m:sub>
            <m:sup>
              <m:r>
                <w:rPr>
                  <w:rFonts w:ascii="Cambria Math" w:hAnsi="Cambria Math"/>
                  <w:lang w:val="es-CL"/>
                </w:rPr>
                <m:t>Dir</m:t>
              </m:r>
            </m:sup>
          </m:sSubSup>
          <m:r>
            <w:rPr>
              <w:rFonts w:ascii="Cambria Math" w:hAnsi="Cambria Math"/>
              <w:lang w:val="es-CL"/>
            </w:rPr>
            <m:t>=</m:t>
          </m:r>
          <m:sSub>
            <m:sSubPr>
              <m:ctrlPr>
                <w:rPr>
                  <w:rFonts w:ascii="Cambria Math" w:hAnsi="Cambria Math"/>
                  <w:bCs/>
                  <w:lang w:val="es-CL"/>
                </w:rPr>
              </m:ctrlPr>
            </m:sSubPr>
            <m:e>
              <m:r>
                <w:rPr>
                  <w:rFonts w:ascii="Cambria Math" w:hAnsi="Cambria Math"/>
                  <w:lang w:val="es-CL"/>
                </w:rPr>
                <m:t>Y</m:t>
              </m:r>
            </m:e>
            <m:sub>
              <m:r>
                <w:rPr>
                  <w:rFonts w:ascii="Cambria Math" w:hAnsi="Cambria Math"/>
                  <w:lang w:val="es-CL"/>
                </w:rPr>
                <m:t>d</m:t>
              </m:r>
            </m:sub>
          </m:sSub>
          <m:r>
            <w:rPr>
              <w:rFonts w:ascii="Cambria Math" w:hAnsi="Cambria Math"/>
              <w:lang w:val="es-CL"/>
            </w:rPr>
            <m:t>+</m:t>
          </m:r>
          <m:sSub>
            <m:sSubPr>
              <m:ctrlPr>
                <w:rPr>
                  <w:rFonts w:ascii="Cambria Math" w:hAnsi="Cambria Math"/>
                  <w:bCs/>
                  <w:lang w:val="es-CL"/>
                </w:rPr>
              </m:ctrlPr>
            </m:sSubPr>
            <m:e>
              <m:r>
                <w:rPr>
                  <w:rFonts w:ascii="Cambria Math" w:hAnsi="Cambria Math"/>
                  <w:lang w:val="es-CL"/>
                </w:rPr>
                <m:t>e</m:t>
              </m:r>
            </m:e>
            <m:sub>
              <m:r>
                <w:rPr>
                  <w:rFonts w:ascii="Cambria Math" w:hAnsi="Cambria Math"/>
                  <w:lang w:val="es-CL"/>
                </w:rPr>
                <m:t>d</m:t>
              </m:r>
            </m:sub>
          </m:sSub>
          <m:r>
            <w:rPr>
              <w:rFonts w:ascii="Cambria Math" w:hAnsi="Cambria Math"/>
              <w:lang w:val="es-CL"/>
            </w:rPr>
            <m:t xml:space="preserve">,    con   </m:t>
          </m:r>
          <m:sSub>
            <m:sSubPr>
              <m:ctrlPr>
                <w:rPr>
                  <w:rFonts w:ascii="Cambria Math" w:hAnsi="Cambria Math"/>
                  <w:bCs/>
                  <w:lang w:val="es-CL"/>
                </w:rPr>
              </m:ctrlPr>
            </m:sSubPr>
            <m:e>
              <m:r>
                <w:rPr>
                  <w:rFonts w:ascii="Cambria Math" w:hAnsi="Cambria Math"/>
                  <w:lang w:val="es-CL"/>
                </w:rPr>
                <m:t>e</m:t>
              </m:r>
            </m:e>
            <m:sub>
              <m:r>
                <w:rPr>
                  <w:rFonts w:ascii="Cambria Math" w:hAnsi="Cambria Math"/>
                  <w:lang w:val="es-CL"/>
                </w:rPr>
                <m:t>d</m:t>
              </m:r>
            </m:sub>
          </m:sSub>
          <m:limUpp>
            <m:limUppPr>
              <m:ctrlPr>
                <w:rPr>
                  <w:rFonts w:ascii="Cambria Math" w:hAnsi="Cambria Math"/>
                  <w:bCs/>
                  <w:lang w:val="es-CL"/>
                </w:rPr>
              </m:ctrlPr>
            </m:limUppPr>
            <m:e>
              <m:r>
                <w:rPr>
                  <w:rFonts w:ascii="Cambria Math" w:hAnsi="Cambria Math"/>
                  <w:lang w:val="es-CL"/>
                </w:rPr>
                <m:t>∼</m:t>
              </m:r>
            </m:e>
            <m:lim>
              <m:r>
                <w:rPr>
                  <w:rFonts w:ascii="Cambria Math" w:hAnsi="Cambria Math"/>
                  <w:lang w:val="es-CL"/>
                </w:rPr>
                <m:t>ind</m:t>
              </m:r>
            </m:lim>
          </m:limUpp>
          <m:r>
            <w:rPr>
              <w:rFonts w:ascii="Cambria Math" w:hAnsi="Cambria Math"/>
              <w:lang w:val="es-CL"/>
            </w:rPr>
            <m:t>(0,</m:t>
          </m:r>
          <m:sSubSup>
            <m:sSubSupPr>
              <m:ctrlPr>
                <w:rPr>
                  <w:rFonts w:ascii="Cambria Math" w:hAnsi="Cambria Math"/>
                  <w:bCs/>
                  <w:lang w:val="es-CL"/>
                </w:rPr>
              </m:ctrlPr>
            </m:sSubSupPr>
            <m:e>
              <m:r>
                <w:rPr>
                  <w:rFonts w:ascii="Cambria Math" w:hAnsi="Cambria Math"/>
                  <w:lang w:val="es-CL"/>
                </w:rPr>
                <m:t>ψ</m:t>
              </m:r>
            </m:e>
            <m:sub>
              <m:r>
                <w:rPr>
                  <w:rFonts w:ascii="Cambria Math" w:hAnsi="Cambria Math"/>
                  <w:lang w:val="es-CL"/>
                </w:rPr>
                <m:t>d</m:t>
              </m:r>
            </m:sub>
            <m:sup>
              <m:r>
                <w:rPr>
                  <w:rFonts w:ascii="Cambria Math" w:hAnsi="Cambria Math"/>
                  <w:lang w:val="es-CL"/>
                </w:rPr>
                <m:t>2</m:t>
              </m:r>
            </m:sup>
          </m:sSubSup>
          <m:r>
            <w:rPr>
              <w:rFonts w:ascii="Cambria Math" w:hAnsi="Cambria Math"/>
              <w:lang w:val="es-CL"/>
            </w:rPr>
            <m:t>)</m:t>
          </m:r>
        </m:oMath>
      </m:oMathPara>
    </w:p>
    <w:p w14:paraId="09539CA7" w14:textId="272AF14E" w:rsidR="00825C5D" w:rsidRDefault="00825C5D" w:rsidP="00825C5D">
      <w:r w:rsidRPr="00825C5D">
        <w:t xml:space="preserve"> </w:t>
      </w:r>
      <w:r>
        <w:t xml:space="preserve">Donde </w:t>
      </w:r>
      <m:oMath>
        <m:sSubSup>
          <m:sSubSupPr>
            <m:ctrlPr>
              <w:rPr>
                <w:rFonts w:ascii="Cambria Math" w:hAnsi="Cambria Math"/>
                <w:bCs/>
                <w:lang w:val="es-CL"/>
              </w:rPr>
            </m:ctrlPr>
          </m:sSubSupPr>
          <m:e>
            <m:acc>
              <m:accPr>
                <m:ctrlPr>
                  <w:rPr>
                    <w:rFonts w:ascii="Cambria Math" w:hAnsi="Cambria Math"/>
                    <w:bCs/>
                    <w:lang w:val="es-CL"/>
                  </w:rPr>
                </m:ctrlPr>
              </m:accPr>
              <m:e>
                <m:r>
                  <w:rPr>
                    <w:rFonts w:ascii="Cambria Math" w:hAnsi="Cambria Math"/>
                    <w:lang w:val="es-CL"/>
                  </w:rPr>
                  <m:t>θ</m:t>
                </m:r>
              </m:e>
            </m:acc>
          </m:e>
          <m:sub>
            <m:r>
              <w:rPr>
                <w:rFonts w:ascii="Cambria Math" w:hAnsi="Cambria Math"/>
                <w:lang w:val="es-CL"/>
              </w:rPr>
              <m:t>d</m:t>
            </m:r>
          </m:sub>
          <m:sup>
            <m:r>
              <w:rPr>
                <w:rFonts w:ascii="Cambria Math" w:hAnsi="Cambria Math"/>
                <w:lang w:val="es-CL"/>
              </w:rPr>
              <m:t>Dir</m:t>
            </m:r>
          </m:sup>
        </m:sSubSup>
      </m:oMath>
      <w:r>
        <w:rPr>
          <w:rFonts w:eastAsiaTheme="minorEastAsia"/>
          <w:bCs/>
          <w:lang w:val="es-CL"/>
        </w:rPr>
        <w:t xml:space="preserve"> </w:t>
      </w:r>
      <w:r>
        <w:t xml:space="preserve">corresponde al estimador directo obtenido a partir de la encuesta, y </w:t>
      </w:r>
      <m:oMath>
        <m:sSub>
          <m:sSubPr>
            <m:ctrlPr>
              <w:rPr>
                <w:rFonts w:ascii="Cambria Math" w:hAnsi="Cambria Math"/>
                <w:bCs/>
                <w:lang w:val="es-CL"/>
              </w:rPr>
            </m:ctrlPr>
          </m:sSubPr>
          <m:e>
            <m:r>
              <w:rPr>
                <w:rFonts w:ascii="Cambria Math" w:hAnsi="Cambria Math"/>
                <w:lang w:val="es-CL"/>
              </w:rPr>
              <m:t>e</m:t>
            </m:r>
          </m:e>
          <m:sub>
            <m:r>
              <w:rPr>
                <w:rFonts w:ascii="Cambria Math" w:hAnsi="Cambria Math"/>
                <w:lang w:val="es-CL"/>
              </w:rPr>
              <m:t>d</m:t>
            </m:r>
          </m:sub>
        </m:sSub>
      </m:oMath>
      <w:r>
        <w:rPr>
          <w:rFonts w:eastAsiaTheme="minorEastAsia"/>
          <w:bCs/>
          <w:lang w:val="es-CL"/>
        </w:rPr>
        <w:t xml:space="preserve"> </w:t>
      </w:r>
      <w:r>
        <w:t>es el error de muestreo asociado.</w:t>
      </w:r>
    </w:p>
    <w:p w14:paraId="2382F78B" w14:textId="77777777" w:rsidR="00846376" w:rsidRDefault="00846376" w:rsidP="00825C5D"/>
    <w:p w14:paraId="4C3D0042" w14:textId="77777777" w:rsidR="00846376" w:rsidRDefault="00846376" w:rsidP="00825C5D"/>
    <w:p w14:paraId="10026DA2" w14:textId="436A189B" w:rsidR="00DD4A4F" w:rsidRDefault="00DD4A4F" w:rsidP="00825C5D">
      <w:r>
        <w:lastRenderedPageBreak/>
        <w:t>Al combinar ambos niveles, se obtiene el modelo compuesto:</w:t>
      </w:r>
    </w:p>
    <w:p w14:paraId="7B4A4336" w14:textId="5BE3A5C6" w:rsidR="007F4AB3" w:rsidRPr="007F4AB3" w:rsidRDefault="00351E3A" w:rsidP="007F4AB3">
      <w:pPr>
        <w:spacing w:after="0"/>
        <w:ind w:left="708"/>
        <w:jc w:val="center"/>
        <w:rPr>
          <w:rFonts w:eastAsiaTheme="minorEastAsia"/>
        </w:rPr>
      </w:p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FH</m:t>
            </m:r>
          </m:sup>
        </m:sSubSup>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x</m:t>
                </m:r>
              </m:e>
              <m:sub>
                <m:r>
                  <w:rPr>
                    <w:rFonts w:ascii="Cambria Math" w:hAnsi="Cambria Math"/>
                  </w:rPr>
                  <m:t>d</m:t>
                </m:r>
              </m:sub>
            </m:sSub>
          </m:e>
          <m:sup>
            <m:r>
              <m:rPr>
                <m:sty m:val="p"/>
              </m:rPr>
              <w:rPr>
                <w:rFonts w:ascii="Cambria Math" w:hAnsi="Cambria Math"/>
              </w:rPr>
              <m:t>'</m:t>
            </m:r>
          </m:sup>
        </m:sSup>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w:r w:rsidR="007F4AB3" w:rsidRPr="007F4AB3">
        <w:rPr>
          <w:rFonts w:eastAsiaTheme="minorEastAsia"/>
        </w:rPr>
        <w:t xml:space="preserve"> con </w:t>
      </w:r>
      <m:oMath>
        <m:sSub>
          <m:sSubPr>
            <m:ctrlPr>
              <w:rPr>
                <w:rFonts w:ascii="Cambria Math" w:eastAsiaTheme="minorEastAsia" w:hAnsi="Cambria Math"/>
              </w:rPr>
            </m:ctrlPr>
          </m:sSubPr>
          <m:e>
            <m:r>
              <w:rPr>
                <w:rFonts w:ascii="Cambria Math" w:eastAsiaTheme="minorEastAsia" w:hAnsi="Cambria Math"/>
              </w:rPr>
              <m:t xml:space="preserve">   u</m:t>
            </m:r>
          </m:e>
          <m:sub>
            <m:r>
              <w:rPr>
                <w:rFonts w:ascii="Cambria Math" w:eastAsiaTheme="minorEastAsia" w:hAnsi="Cambria Math"/>
              </w:rPr>
              <m:t>d</m:t>
            </m:r>
          </m:sub>
        </m:sSub>
        <m:limUpp>
          <m:limUppPr>
            <m:ctrlPr>
              <w:rPr>
                <w:rFonts w:ascii="Cambria Math" w:eastAsiaTheme="minorEastAsia" w:hAnsi="Cambria Math"/>
              </w:rPr>
            </m:ctrlPr>
          </m:limUppPr>
          <m:e>
            <m:r>
              <w:rPr>
                <w:rFonts w:ascii="Cambria Math" w:eastAsiaTheme="minorEastAsia" w:hAnsi="Cambria Math"/>
              </w:rPr>
              <m:t>∼</m:t>
            </m:r>
          </m:e>
          <m:lim>
            <m:r>
              <w:rPr>
                <w:rFonts w:ascii="Cambria Math" w:eastAsiaTheme="minorEastAsia" w:hAnsi="Cambria Math"/>
              </w:rPr>
              <m:t>iid</m:t>
            </m:r>
          </m:lim>
        </m:limUpp>
        <m:d>
          <m:dPr>
            <m:ctrlPr>
              <w:rPr>
                <w:rFonts w:ascii="Cambria Math" w:eastAsiaTheme="minorEastAsia" w:hAnsi="Cambria Math"/>
                <w:i/>
              </w:rPr>
            </m:ctrlPr>
          </m:dPr>
          <m:e>
            <m:r>
              <w:rPr>
                <w:rFonts w:ascii="Cambria Math" w:eastAsiaTheme="minorEastAsia" w:hAnsi="Cambria Math"/>
              </w:rPr>
              <m:t>0,</m:t>
            </m:r>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e>
        </m:d>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d</m:t>
            </m:r>
          </m:sub>
        </m:sSub>
        <m:limUpp>
          <m:limUppPr>
            <m:ctrlPr>
              <w:rPr>
                <w:rFonts w:ascii="Cambria Math" w:eastAsiaTheme="minorEastAsia" w:hAnsi="Cambria Math"/>
              </w:rPr>
            </m:ctrlPr>
          </m:limUppPr>
          <m:e>
            <m:r>
              <w:rPr>
                <w:rFonts w:ascii="Cambria Math" w:eastAsiaTheme="minorEastAsia" w:hAnsi="Cambria Math"/>
              </w:rPr>
              <m:t>∼</m:t>
            </m:r>
          </m:e>
          <m:lim>
            <m:r>
              <w:rPr>
                <w:rFonts w:ascii="Cambria Math" w:eastAsiaTheme="minorEastAsia" w:hAnsi="Cambria Math"/>
              </w:rPr>
              <m:t>ind</m:t>
            </m:r>
          </m:lim>
        </m:limUpp>
        <m:r>
          <w:rPr>
            <w:rFonts w:ascii="Cambria Math" w:eastAsiaTheme="minorEastAsia" w:hAnsi="Cambria Math"/>
          </w:rPr>
          <m:t>(0,</m:t>
        </m:r>
        <m:sSubSup>
          <m:sSubSupPr>
            <m:ctrlPr>
              <w:rPr>
                <w:rFonts w:ascii="Cambria Math" w:eastAsiaTheme="minorEastAsia" w:hAnsi="Cambria Math"/>
              </w:rPr>
            </m:ctrlPr>
          </m:sSubSupPr>
          <m:e>
            <m:r>
              <w:rPr>
                <w:rFonts w:ascii="Cambria Math" w:eastAsiaTheme="minorEastAsia" w:hAnsi="Cambria Math"/>
              </w:rPr>
              <m:t>ψ</m:t>
            </m:r>
          </m:e>
          <m:sub>
            <m:r>
              <w:rPr>
                <w:rFonts w:ascii="Cambria Math" w:eastAsiaTheme="minorEastAsia" w:hAnsi="Cambria Math"/>
              </w:rPr>
              <m:t>d</m:t>
            </m:r>
          </m:sub>
          <m:sup>
            <m:r>
              <w:rPr>
                <w:rFonts w:ascii="Cambria Math" w:eastAsiaTheme="minorEastAsia" w:hAnsi="Cambria Math"/>
              </w:rPr>
              <m:t>2</m:t>
            </m:r>
          </m:sup>
        </m:sSubSup>
        <m:r>
          <w:rPr>
            <w:rFonts w:ascii="Cambria Math" w:eastAsiaTheme="minorEastAsia" w:hAnsi="Cambria Math"/>
          </w:rPr>
          <m:t>)</m:t>
        </m:r>
      </m:oMath>
    </w:p>
    <w:p w14:paraId="31EB35B1" w14:textId="77777777" w:rsidR="007F4AB3" w:rsidRPr="007F4AB3" w:rsidRDefault="007F4AB3" w:rsidP="007F4AB3">
      <w:pPr>
        <w:spacing w:after="0"/>
        <w:ind w:left="708"/>
        <w:rPr>
          <w:rFonts w:eastAsiaTheme="minorEastAsia"/>
        </w:rPr>
      </w:pPr>
    </w:p>
    <w:p w14:paraId="3100CFB0" w14:textId="3CF06255" w:rsidR="007F4AB3" w:rsidRPr="007F4AB3" w:rsidRDefault="007F4AB3" w:rsidP="007F4AB3">
      <w:pPr>
        <w:spacing w:after="0"/>
        <w:rPr>
          <w:rFonts w:eastAsiaTheme="minorEastAsia"/>
        </w:rPr>
      </w:pPr>
      <w:r>
        <w:t>Este puede expresarse también como una ponderación entre la estimación directa y la sintética:</w:t>
      </w:r>
    </w:p>
    <w:p w14:paraId="4F48B6E2" w14:textId="072C4DC3" w:rsidR="007F4AB3" w:rsidRPr="007F4AB3" w:rsidRDefault="007F4AB3" w:rsidP="007F4AB3">
      <w:pPr>
        <w:spacing w:after="0"/>
        <w:ind w:left="708"/>
      </w:pPr>
    </w:p>
    <w:p w14:paraId="6157C138" w14:textId="4AF9DD05" w:rsidR="00DD4A4F" w:rsidRDefault="00351E3A" w:rsidP="007F4AB3">
      <w:pPr>
        <w:spacing w:after="200" w:line="276" w:lineRule="auto"/>
        <w:ind w:left="1080"/>
        <w:contextualSpacing/>
        <w:jc w:val="both"/>
        <w:rPr>
          <w:rFonts w:ascii="Cambria Math" w:eastAsia="Times New Roman" w:hAnsi="Cambria Math" w:cs="Times New Roman"/>
          <w:i/>
          <w:lang w:val="es-CL"/>
        </w:rPr>
      </w:pPr>
      <m:oMath>
        <m:sSubSup>
          <m:sSubSupPr>
            <m:ctrlPr>
              <w:rPr>
                <w:rFonts w:ascii="Cambria Math" w:eastAsia="Times New Roman" w:hAnsi="Cambria Math" w:cs="Times New Roman"/>
                <w:kern w:val="0"/>
                <w:szCs w:val="24"/>
                <w:lang w:val="es-ES"/>
                <w14:ligatures w14:val="none"/>
              </w:rPr>
            </m:ctrlPr>
          </m:sSubSupPr>
          <m:e>
            <m:acc>
              <m:accPr>
                <m:ctrlPr>
                  <w:rPr>
                    <w:rFonts w:ascii="Cambria Math" w:eastAsia="Times New Roman" w:hAnsi="Cambria Math" w:cs="Times New Roman"/>
                    <w:kern w:val="0"/>
                    <w:szCs w:val="24"/>
                    <w:lang w:val="es-ES"/>
                    <w14:ligatures w14:val="none"/>
                  </w:rPr>
                </m:ctrlPr>
              </m:accPr>
              <m:e>
                <m:r>
                  <w:rPr>
                    <w:rFonts w:ascii="Cambria Math" w:eastAsia="Times New Roman" w:hAnsi="Cambria Math" w:cs="Times New Roman"/>
                    <w:kern w:val="0"/>
                    <w:lang w:val="es-ES"/>
                    <w14:ligatures w14:val="none"/>
                  </w:rPr>
                  <m:t>θ</m:t>
                </m:r>
              </m:e>
            </m:acc>
          </m:e>
          <m:sub>
            <m:r>
              <w:rPr>
                <w:rFonts w:ascii="Cambria Math" w:eastAsia="Times New Roman" w:hAnsi="Cambria Math" w:cs="Times New Roman"/>
                <w:kern w:val="0"/>
                <w:lang w:val="es-ES"/>
                <w14:ligatures w14:val="none"/>
              </w:rPr>
              <m:t>d</m:t>
            </m:r>
          </m:sub>
          <m:sup>
            <m:r>
              <w:rPr>
                <w:rFonts w:ascii="Cambria Math" w:eastAsia="Times New Roman" w:hAnsi="Cambria Math" w:cs="Times New Roman"/>
                <w:kern w:val="0"/>
                <w:lang w:val="es-ES"/>
                <w14:ligatures w14:val="none"/>
              </w:rPr>
              <m:t>FH</m:t>
            </m:r>
          </m:sup>
        </m:sSubSup>
        <m:r>
          <w:rPr>
            <w:rFonts w:ascii="Cambria Math" w:eastAsia="Times New Roman" w:hAnsi="Cambria Math" w:cs="Times New Roman"/>
            <w:kern w:val="0"/>
            <w:lang w:val="es-ES_tradnl"/>
            <w14:ligatures w14:val="none"/>
          </w:rPr>
          <m:t>=</m:t>
        </m:r>
        <m:sSub>
          <m:sSubPr>
            <m:ctrlPr>
              <w:rPr>
                <w:rFonts w:ascii="Cambria Math" w:eastAsia="Times New Roman" w:hAnsi="Cambria Math" w:cs="Times New Roman"/>
                <w:i/>
                <w:kern w:val="0"/>
                <w:szCs w:val="24"/>
                <w:lang w:val="es-ES_tradnl"/>
                <w14:ligatures w14:val="none"/>
              </w:rPr>
            </m:ctrlPr>
          </m:sSubPr>
          <m:e>
            <m:acc>
              <m:accPr>
                <m:ctrlPr>
                  <w:rPr>
                    <w:rFonts w:ascii="Cambria Math" w:eastAsia="Times New Roman" w:hAnsi="Cambria Math" w:cs="Times New Roman"/>
                    <w:i/>
                    <w:kern w:val="0"/>
                    <w:szCs w:val="24"/>
                    <w:lang w:val="es-ES_tradnl"/>
                    <w14:ligatures w14:val="none"/>
                  </w:rPr>
                </m:ctrlPr>
              </m:accPr>
              <m:e>
                <m:r>
                  <w:rPr>
                    <w:rFonts w:ascii="Cambria Math" w:eastAsia="Times New Roman" w:hAnsi="Cambria Math" w:cs="Times New Roman"/>
                    <w:kern w:val="0"/>
                    <w:lang w:val="es-ES_tradnl"/>
                    <w14:ligatures w14:val="none"/>
                  </w:rPr>
                  <m:t>γ</m:t>
                </m:r>
              </m:e>
            </m:acc>
          </m:e>
          <m:sub>
            <m:r>
              <w:rPr>
                <w:rFonts w:ascii="Cambria Math" w:eastAsia="Times New Roman" w:hAnsi="Cambria Math" w:cs="Times New Roman"/>
                <w:kern w:val="0"/>
                <w:lang w:val="es-ES_tradnl"/>
                <w14:ligatures w14:val="none"/>
              </w:rPr>
              <m:t>d</m:t>
            </m:r>
          </m:sub>
        </m:sSub>
        <m:sSubSup>
          <m:sSubSupPr>
            <m:ctrlPr>
              <w:rPr>
                <w:rFonts w:ascii="Cambria Math" w:eastAsia="Times New Roman" w:hAnsi="Cambria Math" w:cs="Times New Roman"/>
                <w:i/>
                <w:kern w:val="0"/>
                <w:szCs w:val="24"/>
                <w:lang w:val="es-ES_tradnl"/>
                <w14:ligatures w14:val="none"/>
              </w:rPr>
            </m:ctrlPr>
          </m:sSubSupPr>
          <m:e>
            <m:acc>
              <m:accPr>
                <m:ctrlPr>
                  <w:rPr>
                    <w:rFonts w:ascii="Cambria Math" w:eastAsia="Times New Roman" w:hAnsi="Cambria Math" w:cs="Times New Roman"/>
                    <w:i/>
                    <w:kern w:val="0"/>
                    <w:szCs w:val="24"/>
                    <w:lang w:val="es-ES_tradnl"/>
                    <w14:ligatures w14:val="none"/>
                  </w:rPr>
                </m:ctrlPr>
              </m:accPr>
              <m:e>
                <m:r>
                  <w:rPr>
                    <w:rFonts w:ascii="Cambria Math" w:eastAsia="Times New Roman" w:hAnsi="Cambria Math" w:cs="Times New Roman"/>
                    <w:kern w:val="0"/>
                    <w:lang w:val="es-ES_tradnl"/>
                    <w14:ligatures w14:val="none"/>
                  </w:rPr>
                  <m:t>θ</m:t>
                </m:r>
              </m:e>
            </m:acc>
          </m:e>
          <m:sub>
            <m:r>
              <w:rPr>
                <w:rFonts w:ascii="Cambria Math" w:eastAsia="Times New Roman" w:hAnsi="Cambria Math" w:cs="Times New Roman"/>
                <w:kern w:val="0"/>
                <w:lang w:val="es-ES_tradnl"/>
                <w14:ligatures w14:val="none"/>
              </w:rPr>
              <m:t>d</m:t>
            </m:r>
          </m:sub>
          <m:sup>
            <m:r>
              <w:rPr>
                <w:rFonts w:ascii="Cambria Math" w:eastAsia="Times New Roman" w:hAnsi="Cambria Math" w:cs="Times New Roman"/>
                <w:kern w:val="0"/>
                <w:lang w:val="es-ES_tradnl"/>
                <w14:ligatures w14:val="none"/>
              </w:rPr>
              <m:t>Dir</m:t>
            </m:r>
          </m:sup>
        </m:sSubSup>
        <m:r>
          <w:rPr>
            <w:rFonts w:ascii="Cambria Math" w:eastAsia="Times New Roman" w:hAnsi="Cambria Math" w:cs="Times New Roman"/>
            <w:kern w:val="0"/>
            <w:lang w:val="es-ES_tradnl"/>
            <w14:ligatures w14:val="none"/>
          </w:rPr>
          <m:t>+</m:t>
        </m:r>
        <m:d>
          <m:dPr>
            <m:ctrlPr>
              <w:rPr>
                <w:rFonts w:ascii="Cambria Math" w:eastAsia="Times New Roman" w:hAnsi="Cambria Math" w:cs="Times New Roman"/>
                <w:i/>
                <w:kern w:val="0"/>
                <w:szCs w:val="24"/>
                <w:lang w:val="es-ES_tradnl"/>
                <w14:ligatures w14:val="none"/>
              </w:rPr>
            </m:ctrlPr>
          </m:dPr>
          <m:e>
            <m:r>
              <w:rPr>
                <w:rFonts w:ascii="Cambria Math" w:eastAsia="Times New Roman" w:hAnsi="Cambria Math" w:cs="Times New Roman"/>
                <w:kern w:val="0"/>
                <w:lang w:val="es-ES_tradnl"/>
                <w14:ligatures w14:val="none"/>
              </w:rPr>
              <m:t>1-</m:t>
            </m:r>
            <m:r>
              <m:rPr>
                <m:sty m:val="p"/>
              </m:rPr>
              <w:rPr>
                <w:rFonts w:ascii="Cambria Math" w:eastAsia="Times New Roman" w:hAnsi="Cambria Math" w:cs="Times New Roman"/>
                <w:kern w:val="0"/>
                <w:lang w:val="es-ES"/>
                <w14:ligatures w14:val="none"/>
              </w:rPr>
              <m:t xml:space="preserve"> </m:t>
            </m:r>
            <m:sSub>
              <m:sSubPr>
                <m:ctrlPr>
                  <w:rPr>
                    <w:rFonts w:ascii="Cambria Math" w:eastAsia="Times New Roman" w:hAnsi="Cambria Math" w:cs="Times New Roman"/>
                    <w:i/>
                    <w:kern w:val="0"/>
                    <w:szCs w:val="24"/>
                    <w:lang w:val="es-ES_tradnl"/>
                    <w14:ligatures w14:val="none"/>
                  </w:rPr>
                </m:ctrlPr>
              </m:sSubPr>
              <m:e>
                <m:acc>
                  <m:accPr>
                    <m:ctrlPr>
                      <w:rPr>
                        <w:rFonts w:ascii="Cambria Math" w:eastAsia="Times New Roman" w:hAnsi="Cambria Math" w:cs="Times New Roman"/>
                        <w:i/>
                        <w:kern w:val="0"/>
                        <w:szCs w:val="24"/>
                        <w:lang w:val="es-ES_tradnl"/>
                        <w14:ligatures w14:val="none"/>
                      </w:rPr>
                    </m:ctrlPr>
                  </m:accPr>
                  <m:e>
                    <m:r>
                      <w:rPr>
                        <w:rFonts w:ascii="Cambria Math" w:eastAsia="Times New Roman" w:hAnsi="Cambria Math" w:cs="Times New Roman"/>
                        <w:kern w:val="0"/>
                        <w:lang w:val="es-ES_tradnl"/>
                        <w14:ligatures w14:val="none"/>
                      </w:rPr>
                      <m:t>γ</m:t>
                    </m:r>
                  </m:e>
                </m:acc>
              </m:e>
              <m:sub>
                <m:r>
                  <w:rPr>
                    <w:rFonts w:ascii="Cambria Math" w:eastAsia="Times New Roman" w:hAnsi="Cambria Math" w:cs="Times New Roman"/>
                    <w:kern w:val="0"/>
                    <w:lang w:val="es-ES_tradnl"/>
                    <w14:ligatures w14:val="none"/>
                  </w:rPr>
                  <m:t>d</m:t>
                </m:r>
              </m:sub>
            </m:sSub>
            <m:r>
              <w:rPr>
                <w:rFonts w:ascii="Cambria Math" w:eastAsia="Times New Roman" w:hAnsi="Cambria Math" w:cs="Times New Roman"/>
                <w:kern w:val="0"/>
                <w:lang w:val="es-ES_tradnl"/>
                <w14:ligatures w14:val="none"/>
              </w:rPr>
              <m:t xml:space="preserve"> </m:t>
            </m:r>
          </m:e>
        </m:d>
        <m:sSubSup>
          <m:sSubSupPr>
            <m:ctrlPr>
              <w:rPr>
                <w:rFonts w:ascii="Cambria Math" w:eastAsia="Times New Roman" w:hAnsi="Cambria Math" w:cs="Times New Roman"/>
                <w:i/>
                <w:kern w:val="0"/>
                <w:szCs w:val="24"/>
                <w:lang w:val="es-ES_tradnl"/>
                <w14:ligatures w14:val="none"/>
              </w:rPr>
            </m:ctrlPr>
          </m:sSubSupPr>
          <m:e>
            <m:acc>
              <m:accPr>
                <m:ctrlPr>
                  <w:rPr>
                    <w:rFonts w:ascii="Cambria Math" w:eastAsia="Times New Roman" w:hAnsi="Cambria Math" w:cs="Times New Roman"/>
                    <w:i/>
                    <w:kern w:val="0"/>
                    <w:szCs w:val="24"/>
                    <w:lang w:val="es-ES_tradnl"/>
                    <w14:ligatures w14:val="none"/>
                  </w:rPr>
                </m:ctrlPr>
              </m:accPr>
              <m:e>
                <m:r>
                  <w:rPr>
                    <w:rFonts w:ascii="Cambria Math" w:eastAsia="Times New Roman" w:hAnsi="Cambria Math" w:cs="Times New Roman"/>
                    <w:kern w:val="0"/>
                    <w:lang w:val="es-ES_tradnl"/>
                    <w14:ligatures w14:val="none"/>
                  </w:rPr>
                  <m:t>θ</m:t>
                </m:r>
              </m:e>
            </m:acc>
          </m:e>
          <m:sub>
            <m:r>
              <w:rPr>
                <w:rFonts w:ascii="Cambria Math" w:eastAsia="Times New Roman" w:hAnsi="Cambria Math" w:cs="Times New Roman"/>
                <w:kern w:val="0"/>
                <w:lang w:val="es-ES_tradnl"/>
                <w14:ligatures w14:val="none"/>
              </w:rPr>
              <m:t>d</m:t>
            </m:r>
          </m:sub>
          <m:sup>
            <m:r>
              <w:rPr>
                <w:rFonts w:ascii="Cambria Math" w:eastAsia="Times New Roman" w:hAnsi="Cambria Math" w:cs="Times New Roman"/>
                <w:kern w:val="0"/>
                <w:lang w:val="es-ES_tradnl"/>
                <w14:ligatures w14:val="none"/>
              </w:rPr>
              <m:t>syn</m:t>
            </m:r>
          </m:sup>
        </m:sSubSup>
      </m:oMath>
      <w:r w:rsidR="007F4AB3" w:rsidRPr="007F4AB3">
        <w:rPr>
          <w:rFonts w:ascii="Cambria Math" w:eastAsia="Times New Roman" w:hAnsi="Cambria Math" w:cs="Times New Roman"/>
          <w:i/>
          <w:iCs/>
          <w:kern w:val="0"/>
          <w:sz w:val="20"/>
          <w:szCs w:val="20"/>
          <w:lang w:val="es-ES_tradnl"/>
          <w14:ligatures w14:val="none"/>
        </w:rPr>
        <w:t xml:space="preserve"> </w:t>
      </w:r>
      <m:oMath>
        <m:r>
          <w:rPr>
            <w:rFonts w:ascii="Cambria Math" w:eastAsia="Times New Roman" w:hAnsi="Cambria Math" w:cs="Times New Roman"/>
            <w:kern w:val="0"/>
            <w:sz w:val="20"/>
            <w:szCs w:val="20"/>
            <w:lang w:val="es-CL"/>
            <w14:ligatures w14:val="none"/>
          </w:rPr>
          <m:t>,  </m:t>
        </m:r>
        <m:r>
          <w:rPr>
            <w:rFonts w:ascii="Cambria Math" w:eastAsia="Times New Roman" w:hAnsi="Cambria Math" w:cs="Times New Roman"/>
            <w:kern w:val="0"/>
            <w:sz w:val="20"/>
            <w:szCs w:val="20"/>
            <w:lang w:val="en-US"/>
            <w14:ligatures w14:val="none"/>
          </w:rPr>
          <m:t>c</m:t>
        </m:r>
        <m:r>
          <w:rPr>
            <w:rFonts w:ascii="Cambria Math" w:eastAsia="Times New Roman" w:hAnsi="Cambria Math" w:cs="Times New Roman"/>
            <w:kern w:val="0"/>
            <w:sz w:val="20"/>
            <w:szCs w:val="20"/>
            <w:lang w:val="es-ES_tradnl"/>
            <w14:ligatures w14:val="none"/>
          </w:rPr>
          <m:t xml:space="preserve">on </m:t>
        </m:r>
      </m:oMath>
      <w:r w:rsidR="007F4AB3" w:rsidRPr="007F4AB3">
        <w:rPr>
          <w:rFonts w:ascii="Cambria Math" w:eastAsia="Times New Roman" w:hAnsi="Cambria Math" w:cs="Times New Roman"/>
          <w:i/>
          <w:iCs/>
          <w:kern w:val="0"/>
          <w:sz w:val="20"/>
          <w:szCs w:val="20"/>
          <w:lang w:val="es-ES_tradnl"/>
          <w14:ligatures w14:val="none"/>
        </w:rPr>
        <w:t xml:space="preserve"> </w:t>
      </w:r>
      <m:oMath>
        <m:r>
          <w:rPr>
            <w:rFonts w:ascii="Cambria Math" w:eastAsia="Times New Roman" w:hAnsi="Cambria Math" w:cs="Times New Roman"/>
            <w:kern w:val="0"/>
            <w:lang w:val="es-ES"/>
            <w14:ligatures w14:val="none"/>
          </w:rPr>
          <m:t>d</m:t>
        </m:r>
        <m:r>
          <m:rPr>
            <m:sty m:val="p"/>
          </m:rPr>
          <w:rPr>
            <w:rFonts w:ascii="Cambria Math" w:eastAsia="Times New Roman" w:hAnsi="Cambria Math" w:cs="Times New Roman"/>
            <w:kern w:val="0"/>
            <w:lang w:val="es-ES"/>
            <w14:ligatures w14:val="none"/>
          </w:rPr>
          <m:t>=1,…,</m:t>
        </m:r>
        <m:r>
          <w:rPr>
            <w:rFonts w:ascii="Cambria Math" w:eastAsia="Times New Roman" w:hAnsi="Cambria Math" w:cs="Times New Roman"/>
            <w:kern w:val="0"/>
            <w:lang w:val="es-ES"/>
            <w14:ligatures w14:val="none"/>
          </w:rPr>
          <m:t>D</m:t>
        </m:r>
      </m:oMath>
    </w:p>
    <w:p w14:paraId="64C45481" w14:textId="77777777" w:rsidR="007F4AB3" w:rsidRDefault="007F4AB3" w:rsidP="007F4AB3">
      <w:pPr>
        <w:spacing w:after="200" w:line="276" w:lineRule="auto"/>
        <w:ind w:left="1080"/>
        <w:contextualSpacing/>
        <w:jc w:val="both"/>
        <w:rPr>
          <w:rFonts w:ascii="Cambria Math" w:eastAsia="Times New Roman" w:hAnsi="Cambria Math" w:cs="Times New Roman"/>
          <w:i/>
          <w:lang w:val="es-CL"/>
        </w:rPr>
      </w:pPr>
    </w:p>
    <w:p w14:paraId="5FF71D81" w14:textId="77777777" w:rsidR="007F4AB3" w:rsidRDefault="007F4AB3" w:rsidP="007F4AB3">
      <w:pPr>
        <w:spacing w:after="200" w:line="276" w:lineRule="auto"/>
        <w:contextualSpacing/>
        <w:jc w:val="both"/>
      </w:pPr>
      <w:r>
        <w:t>Para asegurar la calidad de las estimaciones SAE en el ámbito distrital, resulta indispensable:</w:t>
      </w:r>
    </w:p>
    <w:p w14:paraId="2633CBA3" w14:textId="77777777" w:rsidR="007F4AB3" w:rsidRDefault="007F4AB3" w:rsidP="007F4AB3">
      <w:pPr>
        <w:spacing w:after="200" w:line="276" w:lineRule="auto"/>
        <w:contextualSpacing/>
        <w:jc w:val="both"/>
      </w:pPr>
    </w:p>
    <w:p w14:paraId="2C17E3AA" w14:textId="77777777" w:rsidR="007F4AB3" w:rsidRDefault="007F4AB3" w:rsidP="007F4AB3">
      <w:pPr>
        <w:pStyle w:val="ListParagraph"/>
        <w:numPr>
          <w:ilvl w:val="0"/>
          <w:numId w:val="4"/>
        </w:numPr>
        <w:spacing w:after="200" w:line="276" w:lineRule="auto"/>
        <w:jc w:val="both"/>
      </w:pPr>
      <w:r>
        <w:t>Contar con fuentes administrativas y censales actualizadas y de calidad, que aporten variables explicativas pertinentes al fenómeno de fecundidad y mortalidad.</w:t>
      </w:r>
    </w:p>
    <w:p w14:paraId="33167CCE" w14:textId="6A64D550" w:rsidR="007F4AB3" w:rsidRDefault="007F4AB3" w:rsidP="007F4AB3">
      <w:pPr>
        <w:pStyle w:val="ListParagraph"/>
        <w:numPr>
          <w:ilvl w:val="0"/>
          <w:numId w:val="4"/>
        </w:numPr>
        <w:spacing w:after="200" w:line="276" w:lineRule="auto"/>
        <w:jc w:val="both"/>
      </w:pPr>
      <w:r>
        <w:t>Disponer de tamaños muestrales mínimos suficientes que permitan producir estimaciones directas con un nivel razonable de precisión.</w:t>
      </w:r>
    </w:p>
    <w:p w14:paraId="7A6A8C15" w14:textId="00BEBBC3" w:rsidR="007F4AB3" w:rsidRDefault="007F4AB3" w:rsidP="007F4AB3">
      <w:pPr>
        <w:spacing w:after="200" w:line="276" w:lineRule="auto"/>
        <w:contextualSpacing/>
        <w:jc w:val="both"/>
      </w:pPr>
      <w:r>
        <w:t>De este modo, la combinación de información auxiliar confiable y de estimaciones directas consistentes constituye un insumo fundamental para el desarrollo de indicadores de fecundidad y mortalidad infantil en áreas pequeñas en el Perú.</w:t>
      </w:r>
    </w:p>
    <w:p w14:paraId="3BCACDA9" w14:textId="77777777" w:rsidR="0011456A" w:rsidRDefault="0011456A" w:rsidP="007F4AB3">
      <w:pPr>
        <w:spacing w:after="200" w:line="276" w:lineRule="auto"/>
        <w:contextualSpacing/>
        <w:jc w:val="both"/>
      </w:pPr>
    </w:p>
    <w:p w14:paraId="3F61928D" w14:textId="13113A10" w:rsidR="0011456A" w:rsidRPr="003C7483" w:rsidRDefault="006A1500" w:rsidP="003C7483">
      <w:pPr>
        <w:pStyle w:val="Heading1"/>
        <w:numPr>
          <w:ilvl w:val="0"/>
          <w:numId w:val="13"/>
        </w:numPr>
        <w:rPr>
          <w:lang w:val="es-CL"/>
        </w:rPr>
      </w:pPr>
      <w:bookmarkStart w:id="8" w:name="_Toc207902574"/>
      <w:r w:rsidRPr="003C7483">
        <w:rPr>
          <w:lang w:val="es-CL"/>
        </w:rPr>
        <w:t xml:space="preserve">Implementación del modelo SAE en indicadores de </w:t>
      </w:r>
      <w:r w:rsidR="00D977D7">
        <w:rPr>
          <w:lang w:val="es-CL"/>
        </w:rPr>
        <w:t>fecundidad</w:t>
      </w:r>
      <w:r w:rsidRPr="003C7483">
        <w:rPr>
          <w:lang w:val="es-CL"/>
        </w:rPr>
        <w:t xml:space="preserve"> y mortalidad</w:t>
      </w:r>
      <w:bookmarkEnd w:id="8"/>
    </w:p>
    <w:p w14:paraId="26C5AE03" w14:textId="77777777" w:rsidR="006A1500" w:rsidRDefault="006A1500" w:rsidP="006A1500">
      <w:pPr>
        <w:keepNext/>
        <w:keepLines/>
        <w:spacing w:before="240" w:after="0" w:line="240" w:lineRule="auto"/>
        <w:outlineLvl w:val="0"/>
        <w:rPr>
          <w:rFonts w:asciiTheme="majorHAnsi" w:eastAsiaTheme="majorEastAsia" w:hAnsiTheme="majorHAnsi" w:cs="Times New Roman"/>
          <w:color w:val="0F4761" w:themeColor="accent1" w:themeShade="BF"/>
          <w:kern w:val="0"/>
          <w:sz w:val="32"/>
          <w:szCs w:val="32"/>
          <w:lang w:val="es-CL"/>
          <w14:ligatures w14:val="none"/>
        </w:rPr>
      </w:pPr>
    </w:p>
    <w:p w14:paraId="005373FF" w14:textId="461E8A08" w:rsidR="006A1500" w:rsidRDefault="006A1500" w:rsidP="006A1500">
      <w:pPr>
        <w:rPr>
          <w:lang w:val="es-CL"/>
        </w:rPr>
      </w:pPr>
      <w:r w:rsidRPr="006A1500">
        <w:rPr>
          <w:lang w:val="es-CL"/>
        </w:rPr>
        <w:t xml:space="preserve">En esta sección se presenta la implementación del modelo de estimación en áreas pequeñas (SAE) para seis indicadores demográficos a nivel distrital, organizados en dos grupos: tres indicadores de </w:t>
      </w:r>
      <w:r w:rsidR="00D977D7">
        <w:rPr>
          <w:lang w:val="es-CL"/>
        </w:rPr>
        <w:t>fecundidad</w:t>
      </w:r>
      <w:r w:rsidRPr="006A1500">
        <w:rPr>
          <w:lang w:val="es-CL"/>
        </w:rPr>
        <w:t xml:space="preserve"> y tres indicadores de mortalidad. Para cada conjunto de indicadores se incluye la definición conceptual y operativa, la evaluación de la estimación directa, así como los indicadores de calidad propuestos y las reglas de decisión utilizadas para su inclusión en el modelo.</w:t>
      </w:r>
    </w:p>
    <w:p w14:paraId="1CA27A04" w14:textId="77777777" w:rsidR="006A1500" w:rsidRPr="006A1500" w:rsidRDefault="006A1500" w:rsidP="006A1500">
      <w:pPr>
        <w:rPr>
          <w:lang w:val="es-CL"/>
        </w:rPr>
      </w:pPr>
    </w:p>
    <w:p w14:paraId="11E3DFB6" w14:textId="63BC2365" w:rsidR="007F4AB3" w:rsidRDefault="003C7483" w:rsidP="003C7483">
      <w:pPr>
        <w:pStyle w:val="Heading2"/>
        <w:rPr>
          <w:rFonts w:eastAsia="Times New Roman"/>
          <w:lang w:val="es-CL"/>
        </w:rPr>
      </w:pPr>
      <w:bookmarkStart w:id="9" w:name="_Toc207902575"/>
      <w:r>
        <w:rPr>
          <w:rFonts w:eastAsia="Times New Roman"/>
          <w:lang w:val="es-CL"/>
        </w:rPr>
        <w:t xml:space="preserve">4.1 </w:t>
      </w:r>
      <w:r w:rsidR="00D977D7">
        <w:rPr>
          <w:rFonts w:eastAsia="Times New Roman"/>
          <w:lang w:val="es-CL"/>
        </w:rPr>
        <w:t>Fecundidad</w:t>
      </w:r>
      <w:bookmarkEnd w:id="9"/>
    </w:p>
    <w:p w14:paraId="3339FD79" w14:textId="77777777" w:rsidR="006A1500" w:rsidRPr="006A1500" w:rsidRDefault="006A1500" w:rsidP="006A1500">
      <w:pPr>
        <w:rPr>
          <w:lang w:val="es-CL"/>
        </w:rPr>
      </w:pPr>
    </w:p>
    <w:p w14:paraId="694AF705" w14:textId="31AB9B7A" w:rsidR="006A1500" w:rsidRPr="006A1500" w:rsidRDefault="006A1500" w:rsidP="006A1500">
      <w:pPr>
        <w:rPr>
          <w:lang w:val="es-CL"/>
        </w:rPr>
      </w:pPr>
      <w:r w:rsidRPr="006A1500">
        <w:rPr>
          <w:lang w:val="es-CL"/>
        </w:rPr>
        <w:t>En esta sección se presentan los principales indicadores de fecundidad estimados a partir de bases de datos individuales de mujeres en edad fértil (15–49 años) y de nacimientos ocurridos en el Perú en 2024. La estimación directa se realiza mediante el conteo de eventos (nacimientos) y el cálculo del tiempo de exposición al riesgo, aplicando el diseño muestral para asegurar la representatividad de los resultados. Estos indicadores permiten caracterizar la intensidad y el calendario reproductivo de la población femenina a nivel distrital.</w:t>
      </w:r>
      <w:r>
        <w:rPr>
          <w:lang w:val="es-CL"/>
        </w:rPr>
        <w:t xml:space="preserve"> </w:t>
      </w:r>
      <w:r w:rsidRPr="006A1500">
        <w:rPr>
          <w:lang w:val="es-CL"/>
        </w:rPr>
        <w:t xml:space="preserve">Indicadores de </w:t>
      </w:r>
      <w:r w:rsidR="00D977D7">
        <w:rPr>
          <w:lang w:val="es-CL"/>
        </w:rPr>
        <w:t>fecundidad</w:t>
      </w:r>
      <w:r w:rsidRPr="006A1500">
        <w:rPr>
          <w:lang w:val="es-CL"/>
        </w:rPr>
        <w:t xml:space="preserve"> considerados:</w:t>
      </w:r>
    </w:p>
    <w:p w14:paraId="7BF36776" w14:textId="77777777" w:rsidR="006A1500" w:rsidRPr="006A1500" w:rsidRDefault="006A1500" w:rsidP="006A1500">
      <w:pPr>
        <w:rPr>
          <w:lang w:val="es-CL"/>
        </w:rPr>
      </w:pPr>
    </w:p>
    <w:p w14:paraId="613657A2" w14:textId="1609C1C4" w:rsidR="006A1500" w:rsidRPr="006A1500" w:rsidRDefault="006A1500" w:rsidP="006A1500">
      <w:pPr>
        <w:pStyle w:val="ListParagraph"/>
        <w:numPr>
          <w:ilvl w:val="0"/>
          <w:numId w:val="5"/>
        </w:numPr>
        <w:rPr>
          <w:lang w:val="es-CL"/>
        </w:rPr>
      </w:pPr>
      <w:r w:rsidRPr="003E2F10">
        <w:rPr>
          <w:color w:val="215E99" w:themeColor="text2" w:themeTint="BF"/>
          <w:lang w:val="es-CL"/>
        </w:rPr>
        <w:t xml:space="preserve">Tasas Específicas de Fecundidad (ASFR): </w:t>
      </w:r>
      <w:r w:rsidRPr="006A1500">
        <w:rPr>
          <w:lang w:val="es-CL"/>
        </w:rPr>
        <w:t xml:space="preserve">número de nacimientos vivos por cada 1.000 </w:t>
      </w:r>
      <w:proofErr w:type="spellStart"/>
      <w:r w:rsidRPr="006A1500">
        <w:rPr>
          <w:lang w:val="es-CL"/>
        </w:rPr>
        <w:t>mujeraños</w:t>
      </w:r>
      <w:proofErr w:type="spellEnd"/>
      <w:r w:rsidRPr="006A1500">
        <w:rPr>
          <w:lang w:val="es-CL"/>
        </w:rPr>
        <w:t xml:space="preserve"> en un grupo de edad quinquenal (15–19, 20–24, etc.). Permiten analizar la distribución de la fecundidad según edad.</w:t>
      </w:r>
    </w:p>
    <w:p w14:paraId="56435BB8" w14:textId="71099E0B" w:rsidR="006A1500" w:rsidRPr="006A1500" w:rsidRDefault="006A1500" w:rsidP="006A1500">
      <w:pPr>
        <w:pStyle w:val="ListParagraph"/>
        <w:numPr>
          <w:ilvl w:val="0"/>
          <w:numId w:val="5"/>
        </w:numPr>
        <w:rPr>
          <w:lang w:val="es-CL"/>
        </w:rPr>
      </w:pPr>
      <w:r w:rsidRPr="003E2F10">
        <w:rPr>
          <w:color w:val="215E99" w:themeColor="text2" w:themeTint="BF"/>
          <w:lang w:val="es-CL"/>
        </w:rPr>
        <w:t xml:space="preserve">Tasa Global de Fecundidad (TFR): </w:t>
      </w:r>
      <w:r w:rsidRPr="006A1500">
        <w:rPr>
          <w:lang w:val="es-CL"/>
        </w:rPr>
        <w:t>número promedio de hijos que tendría una mujer a lo largo de su vida reproductiva (15–49 años), si mantuviera las tasas de fecundidad observadas en cada grupo etario.</w:t>
      </w:r>
    </w:p>
    <w:p w14:paraId="5D510160" w14:textId="71229468" w:rsidR="006A1500" w:rsidRPr="006A1500" w:rsidRDefault="006A1500" w:rsidP="006A1500">
      <w:pPr>
        <w:pStyle w:val="ListParagraph"/>
        <w:numPr>
          <w:ilvl w:val="0"/>
          <w:numId w:val="5"/>
        </w:numPr>
        <w:rPr>
          <w:lang w:val="es-CL"/>
        </w:rPr>
      </w:pPr>
      <w:r w:rsidRPr="003E2F10">
        <w:rPr>
          <w:color w:val="215E99" w:themeColor="text2" w:themeTint="BF"/>
          <w:lang w:val="es-CL"/>
        </w:rPr>
        <w:t xml:space="preserve">Promedio de hijos nacidos vivos: </w:t>
      </w:r>
      <w:r w:rsidRPr="006A1500">
        <w:rPr>
          <w:lang w:val="es-CL"/>
        </w:rPr>
        <w:t>indicador de fecundidad acumulada que estima el promedio de hijos efectivamente tenidos por cada mujer al momento de la entrevista.</w:t>
      </w:r>
    </w:p>
    <w:p w14:paraId="106E41EB" w14:textId="77777777" w:rsidR="007F4AB3" w:rsidRDefault="007F4AB3" w:rsidP="007F4AB3">
      <w:pPr>
        <w:spacing w:after="200" w:line="276" w:lineRule="auto"/>
        <w:contextualSpacing/>
        <w:jc w:val="both"/>
        <w:rPr>
          <w:rFonts w:ascii="Cambria Math" w:eastAsia="Times New Roman" w:hAnsi="Cambria Math" w:cs="Times New Roman"/>
          <w:i/>
          <w:iCs/>
          <w:kern w:val="0"/>
          <w:sz w:val="20"/>
          <w:szCs w:val="20"/>
          <w:lang w:val="es-ES_tradnl"/>
          <w14:ligatures w14:val="none"/>
        </w:rPr>
      </w:pPr>
    </w:p>
    <w:p w14:paraId="0C24866D" w14:textId="52343449" w:rsidR="006A1500" w:rsidRPr="003C7483" w:rsidRDefault="00A22FB4" w:rsidP="003C7483">
      <w:pPr>
        <w:pStyle w:val="Heading3"/>
      </w:pPr>
      <w:bookmarkStart w:id="10" w:name="_Toc207902576"/>
      <w:r w:rsidRPr="003C7483">
        <w:t xml:space="preserve">4.1.1 Definición y descripción de los indicadores de </w:t>
      </w:r>
      <w:r w:rsidR="00D977D7">
        <w:t>fecundidad</w:t>
      </w:r>
      <w:bookmarkEnd w:id="10"/>
    </w:p>
    <w:p w14:paraId="7D5CF748" w14:textId="77777777" w:rsidR="00A22FB4" w:rsidRDefault="00A22FB4" w:rsidP="00A22FB4"/>
    <w:p w14:paraId="20A29F75" w14:textId="65C103E2" w:rsidR="007F600E" w:rsidRDefault="007F600E" w:rsidP="007F600E">
      <w:pPr>
        <w:pStyle w:val="Heading5"/>
        <w:numPr>
          <w:ilvl w:val="0"/>
          <w:numId w:val="11"/>
        </w:numPr>
      </w:pPr>
      <w:bookmarkStart w:id="11" w:name="tasa-específica-de-fecundidad-asfr"/>
      <w:bookmarkEnd w:id="11"/>
      <w:r>
        <w:t>Tasa Específica de Fecundidad (ASFR)</w:t>
      </w:r>
    </w:p>
    <w:p w14:paraId="19CC1E14" w14:textId="77777777" w:rsidR="007F600E" w:rsidRPr="007F600E" w:rsidRDefault="00351E3A" w:rsidP="007F600E">
      <w:pPr>
        <w:pStyle w:val="FirstParagraph"/>
        <w:rPr>
          <w:lang w:val="es-CO"/>
        </w:rPr>
      </w:pPr>
      <m:oMathPara>
        <m:oMathParaPr>
          <m:jc m:val="center"/>
        </m:oMathParaPr>
        <m:oMath>
          <m:sSub>
            <m:sSubPr>
              <m:ctrlPr>
                <w:rPr>
                  <w:rFonts w:ascii="Cambria Math" w:hAnsi="Cambria Math"/>
                  <w:sz w:val="20"/>
                  <w:szCs w:val="20"/>
                </w:rPr>
              </m:ctrlPr>
            </m:sSubPr>
            <m:e>
              <m:r>
                <m:rPr>
                  <m:nor/>
                </m:rPr>
                <w:rPr>
                  <w:sz w:val="20"/>
                  <w:szCs w:val="20"/>
                  <w:lang w:val="es-CO"/>
                </w:rPr>
                <m:t>ASFR</m:t>
              </m:r>
            </m:e>
            <m:sub>
              <m:r>
                <w:rPr>
                  <w:rFonts w:ascii="Cambria Math" w:hAnsi="Cambria Math"/>
                  <w:sz w:val="20"/>
                  <w:szCs w:val="20"/>
                </w:rPr>
                <m:t>a</m:t>
              </m:r>
            </m:sub>
          </m:sSub>
          <m:r>
            <m:rPr>
              <m:sty m:val="p"/>
            </m:rPr>
            <w:rPr>
              <w:rFonts w:ascii="Cambria Math" w:hAnsi="Cambria Math"/>
              <w:sz w:val="20"/>
              <w:szCs w:val="20"/>
              <w:lang w:val="es-CO"/>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a</m:t>
                  </m:r>
                </m:sub>
              </m:sSub>
            </m:num>
            <m:den>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a</m:t>
                  </m:r>
                </m:sub>
              </m:sSub>
            </m:den>
          </m:f>
          <m:r>
            <m:rPr>
              <m:sty m:val="p"/>
            </m:rPr>
            <w:rPr>
              <w:rFonts w:ascii="Cambria Math" w:hAnsi="Cambria Math"/>
              <w:sz w:val="20"/>
              <w:szCs w:val="20"/>
              <w:lang w:val="es-CO"/>
            </w:rPr>
            <m:t>×</m:t>
          </m:r>
          <m:r>
            <w:rPr>
              <w:rFonts w:ascii="Cambria Math" w:hAnsi="Cambria Math"/>
              <w:sz w:val="20"/>
              <w:szCs w:val="20"/>
              <w:lang w:val="es-CO"/>
            </w:rPr>
            <m:t>1000</m:t>
          </m:r>
        </m:oMath>
      </m:oMathPara>
    </w:p>
    <w:p w14:paraId="46AA9F2F" w14:textId="77777777" w:rsidR="007F600E" w:rsidRPr="007F600E" w:rsidRDefault="007F600E" w:rsidP="007F600E">
      <w:r w:rsidRPr="007F600E">
        <w:t>Donde:</w:t>
      </w:r>
    </w:p>
    <w:p w14:paraId="1AA9B793" w14:textId="77777777" w:rsidR="007F600E" w:rsidRPr="007F600E" w:rsidRDefault="00351E3A" w:rsidP="007F600E">
      <m:oMath>
        <m:sSub>
          <m:sSubPr>
            <m:ctrlPr>
              <w:rPr>
                <w:rFonts w:ascii="Cambria Math" w:hAnsi="Cambria Math"/>
                <w:lang w:val="en-US"/>
              </w:rPr>
            </m:ctrlPr>
          </m:sSubPr>
          <m:e>
            <m:r>
              <w:rPr>
                <w:rFonts w:ascii="Cambria Math" w:hAnsi="Cambria Math"/>
              </w:rPr>
              <m:t>Y</m:t>
            </m:r>
          </m:e>
          <m:sub>
            <m:r>
              <w:rPr>
                <w:rFonts w:ascii="Cambria Math" w:hAnsi="Cambria Math"/>
              </w:rPr>
              <m:t>a</m:t>
            </m:r>
          </m:sub>
        </m:sSub>
      </m:oMath>
      <w:r w:rsidR="007F600E" w:rsidRPr="007F600E">
        <w:t xml:space="preserve">: número total de nacimientos ocurridos en mujeres del grupo de edad </w:t>
      </w:r>
      <m:oMath>
        <m:r>
          <w:rPr>
            <w:rFonts w:ascii="Cambria Math" w:hAnsi="Cambria Math"/>
          </w:rPr>
          <m:t>a</m:t>
        </m:r>
      </m:oMath>
      <w:r w:rsidR="007F600E" w:rsidRPr="007F600E">
        <w:t xml:space="preserve"> durante el período de referencia.</w:t>
      </w:r>
    </w:p>
    <w:p w14:paraId="7BF452A6" w14:textId="7CA9ECA5" w:rsidR="007F600E" w:rsidRPr="007F600E" w:rsidRDefault="00351E3A" w:rsidP="007F600E">
      <m:oMath>
        <m:sSub>
          <m:sSubPr>
            <m:ctrlPr>
              <w:rPr>
                <w:rFonts w:ascii="Cambria Math" w:hAnsi="Cambria Math"/>
                <w:lang w:val="en-US"/>
              </w:rPr>
            </m:ctrlPr>
          </m:sSubPr>
          <m:e>
            <m:r>
              <w:rPr>
                <w:rFonts w:ascii="Cambria Math" w:hAnsi="Cambria Math"/>
              </w:rPr>
              <m:t>E</m:t>
            </m:r>
          </m:e>
          <m:sub>
            <m:r>
              <w:rPr>
                <w:rFonts w:ascii="Cambria Math" w:hAnsi="Cambria Math"/>
              </w:rPr>
              <m:t>a</m:t>
            </m:r>
          </m:sub>
        </m:sSub>
      </m:oMath>
      <w:r w:rsidR="007F600E" w:rsidRPr="007F600E">
        <w:t>: número total de mujeraño</w:t>
      </w:r>
      <w:r w:rsidR="003C7483">
        <w:rPr>
          <w:rStyle w:val="FootnoteReference"/>
        </w:rPr>
        <w:footnoteReference w:id="2"/>
      </w:r>
      <w:r w:rsidR="007F600E" w:rsidRPr="007F600E">
        <w:t xml:space="preserve"> de exposición en ese grupo de edad.</w:t>
      </w:r>
    </w:p>
    <w:p w14:paraId="671398BF" w14:textId="77777777" w:rsidR="007F600E" w:rsidRPr="007F600E" w:rsidRDefault="007F600E" w:rsidP="007F600E">
      <w:r w:rsidRPr="007F600E">
        <w:t xml:space="preserve">Multiplicamos por 1000 para expresar la tasa como nacimientos por cada 1.000 </w:t>
      </w:r>
      <w:proofErr w:type="spellStart"/>
      <w:r w:rsidRPr="007F600E">
        <w:t>mujeraños</w:t>
      </w:r>
      <w:proofErr w:type="spellEnd"/>
      <w:r w:rsidRPr="007F600E">
        <w:t>.</w:t>
      </w:r>
    </w:p>
    <w:p w14:paraId="7C5FB08A" w14:textId="474DC5E6" w:rsidR="007F600E" w:rsidRDefault="007F600E" w:rsidP="007F600E">
      <w:pPr>
        <w:pStyle w:val="Heading5"/>
        <w:numPr>
          <w:ilvl w:val="0"/>
          <w:numId w:val="11"/>
        </w:numPr>
      </w:pPr>
      <w:bookmarkStart w:id="12" w:name="tasa-global-de-fecundidad-tfr"/>
      <w:bookmarkEnd w:id="12"/>
      <w:r>
        <w:t>Tasa Global de Fecundidad (TFR)</w:t>
      </w:r>
    </w:p>
    <w:p w14:paraId="7E04A91F" w14:textId="77777777" w:rsidR="007F600E" w:rsidRPr="007F600E" w:rsidRDefault="007F600E" w:rsidP="007F600E">
      <w:pPr>
        <w:pStyle w:val="FirstParagraph"/>
        <w:rPr>
          <w:sz w:val="22"/>
          <w:szCs w:val="22"/>
          <w:lang w:val="es-CO"/>
        </w:rPr>
      </w:pPr>
      <m:oMathPara>
        <m:oMathParaPr>
          <m:jc m:val="center"/>
        </m:oMathParaPr>
        <m:oMath>
          <m:r>
            <m:rPr>
              <m:nor/>
            </m:rPr>
            <w:rPr>
              <w:sz w:val="20"/>
              <w:szCs w:val="20"/>
              <w:lang w:val="es-CO"/>
            </w:rPr>
            <m:t>TFR</m:t>
          </m:r>
          <m:r>
            <m:rPr>
              <m:sty m:val="p"/>
            </m:rPr>
            <w:rPr>
              <w:rFonts w:ascii="Cambria Math" w:hAnsi="Cambria Math"/>
              <w:sz w:val="22"/>
              <w:szCs w:val="22"/>
              <w:lang w:val="es-CO"/>
            </w:rPr>
            <m:t>=</m:t>
          </m:r>
          <m:r>
            <w:rPr>
              <w:rFonts w:ascii="Cambria Math" w:hAnsi="Cambria Math"/>
              <w:sz w:val="22"/>
              <w:szCs w:val="22"/>
              <w:lang w:val="es-CO"/>
            </w:rPr>
            <m:t>5</m:t>
          </m:r>
          <m:r>
            <m:rPr>
              <m:sty m:val="p"/>
            </m:rPr>
            <w:rPr>
              <w:rFonts w:ascii="Cambria Math" w:hAnsi="Cambria Math"/>
              <w:sz w:val="22"/>
              <w:szCs w:val="22"/>
              <w:lang w:val="es-CO"/>
            </w:rPr>
            <m:t>×</m:t>
          </m:r>
          <m:nary>
            <m:naryPr>
              <m:chr m:val="∑"/>
              <m:limLoc m:val="undOvr"/>
              <m:supHide m:val="1"/>
              <m:ctrlPr>
                <w:rPr>
                  <w:rFonts w:ascii="Cambria Math" w:hAnsi="Cambria Math"/>
                  <w:sz w:val="22"/>
                  <w:szCs w:val="22"/>
                </w:rPr>
              </m:ctrlPr>
            </m:naryPr>
            <m:sub>
              <m:r>
                <w:rPr>
                  <w:rFonts w:ascii="Cambria Math" w:hAnsi="Cambria Math"/>
                  <w:sz w:val="22"/>
                  <w:szCs w:val="22"/>
                </w:rPr>
                <m:t>a</m:t>
              </m:r>
              <m:r>
                <m:rPr>
                  <m:sty m:val="p"/>
                </m:rPr>
                <w:rPr>
                  <w:rFonts w:ascii="Cambria Math" w:hAnsi="Cambria Math"/>
                  <w:sz w:val="22"/>
                  <w:szCs w:val="22"/>
                  <w:lang w:val="es-CO"/>
                </w:rPr>
                <m:t>∈</m:t>
              </m:r>
              <m:r>
                <m:rPr>
                  <m:scr m:val="script"/>
                  <m:sty m:val="p"/>
                </m:rPr>
                <w:rPr>
                  <w:rFonts w:ascii="Cambria Math" w:hAnsi="Cambria Math"/>
                  <w:sz w:val="22"/>
                  <w:szCs w:val="22"/>
                </w:rPr>
                <m:t>A</m:t>
              </m:r>
            </m:sub>
            <m:sup>
              <m:r>
                <w:rPr>
                  <w:rFonts w:ascii="Cambria Math" w:hAnsi="Cambria Math"/>
                  <w:sz w:val="22"/>
                  <w:szCs w:val="22"/>
                  <w:lang w:val="es-CO"/>
                </w:rPr>
                <m:t>​</m:t>
              </m:r>
            </m:sup>
            <m:e>
              <m:f>
                <m:fPr>
                  <m:ctrlPr>
                    <w:rPr>
                      <w:rFonts w:ascii="Cambria Math" w:hAnsi="Cambria Math"/>
                      <w:sz w:val="22"/>
                      <w:szCs w:val="22"/>
                    </w:rPr>
                  </m:ctrlPr>
                </m:fPr>
                <m:num>
                  <m:sSub>
                    <m:sSubPr>
                      <m:ctrlPr>
                        <w:rPr>
                          <w:rFonts w:ascii="Cambria Math" w:hAnsi="Cambria Math"/>
                          <w:sz w:val="22"/>
                          <w:szCs w:val="22"/>
                        </w:rPr>
                      </m:ctrlPr>
                    </m:sSubPr>
                    <m:e>
                      <m:r>
                        <m:rPr>
                          <m:nor/>
                        </m:rPr>
                        <w:rPr>
                          <w:sz w:val="22"/>
                          <w:szCs w:val="22"/>
                          <w:lang w:val="es-CO"/>
                        </w:rPr>
                        <m:t>ASFR</m:t>
                      </m:r>
                    </m:e>
                    <m:sub>
                      <m:r>
                        <w:rPr>
                          <w:rFonts w:ascii="Cambria Math" w:hAnsi="Cambria Math"/>
                          <w:sz w:val="22"/>
                          <w:szCs w:val="22"/>
                        </w:rPr>
                        <m:t>a</m:t>
                      </m:r>
                    </m:sub>
                  </m:sSub>
                </m:num>
                <m:den>
                  <m:r>
                    <w:rPr>
                      <w:rFonts w:ascii="Cambria Math" w:hAnsi="Cambria Math"/>
                      <w:sz w:val="22"/>
                      <w:szCs w:val="22"/>
                      <w:lang w:val="es-CO"/>
                    </w:rPr>
                    <m:t>1000</m:t>
                  </m:r>
                </m:den>
              </m:f>
            </m:e>
          </m:nary>
        </m:oMath>
      </m:oMathPara>
    </w:p>
    <w:p w14:paraId="0822CC9A" w14:textId="78EA1C9B" w:rsidR="007F600E" w:rsidRPr="007F600E" w:rsidRDefault="007F600E" w:rsidP="007F600E">
      <w:r w:rsidRPr="007F600E">
        <w:t xml:space="preserve">Donde </w:t>
      </w:r>
      <m:oMath>
        <m:r>
          <m:rPr>
            <m:scr m:val="script"/>
            <m:sty m:val="p"/>
          </m:rPr>
          <w:rPr>
            <w:rFonts w:ascii="Cambria Math" w:hAnsi="Cambria Math"/>
          </w:rPr>
          <m:t>A</m:t>
        </m:r>
      </m:oMath>
      <w:r w:rsidRPr="007F600E">
        <w:t xml:space="preserve"> representa los grupos de edad quinquenales:</w:t>
      </w:r>
      <w:r>
        <w:t xml:space="preserve"> </w:t>
      </w:r>
      <w:r w:rsidRPr="007F600E">
        <w:t>15–19, 20–24, …, 45–49.</w:t>
      </w:r>
    </w:p>
    <w:p w14:paraId="3A0FEA3D" w14:textId="468C7DE6" w:rsidR="007F600E" w:rsidRDefault="007F600E" w:rsidP="007F600E">
      <w:pPr>
        <w:pStyle w:val="Heading5"/>
        <w:numPr>
          <w:ilvl w:val="0"/>
          <w:numId w:val="11"/>
        </w:numPr>
      </w:pPr>
      <w:bookmarkStart w:id="13" w:name="X97c6c3c6104172eff6d2cf15a6773a4a54e5009"/>
      <w:r>
        <w:t>Promedio de hijos nacidos vivos por mujer</w:t>
      </w:r>
    </w:p>
    <w:p w14:paraId="0F9A0C24" w14:textId="77777777" w:rsidR="007F600E" w:rsidRPr="007F600E" w:rsidRDefault="007F600E" w:rsidP="007F600E">
      <w:pPr>
        <w:pStyle w:val="FirstParagraph"/>
        <w:rPr>
          <w:lang w:val="es-CO"/>
        </w:rPr>
      </w:pPr>
      <m:oMathPara>
        <m:oMathParaPr>
          <m:jc m:val="center"/>
        </m:oMathParaPr>
        <m:oMath>
          <m:r>
            <m:rPr>
              <m:nor/>
            </m:rPr>
            <w:rPr>
              <w:sz w:val="22"/>
              <w:szCs w:val="22"/>
              <w:lang w:val="es-CO"/>
            </w:rPr>
            <m:t>Promedio de hijos</m:t>
          </m:r>
          <m:r>
            <m:rPr>
              <m:sty m:val="p"/>
            </m:rPr>
            <w:rPr>
              <w:rFonts w:ascii="Cambria Math" w:hAnsi="Cambria Math"/>
              <w:sz w:val="28"/>
              <w:szCs w:val="28"/>
              <w:lang w:val="es-CO"/>
            </w:rPr>
            <m:t>=</m:t>
          </m:r>
          <m:f>
            <m:fPr>
              <m:ctrlPr>
                <w:rPr>
                  <w:rFonts w:ascii="Cambria Math" w:hAnsi="Cambria Math"/>
                  <w:sz w:val="28"/>
                  <w:szCs w:val="28"/>
                </w:rPr>
              </m:ctrlPr>
            </m:fPr>
            <m:num>
              <m:nary>
                <m:naryPr>
                  <m:chr m:val="∑"/>
                  <m:limLoc m:val="undOvr"/>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lang w:val="es-CO"/>
                    </w:rPr>
                    <m:t>=</m:t>
                  </m:r>
                  <m:r>
                    <w:rPr>
                      <w:rFonts w:ascii="Cambria Math" w:hAnsi="Cambria Math"/>
                      <w:sz w:val="28"/>
                      <w:szCs w:val="28"/>
                      <w:lang w:val="es-CO"/>
                    </w:rPr>
                    <m:t>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lang w:val="es-CO"/>
                        </w:rPr>
                        <m:t>h</m:t>
                      </m:r>
                    </m:e>
                    <m:sub>
                      <m:r>
                        <w:rPr>
                          <w:rFonts w:ascii="Cambria Math" w:hAnsi="Cambria Math"/>
                          <w:sz w:val="28"/>
                          <w:szCs w:val="28"/>
                        </w:rPr>
                        <m:t>i</m:t>
                      </m:r>
                    </m:sub>
                  </m:sSub>
                </m:e>
              </m:nary>
            </m:num>
            <m:den>
              <m:r>
                <w:rPr>
                  <w:rFonts w:ascii="Cambria Math" w:hAnsi="Cambria Math"/>
                  <w:sz w:val="28"/>
                  <w:szCs w:val="28"/>
                </w:rPr>
                <m:t>n</m:t>
              </m:r>
            </m:den>
          </m:f>
        </m:oMath>
      </m:oMathPara>
    </w:p>
    <w:p w14:paraId="23D07CB9" w14:textId="77777777" w:rsidR="007F600E" w:rsidRDefault="007F600E" w:rsidP="007F600E">
      <w:r>
        <w:t>Donde:</w:t>
      </w:r>
    </w:p>
    <w:p w14:paraId="104D8F2A" w14:textId="77777777" w:rsidR="007F600E" w:rsidRPr="007F600E" w:rsidRDefault="00351E3A" w:rsidP="007F600E">
      <m:oMath>
        <m:sSub>
          <m:sSubPr>
            <m:ctrlPr>
              <w:rPr>
                <w:rFonts w:ascii="Cambria Math" w:hAnsi="Cambria Math"/>
                <w:lang w:val="en-US"/>
              </w:rPr>
            </m:ctrlPr>
          </m:sSubPr>
          <m:e>
            <m:r>
              <w:rPr>
                <w:rFonts w:ascii="Cambria Math" w:hAnsi="Cambria Math"/>
              </w:rPr>
              <m:t>h</m:t>
            </m:r>
          </m:e>
          <m:sub>
            <m:r>
              <w:rPr>
                <w:rFonts w:ascii="Cambria Math" w:hAnsi="Cambria Math"/>
              </w:rPr>
              <m:t>i</m:t>
            </m:r>
          </m:sub>
        </m:sSub>
      </m:oMath>
      <w:r w:rsidR="007F600E" w:rsidRPr="007F600E">
        <w:t xml:space="preserve">: número de hijos nacidos vivos de la mujer </w:t>
      </w:r>
      <m:oMath>
        <m:r>
          <w:rPr>
            <w:rFonts w:ascii="Cambria Math" w:hAnsi="Cambria Math"/>
          </w:rPr>
          <m:t>i</m:t>
        </m:r>
      </m:oMath>
      <w:r w:rsidR="007F600E" w:rsidRPr="007F600E">
        <w:t>.</w:t>
      </w:r>
    </w:p>
    <w:p w14:paraId="0A79FC74" w14:textId="77777777" w:rsidR="007F600E" w:rsidRPr="007F600E" w:rsidRDefault="007F600E" w:rsidP="007F600E">
      <m:oMath>
        <m:r>
          <w:rPr>
            <w:rFonts w:ascii="Cambria Math" w:hAnsi="Cambria Math"/>
          </w:rPr>
          <m:t>n</m:t>
        </m:r>
      </m:oMath>
      <w:r w:rsidRPr="007F600E">
        <w:t>: número total de mujeres encuestadas (entre 15 y 49 años).</w:t>
      </w:r>
    </w:p>
    <w:p w14:paraId="04D6987B" w14:textId="77777777" w:rsidR="007F600E" w:rsidRPr="007F600E" w:rsidRDefault="007F600E" w:rsidP="007F600E">
      <w:r w:rsidRPr="007F600E">
        <w:lastRenderedPageBreak/>
        <w:t>Este indicador refleja la fecundidad acumulada hasta la fecha de la entrevista, a diferencia de la TFR que se refiere a tasas recientes.</w:t>
      </w:r>
    </w:p>
    <w:bookmarkEnd w:id="13"/>
    <w:p w14:paraId="51CF464B" w14:textId="77777777" w:rsidR="00A22FB4" w:rsidRDefault="00A22FB4" w:rsidP="00A22FB4"/>
    <w:p w14:paraId="27284E39" w14:textId="0FE0B096" w:rsidR="009C0525" w:rsidRDefault="009C0525" w:rsidP="009C0525">
      <w:pPr>
        <w:pStyle w:val="Heading3"/>
      </w:pPr>
      <w:bookmarkStart w:id="14" w:name="_Toc207902577"/>
      <w:r w:rsidRPr="009C0525">
        <w:t>4.1.</w:t>
      </w:r>
      <w:r w:rsidR="00C16420">
        <w:t>1</w:t>
      </w:r>
      <w:r w:rsidRPr="009C0525">
        <w:t xml:space="preserve"> Evaluación de la estimación directa</w:t>
      </w:r>
      <w:bookmarkEnd w:id="14"/>
    </w:p>
    <w:p w14:paraId="7940A19F" w14:textId="1C115EE4" w:rsidR="009C0525" w:rsidRDefault="0017628B" w:rsidP="0017628B">
      <w:r w:rsidRPr="0017628B">
        <w:t xml:space="preserve">Como se mencionó anteriormente, para la presente aplicación se estableció un criterio de inclusión de </w:t>
      </w:r>
      <w:r>
        <w:t>distritos</w:t>
      </w:r>
      <w:r w:rsidRPr="0017628B">
        <w:t xml:space="preserve"> en el modelo de estimación en áreas pequeñas (SAE) basado en la disponibilidad de muestra y la posibilidad de obtener estimaciones directas mínimamente confiables. Bajo este criterio, se definió un conjunto de 177 </w:t>
      </w:r>
      <w:r>
        <w:t>distritos</w:t>
      </w:r>
      <w:r w:rsidRPr="0017628B">
        <w:t xml:space="preserve"> que fueron finalmente consideradas en la derivación de los parámetros de interés asociados a la estimación sintética.</w:t>
      </w:r>
    </w:p>
    <w:p w14:paraId="4E9F725D" w14:textId="69D12230" w:rsidR="0017628B" w:rsidRDefault="0017628B" w:rsidP="0017628B">
      <w:r>
        <w:t>La inclusión de distritos con estimaciones directas poco precisas podría afectar negativamente la calidad de los parámetros del modelo; sin embargo, la exclusión sistemática con base únicamente en el tamaño poblacional no resulta suficiente. En consecuencia, además del tamaño muestral alcanzado, se consideraron indicadores asociados a la calidad del trabajo de campo.</w:t>
      </w:r>
    </w:p>
    <w:p w14:paraId="55F33100" w14:textId="7A8B458F" w:rsidR="0017628B" w:rsidRDefault="0017628B" w:rsidP="0017628B">
      <w:r>
        <w:t>En la siguiente sección se describen los indicadores propuestos para evaluar la calidad de las estimaciones directas, mientras que en la sección 4.1.3 se define la regla de decisión finalmente aplicada.</w:t>
      </w:r>
    </w:p>
    <w:p w14:paraId="18831DB6" w14:textId="77777777" w:rsidR="0017628B" w:rsidRDefault="0017628B" w:rsidP="0017628B"/>
    <w:p w14:paraId="1863D717" w14:textId="57B9D382" w:rsidR="0017628B" w:rsidRDefault="0017628B" w:rsidP="0017628B">
      <w:pPr>
        <w:pStyle w:val="Heading3"/>
      </w:pPr>
      <w:bookmarkStart w:id="15" w:name="_Toc207902578"/>
      <w:r>
        <w:t>4.1.</w:t>
      </w:r>
      <w:r w:rsidR="00C16420">
        <w:t>2</w:t>
      </w:r>
      <w:r w:rsidRPr="0017628B">
        <w:tab/>
        <w:t>Indicadores de calidad propuestos</w:t>
      </w:r>
      <w:bookmarkEnd w:id="15"/>
    </w:p>
    <w:p w14:paraId="366E0DA1" w14:textId="4DB672BA" w:rsidR="0017628B" w:rsidRDefault="00312154" w:rsidP="00312154">
      <w:r w:rsidRPr="00312154">
        <w:t>Los indicadores considerados para evaluar la calidad de las estimaciones directas provienen de la literatura especializada en encuestas de hogares. En particular, el documento “Criterios de calidad en la estimación de indicadores usando encuestas de hogares. Una aplicación a la migración internacional” (Gutiérrez et al., 2020) presenta un conjunto de criterios ampliamente utilizados en estudios aplicados. En esta sección se describen los principales indicadores que se analizan para su eventual incorporación como insumos del modelo SAE. Conviene subrayar que los umbrales establecidos en la literatura para la publicación de estadísticas oficiales suelen ser más exigentes que los necesarios para la estimación en áreas pequeñas, por lo cual estos deben ser ajustados a las características de este ejercicio.</w:t>
      </w:r>
    </w:p>
    <w:p w14:paraId="21224E2F" w14:textId="1121BB8E" w:rsidR="00312154" w:rsidRDefault="00312154" w:rsidP="00312154">
      <w:pPr>
        <w:pStyle w:val="ListParagraph"/>
        <w:numPr>
          <w:ilvl w:val="0"/>
          <w:numId w:val="16"/>
        </w:numPr>
      </w:pPr>
      <w:r w:rsidRPr="00312154">
        <w:rPr>
          <w:color w:val="215E99" w:themeColor="text2" w:themeTint="BF"/>
        </w:rPr>
        <w:t>Grados de libertad</w:t>
      </w:r>
      <w:r w:rsidRPr="00312154">
        <w:rPr>
          <w:i/>
          <w:iCs/>
        </w:rPr>
        <w:t xml:space="preserve">: </w:t>
      </w:r>
      <w:r w:rsidRPr="00312154">
        <w:t>corresponden a la diferencia entre el número de unidades primarias de muestreo (UPM) y el número de estratos en una subpoblación o área determinada (por ejemplo, provincias, sexo, etc.). Este valor refleja la cantidad de información independiente disponible y condiciona la amplitud de los intervalos de confianza (IC), dado que estos se construyen con base en una distribución t-</w:t>
      </w:r>
      <w:proofErr w:type="spellStart"/>
      <w:r w:rsidRPr="00312154">
        <w:t>Student</w:t>
      </w:r>
      <w:proofErr w:type="spellEnd"/>
      <w:r w:rsidRPr="00312154">
        <w:t xml:space="preserve"> con </w:t>
      </w:r>
      <w:proofErr w:type="spellStart"/>
      <w:r w:rsidRPr="00312154">
        <w:t>gl</w:t>
      </w:r>
      <w:proofErr w:type="spellEnd"/>
      <w:r w:rsidRPr="00312154">
        <w:t xml:space="preserve"> determinados.</w:t>
      </w:r>
    </w:p>
    <w:p w14:paraId="55F19808" w14:textId="77777777" w:rsidR="00312154" w:rsidRDefault="00312154" w:rsidP="00312154">
      <w:pPr>
        <w:pStyle w:val="ListParagraph"/>
        <w:ind w:left="1080"/>
      </w:pPr>
    </w:p>
    <w:p w14:paraId="0C09EBF6" w14:textId="144C4C3B" w:rsidR="00312154" w:rsidRDefault="00312154" w:rsidP="00312154">
      <w:pPr>
        <w:pStyle w:val="ListParagraph"/>
        <w:numPr>
          <w:ilvl w:val="0"/>
          <w:numId w:val="16"/>
        </w:numPr>
      </w:pPr>
      <w:r w:rsidRPr="00312154">
        <w:rPr>
          <w:rStyle w:val="Strong"/>
          <w:b w:val="0"/>
          <w:bCs w:val="0"/>
          <w:color w:val="215E99" w:themeColor="text2" w:themeTint="BF"/>
        </w:rPr>
        <w:t>Coeficiente de variación (CV):</w:t>
      </w:r>
      <w:r w:rsidRPr="00312154">
        <w:rPr>
          <w:color w:val="215E99" w:themeColor="text2" w:themeTint="BF"/>
        </w:rPr>
        <w:t xml:space="preserve"> </w:t>
      </w:r>
      <w:r>
        <w:t>se define como la razón entre el error estándar y la estimación puntual, representando el error relativo de muestreo:</w:t>
      </w:r>
    </w:p>
    <w:p w14:paraId="413D6BB8" w14:textId="77777777" w:rsidR="00312154" w:rsidRDefault="00312154" w:rsidP="00312154">
      <w:pPr>
        <w:pStyle w:val="ListParagraph"/>
        <w:ind w:left="1080"/>
        <w:rPr>
          <w:rStyle w:val="Strong"/>
          <w:b w:val="0"/>
          <w:bCs w:val="0"/>
          <w:i/>
          <w:iCs/>
        </w:rPr>
      </w:pPr>
    </w:p>
    <w:p w14:paraId="60441CAA" w14:textId="0ABDE35D" w:rsidR="00312154" w:rsidRPr="00312154" w:rsidRDefault="00312154" w:rsidP="00312154">
      <w:pPr>
        <w:pStyle w:val="ListParagraph"/>
        <w:ind w:left="1080"/>
        <w:rPr>
          <w:rFonts w:eastAsiaTheme="minorEastAsia"/>
        </w:rPr>
      </w:pPr>
      <m:oMathPara>
        <m:oMath>
          <m:r>
            <w:rPr>
              <w:rFonts w:ascii="Cambria Math" w:hAnsi="Cambria Math"/>
            </w:rPr>
            <m:t>CV</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e>
          </m:d>
          <m:r>
            <w:rPr>
              <w:rFonts w:ascii="Cambria Math" w:hAnsi="Cambria Math"/>
            </w:rPr>
            <m:t>=</m:t>
          </m:r>
          <m:f>
            <m:fPr>
              <m:ctrlPr>
                <w:rPr>
                  <w:rFonts w:ascii="Cambria Math" w:hAnsi="Cambria Math"/>
                </w:rPr>
              </m:ctrlPr>
            </m:fPr>
            <m:num>
              <m:rad>
                <m:radPr>
                  <m:degHide m:val="1"/>
                  <m:ctrlPr>
                    <w:rPr>
                      <w:rFonts w:ascii="Cambria Math" w:hAnsi="Cambria Math"/>
                    </w:rPr>
                  </m:ctrlPr>
                </m:radPr>
                <m:deg/>
                <m:e>
                  <m:acc>
                    <m:accPr>
                      <m:ctrlPr>
                        <w:rPr>
                          <w:rFonts w:ascii="Cambria Math" w:hAnsi="Cambria Math"/>
                        </w:rPr>
                      </m:ctrlPr>
                    </m:accPr>
                    <m:e>
                      <m:r>
                        <w:rPr>
                          <w:rFonts w:ascii="Cambria Math" w:hAnsi="Cambria Math"/>
                        </w:rPr>
                        <m:t>Var</m:t>
                      </m:r>
                    </m:e>
                  </m:acc>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e>
                  </m:d>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den>
          </m:f>
        </m:oMath>
      </m:oMathPara>
    </w:p>
    <w:p w14:paraId="6BFC700C" w14:textId="77777777" w:rsidR="00312154" w:rsidRPr="00312154" w:rsidRDefault="00312154" w:rsidP="00312154">
      <w:pPr>
        <w:pStyle w:val="ListParagraph"/>
        <w:ind w:left="1080"/>
        <w:rPr>
          <w:rFonts w:eastAsiaTheme="minorEastAsia"/>
        </w:rPr>
      </w:pPr>
    </w:p>
    <w:p w14:paraId="7ACB74BC" w14:textId="4E6372F8" w:rsidR="00312154" w:rsidRDefault="00312154" w:rsidP="00312154">
      <w:pPr>
        <w:pStyle w:val="ListParagraph"/>
        <w:numPr>
          <w:ilvl w:val="0"/>
          <w:numId w:val="16"/>
        </w:numPr>
      </w:pPr>
      <w:r w:rsidRPr="00312154">
        <w:rPr>
          <w:rStyle w:val="Strong"/>
          <w:b w:val="0"/>
          <w:bCs w:val="0"/>
          <w:color w:val="215E99" w:themeColor="text2" w:themeTint="BF"/>
        </w:rPr>
        <w:t>Coeficiente de variación logarítmico (CVL):</w:t>
      </w:r>
      <w:r w:rsidRPr="00312154">
        <w:rPr>
          <w:color w:val="215E99" w:themeColor="text2" w:themeTint="BF"/>
        </w:rPr>
        <w:t xml:space="preserve"> </w:t>
      </w:r>
      <w:r>
        <w:t xml:space="preserve">se emplea en proporciones, ya que el CV puede ser asimétrico cuando la estimación se aproxima a cero o a uno. En tales casos, el CV tiende a inflarse artificialmente, mientras que el del complemento puede subestimarse. </w:t>
      </w:r>
    </w:p>
    <w:p w14:paraId="338B914F" w14:textId="77777777" w:rsidR="00312154" w:rsidRDefault="00312154" w:rsidP="00312154">
      <w:pPr>
        <w:pStyle w:val="ListParagraph"/>
        <w:ind w:left="1080"/>
      </w:pPr>
    </w:p>
    <w:p w14:paraId="712597CD" w14:textId="22A610C7" w:rsidR="00312154" w:rsidRDefault="00312154" w:rsidP="00312154">
      <w:pPr>
        <w:pStyle w:val="ListParagraph"/>
        <w:numPr>
          <w:ilvl w:val="0"/>
          <w:numId w:val="16"/>
        </w:numPr>
      </w:pPr>
      <w:r w:rsidRPr="00312154">
        <w:rPr>
          <w:rStyle w:val="Strong"/>
          <w:b w:val="0"/>
          <w:bCs w:val="0"/>
          <w:color w:val="215E99" w:themeColor="text2" w:themeTint="BF"/>
        </w:rPr>
        <w:t>Tamaño de muestra (n):</w:t>
      </w:r>
      <w:r w:rsidRPr="00312154">
        <w:rPr>
          <w:color w:val="215E99" w:themeColor="text2" w:themeTint="BF"/>
        </w:rPr>
        <w:t xml:space="preserve"> </w:t>
      </w:r>
      <w:r>
        <w:t>determina directamente la precisión de la estimación. A mayor tamaño muestral, menor error estándar e intervalos de confianza más estrechos.</w:t>
      </w:r>
    </w:p>
    <w:p w14:paraId="7D38F656" w14:textId="77777777" w:rsidR="00312154" w:rsidRDefault="00312154" w:rsidP="00312154">
      <w:pPr>
        <w:pStyle w:val="ListParagraph"/>
      </w:pPr>
    </w:p>
    <w:p w14:paraId="51852DC0" w14:textId="4D91556B" w:rsidR="00312154" w:rsidRDefault="00312154" w:rsidP="00312154">
      <w:pPr>
        <w:pStyle w:val="ListParagraph"/>
        <w:numPr>
          <w:ilvl w:val="0"/>
          <w:numId w:val="16"/>
        </w:numPr>
      </w:pPr>
      <w:r w:rsidRPr="00312154">
        <w:rPr>
          <w:rStyle w:val="Strong"/>
          <w:b w:val="0"/>
          <w:bCs w:val="0"/>
          <w:color w:val="215E99" w:themeColor="text2" w:themeTint="BF"/>
        </w:rPr>
        <w:t>Tamaño de muestra efectivo (</w:t>
      </w:r>
      <w:proofErr w:type="spellStart"/>
      <w:r w:rsidRPr="00312154">
        <w:rPr>
          <w:rStyle w:val="Strong"/>
          <w:b w:val="0"/>
          <w:bCs w:val="0"/>
          <w:color w:val="215E99" w:themeColor="text2" w:themeTint="BF"/>
        </w:rPr>
        <w:t>n_eff</w:t>
      </w:r>
      <w:proofErr w:type="spellEnd"/>
      <w:r w:rsidRPr="00312154">
        <w:rPr>
          <w:rStyle w:val="Strong"/>
          <w:b w:val="0"/>
          <w:bCs w:val="0"/>
          <w:color w:val="215E99" w:themeColor="text2" w:themeTint="BF"/>
        </w:rPr>
        <w:t>):</w:t>
      </w:r>
      <w:r w:rsidRPr="00312154">
        <w:rPr>
          <w:color w:val="215E99" w:themeColor="text2" w:themeTint="BF"/>
        </w:rPr>
        <w:t xml:space="preserve"> </w:t>
      </w:r>
      <w:r>
        <w:t>corresponde al tamaño de muestra ajustado por el efecto de diseño y refleja la “información efectiva” aportada por la encuesta:</w:t>
      </w:r>
    </w:p>
    <w:p w14:paraId="289BE4FE" w14:textId="77777777" w:rsidR="00312154" w:rsidRDefault="00312154" w:rsidP="00312154">
      <w:pPr>
        <w:pStyle w:val="ListParagraph"/>
      </w:pPr>
    </w:p>
    <w:p w14:paraId="76D01AAA" w14:textId="6F67F3B9" w:rsidR="00312154" w:rsidRPr="00312154" w:rsidRDefault="00351E3A" w:rsidP="00312154">
      <w:pPr>
        <w:pStyle w:val="ListParagraph"/>
        <w:ind w:left="1080"/>
        <w:rPr>
          <w:rFonts w:eastAsiaTheme="minorEastAsia"/>
        </w:rPr>
      </w:pPr>
      <m:oMathPara>
        <m:oMath>
          <m:sSub>
            <m:sSubPr>
              <m:ctrlPr>
                <w:rPr>
                  <w:rFonts w:ascii="Cambria Math" w:hAnsi="Cambria Math"/>
                </w:rPr>
              </m:ctrlPr>
            </m:sSubPr>
            <m:e>
              <m:r>
                <w:rPr>
                  <w:rFonts w:ascii="Cambria Math" w:hAnsi="Cambria Math"/>
                </w:rPr>
                <m:t>n</m:t>
              </m:r>
            </m:e>
            <m:sub>
              <m:r>
                <w:rPr>
                  <w:rFonts w:ascii="Cambria Math" w:hAnsi="Cambria Math"/>
                </w:rPr>
                <m:t>eff</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DEFF</m:t>
              </m:r>
            </m:den>
          </m:f>
        </m:oMath>
      </m:oMathPara>
    </w:p>
    <w:p w14:paraId="47D0F9ED" w14:textId="2C66D4ED" w:rsidR="00312154" w:rsidRDefault="00312154" w:rsidP="00312154">
      <w:pPr>
        <w:pStyle w:val="ListParagraph"/>
        <w:numPr>
          <w:ilvl w:val="0"/>
          <w:numId w:val="16"/>
        </w:numPr>
      </w:pPr>
      <w:r w:rsidRPr="00312154">
        <w:rPr>
          <w:rStyle w:val="Strong"/>
          <w:b w:val="0"/>
          <w:bCs w:val="0"/>
          <w:color w:val="215E99" w:themeColor="text2" w:themeTint="BF"/>
        </w:rPr>
        <w:t>Casos no ponderados:</w:t>
      </w:r>
      <w:r w:rsidRPr="00312154">
        <w:rPr>
          <w:color w:val="215E99" w:themeColor="text2" w:themeTint="BF"/>
        </w:rPr>
        <w:t xml:space="preserve"> </w:t>
      </w:r>
      <w:r>
        <w:t>hace referencia al número de observaciones en la muestra con la característica de interés. Cuando este número es bajo, se asocia con elevados valores de CV y amplios intervalos de confianza. Este criterio debe evaluarse juntamente con otros.</w:t>
      </w:r>
    </w:p>
    <w:p w14:paraId="10069A1F" w14:textId="77777777" w:rsidR="00C16420" w:rsidRDefault="00C16420" w:rsidP="00C16420">
      <w:pPr>
        <w:pStyle w:val="ListParagraph"/>
        <w:ind w:left="1080"/>
      </w:pPr>
    </w:p>
    <w:p w14:paraId="1D016A40" w14:textId="2C7063D1" w:rsidR="00C16420" w:rsidRDefault="00C16420" w:rsidP="00C16420">
      <w:pPr>
        <w:pStyle w:val="Heading3"/>
      </w:pPr>
      <w:bookmarkStart w:id="16" w:name="_Toc207902579"/>
      <w:r>
        <w:t xml:space="preserve">4.1.3 </w:t>
      </w:r>
      <w:bookmarkStart w:id="17" w:name="_Toc90573183"/>
      <w:r w:rsidRPr="00F431AD">
        <w:t xml:space="preserve">Reglas de decisión para la inclusión de </w:t>
      </w:r>
      <w:bookmarkEnd w:id="17"/>
      <w:r>
        <w:t>distritos</w:t>
      </w:r>
      <w:bookmarkEnd w:id="16"/>
      <w:r w:rsidRPr="00F431AD">
        <w:t xml:space="preserve"> </w:t>
      </w:r>
    </w:p>
    <w:p w14:paraId="414E2B45" w14:textId="77777777" w:rsidR="00C16420" w:rsidRPr="00C16420" w:rsidRDefault="00C16420" w:rsidP="00C16420"/>
    <w:p w14:paraId="34A22D96" w14:textId="481F8DD5" w:rsidR="00C16420" w:rsidRDefault="00C16420" w:rsidP="00C16420">
      <w:r w:rsidRPr="00C16420">
        <w:t>En este ejercicio, el objetivo de los criterios de calidad no es filtrar únicamente distritos con estimaciones directas precisas, sino garantizar que los insumos que entren al modelo SAE provengan de muestras mínimamente consistentes y confiables. De esta manera, se busca excluir configuraciones muestrales inadecuadas que podrían comprometer la estabilidad de los parámetros del modelo, manteniendo la lógica de que el propio estimador incorpora ponderaciones por precisión.</w:t>
      </w:r>
    </w:p>
    <w:p w14:paraId="2CABC925" w14:textId="7977BFF6" w:rsidR="00C16420" w:rsidRDefault="00C16420" w:rsidP="00C16420">
      <w:r>
        <w:t>Tras revisar la literatura y considerando la estructura de la base, se definieron los siguientes criterios operativos de inclusión de distritos:</w:t>
      </w:r>
    </w:p>
    <w:p w14:paraId="29C22D51" w14:textId="1FBD9E58" w:rsidR="00C16420" w:rsidRPr="00C16420" w:rsidRDefault="00C16420" w:rsidP="00C16420">
      <w:pPr>
        <w:pStyle w:val="ListParagraph"/>
        <w:numPr>
          <w:ilvl w:val="0"/>
          <w:numId w:val="17"/>
        </w:numPr>
        <w:rPr>
          <w:color w:val="215E99" w:themeColor="text2" w:themeTint="BF"/>
        </w:rPr>
      </w:pPr>
      <w:commentRangeStart w:id="18"/>
      <w:r w:rsidRPr="00512B01">
        <w:rPr>
          <w:color w:val="215E99" w:themeColor="text2" w:themeTint="BF"/>
        </w:rPr>
        <w:t xml:space="preserve">Criterio 1. </w:t>
      </w:r>
      <w:r w:rsidRPr="00C16420">
        <w:rPr>
          <w:color w:val="215E99" w:themeColor="text2" w:themeTint="BF"/>
        </w:rPr>
        <w:t xml:space="preserve">Número de UPM por distrito: </w:t>
      </w:r>
      <w:r>
        <w:t>Para asegurar información independiente suficiente, se incluyen únicamente distritos con al menos 4 unidades primarias de muestreo (UPM) observadas.</w:t>
      </w:r>
      <w:commentRangeEnd w:id="18"/>
      <w:r>
        <w:rPr>
          <w:rStyle w:val="CommentReference"/>
        </w:rPr>
        <w:commentReference w:id="18"/>
      </w:r>
    </w:p>
    <w:p w14:paraId="31FDD4D0" w14:textId="7EFAD2F2" w:rsidR="00C16420" w:rsidRPr="00C16420" w:rsidRDefault="00C16420" w:rsidP="00C16420">
      <w:pPr>
        <w:pStyle w:val="ListParagraph"/>
        <w:numPr>
          <w:ilvl w:val="0"/>
          <w:numId w:val="17"/>
        </w:numPr>
        <w:rPr>
          <w:color w:val="215E99" w:themeColor="text2" w:themeTint="BF"/>
        </w:rPr>
      </w:pPr>
      <w:r w:rsidRPr="00C16420">
        <w:rPr>
          <w:color w:val="215E99" w:themeColor="text2" w:themeTint="BF"/>
        </w:rPr>
        <w:t>Criterio 2. Tamaño muestral logrado</w:t>
      </w:r>
      <w:r>
        <w:rPr>
          <w:color w:val="215E99" w:themeColor="text2" w:themeTint="BF"/>
        </w:rPr>
        <w:t xml:space="preserve">: </w:t>
      </w:r>
      <w:r w:rsidRPr="00C16420">
        <w:t>C</w:t>
      </w:r>
      <w:r>
        <w:t>on el fin de reducir problemas de inestabilidad en la estimación de la varianza directa, se establece un umbral de al menos 40 observaciones no ponderadas por distrito.</w:t>
      </w:r>
    </w:p>
    <w:p w14:paraId="50FB9061" w14:textId="432F2C37" w:rsidR="00C16420" w:rsidRDefault="00C16420" w:rsidP="00C16420">
      <w:r>
        <w:t>Adicionalmente, se calculan otros indicadores como la varianza directa y el coeficiente de variación (CV), los cuales sirven como insumo y diagnóstico de calidad estadística, pero no se utilizan como regla de exclusión automática.</w:t>
      </w:r>
    </w:p>
    <w:p w14:paraId="740052C7" w14:textId="5DDEB792" w:rsidR="00C16420" w:rsidRDefault="00C16420" w:rsidP="00C16420">
      <w:r>
        <w:t>Aplicando estas condiciones, se incluyeron finalmente 177 distritos en la estimación mediante el modelo SAE.</w:t>
      </w:r>
    </w:p>
    <w:p w14:paraId="560BB817" w14:textId="39B1C053" w:rsidR="00136428" w:rsidRPr="005476E2" w:rsidRDefault="005476E2" w:rsidP="00C16420">
      <w:pPr>
        <w:rPr>
          <w:i/>
          <w:iCs/>
        </w:rPr>
      </w:pPr>
      <w:r w:rsidRPr="005476E2">
        <w:rPr>
          <w:i/>
          <w:iCs/>
        </w:rPr>
        <w:lastRenderedPageBreak/>
        <w:t>Figura 1: Criterios de inclusión de distritos a modelo FH</w:t>
      </w:r>
    </w:p>
    <w:p w14:paraId="617E56D9" w14:textId="449FAA5C" w:rsidR="00136428" w:rsidRDefault="00136428" w:rsidP="00C16420">
      <w:r w:rsidRPr="00136428">
        <w:rPr>
          <w:noProof/>
        </w:rPr>
        <w:drawing>
          <wp:inline distT="0" distB="0" distL="0" distR="0" wp14:anchorId="3C5752E7" wp14:editId="7D144CB1">
            <wp:extent cx="4914224" cy="3286125"/>
            <wp:effectExtent l="19050" t="19050" r="20320" b="9525"/>
            <wp:docPr id="200255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55679" name=""/>
                    <pic:cNvPicPr/>
                  </pic:nvPicPr>
                  <pic:blipFill>
                    <a:blip r:embed="rId12"/>
                    <a:stretch>
                      <a:fillRect/>
                    </a:stretch>
                  </pic:blipFill>
                  <pic:spPr>
                    <a:xfrm>
                      <a:off x="0" y="0"/>
                      <a:ext cx="4916815" cy="3287858"/>
                    </a:xfrm>
                    <a:prstGeom prst="rect">
                      <a:avLst/>
                    </a:prstGeom>
                    <a:ln>
                      <a:solidFill>
                        <a:schemeClr val="bg2">
                          <a:lumMod val="75000"/>
                        </a:schemeClr>
                      </a:solidFill>
                    </a:ln>
                  </pic:spPr>
                </pic:pic>
              </a:graphicData>
            </a:graphic>
          </wp:inline>
        </w:drawing>
      </w:r>
    </w:p>
    <w:p w14:paraId="0BC59ECF" w14:textId="77777777" w:rsidR="005476E2" w:rsidRPr="00136428" w:rsidRDefault="005476E2" w:rsidP="005476E2">
      <w:pPr>
        <w:rPr>
          <w:sz w:val="18"/>
          <w:szCs w:val="18"/>
        </w:rPr>
      </w:pPr>
      <w:r w:rsidRPr="00136428">
        <w:rPr>
          <w:sz w:val="18"/>
          <w:szCs w:val="18"/>
        </w:rPr>
        <w:t>Fuente: CEPAL</w:t>
      </w:r>
    </w:p>
    <w:p w14:paraId="79F2D92D" w14:textId="77777777" w:rsidR="005476E2" w:rsidRDefault="005476E2" w:rsidP="00136428">
      <w:pPr>
        <w:spacing w:after="0" w:line="240" w:lineRule="auto"/>
        <w:rPr>
          <w:rFonts w:eastAsia="Times New Roman" w:cs="Times New Roman"/>
          <w:i/>
          <w:iCs/>
          <w:kern w:val="0"/>
          <w:lang w:val="es-ES"/>
          <w14:ligatures w14:val="none"/>
        </w:rPr>
      </w:pPr>
    </w:p>
    <w:p w14:paraId="6E15AD2C" w14:textId="7730D144" w:rsidR="00136428" w:rsidRPr="00136428" w:rsidRDefault="00136428" w:rsidP="00136428">
      <w:pPr>
        <w:spacing w:after="0" w:line="240" w:lineRule="auto"/>
        <w:rPr>
          <w:rFonts w:eastAsia="Times New Roman" w:cs="Times New Roman"/>
          <w:i/>
          <w:iCs/>
          <w:kern w:val="0"/>
          <w:lang w:val="es-ES"/>
          <w14:ligatures w14:val="none"/>
        </w:rPr>
      </w:pPr>
      <w:r w:rsidRPr="00136428">
        <w:rPr>
          <w:rFonts w:eastAsia="Times New Roman" w:cs="Times New Roman"/>
          <w:i/>
          <w:iCs/>
          <w:kern w:val="0"/>
          <w:lang w:val="es-ES"/>
          <w14:ligatures w14:val="none"/>
        </w:rPr>
        <w:t xml:space="preserve">Tabla 1: </w:t>
      </w:r>
      <w:r w:rsidR="005476E2">
        <w:rPr>
          <w:i/>
          <w:iCs/>
        </w:rPr>
        <w:t>Detalle c</w:t>
      </w:r>
      <w:r w:rsidR="005476E2" w:rsidRPr="005476E2">
        <w:rPr>
          <w:i/>
          <w:iCs/>
        </w:rPr>
        <w:t>riterios de inclusión de distritos a modelo FH</w:t>
      </w:r>
    </w:p>
    <w:tbl>
      <w:tblPr>
        <w:tblStyle w:val="TableGrid"/>
        <w:tblW w:w="0" w:type="auto"/>
        <w:tblLook w:val="04A0" w:firstRow="1" w:lastRow="0" w:firstColumn="1" w:lastColumn="0" w:noHBand="0" w:noVBand="1"/>
      </w:tblPr>
      <w:tblGrid>
        <w:gridCol w:w="3290"/>
        <w:gridCol w:w="3030"/>
        <w:gridCol w:w="3030"/>
      </w:tblGrid>
      <w:tr w:rsidR="0037242E" w14:paraId="53F6CC0B" w14:textId="2A38560E" w:rsidTr="0037242E">
        <w:tc>
          <w:tcPr>
            <w:tcW w:w="3290" w:type="dxa"/>
            <w:shd w:val="clear" w:color="auto" w:fill="153D63" w:themeFill="text2" w:themeFillTint="E6"/>
          </w:tcPr>
          <w:p w14:paraId="4D8F9634" w14:textId="10AD9EDE" w:rsidR="0037242E" w:rsidRDefault="0037242E" w:rsidP="00C16420">
            <w:r>
              <w:t>Criterio</w:t>
            </w:r>
          </w:p>
        </w:tc>
        <w:tc>
          <w:tcPr>
            <w:tcW w:w="3030" w:type="dxa"/>
            <w:shd w:val="clear" w:color="auto" w:fill="153D63" w:themeFill="text2" w:themeFillTint="E6"/>
          </w:tcPr>
          <w:p w14:paraId="188225F4" w14:textId="2B3E06B5" w:rsidR="0037242E" w:rsidRDefault="0037242E" w:rsidP="00C16420">
            <w:proofErr w:type="gramStart"/>
            <w:r>
              <w:t>Total</w:t>
            </w:r>
            <w:proofErr w:type="gramEnd"/>
            <w:r>
              <w:t xml:space="preserve"> incluir</w:t>
            </w:r>
          </w:p>
        </w:tc>
        <w:tc>
          <w:tcPr>
            <w:tcW w:w="3030" w:type="dxa"/>
            <w:shd w:val="clear" w:color="auto" w:fill="153D63" w:themeFill="text2" w:themeFillTint="E6"/>
          </w:tcPr>
          <w:p w14:paraId="4E4A0E9B" w14:textId="1E0C2A06" w:rsidR="0037242E" w:rsidRDefault="0037242E" w:rsidP="00C16420">
            <w:proofErr w:type="gramStart"/>
            <w:r>
              <w:t>Total</w:t>
            </w:r>
            <w:proofErr w:type="gramEnd"/>
            <w:r>
              <w:t xml:space="preserve"> excluir</w:t>
            </w:r>
          </w:p>
        </w:tc>
      </w:tr>
      <w:tr w:rsidR="0037242E" w14:paraId="5870133B" w14:textId="0A1F4101" w:rsidTr="0037242E">
        <w:tc>
          <w:tcPr>
            <w:tcW w:w="3290" w:type="dxa"/>
          </w:tcPr>
          <w:p w14:paraId="3DFEA9FF" w14:textId="08671802" w:rsidR="0037242E" w:rsidRDefault="0037242E" w:rsidP="00C16420">
            <w:r>
              <w:t>Número de UPM ≥ 4</w:t>
            </w:r>
          </w:p>
        </w:tc>
        <w:tc>
          <w:tcPr>
            <w:tcW w:w="3030" w:type="dxa"/>
          </w:tcPr>
          <w:p w14:paraId="6DCC79F8" w14:textId="0EA1004D" w:rsidR="0037242E" w:rsidRDefault="0037242E" w:rsidP="00C16420">
            <w:r>
              <w:t>207</w:t>
            </w:r>
          </w:p>
        </w:tc>
        <w:tc>
          <w:tcPr>
            <w:tcW w:w="3030" w:type="dxa"/>
          </w:tcPr>
          <w:p w14:paraId="6C0D7E08" w14:textId="7CF8D869" w:rsidR="0037242E" w:rsidRDefault="0037242E" w:rsidP="00C16420">
            <w:r>
              <w:t>717</w:t>
            </w:r>
          </w:p>
        </w:tc>
      </w:tr>
      <w:tr w:rsidR="0037242E" w14:paraId="43151E61" w14:textId="77777777" w:rsidTr="0037242E">
        <w:tc>
          <w:tcPr>
            <w:tcW w:w="3290" w:type="dxa"/>
          </w:tcPr>
          <w:p w14:paraId="623150EE" w14:textId="22686475" w:rsidR="0037242E" w:rsidRDefault="0037242E" w:rsidP="00C16420">
            <w:r>
              <w:t>Casos no ponderados &gt; 40</w:t>
            </w:r>
          </w:p>
        </w:tc>
        <w:tc>
          <w:tcPr>
            <w:tcW w:w="3030" w:type="dxa"/>
          </w:tcPr>
          <w:p w14:paraId="18FAB26D" w14:textId="685AC1E2" w:rsidR="0037242E" w:rsidRDefault="0037242E" w:rsidP="00C16420">
            <w:r>
              <w:t>186</w:t>
            </w:r>
          </w:p>
        </w:tc>
        <w:tc>
          <w:tcPr>
            <w:tcW w:w="3030" w:type="dxa"/>
          </w:tcPr>
          <w:p w14:paraId="649BABA7" w14:textId="29B2AB24" w:rsidR="0037242E" w:rsidRDefault="0037242E" w:rsidP="00C16420">
            <w:r>
              <w:t>738</w:t>
            </w:r>
          </w:p>
        </w:tc>
      </w:tr>
      <w:tr w:rsidR="0037242E" w14:paraId="78933173" w14:textId="77777777" w:rsidTr="0037242E">
        <w:tc>
          <w:tcPr>
            <w:tcW w:w="3290" w:type="dxa"/>
          </w:tcPr>
          <w:p w14:paraId="0EF8967C" w14:textId="7BDF4212" w:rsidR="0037242E" w:rsidRDefault="0037242E" w:rsidP="00C16420">
            <w:r>
              <w:t>UPM ≥ 4 &amp; Casos no ponderados &gt; 40</w:t>
            </w:r>
          </w:p>
        </w:tc>
        <w:tc>
          <w:tcPr>
            <w:tcW w:w="3030" w:type="dxa"/>
          </w:tcPr>
          <w:p w14:paraId="71B1C027" w14:textId="6DB1418F" w:rsidR="0037242E" w:rsidRDefault="0037242E" w:rsidP="00C16420">
            <w:r>
              <w:t>177</w:t>
            </w:r>
          </w:p>
        </w:tc>
        <w:tc>
          <w:tcPr>
            <w:tcW w:w="3030" w:type="dxa"/>
          </w:tcPr>
          <w:p w14:paraId="4B257F58" w14:textId="55AEF32F" w:rsidR="0037242E" w:rsidRDefault="0037242E" w:rsidP="00C16420">
            <w:r>
              <w:t>747</w:t>
            </w:r>
          </w:p>
        </w:tc>
      </w:tr>
    </w:tbl>
    <w:p w14:paraId="32AE1E90" w14:textId="6C86D7F6" w:rsidR="0037242E" w:rsidRPr="00136428" w:rsidRDefault="00136428" w:rsidP="00C16420">
      <w:pPr>
        <w:rPr>
          <w:sz w:val="18"/>
          <w:szCs w:val="18"/>
        </w:rPr>
      </w:pPr>
      <w:r w:rsidRPr="00136428">
        <w:rPr>
          <w:sz w:val="18"/>
          <w:szCs w:val="18"/>
        </w:rPr>
        <w:t>Fuente: CEPAL</w:t>
      </w:r>
    </w:p>
    <w:p w14:paraId="0FD4238A" w14:textId="77777777" w:rsidR="001C35B0" w:rsidRPr="00C16420" w:rsidRDefault="001C35B0" w:rsidP="00C16420">
      <w:pPr>
        <w:rPr>
          <w:rStyle w:val="Strong"/>
          <w:b w:val="0"/>
          <w:bCs w:val="0"/>
          <w:color w:val="215E99" w:themeColor="text2" w:themeTint="BF"/>
        </w:rPr>
      </w:pPr>
    </w:p>
    <w:p w14:paraId="128130D0" w14:textId="159CDAE6" w:rsidR="001C35B0" w:rsidRDefault="003805A0" w:rsidP="00741194">
      <w:pPr>
        <w:pStyle w:val="Heading1"/>
        <w:numPr>
          <w:ilvl w:val="0"/>
          <w:numId w:val="13"/>
        </w:numPr>
        <w:rPr>
          <w:lang w:val="es-CL"/>
        </w:rPr>
      </w:pPr>
      <w:bookmarkStart w:id="19" w:name="_Toc207902580"/>
      <w:r w:rsidRPr="003805A0">
        <w:rPr>
          <w:lang w:val="es-CL"/>
        </w:rPr>
        <w:t>Estimación de la varianza del estimador directo</w:t>
      </w:r>
      <w:bookmarkEnd w:id="19"/>
    </w:p>
    <w:p w14:paraId="18BD6A99" w14:textId="76346703" w:rsidR="003805A0" w:rsidRDefault="003805A0" w:rsidP="003805A0">
      <w:pPr>
        <w:rPr>
          <w:lang w:val="es-CL"/>
        </w:rPr>
      </w:pPr>
      <w:r w:rsidRPr="003805A0">
        <w:rPr>
          <w:lang w:val="es-CL"/>
        </w:rPr>
        <w:t>Como se ha señalado, en la estimación en áreas pequeñas no solo interesa el valor puntual del estimador directo, sino también su varianza, dado que ambos constituyen insumos fundamentales del modelo Fay–</w:t>
      </w:r>
      <w:proofErr w:type="spellStart"/>
      <w:r w:rsidRPr="003805A0">
        <w:rPr>
          <w:lang w:val="es-CL"/>
        </w:rPr>
        <w:t>Herriot</w:t>
      </w:r>
      <w:proofErr w:type="spellEnd"/>
      <w:r w:rsidRPr="003805A0">
        <w:rPr>
          <w:lang w:val="es-CL"/>
        </w:rPr>
        <w:t>. El estimador puntual aproxima el valor del parámetro en el distrito, mientras que la varianza indica el nivel de certeza asociado a dicha estimación. En consecuencia, un distrito con una varianza elevada tendrá intervalos de confianza más amplios que otro cuya estimación directa sea más precisa.</w:t>
      </w:r>
      <w:r w:rsidR="00BB31E8">
        <w:rPr>
          <w:lang w:val="es-CL"/>
        </w:rPr>
        <w:t xml:space="preserve"> </w:t>
      </w:r>
      <w:r w:rsidR="00BB31E8" w:rsidRPr="00BB31E8">
        <w:rPr>
          <w:lang w:val="es-CL"/>
        </w:rPr>
        <w:t>Al trabajar con información proveniente de encuestas de hogares, es indispensable recordar que la validez inferencial se sustenta en la estrategia de muestreo, compuesta por el diseño de selección y el estimador aplicado.</w:t>
      </w:r>
    </w:p>
    <w:p w14:paraId="46DDADC0" w14:textId="5A4EA34F" w:rsidR="00BB31E8" w:rsidRDefault="00986EC0" w:rsidP="003805A0">
      <w:pPr>
        <w:rPr>
          <w:lang w:val="es-CL"/>
        </w:rPr>
      </w:pPr>
      <w:r>
        <w:rPr>
          <w:lang w:val="es-CL"/>
        </w:rPr>
        <w:t xml:space="preserve">Sea </w:t>
      </w:r>
      <m:oMath>
        <m:sSub>
          <m:sSubPr>
            <m:ctrlPr>
              <w:rPr>
                <w:rFonts w:ascii="Cambria Math" w:hAnsi="Cambria Math"/>
                <w:lang w:val="es-CL"/>
              </w:rPr>
            </m:ctrlPr>
          </m:sSubPr>
          <m:e>
            <m:r>
              <w:rPr>
                <w:rFonts w:ascii="Cambria Math" w:hAnsi="Cambria Math"/>
                <w:lang w:val="es-CL"/>
              </w:rPr>
              <m:t>y</m:t>
            </m:r>
          </m:e>
          <m:sub>
            <m:r>
              <w:rPr>
                <w:rFonts w:ascii="Cambria Math" w:hAnsi="Cambria Math"/>
                <w:lang w:val="es-CL"/>
              </w:rPr>
              <m:t>k</m:t>
            </m:r>
          </m:sub>
        </m:sSub>
      </m:oMath>
      <w:r w:rsidRPr="00986EC0">
        <w:t xml:space="preserve"> </w:t>
      </w:r>
      <w:r>
        <w:t xml:space="preserve">el resultado de la variable de interés (por ejemplo, número de hijos nacidos vivos) en el individuo </w:t>
      </w:r>
      <w:r>
        <w:rPr>
          <w:rStyle w:val="katex-mathml"/>
        </w:rPr>
        <w:t>k</w:t>
      </w:r>
      <w:r>
        <w:t>. La estimación directa de un indicador a nivel nacional puede expresarse como:</w:t>
      </w:r>
    </w:p>
    <w:p w14:paraId="7C9D82D3" w14:textId="30F4C498" w:rsidR="003805A0" w:rsidRPr="00986EC0" w:rsidRDefault="00351E3A" w:rsidP="003805A0">
      <w:pPr>
        <w:rPr>
          <w:rFonts w:eastAsiaTheme="minorEastAsia"/>
          <w:lang w:val="es-CL"/>
        </w:rPr>
      </w:pPr>
      <m:oMathPara>
        <m:oMath>
          <m:sSup>
            <m:sSupPr>
              <m:ctrlPr>
                <w:rPr>
                  <w:rFonts w:ascii="Cambria Math" w:hAnsi="Cambria Math"/>
                  <w:lang w:val="es-CL"/>
                </w:rPr>
              </m:ctrlPr>
            </m:sSupPr>
            <m:e>
              <m:acc>
                <m:accPr>
                  <m:ctrlPr>
                    <w:rPr>
                      <w:rFonts w:ascii="Cambria Math" w:hAnsi="Cambria Math"/>
                      <w:lang w:val="es-CL"/>
                    </w:rPr>
                  </m:ctrlPr>
                </m:accPr>
                <m:e>
                  <m:r>
                    <w:rPr>
                      <w:rFonts w:ascii="Cambria Math" w:hAnsi="Cambria Math"/>
                      <w:lang w:val="es-CL"/>
                    </w:rPr>
                    <m:t>θ</m:t>
                  </m:r>
                </m:e>
              </m:acc>
            </m:e>
            <m:sup>
              <m:r>
                <w:rPr>
                  <w:rFonts w:ascii="Cambria Math" w:hAnsi="Cambria Math"/>
                  <w:lang w:val="es-CL"/>
                </w:rPr>
                <m:t>Dir</m:t>
              </m:r>
            </m:sup>
          </m:sSup>
          <m:r>
            <w:rPr>
              <w:rFonts w:ascii="Cambria Math" w:hAnsi="Cambria Math"/>
              <w:lang w:val="es-CL"/>
            </w:rPr>
            <m:t>=</m:t>
          </m:r>
          <m:f>
            <m:fPr>
              <m:ctrlPr>
                <w:rPr>
                  <w:rFonts w:ascii="Cambria Math" w:hAnsi="Cambria Math"/>
                  <w:lang w:val="es-CL"/>
                </w:rPr>
              </m:ctrlPr>
            </m:fPr>
            <m:num>
              <m:nary>
                <m:naryPr>
                  <m:chr m:val="∑"/>
                  <m:limLoc m:val="undOvr"/>
                  <m:supHide m:val="1"/>
                  <m:ctrlPr>
                    <w:rPr>
                      <w:rFonts w:ascii="Cambria Math" w:hAnsi="Cambria Math"/>
                      <w:lang w:val="es-CL"/>
                    </w:rPr>
                  </m:ctrlPr>
                </m:naryPr>
                <m:sub>
                  <m:r>
                    <w:rPr>
                      <w:rFonts w:ascii="Cambria Math" w:hAnsi="Cambria Math"/>
                      <w:lang w:val="es-CL"/>
                    </w:rPr>
                    <m:t>h</m:t>
                  </m:r>
                </m:sub>
                <m:sup/>
                <m:e>
                  <m:nary>
                    <m:naryPr>
                      <m:chr m:val="∑"/>
                      <m:limLoc m:val="undOvr"/>
                      <m:supHide m:val="1"/>
                      <m:ctrlPr>
                        <w:rPr>
                          <w:rFonts w:ascii="Cambria Math" w:hAnsi="Cambria Math"/>
                          <w:lang w:val="es-CL"/>
                        </w:rPr>
                      </m:ctrlPr>
                    </m:naryPr>
                    <m:sub>
                      <m:r>
                        <w:rPr>
                          <w:rFonts w:ascii="Cambria Math" w:hAnsi="Cambria Math"/>
                          <w:lang w:val="es-CL"/>
                        </w:rPr>
                        <m:t>i</m:t>
                      </m:r>
                    </m:sub>
                    <m:sup/>
                    <m:e>
                      <m:nary>
                        <m:naryPr>
                          <m:chr m:val="∑"/>
                          <m:limLoc m:val="undOvr"/>
                          <m:supHide m:val="1"/>
                          <m:ctrlPr>
                            <w:rPr>
                              <w:rFonts w:ascii="Cambria Math" w:hAnsi="Cambria Math"/>
                              <w:lang w:val="es-CL"/>
                            </w:rPr>
                          </m:ctrlPr>
                        </m:naryPr>
                        <m:sub>
                          <m:r>
                            <w:rPr>
                              <w:rFonts w:ascii="Cambria Math" w:hAnsi="Cambria Math"/>
                              <w:lang w:val="es-CL"/>
                            </w:rPr>
                            <m:t>k∈s</m:t>
                          </m:r>
                        </m:sub>
                        <m:sup/>
                        <m:e>
                          <m:sSub>
                            <m:sSubPr>
                              <m:ctrlPr>
                                <w:rPr>
                                  <w:rFonts w:ascii="Cambria Math" w:hAnsi="Cambria Math"/>
                                  <w:lang w:val="es-CL"/>
                                </w:rPr>
                              </m:ctrlPr>
                            </m:sSubPr>
                            <m:e>
                              <m:r>
                                <w:rPr>
                                  <w:rFonts w:ascii="Cambria Math" w:hAnsi="Cambria Math"/>
                                  <w:lang w:val="es-CL"/>
                                </w:rPr>
                                <m:t>w</m:t>
                              </m:r>
                            </m:e>
                            <m:sub>
                              <m:r>
                                <w:rPr>
                                  <w:rFonts w:ascii="Cambria Math" w:hAnsi="Cambria Math"/>
                                  <w:lang w:val="es-CL"/>
                                </w:rPr>
                                <m:t>k</m:t>
                              </m:r>
                            </m:sub>
                          </m:sSub>
                        </m:e>
                      </m:nary>
                    </m:e>
                  </m:nary>
                </m:e>
              </m:nary>
              <m:r>
                <w:rPr>
                  <w:rFonts w:ascii="Cambria Math" w:hAnsi="Cambria Math"/>
                  <w:lang w:val="es-CL"/>
                </w:rPr>
                <m:t> </m:t>
              </m:r>
              <m:sSub>
                <m:sSubPr>
                  <m:ctrlPr>
                    <w:rPr>
                      <w:rFonts w:ascii="Cambria Math" w:hAnsi="Cambria Math"/>
                      <w:lang w:val="es-CL"/>
                    </w:rPr>
                  </m:ctrlPr>
                </m:sSubPr>
                <m:e>
                  <m:r>
                    <w:rPr>
                      <w:rFonts w:ascii="Cambria Math" w:hAnsi="Cambria Math"/>
                      <w:lang w:val="es-CL"/>
                    </w:rPr>
                    <m:t>y</m:t>
                  </m:r>
                </m:e>
                <m:sub>
                  <m:r>
                    <w:rPr>
                      <w:rFonts w:ascii="Cambria Math" w:hAnsi="Cambria Math"/>
                      <w:lang w:val="es-CL"/>
                    </w:rPr>
                    <m:t>k</m:t>
                  </m:r>
                </m:sub>
              </m:sSub>
            </m:num>
            <m:den>
              <m:nary>
                <m:naryPr>
                  <m:chr m:val="∑"/>
                  <m:limLoc m:val="undOvr"/>
                  <m:supHide m:val="1"/>
                  <m:ctrlPr>
                    <w:rPr>
                      <w:rFonts w:ascii="Cambria Math" w:hAnsi="Cambria Math"/>
                      <w:lang w:val="es-CL"/>
                    </w:rPr>
                  </m:ctrlPr>
                </m:naryPr>
                <m:sub>
                  <m:r>
                    <w:rPr>
                      <w:rFonts w:ascii="Cambria Math" w:hAnsi="Cambria Math"/>
                      <w:lang w:val="es-CL"/>
                    </w:rPr>
                    <m:t>h</m:t>
                  </m:r>
                </m:sub>
                <m:sup/>
                <m:e>
                  <m:nary>
                    <m:naryPr>
                      <m:chr m:val="∑"/>
                      <m:limLoc m:val="undOvr"/>
                      <m:supHide m:val="1"/>
                      <m:ctrlPr>
                        <w:rPr>
                          <w:rFonts w:ascii="Cambria Math" w:hAnsi="Cambria Math"/>
                          <w:lang w:val="es-CL"/>
                        </w:rPr>
                      </m:ctrlPr>
                    </m:naryPr>
                    <m:sub>
                      <m:r>
                        <w:rPr>
                          <w:rFonts w:ascii="Cambria Math" w:hAnsi="Cambria Math"/>
                          <w:lang w:val="es-CL"/>
                        </w:rPr>
                        <m:t>i</m:t>
                      </m:r>
                    </m:sub>
                    <m:sup/>
                    <m:e>
                      <m:nary>
                        <m:naryPr>
                          <m:chr m:val="∑"/>
                          <m:limLoc m:val="undOvr"/>
                          <m:supHide m:val="1"/>
                          <m:ctrlPr>
                            <w:rPr>
                              <w:rFonts w:ascii="Cambria Math" w:hAnsi="Cambria Math"/>
                              <w:lang w:val="es-CL"/>
                            </w:rPr>
                          </m:ctrlPr>
                        </m:naryPr>
                        <m:sub>
                          <m:r>
                            <w:rPr>
                              <w:rFonts w:ascii="Cambria Math" w:hAnsi="Cambria Math"/>
                              <w:lang w:val="es-CL"/>
                            </w:rPr>
                            <m:t>k∈s</m:t>
                          </m:r>
                        </m:sub>
                        <m:sup/>
                        <m:e>
                          <m:sSub>
                            <m:sSubPr>
                              <m:ctrlPr>
                                <w:rPr>
                                  <w:rFonts w:ascii="Cambria Math" w:hAnsi="Cambria Math"/>
                                  <w:lang w:val="es-CL"/>
                                </w:rPr>
                              </m:ctrlPr>
                            </m:sSubPr>
                            <m:e>
                              <m:r>
                                <w:rPr>
                                  <w:rFonts w:ascii="Cambria Math" w:hAnsi="Cambria Math"/>
                                  <w:lang w:val="es-CL"/>
                                </w:rPr>
                                <m:t>w</m:t>
                              </m:r>
                            </m:e>
                            <m:sub>
                              <m:r>
                                <w:rPr>
                                  <w:rFonts w:ascii="Cambria Math" w:hAnsi="Cambria Math"/>
                                  <w:lang w:val="es-CL"/>
                                </w:rPr>
                                <m:t>k</m:t>
                              </m:r>
                            </m:sub>
                          </m:sSub>
                        </m:e>
                      </m:nary>
                    </m:e>
                  </m:nary>
                </m:e>
              </m:nary>
            </m:den>
          </m:f>
          <m:r>
            <w:rPr>
              <w:rFonts w:ascii="Cambria Math" w:hAnsi="Cambria Math"/>
              <w:lang w:val="es-CL"/>
            </w:rPr>
            <m:t>=</m:t>
          </m:r>
          <m:f>
            <m:fPr>
              <m:ctrlPr>
                <w:rPr>
                  <w:rFonts w:ascii="Cambria Math" w:hAnsi="Cambria Math"/>
                  <w:lang w:val="es-CL"/>
                </w:rPr>
              </m:ctrlPr>
            </m:fPr>
            <m:num>
              <m:sSub>
                <m:sSubPr>
                  <m:ctrlPr>
                    <w:rPr>
                      <w:rFonts w:ascii="Cambria Math" w:hAnsi="Cambria Math"/>
                      <w:lang w:val="es-CL"/>
                    </w:rPr>
                  </m:ctrlPr>
                </m:sSubPr>
                <m:e>
                  <m:acc>
                    <m:accPr>
                      <m:ctrlPr>
                        <w:rPr>
                          <w:rFonts w:ascii="Cambria Math" w:hAnsi="Cambria Math"/>
                          <w:lang w:val="es-CL"/>
                        </w:rPr>
                      </m:ctrlPr>
                    </m:accPr>
                    <m:e>
                      <m:r>
                        <w:rPr>
                          <w:rFonts w:ascii="Cambria Math" w:hAnsi="Cambria Math"/>
                          <w:lang w:val="es-CL"/>
                        </w:rPr>
                        <m:t>t</m:t>
                      </m:r>
                    </m:e>
                  </m:acc>
                </m:e>
                <m:sub>
                  <m:r>
                    <w:rPr>
                      <w:rFonts w:ascii="Cambria Math" w:hAnsi="Cambria Math"/>
                      <w:lang w:val="es-CL"/>
                    </w:rPr>
                    <m:t>y</m:t>
                  </m:r>
                </m:sub>
              </m:sSub>
            </m:num>
            <m:den>
              <m:acc>
                <m:accPr>
                  <m:ctrlPr>
                    <w:rPr>
                      <w:rFonts w:ascii="Cambria Math" w:hAnsi="Cambria Math"/>
                      <w:lang w:val="es-CL"/>
                    </w:rPr>
                  </m:ctrlPr>
                </m:accPr>
                <m:e>
                  <m:r>
                    <w:rPr>
                      <w:rFonts w:ascii="Cambria Math" w:hAnsi="Cambria Math"/>
                      <w:lang w:val="es-CL"/>
                    </w:rPr>
                    <m:t>N</m:t>
                  </m:r>
                </m:e>
              </m:acc>
            </m:den>
          </m:f>
        </m:oMath>
      </m:oMathPara>
    </w:p>
    <w:p w14:paraId="46C30344" w14:textId="66AECFEE" w:rsidR="00986EC0" w:rsidRDefault="00986EC0" w:rsidP="003805A0">
      <w:r>
        <w:t xml:space="preserve">donde las sumatorias recorren los estratos de muestreo </w:t>
      </w:r>
      <w:r w:rsidRPr="004D4AE3">
        <w:rPr>
          <w:lang w:val="es-MX"/>
        </w:rPr>
        <w:t>(</w:t>
      </w:r>
      <m:oMath>
        <m:r>
          <w:rPr>
            <w:rFonts w:ascii="Cambria Math" w:hAnsi="Cambria Math"/>
            <w:lang w:val="es-MX"/>
          </w:rPr>
          <m:t>h</m:t>
        </m:r>
        <m:r>
          <m:rPr>
            <m:sty m:val="p"/>
          </m:rPr>
          <w:rPr>
            <w:rFonts w:ascii="Cambria Math" w:hAnsi="Cambria Math"/>
            <w:lang w:val="es-MX"/>
          </w:rPr>
          <m:t>=1…,</m:t>
        </m:r>
        <m:r>
          <w:rPr>
            <w:rFonts w:ascii="Cambria Math" w:hAnsi="Cambria Math"/>
            <w:lang w:val="es-MX"/>
          </w:rPr>
          <m:t>H</m:t>
        </m:r>
      </m:oMath>
      <w:r w:rsidRPr="004D4AE3">
        <w:rPr>
          <w:lang w:val="es-MX"/>
        </w:rPr>
        <w:t xml:space="preserve">), </w:t>
      </w:r>
      <w:r>
        <w:t xml:space="preserve">las unidades primarias de muestreo </w:t>
      </w:r>
      <w:r w:rsidRPr="004D4AE3">
        <w:rPr>
          <w:lang w:val="es-MX"/>
        </w:rPr>
        <w:t>(</w:t>
      </w:r>
      <m:oMath>
        <m:r>
          <w:rPr>
            <w:rFonts w:ascii="Cambria Math" w:hAnsi="Cambria Math"/>
            <w:lang w:val="es-MX"/>
          </w:rPr>
          <m:t>i</m:t>
        </m:r>
        <m:r>
          <m:rPr>
            <m:sty m:val="p"/>
          </m:rPr>
          <w:rPr>
            <w:rFonts w:ascii="Cambria Math" w:hAnsi="Cambria Math"/>
            <w:lang w:val="es-MX"/>
          </w:rPr>
          <m:t>=1,…,</m:t>
        </m:r>
        <m:sSub>
          <m:sSubPr>
            <m:ctrlPr>
              <w:rPr>
                <w:rFonts w:ascii="Cambria Math" w:hAnsi="Cambria Math"/>
                <w:lang w:val="es-MX"/>
              </w:rPr>
            </m:ctrlPr>
          </m:sSubPr>
          <m:e>
            <m:r>
              <w:rPr>
                <w:rFonts w:ascii="Cambria Math" w:hAnsi="Cambria Math"/>
                <w:lang w:val="es-MX"/>
              </w:rPr>
              <m:t>n</m:t>
            </m:r>
          </m:e>
          <m:sub>
            <m:r>
              <w:rPr>
                <w:rFonts w:ascii="Cambria Math" w:hAnsi="Cambria Math"/>
                <w:lang w:val="es-MX"/>
              </w:rPr>
              <m:t>Ih</m:t>
            </m:r>
          </m:sub>
        </m:sSub>
      </m:oMath>
      <w:r w:rsidRPr="004D4AE3">
        <w:rPr>
          <w:lang w:val="es-MX"/>
        </w:rPr>
        <w:t xml:space="preserve">) </w:t>
      </w:r>
      <w:r>
        <w:t xml:space="preserve">y los individuos dentro de los hogares </w:t>
      </w:r>
      <w:r w:rsidRPr="004D4AE3">
        <w:rPr>
          <w:lang w:val="es-MX"/>
        </w:rPr>
        <w:t>(</w:t>
      </w:r>
      <m:oMath>
        <m:r>
          <w:rPr>
            <w:rFonts w:ascii="Cambria Math" w:hAnsi="Cambria Math"/>
            <w:lang w:val="es-MX"/>
          </w:rPr>
          <m:t>k</m:t>
        </m:r>
        <m:r>
          <m:rPr>
            <m:sty m:val="p"/>
          </m:rPr>
          <w:rPr>
            <w:rFonts w:ascii="Cambria Math" w:hAnsi="Cambria Math"/>
            <w:lang w:val="es-MX"/>
          </w:rPr>
          <m:t>=1,…,</m:t>
        </m:r>
        <m:sSub>
          <m:sSubPr>
            <m:ctrlPr>
              <w:rPr>
                <w:rFonts w:ascii="Cambria Math" w:hAnsi="Cambria Math"/>
                <w:lang w:val="es-MX"/>
              </w:rPr>
            </m:ctrlPr>
          </m:sSubPr>
          <m:e>
            <m:r>
              <w:rPr>
                <w:rFonts w:ascii="Cambria Math" w:hAnsi="Cambria Math"/>
                <w:lang w:val="es-MX"/>
              </w:rPr>
              <m:t>n</m:t>
            </m:r>
          </m:e>
          <m:sub>
            <m:r>
              <w:rPr>
                <w:rFonts w:ascii="Cambria Math" w:hAnsi="Cambria Math"/>
                <w:lang w:val="es-MX"/>
              </w:rPr>
              <m:t>i</m:t>
            </m:r>
          </m:sub>
        </m:sSub>
      </m:oMath>
      <w:r w:rsidRPr="004D4AE3">
        <w:rPr>
          <w:lang w:val="es-MX"/>
        </w:rPr>
        <w:t xml:space="preserve">). </w:t>
      </w:r>
      <w:r>
        <w:t xml:space="preserve">El numerador estima el total poblacional del fenómeno de interés, y el denominador, el total de la población objetivo. El ponderador </w:t>
      </w:r>
      <m:oMath>
        <m:sSub>
          <m:sSubPr>
            <m:ctrlPr>
              <w:rPr>
                <w:rFonts w:ascii="Cambria Math" w:hAnsi="Cambria Math"/>
                <w:lang w:val="es-MX"/>
              </w:rPr>
            </m:ctrlPr>
          </m:sSubPr>
          <m:e>
            <m:r>
              <w:rPr>
                <w:rFonts w:ascii="Cambria Math" w:hAnsi="Cambria Math"/>
                <w:lang w:val="es-MX"/>
              </w:rPr>
              <m:t>w</m:t>
            </m:r>
          </m:e>
          <m:sub>
            <m:r>
              <w:rPr>
                <w:rFonts w:ascii="Cambria Math" w:hAnsi="Cambria Math"/>
                <w:lang w:val="es-MX"/>
              </w:rPr>
              <m:t>k</m:t>
            </m:r>
          </m:sub>
        </m:sSub>
      </m:oMath>
      <w:r w:rsidRPr="004D4AE3">
        <w:rPr>
          <w:lang w:val="es-MX"/>
        </w:rPr>
        <w:t xml:space="preserve"> </w:t>
      </w:r>
      <w:r>
        <w:rPr>
          <w:rStyle w:val="vlist-s"/>
          <w:rFonts w:ascii="Arial" w:hAnsi="Arial" w:cs="Arial"/>
        </w:rPr>
        <w:t>​</w:t>
      </w:r>
      <w:r>
        <w:t xml:space="preserve"> corresponde al peso de muestreo calibrado.</w:t>
      </w:r>
    </w:p>
    <w:p w14:paraId="51497547" w14:textId="5F5F504B" w:rsidR="00986EC0" w:rsidRDefault="00986EC0" w:rsidP="003805A0">
      <w:r>
        <w:t xml:space="preserve">De forma análoga, para un distrito </w:t>
      </w:r>
      <m:oMath>
        <m:sSub>
          <m:sSubPr>
            <m:ctrlPr>
              <w:rPr>
                <w:rStyle w:val="katex-mathml"/>
                <w:rFonts w:ascii="Cambria Math" w:hAnsi="Cambria Math"/>
              </w:rPr>
            </m:ctrlPr>
          </m:sSubPr>
          <m:e>
            <m:r>
              <w:rPr>
                <w:rStyle w:val="katex-mathml"/>
                <w:rFonts w:ascii="Cambria Math" w:hAnsi="Cambria Math"/>
              </w:rPr>
              <m:t>s</m:t>
            </m:r>
          </m:e>
          <m:sub>
            <m:r>
              <w:rPr>
                <w:rStyle w:val="katex-mathml"/>
                <w:rFonts w:ascii="Cambria Math" w:hAnsi="Cambria Math"/>
              </w:rPr>
              <m:t>d</m:t>
            </m:r>
          </m:sub>
        </m:sSub>
      </m:oMath>
      <w:r>
        <w:t>, la estimación puntual se define como:</w:t>
      </w:r>
    </w:p>
    <w:p w14:paraId="221E7C55" w14:textId="43727F1F" w:rsidR="00986EC0" w:rsidRPr="00986EC0" w:rsidRDefault="00351E3A" w:rsidP="003805A0">
      <w:pPr>
        <w:rPr>
          <w:rFonts w:eastAsiaTheme="minorEastAsia"/>
          <w:lang w:val="es-CL"/>
        </w:rPr>
      </w:pPr>
      <m:oMathPara>
        <m:oMath>
          <m:sSubSup>
            <m:sSubSupPr>
              <m:ctrlPr>
                <w:rPr>
                  <w:rFonts w:ascii="Cambria Math" w:hAnsi="Cambria Math"/>
                  <w:lang w:val="es-CL"/>
                </w:rPr>
              </m:ctrlPr>
            </m:sSubSupPr>
            <m:e>
              <m:acc>
                <m:accPr>
                  <m:ctrlPr>
                    <w:rPr>
                      <w:rFonts w:ascii="Cambria Math" w:hAnsi="Cambria Math"/>
                      <w:lang w:val="es-CL"/>
                    </w:rPr>
                  </m:ctrlPr>
                </m:accPr>
                <m:e>
                  <m:r>
                    <w:rPr>
                      <w:rFonts w:ascii="Cambria Math" w:hAnsi="Cambria Math"/>
                      <w:lang w:val="es-CL"/>
                    </w:rPr>
                    <m:t>θ</m:t>
                  </m:r>
                </m:e>
              </m:acc>
            </m:e>
            <m:sub>
              <m:r>
                <w:rPr>
                  <w:rFonts w:ascii="Cambria Math" w:hAnsi="Cambria Math"/>
                  <w:lang w:val="es-CL"/>
                </w:rPr>
                <m:t>d</m:t>
              </m:r>
            </m:sub>
            <m:sup>
              <m:r>
                <w:rPr>
                  <w:rFonts w:ascii="Cambria Math" w:hAnsi="Cambria Math"/>
                  <w:lang w:val="es-CL"/>
                </w:rPr>
                <m:t>Dir</m:t>
              </m:r>
            </m:sup>
          </m:sSubSup>
          <m:r>
            <w:rPr>
              <w:rFonts w:ascii="Cambria Math" w:hAnsi="Cambria Math"/>
              <w:lang w:val="es-CL"/>
            </w:rPr>
            <m:t>=</m:t>
          </m:r>
          <m:f>
            <m:fPr>
              <m:ctrlPr>
                <w:rPr>
                  <w:rFonts w:ascii="Cambria Math" w:hAnsi="Cambria Math"/>
                  <w:lang w:val="es-CL"/>
                </w:rPr>
              </m:ctrlPr>
            </m:fPr>
            <m:num>
              <m:nary>
                <m:naryPr>
                  <m:chr m:val="∑"/>
                  <m:limLoc m:val="undOvr"/>
                  <m:supHide m:val="1"/>
                  <m:ctrlPr>
                    <w:rPr>
                      <w:rFonts w:ascii="Cambria Math" w:hAnsi="Cambria Math"/>
                      <w:lang w:val="es-CL"/>
                    </w:rPr>
                  </m:ctrlPr>
                </m:naryPr>
                <m:sub>
                  <m:r>
                    <w:rPr>
                      <w:rFonts w:ascii="Cambria Math" w:hAnsi="Cambria Math"/>
                      <w:lang w:val="es-CL"/>
                    </w:rPr>
                    <m:t>h</m:t>
                  </m:r>
                </m:sub>
                <m:sup/>
                <m:e>
                  <m:nary>
                    <m:naryPr>
                      <m:chr m:val="∑"/>
                      <m:limLoc m:val="undOvr"/>
                      <m:supHide m:val="1"/>
                      <m:ctrlPr>
                        <w:rPr>
                          <w:rFonts w:ascii="Cambria Math" w:hAnsi="Cambria Math"/>
                          <w:lang w:val="es-CL"/>
                        </w:rPr>
                      </m:ctrlPr>
                    </m:naryPr>
                    <m:sub>
                      <m:r>
                        <w:rPr>
                          <w:rFonts w:ascii="Cambria Math" w:hAnsi="Cambria Math"/>
                          <w:lang w:val="es-CL"/>
                        </w:rPr>
                        <m:t>i</m:t>
                      </m:r>
                    </m:sub>
                    <m:sup/>
                    <m:e>
                      <m:nary>
                        <m:naryPr>
                          <m:chr m:val="∑"/>
                          <m:limLoc m:val="undOvr"/>
                          <m:supHide m:val="1"/>
                          <m:ctrlPr>
                            <w:rPr>
                              <w:rFonts w:ascii="Cambria Math" w:hAnsi="Cambria Math"/>
                              <w:lang w:val="es-CL"/>
                            </w:rPr>
                          </m:ctrlPr>
                        </m:naryPr>
                        <m:sub>
                          <m:r>
                            <w:rPr>
                              <w:rFonts w:ascii="Cambria Math" w:hAnsi="Cambria Math"/>
                              <w:lang w:val="es-CL"/>
                            </w:rPr>
                            <m:t>k∈</m:t>
                          </m:r>
                          <m:sSub>
                            <m:sSubPr>
                              <m:ctrlPr>
                                <w:rPr>
                                  <w:rFonts w:ascii="Cambria Math" w:hAnsi="Cambria Math"/>
                                  <w:lang w:val="es-CL"/>
                                </w:rPr>
                              </m:ctrlPr>
                            </m:sSubPr>
                            <m:e>
                              <m:r>
                                <w:rPr>
                                  <w:rFonts w:ascii="Cambria Math" w:hAnsi="Cambria Math"/>
                                  <w:lang w:val="es-CL"/>
                                </w:rPr>
                                <m:t>s</m:t>
                              </m:r>
                            </m:e>
                            <m:sub>
                              <m:r>
                                <w:rPr>
                                  <w:rFonts w:ascii="Cambria Math" w:hAnsi="Cambria Math"/>
                                  <w:lang w:val="es-CL"/>
                                </w:rPr>
                                <m:t>d</m:t>
                              </m:r>
                            </m:sub>
                          </m:sSub>
                        </m:sub>
                        <m:sup/>
                        <m:e>
                          <m:sSub>
                            <m:sSubPr>
                              <m:ctrlPr>
                                <w:rPr>
                                  <w:rFonts w:ascii="Cambria Math" w:hAnsi="Cambria Math"/>
                                  <w:lang w:val="es-CL"/>
                                </w:rPr>
                              </m:ctrlPr>
                            </m:sSubPr>
                            <m:e>
                              <m:r>
                                <w:rPr>
                                  <w:rFonts w:ascii="Cambria Math" w:hAnsi="Cambria Math"/>
                                  <w:lang w:val="es-CL"/>
                                </w:rPr>
                                <m:t>w</m:t>
                              </m:r>
                            </m:e>
                            <m:sub>
                              <m:r>
                                <w:rPr>
                                  <w:rFonts w:ascii="Cambria Math" w:hAnsi="Cambria Math"/>
                                  <w:lang w:val="es-CL"/>
                                </w:rPr>
                                <m:t>k</m:t>
                              </m:r>
                            </m:sub>
                          </m:sSub>
                        </m:e>
                      </m:nary>
                    </m:e>
                  </m:nary>
                </m:e>
              </m:nary>
              <m:r>
                <w:rPr>
                  <w:rFonts w:ascii="Cambria Math" w:hAnsi="Cambria Math"/>
                  <w:lang w:val="es-CL"/>
                </w:rPr>
                <m:t> </m:t>
              </m:r>
              <m:sSub>
                <m:sSubPr>
                  <m:ctrlPr>
                    <w:rPr>
                      <w:rFonts w:ascii="Cambria Math" w:hAnsi="Cambria Math"/>
                      <w:lang w:val="es-CL"/>
                    </w:rPr>
                  </m:ctrlPr>
                </m:sSubPr>
                <m:e>
                  <m:r>
                    <w:rPr>
                      <w:rFonts w:ascii="Cambria Math" w:hAnsi="Cambria Math"/>
                      <w:lang w:val="es-CL"/>
                    </w:rPr>
                    <m:t>y</m:t>
                  </m:r>
                </m:e>
                <m:sub>
                  <m:r>
                    <w:rPr>
                      <w:rFonts w:ascii="Cambria Math" w:hAnsi="Cambria Math"/>
                      <w:lang w:val="es-CL"/>
                    </w:rPr>
                    <m:t>k</m:t>
                  </m:r>
                </m:sub>
              </m:sSub>
            </m:num>
            <m:den>
              <m:nary>
                <m:naryPr>
                  <m:chr m:val="∑"/>
                  <m:limLoc m:val="undOvr"/>
                  <m:supHide m:val="1"/>
                  <m:ctrlPr>
                    <w:rPr>
                      <w:rFonts w:ascii="Cambria Math" w:hAnsi="Cambria Math"/>
                      <w:lang w:val="es-CL"/>
                    </w:rPr>
                  </m:ctrlPr>
                </m:naryPr>
                <m:sub>
                  <m:r>
                    <w:rPr>
                      <w:rFonts w:ascii="Cambria Math" w:hAnsi="Cambria Math"/>
                      <w:lang w:val="es-CL"/>
                    </w:rPr>
                    <m:t>h</m:t>
                  </m:r>
                </m:sub>
                <m:sup/>
                <m:e>
                  <m:nary>
                    <m:naryPr>
                      <m:chr m:val="∑"/>
                      <m:limLoc m:val="undOvr"/>
                      <m:supHide m:val="1"/>
                      <m:ctrlPr>
                        <w:rPr>
                          <w:rFonts w:ascii="Cambria Math" w:hAnsi="Cambria Math"/>
                          <w:lang w:val="es-CL"/>
                        </w:rPr>
                      </m:ctrlPr>
                    </m:naryPr>
                    <m:sub>
                      <m:r>
                        <w:rPr>
                          <w:rFonts w:ascii="Cambria Math" w:hAnsi="Cambria Math"/>
                          <w:lang w:val="es-CL"/>
                        </w:rPr>
                        <m:t>i</m:t>
                      </m:r>
                    </m:sub>
                    <m:sup/>
                    <m:e>
                      <m:nary>
                        <m:naryPr>
                          <m:chr m:val="∑"/>
                          <m:limLoc m:val="undOvr"/>
                          <m:supHide m:val="1"/>
                          <m:ctrlPr>
                            <w:rPr>
                              <w:rFonts w:ascii="Cambria Math" w:hAnsi="Cambria Math"/>
                              <w:lang w:val="es-CL"/>
                            </w:rPr>
                          </m:ctrlPr>
                        </m:naryPr>
                        <m:sub>
                          <m:r>
                            <w:rPr>
                              <w:rFonts w:ascii="Cambria Math" w:hAnsi="Cambria Math"/>
                              <w:lang w:val="es-CL"/>
                            </w:rPr>
                            <m:t>k∈</m:t>
                          </m:r>
                          <m:sSub>
                            <m:sSubPr>
                              <m:ctrlPr>
                                <w:rPr>
                                  <w:rFonts w:ascii="Cambria Math" w:hAnsi="Cambria Math"/>
                                  <w:lang w:val="es-CL"/>
                                </w:rPr>
                              </m:ctrlPr>
                            </m:sSubPr>
                            <m:e>
                              <m:r>
                                <w:rPr>
                                  <w:rFonts w:ascii="Cambria Math" w:hAnsi="Cambria Math"/>
                                  <w:lang w:val="es-CL"/>
                                </w:rPr>
                                <m:t>s</m:t>
                              </m:r>
                            </m:e>
                            <m:sub>
                              <m:r>
                                <w:rPr>
                                  <w:rFonts w:ascii="Cambria Math" w:hAnsi="Cambria Math"/>
                                  <w:lang w:val="es-CL"/>
                                </w:rPr>
                                <m:t>d</m:t>
                              </m:r>
                            </m:sub>
                          </m:sSub>
                        </m:sub>
                        <m:sup/>
                        <m:e>
                          <m:sSub>
                            <m:sSubPr>
                              <m:ctrlPr>
                                <w:rPr>
                                  <w:rFonts w:ascii="Cambria Math" w:hAnsi="Cambria Math"/>
                                  <w:lang w:val="es-CL"/>
                                </w:rPr>
                              </m:ctrlPr>
                            </m:sSubPr>
                            <m:e>
                              <m:r>
                                <w:rPr>
                                  <w:rFonts w:ascii="Cambria Math" w:hAnsi="Cambria Math"/>
                                  <w:lang w:val="es-CL"/>
                                </w:rPr>
                                <m:t>w</m:t>
                              </m:r>
                            </m:e>
                            <m:sub>
                              <m:r>
                                <w:rPr>
                                  <w:rFonts w:ascii="Cambria Math" w:hAnsi="Cambria Math"/>
                                  <w:lang w:val="es-CL"/>
                                </w:rPr>
                                <m:t>k</m:t>
                              </m:r>
                            </m:sub>
                          </m:sSub>
                        </m:e>
                      </m:nary>
                    </m:e>
                  </m:nary>
                </m:e>
              </m:nary>
            </m:den>
          </m:f>
          <m:r>
            <w:rPr>
              <w:rFonts w:ascii="Cambria Math" w:hAnsi="Cambria Math"/>
              <w:lang w:val="es-CL"/>
            </w:rPr>
            <m:t>=</m:t>
          </m:r>
          <m:f>
            <m:fPr>
              <m:ctrlPr>
                <w:rPr>
                  <w:rFonts w:ascii="Cambria Math" w:hAnsi="Cambria Math"/>
                  <w:lang w:val="es-CL"/>
                </w:rPr>
              </m:ctrlPr>
            </m:fPr>
            <m:num>
              <m:sSub>
                <m:sSubPr>
                  <m:ctrlPr>
                    <w:rPr>
                      <w:rFonts w:ascii="Cambria Math" w:hAnsi="Cambria Math"/>
                      <w:lang w:val="es-CL"/>
                    </w:rPr>
                  </m:ctrlPr>
                </m:sSubPr>
                <m:e>
                  <m:acc>
                    <m:accPr>
                      <m:ctrlPr>
                        <w:rPr>
                          <w:rFonts w:ascii="Cambria Math" w:hAnsi="Cambria Math"/>
                          <w:lang w:val="es-CL"/>
                        </w:rPr>
                      </m:ctrlPr>
                    </m:accPr>
                    <m:e>
                      <m:r>
                        <w:rPr>
                          <w:rFonts w:ascii="Cambria Math" w:hAnsi="Cambria Math"/>
                          <w:lang w:val="es-CL"/>
                        </w:rPr>
                        <m:t>t</m:t>
                      </m:r>
                    </m:e>
                  </m:acc>
                </m:e>
                <m:sub>
                  <m:sSub>
                    <m:sSubPr>
                      <m:ctrlPr>
                        <w:rPr>
                          <w:rFonts w:ascii="Cambria Math" w:hAnsi="Cambria Math"/>
                          <w:lang w:val="es-CL"/>
                        </w:rPr>
                      </m:ctrlPr>
                    </m:sSubPr>
                    <m:e>
                      <m:r>
                        <w:rPr>
                          <w:rFonts w:ascii="Cambria Math" w:hAnsi="Cambria Math"/>
                          <w:lang w:val="es-CL"/>
                        </w:rPr>
                        <m:t>y</m:t>
                      </m:r>
                    </m:e>
                    <m:sub>
                      <m:r>
                        <w:rPr>
                          <w:rFonts w:ascii="Cambria Math" w:hAnsi="Cambria Math"/>
                          <w:lang w:val="es-CL"/>
                        </w:rPr>
                        <m:t>d</m:t>
                      </m:r>
                    </m:sub>
                  </m:sSub>
                </m:sub>
              </m:sSub>
            </m:num>
            <m:den>
              <m:sSub>
                <m:sSubPr>
                  <m:ctrlPr>
                    <w:rPr>
                      <w:rFonts w:ascii="Cambria Math" w:hAnsi="Cambria Math"/>
                      <w:lang w:val="es-CL"/>
                    </w:rPr>
                  </m:ctrlPr>
                </m:sSubPr>
                <m:e>
                  <m:acc>
                    <m:accPr>
                      <m:ctrlPr>
                        <w:rPr>
                          <w:rFonts w:ascii="Cambria Math" w:hAnsi="Cambria Math"/>
                          <w:lang w:val="es-CL"/>
                        </w:rPr>
                      </m:ctrlPr>
                    </m:accPr>
                    <m:e>
                      <m:r>
                        <w:rPr>
                          <w:rFonts w:ascii="Cambria Math" w:hAnsi="Cambria Math"/>
                          <w:lang w:val="es-CL"/>
                        </w:rPr>
                        <m:t>N</m:t>
                      </m:r>
                    </m:e>
                  </m:acc>
                </m:e>
                <m:sub>
                  <m:r>
                    <w:rPr>
                      <w:rFonts w:ascii="Cambria Math" w:hAnsi="Cambria Math"/>
                      <w:lang w:val="es-CL"/>
                    </w:rPr>
                    <m:t>d</m:t>
                  </m:r>
                </m:sub>
              </m:sSub>
            </m:den>
          </m:f>
        </m:oMath>
      </m:oMathPara>
    </w:p>
    <w:p w14:paraId="0768EB2E" w14:textId="540745CF" w:rsidR="00986EC0" w:rsidRDefault="00986EC0" w:rsidP="003805A0">
      <w:r>
        <w:t>Es importante subrayar que, en algunos distritos, el tamaño muestral efectivo (</w:t>
      </w:r>
      <w:r>
        <w:rPr>
          <w:rStyle w:val="katex-mathml"/>
          <w:rFonts w:ascii="Cambria Math" w:hAnsi="Cambria Math" w:cs="Cambria Math"/>
        </w:rPr>
        <w:t>∣</w:t>
      </w:r>
      <m:oMath>
        <m:sSub>
          <m:sSubPr>
            <m:ctrlPr>
              <w:rPr>
                <w:rStyle w:val="katex-mathml"/>
                <w:rFonts w:ascii="Cambria Math" w:hAnsi="Cambria Math"/>
              </w:rPr>
            </m:ctrlPr>
          </m:sSubPr>
          <m:e>
            <m:r>
              <w:rPr>
                <w:rStyle w:val="katex-mathml"/>
                <w:rFonts w:ascii="Cambria Math" w:hAnsi="Cambria Math"/>
              </w:rPr>
              <m:t>s</m:t>
            </m:r>
          </m:e>
          <m:sub>
            <m:r>
              <w:rPr>
                <w:rStyle w:val="katex-mathml"/>
                <w:rFonts w:ascii="Cambria Math" w:hAnsi="Cambria Math"/>
              </w:rPr>
              <m:t>d</m:t>
            </m:r>
          </m:sub>
        </m:sSub>
      </m:oMath>
      <w:r>
        <w:rPr>
          <w:rStyle w:val="vlist-s"/>
          <w:rFonts w:ascii="Arial" w:hAnsi="Arial" w:cs="Arial"/>
        </w:rPr>
        <w:t>​</w:t>
      </w:r>
      <w:r>
        <w:rPr>
          <w:rStyle w:val="mord"/>
          <w:rFonts w:ascii="Cambria Math" w:hAnsi="Cambria Math" w:cs="Cambria Math"/>
        </w:rPr>
        <w:t>∣</w:t>
      </w:r>
      <w:r>
        <w:t>) puede ser muy reducido o incluso nulo. En tales casos, la distribución del estimador directo difícilmente se aproxima a la distribución teórica (t-</w:t>
      </w:r>
      <w:proofErr w:type="spellStart"/>
      <w:r>
        <w:t>Student</w:t>
      </w:r>
      <w:proofErr w:type="spellEnd"/>
      <w:r>
        <w:t xml:space="preserve"> con </w:t>
      </w:r>
      <w:proofErr w:type="spellStart"/>
      <w:r>
        <w:rPr>
          <w:rStyle w:val="katex-mathml"/>
        </w:rPr>
        <w:t>gl</w:t>
      </w:r>
      <w:proofErr w:type="spellEnd"/>
      <w:r>
        <w:t xml:space="preserve"> grados de libertad), lo que conlleva pérdida de propiedades deseables como </w:t>
      </w:r>
      <w:proofErr w:type="spellStart"/>
      <w:r w:rsidRPr="00986EC0">
        <w:rPr>
          <w:rStyle w:val="Strong"/>
          <w:b w:val="0"/>
          <w:bCs w:val="0"/>
        </w:rPr>
        <w:t>insesgamiento</w:t>
      </w:r>
      <w:proofErr w:type="spellEnd"/>
      <w:r w:rsidRPr="00986EC0">
        <w:rPr>
          <w:rStyle w:val="Strong"/>
          <w:b w:val="0"/>
          <w:bCs w:val="0"/>
        </w:rPr>
        <w:t>, precisión y consistencia</w:t>
      </w:r>
      <w:r>
        <w:t>. Esta situación justifica la necesidad de complementar las estimaciones directas con modelos de áreas pequeñas, que aprovechan información auxiliar para mejorar la precisión en dominios con muestras limitadas.</w:t>
      </w:r>
    </w:p>
    <w:p w14:paraId="360E547A" w14:textId="77777777" w:rsidR="00986EC0" w:rsidRDefault="00986EC0" w:rsidP="003805A0"/>
    <w:p w14:paraId="4EF54A5B" w14:textId="20E60688" w:rsidR="00986EC0" w:rsidRDefault="00986EC0" w:rsidP="00986EC0">
      <w:pPr>
        <w:pStyle w:val="Heading2"/>
        <w:numPr>
          <w:ilvl w:val="1"/>
          <w:numId w:val="13"/>
        </w:numPr>
        <w:rPr>
          <w:rFonts w:eastAsia="Times New Roman"/>
          <w:lang w:val="es-CL"/>
        </w:rPr>
      </w:pPr>
      <w:bookmarkStart w:id="20" w:name="_Toc207902581"/>
      <w:r w:rsidRPr="00986EC0">
        <w:rPr>
          <w:rFonts w:eastAsia="Times New Roman"/>
          <w:lang w:val="es-CL"/>
        </w:rPr>
        <w:t>Aproximación de la varianza en encuestas de hogares</w:t>
      </w:r>
      <w:bookmarkEnd w:id="20"/>
    </w:p>
    <w:p w14:paraId="71CB576E" w14:textId="77777777" w:rsidR="00986EC0" w:rsidRDefault="00986EC0" w:rsidP="00986EC0">
      <w:pPr>
        <w:rPr>
          <w:lang w:val="es-CL"/>
        </w:rPr>
      </w:pPr>
    </w:p>
    <w:p w14:paraId="4AF0A663" w14:textId="4413343D" w:rsidR="00986EC0" w:rsidRDefault="00986EC0" w:rsidP="00986EC0">
      <w:r>
        <w:t xml:space="preserve">En general, para cualquier estrategia de muestreo complejo, es posible definir expresiones genéricas para la varianza de un estimador directo. Por ejemplo, la varianza de un estimador de total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y</m:t>
            </m:r>
          </m:sub>
        </m:sSub>
      </m:oMath>
      <w:r>
        <w:rPr>
          <w:rFonts w:eastAsiaTheme="minorEastAsia"/>
        </w:rPr>
        <w:t xml:space="preserve"> </w:t>
      </w:r>
      <w:r>
        <w:t>puede expresarse como:</w:t>
      </w:r>
    </w:p>
    <w:p w14:paraId="1FB208A5" w14:textId="1B5F1D85" w:rsidR="00986EC0" w:rsidRPr="00986EC0" w:rsidRDefault="00986EC0" w:rsidP="00986EC0">
      <w:pPr>
        <w:rPr>
          <w:rFonts w:eastAsiaTheme="minorEastAsia"/>
        </w:rPr>
      </w:pPr>
      <m:oMathPara>
        <m:oMath>
          <m:r>
            <w:rPr>
              <w:rFonts w:ascii="Cambria Math" w:hAnsi="Cambria Math"/>
            </w:rPr>
            <m:t>Var</m:t>
          </m:r>
          <m:d>
            <m:dPr>
              <m:ctrlPr>
                <w:rPr>
                  <w:rFonts w:ascii="Cambria Math" w:hAnsi="Cambria Math"/>
                </w:rPr>
              </m:ctrlPr>
            </m:dPr>
            <m:e>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y</m:t>
                  </m:r>
                </m:sub>
              </m:sSub>
            </m:e>
          </m:d>
          <m:r>
            <w:rPr>
              <w:rFonts w:ascii="Cambria Math" w:hAnsi="Cambria Math"/>
            </w:rPr>
            <m:t>=</m:t>
          </m:r>
          <m:nary>
            <m:naryPr>
              <m:chr m:val="∑"/>
              <m:limLoc m:val="undOvr"/>
              <m:supHide m:val="1"/>
              <m:ctrlPr>
                <w:rPr>
                  <w:rFonts w:ascii="Cambria Math" w:hAnsi="Cambria Math"/>
                </w:rPr>
              </m:ctrlPr>
            </m:naryPr>
            <m:sub>
              <m:r>
                <w:rPr>
                  <w:rFonts w:ascii="Cambria Math" w:hAnsi="Cambria Math"/>
                </w:rPr>
                <m:t>k∈U</m:t>
              </m:r>
            </m:sub>
            <m:sup/>
            <m:e>
              <m:nary>
                <m:naryPr>
                  <m:chr m:val="∑"/>
                  <m:limLoc m:val="undOvr"/>
                  <m:supHide m:val="1"/>
                  <m:ctrlPr>
                    <w:rPr>
                      <w:rFonts w:ascii="Cambria Math" w:hAnsi="Cambria Math"/>
                    </w:rPr>
                  </m:ctrlPr>
                </m:naryPr>
                <m:sub>
                  <m:r>
                    <w:rPr>
                      <w:rFonts w:ascii="Cambria Math" w:hAnsi="Cambria Math"/>
                    </w:rPr>
                    <m:t>j∈U</m:t>
                  </m:r>
                </m:sub>
                <m:sup/>
                <m:e>
                  <m:sSub>
                    <m:sSubPr>
                      <m:ctrlPr>
                        <w:rPr>
                          <w:rFonts w:ascii="Cambria Math" w:hAnsi="Cambria Math"/>
                        </w:rPr>
                      </m:ctrlPr>
                    </m:sSubPr>
                    <m:e>
                      <m:r>
                        <m:rPr>
                          <m:sty m:val="p"/>
                        </m:rPr>
                        <w:rPr>
                          <w:rFonts w:ascii="Cambria Math" w:hAnsi="Cambria Math"/>
                        </w:rPr>
                        <m:t>Δ</m:t>
                      </m:r>
                    </m:e>
                    <m:sub>
                      <m:r>
                        <w:rPr>
                          <w:rFonts w:ascii="Cambria Math" w:hAnsi="Cambria Math"/>
                        </w:rPr>
                        <m:t>kl</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w:rPr>
                              <w:rFonts w:ascii="Cambria Math" w:hAnsi="Cambria Math"/>
                            </w:rPr>
                            <m:t>k</m:t>
                          </m:r>
                        </m:sub>
                      </m:sSub>
                    </m:num>
                    <m:den>
                      <m:sSub>
                        <m:sSubPr>
                          <m:ctrlPr>
                            <w:rPr>
                              <w:rFonts w:ascii="Cambria Math" w:hAnsi="Cambria Math"/>
                            </w:rPr>
                          </m:ctrlPr>
                        </m:sSubPr>
                        <m:e>
                          <m:r>
                            <w:rPr>
                              <w:rFonts w:ascii="Cambria Math" w:hAnsi="Cambria Math"/>
                            </w:rPr>
                            <m:t>π</m:t>
                          </m:r>
                        </m:e>
                        <m:sub>
                          <m:r>
                            <w:rPr>
                              <w:rFonts w:ascii="Cambria Math" w:hAnsi="Cambria Math"/>
                            </w:rPr>
                            <m:t>k</m:t>
                          </m:r>
                        </m:sub>
                      </m:sSub>
                    </m:den>
                  </m:f>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w:rPr>
                              <w:rFonts w:ascii="Cambria Math" w:hAnsi="Cambria Math"/>
                            </w:rPr>
                            <m:t>l</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nary>
            </m:e>
          </m:nary>
        </m:oMath>
      </m:oMathPara>
    </w:p>
    <w:p w14:paraId="73B84CF1" w14:textId="61EC9D4D" w:rsidR="00986EC0" w:rsidRDefault="00986EC0" w:rsidP="00D10289">
      <w:r>
        <w:t xml:space="preserve">donde </w:t>
      </w:r>
      <m:oMath>
        <m:sSub>
          <m:sSubPr>
            <m:ctrlPr>
              <w:rPr>
                <w:rStyle w:val="katex-mathml"/>
                <w:rFonts w:ascii="Cambria Math" w:eastAsiaTheme="majorEastAsia" w:hAnsi="Cambria Math"/>
              </w:rPr>
            </m:ctrlPr>
          </m:sSubPr>
          <m:e>
            <m:r>
              <w:rPr>
                <w:rStyle w:val="katex-mathml"/>
                <w:rFonts w:ascii="Cambria Math" w:eastAsiaTheme="majorEastAsia" w:hAnsi="Cambria Math"/>
              </w:rPr>
              <m:t>π</m:t>
            </m:r>
          </m:e>
          <m:sub>
            <m:r>
              <w:rPr>
                <w:rStyle w:val="katex-mathml"/>
                <w:rFonts w:ascii="Cambria Math" w:eastAsiaTheme="majorEastAsia" w:hAnsi="Cambria Math"/>
              </w:rPr>
              <m:t>k</m:t>
            </m:r>
          </m:sub>
        </m:sSub>
      </m:oMath>
      <w:r>
        <w:rPr>
          <w:rStyle w:val="vlist-s"/>
          <w:rFonts w:ascii="Arial" w:hAnsi="Arial" w:cs="Arial"/>
        </w:rPr>
        <w:t>​</w:t>
      </w:r>
      <w:r>
        <w:t xml:space="preserve"> son las probabilidades de inclusión de primer orden, </w:t>
      </w:r>
      <m:oMath>
        <m:sSub>
          <m:sSubPr>
            <m:ctrlPr>
              <w:rPr>
                <w:rStyle w:val="katex-mathml"/>
                <w:rFonts w:ascii="Cambria Math" w:eastAsiaTheme="majorEastAsia" w:hAnsi="Cambria Math"/>
              </w:rPr>
            </m:ctrlPr>
          </m:sSubPr>
          <m:e>
            <m:r>
              <m:rPr>
                <m:sty m:val="p"/>
              </m:rPr>
              <w:rPr>
                <w:rStyle w:val="katex-mathml"/>
                <w:rFonts w:ascii="Cambria Math" w:eastAsiaTheme="majorEastAsia" w:hAnsi="Cambria Math"/>
              </w:rPr>
              <m:t>Δ</m:t>
            </m:r>
          </m:e>
          <m:sub>
            <m:r>
              <w:rPr>
                <w:rStyle w:val="katex-mathml"/>
                <w:rFonts w:ascii="Cambria Math" w:eastAsiaTheme="majorEastAsia" w:hAnsi="Cambria Math"/>
              </w:rPr>
              <m:t>kl</m:t>
            </m:r>
          </m:sub>
        </m:sSub>
      </m:oMath>
      <w:r>
        <w:rPr>
          <w:rStyle w:val="vlist-s"/>
          <w:rFonts w:ascii="Arial" w:hAnsi="Arial" w:cs="Arial"/>
        </w:rPr>
        <w:t>​</w:t>
      </w:r>
      <w:r>
        <w:t xml:space="preserve"> las covarianzas de membresía en la muestra aleatoria, y </w:t>
      </w:r>
      <m:oMath>
        <m:sSub>
          <m:sSubPr>
            <m:ctrlPr>
              <w:rPr>
                <w:rStyle w:val="mord"/>
                <w:rFonts w:ascii="Cambria Math" w:eastAsiaTheme="majorEastAsia" w:hAnsi="Cambria Math"/>
              </w:rPr>
            </m:ctrlPr>
          </m:sSubPr>
          <m:e>
            <m:r>
              <m:rPr>
                <m:sty m:val="p"/>
              </m:rPr>
              <w:rPr>
                <w:rStyle w:val="mord"/>
                <w:rFonts w:ascii="Cambria Math" w:eastAsiaTheme="majorEastAsia" w:hAnsi="Cambria Math"/>
              </w:rPr>
              <m:t>y</m:t>
            </m:r>
          </m:e>
          <m:sub>
            <m:r>
              <w:rPr>
                <w:rStyle w:val="mord"/>
                <w:rFonts w:ascii="Cambria Math" w:eastAsiaTheme="majorEastAsia" w:hAnsi="Cambria Math"/>
              </w:rPr>
              <m:t>k</m:t>
            </m:r>
          </m:sub>
        </m:sSub>
      </m:oMath>
      <w:r>
        <w:rPr>
          <w:rStyle w:val="vlist-s"/>
          <w:rFonts w:ascii="Arial" w:hAnsi="Arial" w:cs="Arial"/>
        </w:rPr>
        <w:t>​</w:t>
      </w:r>
      <w:r>
        <w:t xml:space="preserve"> la variable de interés para el individuo </w:t>
      </w:r>
      <w:r w:rsidR="001B1917">
        <w:rPr>
          <w:rStyle w:val="katex-mathml"/>
          <w:rFonts w:eastAsiaTheme="majorEastAsia"/>
        </w:rPr>
        <w:t>k</w:t>
      </w:r>
      <w:r>
        <w:t xml:space="preserve">. Esta expresión depende de toda la población </w:t>
      </w:r>
      <w:r>
        <w:rPr>
          <w:rStyle w:val="katex-mathml"/>
        </w:rPr>
        <w:t>U</w:t>
      </w:r>
      <w:r>
        <w:t>, lo que hace imposible su cálculo exacto en la práctica.</w:t>
      </w:r>
    </w:p>
    <w:p w14:paraId="006CB377" w14:textId="77777777" w:rsidR="00986EC0" w:rsidRDefault="00986EC0" w:rsidP="00D10289">
      <w:r>
        <w:t>Por ello, en encuestas de hogares se estima la varianza del estimador directo a partir de aproximaciones. Un estimador insesgado clásico se define como:</w:t>
      </w:r>
    </w:p>
    <w:p w14:paraId="57CB9573" w14:textId="1C0B099A" w:rsidR="001B1917" w:rsidRDefault="00351E3A" w:rsidP="00986EC0">
      <w:pPr>
        <w:pStyle w:val="NormalWeb"/>
      </w:pPr>
      <m:oMathPara>
        <m:oMath>
          <m:acc>
            <m:accPr>
              <m:ctrlPr>
                <w:rPr>
                  <w:rFonts w:ascii="Cambria Math" w:hAnsi="Cambria Math"/>
                </w:rPr>
              </m:ctrlPr>
            </m:accPr>
            <m:e>
              <m:r>
                <w:rPr>
                  <w:rFonts w:ascii="Cambria Math" w:hAnsi="Cambria Math"/>
                </w:rPr>
                <m:t>Var</m:t>
              </m:r>
            </m:e>
          </m:acc>
          <m:d>
            <m:dPr>
              <m:ctrlPr>
                <w:rPr>
                  <w:rFonts w:ascii="Cambria Math" w:hAnsi="Cambria Math"/>
                </w:rPr>
              </m:ctrlPr>
            </m:dPr>
            <m:e>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y</m:t>
                  </m:r>
                </m:sub>
              </m:sSub>
            </m:e>
          </m:d>
          <m:r>
            <w:rPr>
              <w:rFonts w:ascii="Cambria Math" w:hAnsi="Cambria Math"/>
            </w:rPr>
            <m:t>=</m:t>
          </m:r>
          <m:nary>
            <m:naryPr>
              <m:chr m:val="∑"/>
              <m:limLoc m:val="undOvr"/>
              <m:supHide m:val="1"/>
              <m:ctrlPr>
                <w:rPr>
                  <w:rFonts w:ascii="Cambria Math" w:hAnsi="Cambria Math"/>
                </w:rPr>
              </m:ctrlPr>
            </m:naryPr>
            <m:sub>
              <m:r>
                <w:rPr>
                  <w:rFonts w:ascii="Cambria Math" w:hAnsi="Cambria Math"/>
                </w:rPr>
                <m:t>k∈s</m:t>
              </m:r>
            </m:sub>
            <m:sup/>
            <m:e>
              <m:nary>
                <m:naryPr>
                  <m:chr m:val="∑"/>
                  <m:limLoc m:val="undOvr"/>
                  <m:supHide m:val="1"/>
                  <m:ctrlPr>
                    <w:rPr>
                      <w:rFonts w:ascii="Cambria Math" w:hAnsi="Cambria Math"/>
                    </w:rPr>
                  </m:ctrlPr>
                </m:naryPr>
                <m:sub>
                  <m:r>
                    <w:rPr>
                      <w:rFonts w:ascii="Cambria Math" w:hAnsi="Cambria Math"/>
                    </w:rPr>
                    <m:t>j∈s</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w:rPr>
                              <w:rFonts w:ascii="Cambria Math" w:hAnsi="Cambria Math"/>
                            </w:rPr>
                            <m:t>kl</m:t>
                          </m:r>
                        </m:sub>
                      </m:sSub>
                    </m:num>
                    <m:den>
                      <m:sSub>
                        <m:sSubPr>
                          <m:ctrlPr>
                            <w:rPr>
                              <w:rFonts w:ascii="Cambria Math" w:hAnsi="Cambria Math"/>
                            </w:rPr>
                          </m:ctrlPr>
                        </m:sSubPr>
                        <m:e>
                          <m:r>
                            <w:rPr>
                              <w:rFonts w:ascii="Cambria Math" w:hAnsi="Cambria Math"/>
                            </w:rPr>
                            <m:t>π</m:t>
                          </m:r>
                        </m:e>
                        <m:sub>
                          <m:r>
                            <w:rPr>
                              <w:rFonts w:ascii="Cambria Math" w:hAnsi="Cambria Math"/>
                            </w:rPr>
                            <m:t>kl</m:t>
                          </m:r>
                        </m:sub>
                      </m:sSub>
                    </m:den>
                  </m:f>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w:rPr>
                              <w:rFonts w:ascii="Cambria Math" w:hAnsi="Cambria Math"/>
                            </w:rPr>
                            <m:t>k</m:t>
                          </m:r>
                        </m:sub>
                      </m:sSub>
                    </m:num>
                    <m:den>
                      <m:sSub>
                        <m:sSubPr>
                          <m:ctrlPr>
                            <w:rPr>
                              <w:rFonts w:ascii="Cambria Math" w:hAnsi="Cambria Math"/>
                            </w:rPr>
                          </m:ctrlPr>
                        </m:sSubPr>
                        <m:e>
                          <m:r>
                            <w:rPr>
                              <w:rFonts w:ascii="Cambria Math" w:hAnsi="Cambria Math"/>
                            </w:rPr>
                            <m:t>π</m:t>
                          </m:r>
                        </m:e>
                        <m:sub>
                          <m:r>
                            <w:rPr>
                              <w:rFonts w:ascii="Cambria Math" w:hAnsi="Cambria Math"/>
                            </w:rPr>
                            <m:t>k</m:t>
                          </m:r>
                        </m:sub>
                      </m:sSub>
                    </m:den>
                  </m:f>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w:rPr>
                              <w:rFonts w:ascii="Cambria Math" w:hAnsi="Cambria Math"/>
                            </w:rPr>
                            <m:t>l</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nary>
            </m:e>
          </m:nary>
        </m:oMath>
      </m:oMathPara>
    </w:p>
    <w:p w14:paraId="77577066" w14:textId="65BA01F3" w:rsidR="001B1917" w:rsidRDefault="001B1917" w:rsidP="00D10289">
      <w:r>
        <w:t xml:space="preserve">donde </w:t>
      </w:r>
      <m:oMath>
        <m:sSub>
          <m:sSubPr>
            <m:ctrlPr>
              <w:rPr>
                <w:rStyle w:val="katex-mathml"/>
                <w:rFonts w:ascii="Cambria Math" w:eastAsiaTheme="majorEastAsia" w:hAnsi="Cambria Math"/>
              </w:rPr>
            </m:ctrlPr>
          </m:sSubPr>
          <m:e>
            <m:r>
              <w:rPr>
                <w:rStyle w:val="katex-mathml"/>
                <w:rFonts w:ascii="Cambria Math" w:eastAsiaTheme="majorEastAsia" w:hAnsi="Cambria Math"/>
              </w:rPr>
              <m:t>π</m:t>
            </m:r>
          </m:e>
          <m:sub>
            <m:r>
              <w:rPr>
                <w:rStyle w:val="katex-mathml"/>
                <w:rFonts w:ascii="Cambria Math" w:eastAsiaTheme="majorEastAsia" w:hAnsi="Cambria Math"/>
              </w:rPr>
              <m:t>kl</m:t>
            </m:r>
          </m:sub>
        </m:sSub>
      </m:oMath>
      <w:r>
        <w:t xml:space="preserve"> son probabilidades de inclusión de segundo orden y </w:t>
      </w:r>
      <w:r>
        <w:rPr>
          <w:rStyle w:val="mord"/>
        </w:rPr>
        <w:t>s</w:t>
      </w:r>
      <w:r>
        <w:t xml:space="preserve"> es la muestra observada. Como todo estimador, su desempeño depende de condiciones de regularidad, principalmente: (i) que la población sea grande, y (</w:t>
      </w:r>
      <w:proofErr w:type="spellStart"/>
      <w:r>
        <w:t>ii</w:t>
      </w:r>
      <w:proofErr w:type="spellEnd"/>
      <w:r>
        <w:t>) que el tamaño muestral sea suficiente.</w:t>
      </w:r>
    </w:p>
    <w:p w14:paraId="2B0D50DD" w14:textId="21E166AE" w:rsidR="00986EC0" w:rsidRDefault="00D10289" w:rsidP="00D10289">
      <w:r w:rsidRPr="00D10289">
        <w:t xml:space="preserve">En el caso de indicadores expresados como proporciones o tasas —como las tasas específicas de fecundidad (ASFR), la tasa global de fecundidad (TFR) o la mortalidad infantil (IMR, NNMR, </w:t>
      </w:r>
      <w:r w:rsidRPr="00D10289">
        <w:lastRenderedPageBreak/>
        <w:t>U5MR)—, la situación es más compleja debido a que el estimador directo es una razón de variables aleatorias. En estos casos se recurre a la linealización de Taylor para obtener una aproximación de la varianza (véase Gutiérrez, 2016). Un estimador aproximadamente insesgado se escribe como:</w:t>
      </w:r>
    </w:p>
    <w:p w14:paraId="56021472" w14:textId="40F7435C" w:rsidR="00D10289" w:rsidRPr="00D10289" w:rsidRDefault="00351E3A" w:rsidP="00D10289">
      <w:pPr>
        <w:rPr>
          <w:rFonts w:eastAsiaTheme="minorEastAsia"/>
        </w:rPr>
      </w:pPr>
      <m:oMathPara>
        <m:oMath>
          <m:acc>
            <m:accPr>
              <m:ctrlPr>
                <w:rPr>
                  <w:rFonts w:ascii="Cambria Math" w:hAnsi="Cambria Math"/>
                </w:rPr>
              </m:ctrlPr>
            </m:accPr>
            <m:e>
              <m:r>
                <w:rPr>
                  <w:rFonts w:ascii="Cambria Math" w:hAnsi="Cambria Math"/>
                </w:rPr>
                <m:t>AVar</m:t>
              </m:r>
            </m:e>
          </m:acc>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Dir</m:t>
                  </m:r>
                </m:sup>
              </m:sSup>
            </m:e>
          </m:d>
          <m:r>
            <w:rPr>
              <w:rFonts w:ascii="Cambria Math" w:hAnsi="Cambria Math"/>
            </w:rPr>
            <m:t>=</m:t>
          </m:r>
          <m:nary>
            <m:naryPr>
              <m:chr m:val="∑"/>
              <m:limLoc m:val="undOvr"/>
              <m:supHide m:val="1"/>
              <m:ctrlPr>
                <w:rPr>
                  <w:rFonts w:ascii="Cambria Math" w:hAnsi="Cambria Math"/>
                </w:rPr>
              </m:ctrlPr>
            </m:naryPr>
            <m:sub>
              <m:r>
                <w:rPr>
                  <w:rFonts w:ascii="Cambria Math" w:hAnsi="Cambria Math"/>
                </w:rPr>
                <m:t>k∈s</m:t>
              </m:r>
            </m:sub>
            <m:sup/>
            <m:e>
              <m:nary>
                <m:naryPr>
                  <m:chr m:val="∑"/>
                  <m:limLoc m:val="undOvr"/>
                  <m:supHide m:val="1"/>
                  <m:ctrlPr>
                    <w:rPr>
                      <w:rFonts w:ascii="Cambria Math" w:hAnsi="Cambria Math"/>
                    </w:rPr>
                  </m:ctrlPr>
                </m:naryPr>
                <m:sub>
                  <m:r>
                    <w:rPr>
                      <w:rFonts w:ascii="Cambria Math" w:hAnsi="Cambria Math"/>
                    </w:rPr>
                    <m:t>j∈s</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w:rPr>
                              <w:rFonts w:ascii="Cambria Math" w:hAnsi="Cambria Math"/>
                            </w:rPr>
                            <m:t>kl</m:t>
                          </m:r>
                        </m:sub>
                      </m:sSub>
                    </m:num>
                    <m:den>
                      <m:sSub>
                        <m:sSubPr>
                          <m:ctrlPr>
                            <w:rPr>
                              <w:rFonts w:ascii="Cambria Math" w:hAnsi="Cambria Math"/>
                            </w:rPr>
                          </m:ctrlPr>
                        </m:sSubPr>
                        <m:e>
                          <m:r>
                            <w:rPr>
                              <w:rFonts w:ascii="Cambria Math" w:hAnsi="Cambria Math"/>
                            </w:rPr>
                            <m:t>π</m:t>
                          </m:r>
                        </m:e>
                        <m:sub>
                          <m:r>
                            <w:rPr>
                              <w:rFonts w:ascii="Cambria Math" w:hAnsi="Cambria Math"/>
                            </w:rPr>
                            <m:t>kl</m:t>
                          </m:r>
                        </m:sub>
                      </m:sSub>
                    </m:den>
                  </m:f>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w:rPr>
                              <w:rFonts w:ascii="Cambria Math" w:hAnsi="Cambria Math"/>
                            </w:rPr>
                            <m:t>k</m:t>
                          </m:r>
                        </m:sub>
                      </m:sSub>
                    </m:num>
                    <m:den>
                      <m:sSub>
                        <m:sSubPr>
                          <m:ctrlPr>
                            <w:rPr>
                              <w:rFonts w:ascii="Cambria Math" w:hAnsi="Cambria Math"/>
                            </w:rPr>
                          </m:ctrlPr>
                        </m:sSubPr>
                        <m:e>
                          <m:r>
                            <w:rPr>
                              <w:rFonts w:ascii="Cambria Math" w:hAnsi="Cambria Math"/>
                            </w:rPr>
                            <m:t>π</m:t>
                          </m:r>
                        </m:e>
                        <m:sub>
                          <m:r>
                            <w:rPr>
                              <w:rFonts w:ascii="Cambria Math" w:hAnsi="Cambria Math"/>
                            </w:rPr>
                            <m:t>k</m:t>
                          </m:r>
                        </m:sub>
                      </m:sSub>
                    </m:den>
                  </m:f>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w:rPr>
                              <w:rFonts w:ascii="Cambria Math" w:hAnsi="Cambria Math"/>
                            </w:rPr>
                            <m:t>l</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nary>
            </m:e>
          </m:nary>
        </m:oMath>
      </m:oMathPara>
    </w:p>
    <w:p w14:paraId="2CDC9545" w14:textId="349B1D0B" w:rsidR="00D10289" w:rsidRDefault="00D10289" w:rsidP="00D10289">
      <w:r>
        <w:t xml:space="preserve">donde la variable linealizada </w:t>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 xml:space="preserve"> </m:t>
        </m:r>
      </m:oMath>
      <w:r w:rsidR="0008577E">
        <w:t>Se</w:t>
      </w:r>
      <w:r>
        <w:t xml:space="preserve"> define como;</w:t>
      </w:r>
    </w:p>
    <w:p w14:paraId="490E04FC" w14:textId="3C039425" w:rsidR="00D10289" w:rsidRPr="00D10289" w:rsidRDefault="00351E3A" w:rsidP="00D10289">
      <w:pPr>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acc>
                <m:accPr>
                  <m:ctrlPr>
                    <w:rPr>
                      <w:rFonts w:ascii="Cambria Math" w:hAnsi="Cambria Math"/>
                    </w:rPr>
                  </m:ctrlPr>
                </m:accPr>
                <m:e>
                  <m:r>
                    <w:rPr>
                      <w:rFonts w:ascii="Cambria Math" w:hAnsi="Cambria Math"/>
                    </w:rPr>
                    <m:t>N</m:t>
                  </m:r>
                </m:e>
              </m:acc>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acc>
            <m:accPr>
              <m:ctrlPr>
                <w:rPr>
                  <w:rFonts w:ascii="Cambria Math" w:hAnsi="Cambria Math"/>
                </w:rPr>
              </m:ctrlPr>
            </m:accPr>
            <m:e>
              <m:r>
                <w:rPr>
                  <w:rFonts w:ascii="Cambria Math" w:hAnsi="Cambria Math"/>
                </w:rPr>
                <m:t>θ</m:t>
              </m:r>
            </m:e>
          </m:acc>
          <m:r>
            <w:rPr>
              <w:rFonts w:ascii="Cambria Math" w:hAnsi="Cambria Math"/>
            </w:rPr>
            <m:t>)</m:t>
          </m:r>
        </m:oMath>
      </m:oMathPara>
    </w:p>
    <w:p w14:paraId="3390C45E" w14:textId="77777777" w:rsidR="00D10289" w:rsidRDefault="00D10289" w:rsidP="00D10289">
      <w:r>
        <w:t xml:space="preserve">El cálculo exacto de estas expresiones en encuestas con diseños </w:t>
      </w:r>
      <w:proofErr w:type="spellStart"/>
      <w:r>
        <w:t>multietápicos</w:t>
      </w:r>
      <w:proofErr w:type="spellEnd"/>
      <w:r>
        <w:t xml:space="preserve">, estratificación y factores de expansión calibrados resulta costoso e ineficiente. Por este motivo, la práctica común es recurrir a </w:t>
      </w:r>
      <w:r w:rsidRPr="00D10289">
        <w:rPr>
          <w:rStyle w:val="Strong"/>
          <w:b w:val="0"/>
          <w:bCs w:val="0"/>
        </w:rPr>
        <w:t>aproximaciones computacionales</w:t>
      </w:r>
      <w:r>
        <w:t xml:space="preserve"> basadas en métodos de conglomerados (</w:t>
      </w:r>
      <w:proofErr w:type="spellStart"/>
      <w:r>
        <w:t>Wolter</w:t>
      </w:r>
      <w:proofErr w:type="spellEnd"/>
      <w:r>
        <w:t>, 2007), las cuales, si bien no generan varianzas estrictamente insesgadas, sí proporcionan resultados suficientemente precisos y aceptados por las oficinas nacionales de estadística.</w:t>
      </w:r>
    </w:p>
    <w:p w14:paraId="53CA0903" w14:textId="77777777" w:rsidR="00D10289" w:rsidRDefault="00D10289" w:rsidP="00D10289">
      <w:r>
        <w:t>En términos prácticos, la varianza de un estimador directo para proporciones o tasas a nivel distrital puede aproximarse mediante:</w:t>
      </w:r>
    </w:p>
    <w:p w14:paraId="6BD28F70" w14:textId="436CD058" w:rsidR="00D10289" w:rsidRPr="0008577E" w:rsidRDefault="00351E3A" w:rsidP="00D10289">
      <w:pPr>
        <w:rPr>
          <w:rFonts w:eastAsiaTheme="minorEastAsia"/>
        </w:rPr>
      </w:pPr>
      <m:oMathPara>
        <m:oMath>
          <m:acc>
            <m:accPr>
              <m:ctrlPr>
                <w:rPr>
                  <w:rFonts w:ascii="Cambria Math" w:hAnsi="Cambria Math"/>
                </w:rPr>
              </m:ctrlPr>
            </m:accPr>
            <m:e>
              <m:r>
                <w:rPr>
                  <w:rFonts w:ascii="Cambria Math" w:hAnsi="Cambria Math"/>
                </w:rPr>
                <m:t>Var</m:t>
              </m:r>
            </m:e>
          </m:acc>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Dir</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h</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sub>
                  </m:sSub>
                </m:num>
                <m:den>
                  <m:sSub>
                    <m:sSubPr>
                      <m:ctrlPr>
                        <w:rPr>
                          <w:rFonts w:ascii="Cambria Math" w:hAnsi="Cambria Math"/>
                        </w:rPr>
                      </m:ctrlPr>
                    </m:sSubPr>
                    <m:e>
                      <m:r>
                        <w:rPr>
                          <w:rFonts w:ascii="Cambria Math" w:hAnsi="Cambria Math"/>
                        </w:rPr>
                        <m:t>n</m:t>
                      </m:r>
                    </m:e>
                    <m:sub>
                      <m:r>
                        <w:rPr>
                          <w:rFonts w:ascii="Cambria Math" w:hAnsi="Cambria Math"/>
                        </w:rPr>
                        <m:t>h</m:t>
                      </m:r>
                    </m:sub>
                  </m:sSub>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h</m:t>
                      </m:r>
                    </m:sub>
                  </m:sSub>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hi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acc>
                                    <m:accPr>
                                      <m:ctrlPr>
                                        <w:rPr>
                                          <w:rFonts w:ascii="Cambria Math" w:hAnsi="Cambria Math"/>
                                        </w:rPr>
                                      </m:ctrlPr>
                                    </m:accPr>
                                    <m:e>
                                      <m:r>
                                        <w:rPr>
                                          <w:rFonts w:ascii="Cambria Math" w:hAnsi="Cambria Math"/>
                                        </w:rPr>
                                        <m:t>t</m:t>
                                      </m:r>
                                    </m:e>
                                  </m:acc>
                                </m:e>
                                <m:lim>
                                  <m:r>
                                    <w:rPr>
                                      <w:rFonts w:ascii="Cambria Math" w:hAnsi="Cambria Math"/>
                                    </w:rPr>
                                    <m:t>‾</m:t>
                                  </m:r>
                                </m:lim>
                              </m:limUpp>
                            </m:e>
                            <m:sub>
                              <m:r>
                                <w:rPr>
                                  <w:rFonts w:ascii="Cambria Math" w:hAnsi="Cambria Math"/>
                                </w:rPr>
                                <m:t>h</m:t>
                              </m:r>
                            </m:sub>
                          </m:sSub>
                        </m:e>
                      </m:d>
                    </m:e>
                    <m:sup>
                      <m:r>
                        <w:rPr>
                          <w:rFonts w:ascii="Cambria Math" w:hAnsi="Cambria Math"/>
                        </w:rPr>
                        <m:t>2</m:t>
                      </m:r>
                    </m:sup>
                  </m:sSup>
                </m:e>
              </m:nary>
            </m:e>
          </m:nary>
        </m:oMath>
      </m:oMathPara>
    </w:p>
    <w:p w14:paraId="62EAC269" w14:textId="5557A6AF" w:rsidR="0008577E" w:rsidRDefault="0008577E" w:rsidP="00D10289">
      <w:pPr>
        <w:rPr>
          <w:rFonts w:eastAsiaTheme="minorEastAsia"/>
        </w:rPr>
      </w:pPr>
      <w:r>
        <w:rPr>
          <w:rFonts w:eastAsiaTheme="minorEastAsia"/>
        </w:rPr>
        <w:t>Donde,</w:t>
      </w:r>
    </w:p>
    <w:p w14:paraId="56D90D2B" w14:textId="08ED838F" w:rsidR="0008577E" w:rsidRDefault="00351E3A" w:rsidP="0008577E">
      <w:pPr>
        <w:jc w:val="center"/>
        <w:rPr>
          <w:lang w:val="es-MX"/>
        </w:rPr>
      </w:pPr>
      <m:oMath>
        <m:sSub>
          <m:sSubPr>
            <m:ctrlPr>
              <w:rPr>
                <w:rFonts w:ascii="Cambria Math" w:hAnsi="Cambria Math"/>
                <w:lang w:val="es-MX"/>
              </w:rPr>
            </m:ctrlPr>
          </m:sSubPr>
          <m:e>
            <m:acc>
              <m:accPr>
                <m:ctrlPr>
                  <w:rPr>
                    <w:rFonts w:ascii="Cambria Math" w:hAnsi="Cambria Math"/>
                    <w:lang w:val="es-MX"/>
                  </w:rPr>
                </m:ctrlPr>
              </m:accPr>
              <m:e>
                <m:r>
                  <w:rPr>
                    <w:rFonts w:ascii="Cambria Math" w:hAnsi="Cambria Math"/>
                    <w:lang w:val="es-MX"/>
                  </w:rPr>
                  <m:t>t</m:t>
                </m:r>
              </m:e>
            </m:acc>
          </m:e>
          <m:sub>
            <m:sSub>
              <m:sSubPr>
                <m:ctrlPr>
                  <w:rPr>
                    <w:rFonts w:ascii="Cambria Math" w:hAnsi="Cambria Math"/>
                    <w:lang w:val="es-MX"/>
                  </w:rPr>
                </m:ctrlPr>
              </m:sSubPr>
              <m:e>
                <m:r>
                  <w:rPr>
                    <w:rFonts w:ascii="Cambria Math" w:hAnsi="Cambria Math"/>
                    <w:lang w:val="es-MX"/>
                  </w:rPr>
                  <m:t>h</m:t>
                </m:r>
              </m:e>
              <m:sub>
                <m:r>
                  <w:rPr>
                    <w:rFonts w:ascii="Cambria Math" w:hAnsi="Cambria Math"/>
                    <w:lang w:val="es-MX"/>
                  </w:rPr>
                  <m:t>i</m:t>
                </m:r>
              </m:sub>
            </m:sSub>
          </m:sub>
        </m:sSub>
        <m:r>
          <m:rPr>
            <m:sty m:val="p"/>
          </m:rPr>
          <w:rPr>
            <w:rFonts w:ascii="Cambria Math" w:hAnsi="Cambria Math"/>
            <w:lang w:val="es-MX"/>
          </w:rPr>
          <m:t>=</m:t>
        </m:r>
        <m:nary>
          <m:naryPr>
            <m:chr m:val="∑"/>
            <m:limLoc m:val="undOvr"/>
            <m:supHide m:val="1"/>
            <m:ctrlPr>
              <w:rPr>
                <w:rFonts w:ascii="Cambria Math" w:hAnsi="Cambria Math"/>
                <w:lang w:val="es-MX"/>
              </w:rPr>
            </m:ctrlPr>
          </m:naryPr>
          <m:sub>
            <m:r>
              <w:rPr>
                <w:rFonts w:ascii="Cambria Math" w:hAnsi="Cambria Math"/>
                <w:lang w:val="es-MX"/>
              </w:rPr>
              <m:t>k</m:t>
            </m:r>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hi</m:t>
                </m:r>
              </m:sub>
            </m:sSub>
          </m:sub>
          <m:sup>
            <m:r>
              <m:rPr>
                <m:sty m:val="p"/>
              </m:rPr>
              <w:rPr>
                <w:rFonts w:ascii="Cambria Math" w:hAnsi="Cambria Math"/>
                <w:lang w:val="es-MX"/>
              </w:rPr>
              <m:t>​</m:t>
            </m:r>
          </m:sup>
          <m:e>
            <m:sSub>
              <m:sSubPr>
                <m:ctrlPr>
                  <w:rPr>
                    <w:rFonts w:ascii="Cambria Math" w:hAnsi="Cambria Math"/>
                    <w:lang w:val="es-MX"/>
                  </w:rPr>
                </m:ctrlPr>
              </m:sSubPr>
              <m:e>
                <m:r>
                  <w:rPr>
                    <w:rFonts w:ascii="Cambria Math" w:hAnsi="Cambria Math"/>
                    <w:lang w:val="es-MX"/>
                  </w:rPr>
                  <m:t>w</m:t>
                </m:r>
              </m:e>
              <m:sub>
                <m:r>
                  <w:rPr>
                    <w:rFonts w:ascii="Cambria Math" w:hAnsi="Cambria Math"/>
                    <w:lang w:val="es-MX"/>
                  </w:rPr>
                  <m:t>k</m:t>
                </m:r>
              </m:sub>
            </m:sSub>
          </m:e>
        </m:nary>
        <m:sSub>
          <m:sSubPr>
            <m:ctrlPr>
              <w:rPr>
                <w:rFonts w:ascii="Cambria Math" w:hAnsi="Cambria Math"/>
                <w:lang w:val="es-MX"/>
              </w:rPr>
            </m:ctrlPr>
          </m:sSubPr>
          <m:e>
            <m:r>
              <w:rPr>
                <w:rFonts w:ascii="Cambria Math" w:hAnsi="Cambria Math"/>
                <w:lang w:val="es-MX"/>
              </w:rPr>
              <m:t>e</m:t>
            </m:r>
          </m:e>
          <m:sub>
            <m:r>
              <w:rPr>
                <w:rFonts w:ascii="Cambria Math" w:hAnsi="Cambria Math"/>
                <w:lang w:val="es-MX"/>
              </w:rPr>
              <m:t>k</m:t>
            </m:r>
          </m:sub>
        </m:sSub>
        <m:r>
          <w:rPr>
            <w:rFonts w:ascii="Cambria Math" w:hAnsi="Cambria Math"/>
            <w:lang w:val="es-MX"/>
          </w:rPr>
          <m:t xml:space="preserve"> </m:t>
        </m:r>
      </m:oMath>
      <w:r w:rsidR="0008577E">
        <w:rPr>
          <w:rFonts w:eastAsiaTheme="minorEastAsia"/>
          <w:lang w:val="es-MX"/>
        </w:rPr>
        <w:t xml:space="preserve"> y </w:t>
      </w:r>
      <m:oMath>
        <m:sSub>
          <m:sSubPr>
            <m:ctrlPr>
              <w:rPr>
                <w:rFonts w:ascii="Cambria Math" w:hAnsi="Cambria Math"/>
                <w:lang w:val="es-MX"/>
              </w:rPr>
            </m:ctrlPr>
          </m:sSubPr>
          <m:e>
            <m:acc>
              <m:accPr>
                <m:chr m:val="‾"/>
                <m:ctrlPr>
                  <w:rPr>
                    <w:rFonts w:ascii="Cambria Math" w:hAnsi="Cambria Math"/>
                    <w:lang w:val="es-MX"/>
                  </w:rPr>
                </m:ctrlPr>
              </m:accPr>
              <m:e>
                <m:acc>
                  <m:accPr>
                    <m:ctrlPr>
                      <w:rPr>
                        <w:rFonts w:ascii="Cambria Math" w:hAnsi="Cambria Math"/>
                        <w:lang w:val="es-MX"/>
                      </w:rPr>
                    </m:ctrlPr>
                  </m:accPr>
                  <m:e>
                    <m:r>
                      <w:rPr>
                        <w:rFonts w:ascii="Cambria Math" w:hAnsi="Cambria Math"/>
                        <w:lang w:val="es-MX"/>
                      </w:rPr>
                      <m:t>t</m:t>
                    </m:r>
                  </m:e>
                </m:acc>
              </m:e>
            </m:acc>
          </m:e>
          <m:sub>
            <m:r>
              <w:rPr>
                <w:rFonts w:ascii="Cambria Math" w:hAnsi="Cambria Math"/>
                <w:lang w:val="es-MX"/>
              </w:rPr>
              <m:t>h</m:t>
            </m:r>
          </m:sub>
        </m:sSub>
        <m:r>
          <m:rPr>
            <m:sty m:val="p"/>
          </m:rPr>
          <w:rPr>
            <w:rFonts w:ascii="Cambria Math" w:hAnsi="Cambria Math"/>
            <w:lang w:val="es-MX"/>
          </w:rPr>
          <m:t>=</m:t>
        </m:r>
        <m:f>
          <m:fPr>
            <m:ctrlPr>
              <w:rPr>
                <w:rFonts w:ascii="Cambria Math" w:hAnsi="Cambria Math"/>
                <w:lang w:val="es-MX"/>
              </w:rPr>
            </m:ctrlPr>
          </m:fPr>
          <m:num>
            <m:r>
              <m:rPr>
                <m:sty m:val="p"/>
              </m:rPr>
              <w:rPr>
                <w:rFonts w:ascii="Cambria Math" w:hAnsi="Cambria Math"/>
                <w:lang w:val="es-MX"/>
              </w:rPr>
              <m:t>1</m:t>
            </m:r>
          </m:num>
          <m:den>
            <m:sSub>
              <m:sSubPr>
                <m:ctrlPr>
                  <w:rPr>
                    <w:rFonts w:ascii="Cambria Math" w:hAnsi="Cambria Math"/>
                    <w:lang w:val="es-MX"/>
                  </w:rPr>
                </m:ctrlPr>
              </m:sSubPr>
              <m:e>
                <m:r>
                  <w:rPr>
                    <w:rFonts w:ascii="Cambria Math" w:hAnsi="Cambria Math"/>
                    <w:lang w:val="es-MX"/>
                  </w:rPr>
                  <m:t>n</m:t>
                </m:r>
              </m:e>
              <m:sub>
                <m:r>
                  <w:rPr>
                    <w:rFonts w:ascii="Cambria Math" w:hAnsi="Cambria Math"/>
                    <w:lang w:val="es-MX"/>
                  </w:rPr>
                  <m:t>h</m:t>
                </m:r>
              </m:sub>
            </m:sSub>
          </m:den>
        </m:f>
        <m:nary>
          <m:naryPr>
            <m:chr m:val="∑"/>
            <m:limLoc m:val="undOvr"/>
            <m:supHide m:val="1"/>
            <m:ctrlPr>
              <w:rPr>
                <w:rFonts w:ascii="Cambria Math" w:hAnsi="Cambria Math"/>
                <w:lang w:val="es-MX"/>
              </w:rPr>
            </m:ctrlPr>
          </m:naryPr>
          <m:sub>
            <m:r>
              <w:rPr>
                <w:rFonts w:ascii="Cambria Math" w:hAnsi="Cambria Math"/>
                <w:lang w:val="es-MX"/>
              </w:rPr>
              <m:t>i</m:t>
            </m:r>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h</m:t>
                </m:r>
              </m:sub>
            </m:sSub>
          </m:sub>
          <m:sup>
            <m:r>
              <m:rPr>
                <m:sty m:val="p"/>
              </m:rPr>
              <w:rPr>
                <w:rFonts w:ascii="Cambria Math" w:hAnsi="Cambria Math"/>
                <w:lang w:val="es-MX"/>
              </w:rPr>
              <m:t>​</m:t>
            </m:r>
          </m:sup>
          <m:e>
            <m:sSub>
              <m:sSubPr>
                <m:ctrlPr>
                  <w:rPr>
                    <w:rFonts w:ascii="Cambria Math" w:hAnsi="Cambria Math"/>
                    <w:lang w:val="es-MX"/>
                  </w:rPr>
                </m:ctrlPr>
              </m:sSubPr>
              <m:e>
                <m:acc>
                  <m:accPr>
                    <m:ctrlPr>
                      <w:rPr>
                        <w:rFonts w:ascii="Cambria Math" w:hAnsi="Cambria Math"/>
                        <w:lang w:val="es-MX"/>
                      </w:rPr>
                    </m:ctrlPr>
                  </m:accPr>
                  <m:e>
                    <m:r>
                      <w:rPr>
                        <w:rFonts w:ascii="Cambria Math" w:hAnsi="Cambria Math"/>
                        <w:lang w:val="es-MX"/>
                      </w:rPr>
                      <m:t>t</m:t>
                    </m:r>
                  </m:e>
                </m:acc>
              </m:e>
              <m:sub>
                <m:r>
                  <w:rPr>
                    <w:rFonts w:ascii="Cambria Math" w:hAnsi="Cambria Math"/>
                    <w:lang w:val="es-MX"/>
                  </w:rPr>
                  <m:t>hi</m:t>
                </m:r>
              </m:sub>
            </m:sSub>
          </m:e>
        </m:nary>
      </m:oMath>
      <w:r w:rsidR="0008577E" w:rsidRPr="004D4AE3">
        <w:rPr>
          <w:lang w:val="es-MX"/>
        </w:rPr>
        <w:t>.</w:t>
      </w:r>
    </w:p>
    <w:p w14:paraId="5C175C0F" w14:textId="403EDA2B" w:rsidR="0008577E" w:rsidRDefault="0008577E" w:rsidP="0008577E">
      <w:r>
        <w:t xml:space="preserve">con </w:t>
      </w:r>
      <w:r>
        <w:rPr>
          <w:rStyle w:val="katex-mathml"/>
        </w:rPr>
        <w:t>h</w:t>
      </w:r>
      <w:r>
        <w:t xml:space="preserve"> indicando los estratos y </w:t>
      </w:r>
      <m:oMath>
        <m:sSub>
          <m:sSubPr>
            <m:ctrlPr>
              <w:rPr>
                <w:rFonts w:ascii="Cambria Math" w:hAnsi="Cambria Math"/>
              </w:rPr>
            </m:ctrlPr>
          </m:sSubPr>
          <m:e>
            <m:r>
              <w:rPr>
                <w:rFonts w:ascii="Cambria Math" w:hAnsi="Cambria Math"/>
              </w:rPr>
              <m:t>n</m:t>
            </m:r>
          </m:e>
          <m:sub>
            <m:r>
              <w:rPr>
                <w:rFonts w:ascii="Cambria Math" w:hAnsi="Cambria Math"/>
              </w:rPr>
              <m:t>h</m:t>
            </m:r>
          </m:sub>
        </m:sSub>
      </m:oMath>
      <w:r>
        <w:t xml:space="preserve"> </w:t>
      </w:r>
      <w:r>
        <w:rPr>
          <w:rStyle w:val="vlist-s"/>
          <w:rFonts w:ascii="Arial" w:hAnsi="Arial" w:cs="Arial"/>
        </w:rPr>
        <w:t xml:space="preserve"> ​</w:t>
      </w:r>
      <w:r>
        <w:t xml:space="preserve"> el número de conglomerados seleccionados dentro de cada estrato.</w:t>
      </w:r>
    </w:p>
    <w:p w14:paraId="57C6C422" w14:textId="77777777" w:rsidR="0008577E" w:rsidRDefault="0008577E" w:rsidP="0008577E"/>
    <w:p w14:paraId="058D0369" w14:textId="193232F1" w:rsidR="0008577E" w:rsidRDefault="0063547B" w:rsidP="0063547B">
      <w:pPr>
        <w:pStyle w:val="Heading2"/>
        <w:numPr>
          <w:ilvl w:val="1"/>
          <w:numId w:val="13"/>
        </w:numPr>
        <w:rPr>
          <w:rFonts w:eastAsia="Times New Roman"/>
          <w:lang w:val="es-CL"/>
        </w:rPr>
      </w:pPr>
      <w:bookmarkStart w:id="21" w:name="_Toc207902582"/>
      <w:r w:rsidRPr="0063547B">
        <w:rPr>
          <w:rFonts w:eastAsia="Times New Roman"/>
          <w:lang w:val="es-CL"/>
        </w:rPr>
        <w:t>Estimación de varianza para modelo</w:t>
      </w:r>
      <w:r w:rsidR="00FA522D">
        <w:rPr>
          <w:rFonts w:eastAsia="Times New Roman"/>
          <w:lang w:val="es-CL"/>
        </w:rPr>
        <w:t>s</w:t>
      </w:r>
      <w:r w:rsidRPr="0063547B">
        <w:rPr>
          <w:rFonts w:eastAsia="Times New Roman"/>
          <w:lang w:val="es-CL"/>
        </w:rPr>
        <w:t xml:space="preserve"> SAE en Perú</w:t>
      </w:r>
      <w:bookmarkEnd w:id="21"/>
    </w:p>
    <w:p w14:paraId="27896988" w14:textId="77777777" w:rsidR="0063547B" w:rsidRDefault="0063547B" w:rsidP="0063547B">
      <w:pPr>
        <w:rPr>
          <w:lang w:val="es-CL"/>
        </w:rPr>
      </w:pPr>
    </w:p>
    <w:p w14:paraId="35D80AA7" w14:textId="551B22EF" w:rsidR="0063547B" w:rsidRDefault="008F0855" w:rsidP="0063547B">
      <w:pPr>
        <w:rPr>
          <w:lang w:val="es-CL"/>
        </w:rPr>
      </w:pPr>
      <w:r w:rsidRPr="008F0855">
        <w:rPr>
          <w:lang w:val="es-CL"/>
        </w:rPr>
        <w:t>La estimación de la varianza de los indicadores de fecundidad y mortalidad empleados como insumo en el modelo SAE presenta dos desafíos principales</w:t>
      </w:r>
      <w:r>
        <w:rPr>
          <w:lang w:val="es-CL"/>
        </w:rPr>
        <w:t xml:space="preserve">. </w:t>
      </w:r>
      <w:r w:rsidRPr="008F0855">
        <w:rPr>
          <w:lang w:val="es-CL"/>
        </w:rPr>
        <w:t>En primer lugar, la varianza depende del valor puntual estimado, lo que genera un problema de endogeneidad que contradice el supuesto de homocedasticidad del modelo de Fay–</w:t>
      </w:r>
      <w:proofErr w:type="spellStart"/>
      <w:r w:rsidRPr="008F0855">
        <w:rPr>
          <w:lang w:val="es-CL"/>
        </w:rPr>
        <w:t>Herriot</w:t>
      </w:r>
      <w:proofErr w:type="spellEnd"/>
      <w:r w:rsidRPr="008F0855">
        <w:rPr>
          <w:lang w:val="es-CL"/>
        </w:rPr>
        <w:t>.</w:t>
      </w:r>
      <w:r>
        <w:rPr>
          <w:lang w:val="es-CL"/>
        </w:rPr>
        <w:t xml:space="preserve"> </w:t>
      </w:r>
      <w:r w:rsidRPr="008F0855">
        <w:rPr>
          <w:lang w:val="es-CL"/>
        </w:rPr>
        <w:t>En segundo lugar, la estimación de varianza en distritos con tamaños muestrales pequeños resulta muy inestable, introduciendo ruido que distorsiona el verdadero proceso de variabilidad.</w:t>
      </w:r>
    </w:p>
    <w:p w14:paraId="1A384BC5" w14:textId="0B21B664" w:rsidR="007146B5" w:rsidRDefault="007146B5" w:rsidP="00E46A74">
      <w:pPr>
        <w:rPr>
          <w:lang w:val="es-CL"/>
        </w:rPr>
      </w:pPr>
      <w:r w:rsidRPr="007146B5">
        <w:rPr>
          <w:lang w:val="es-CL"/>
        </w:rPr>
        <w:t xml:space="preserve">Para abordar estas dificultades se recurre a la </w:t>
      </w:r>
      <w:r w:rsidRPr="007146B5">
        <w:rPr>
          <w:b/>
          <w:bCs/>
          <w:color w:val="215E99" w:themeColor="text2" w:themeTint="BF"/>
          <w:lang w:val="es-CL"/>
        </w:rPr>
        <w:t>Función Generalizada de Varianza (FGV),</w:t>
      </w:r>
      <w:r w:rsidRPr="007146B5">
        <w:rPr>
          <w:color w:val="215E99" w:themeColor="text2" w:themeTint="BF"/>
          <w:lang w:val="es-CL"/>
        </w:rPr>
        <w:t xml:space="preserve"> </w:t>
      </w:r>
      <w:r w:rsidRPr="007146B5">
        <w:rPr>
          <w:lang w:val="es-CL"/>
        </w:rPr>
        <w:t>que modela el logaritmo de la varianza directa en función de covariables asociadas al tamaño muestral y al nivel del indicador:</w:t>
      </w:r>
    </w:p>
    <w:p w14:paraId="7C129D9B" w14:textId="21511B31" w:rsidR="007146B5" w:rsidRPr="007146B5" w:rsidRDefault="007146B5" w:rsidP="0063547B">
      <w:pPr>
        <w:rPr>
          <w:rFonts w:eastAsiaTheme="minorEastAsia"/>
          <w:lang w:val="es-CL"/>
        </w:rPr>
      </w:pPr>
      <m:oMathPara>
        <m:oMath>
          <m:r>
            <m:rPr>
              <m:nor/>
            </m:rPr>
            <w:rPr>
              <w:lang w:val="es-CL"/>
            </w:rPr>
            <m:t>log</m:t>
          </m:r>
          <m:r>
            <w:rPr>
              <w:rFonts w:ascii="Cambria Math" w:hAnsi="Cambria Math"/>
              <w:lang w:val="es-CL"/>
            </w:rPr>
            <m:t>(</m:t>
          </m:r>
          <m:sSubSup>
            <m:sSubSupPr>
              <m:ctrlPr>
                <w:rPr>
                  <w:rFonts w:ascii="Cambria Math" w:hAnsi="Cambria Math"/>
                  <w:lang w:val="es-CL"/>
                </w:rPr>
              </m:ctrlPr>
            </m:sSubSupPr>
            <m:e>
              <m:acc>
                <m:accPr>
                  <m:ctrlPr>
                    <w:rPr>
                      <w:rFonts w:ascii="Cambria Math" w:hAnsi="Cambria Math"/>
                      <w:lang w:val="es-CL"/>
                    </w:rPr>
                  </m:ctrlPr>
                </m:accPr>
                <m:e>
                  <m:r>
                    <w:rPr>
                      <w:rFonts w:ascii="Cambria Math" w:hAnsi="Cambria Math"/>
                      <w:lang w:val="es-CL"/>
                    </w:rPr>
                    <m:t>ψ</m:t>
                  </m:r>
                </m:e>
              </m:acc>
            </m:e>
            <m:sub>
              <m:r>
                <w:rPr>
                  <w:rFonts w:ascii="Cambria Math" w:hAnsi="Cambria Math"/>
                  <w:lang w:val="es-CL"/>
                </w:rPr>
                <m:t>d</m:t>
              </m:r>
            </m:sub>
            <m:sup>
              <m:r>
                <w:rPr>
                  <w:rFonts w:ascii="Cambria Math" w:hAnsi="Cambria Math"/>
                  <w:lang w:val="es-CL"/>
                </w:rPr>
                <m:t>2</m:t>
              </m:r>
            </m:sup>
          </m:sSubSup>
          <m:r>
            <w:rPr>
              <w:rFonts w:ascii="Cambria Math" w:hAnsi="Cambria Math"/>
              <w:lang w:val="es-CL"/>
            </w:rPr>
            <m:t>)=</m:t>
          </m:r>
          <m:sSub>
            <m:sSubPr>
              <m:ctrlPr>
                <w:rPr>
                  <w:rFonts w:ascii="Cambria Math" w:hAnsi="Cambria Math"/>
                  <w:lang w:val="es-CL"/>
                </w:rPr>
              </m:ctrlPr>
            </m:sSubPr>
            <m:e>
              <m:r>
                <m:rPr>
                  <m:sty m:val="b"/>
                </m:rPr>
                <w:rPr>
                  <w:rFonts w:ascii="Cambria Math" w:hAnsi="Cambria Math"/>
                  <w:lang w:val="es-CL"/>
                </w:rPr>
                <m:t>z</m:t>
              </m:r>
            </m:e>
            <m:sub>
              <m:r>
                <w:rPr>
                  <w:rFonts w:ascii="Cambria Math" w:hAnsi="Cambria Math"/>
                  <w:lang w:val="es-CL"/>
                </w:rPr>
                <m:t>d</m:t>
              </m:r>
            </m:sub>
          </m:sSub>
          <m:r>
            <m:rPr>
              <m:sty m:val="p"/>
            </m:rPr>
            <w:rPr>
              <w:rFonts w:ascii="Cambria Math" w:hAnsi="Cambria Math"/>
              <w:lang w:val="es-CL"/>
            </w:rPr>
            <m:t>'</m:t>
          </m:r>
          <m:r>
            <m:rPr>
              <m:sty m:val="b"/>
            </m:rPr>
            <w:rPr>
              <w:rFonts w:ascii="Cambria Math" w:hAnsi="Cambria Math"/>
              <w:lang w:val="es-CL"/>
            </w:rPr>
            <m:t>α</m:t>
          </m:r>
          <m:r>
            <w:rPr>
              <w:rFonts w:ascii="Cambria Math" w:hAnsi="Cambria Math"/>
              <w:lang w:val="es-CL"/>
            </w:rPr>
            <m:t>+</m:t>
          </m:r>
          <m:sSub>
            <m:sSubPr>
              <m:ctrlPr>
                <w:rPr>
                  <w:rFonts w:ascii="Cambria Math" w:hAnsi="Cambria Math"/>
                  <w:lang w:val="es-CL"/>
                </w:rPr>
              </m:ctrlPr>
            </m:sSubPr>
            <m:e>
              <m:r>
                <w:rPr>
                  <w:rFonts w:ascii="Cambria Math" w:hAnsi="Cambria Math"/>
                  <w:lang w:val="es-CL"/>
                </w:rPr>
                <m:t>ε</m:t>
              </m:r>
            </m:e>
            <m:sub>
              <m:r>
                <w:rPr>
                  <w:rFonts w:ascii="Cambria Math" w:hAnsi="Cambria Math"/>
                  <w:lang w:val="es-CL"/>
                </w:rPr>
                <m:t>d</m:t>
              </m:r>
            </m:sub>
          </m:sSub>
        </m:oMath>
      </m:oMathPara>
    </w:p>
    <w:p w14:paraId="658318DE" w14:textId="65DE4C93" w:rsidR="007146B5" w:rsidRDefault="007146B5" w:rsidP="0063547B">
      <w:r>
        <w:lastRenderedPageBreak/>
        <w:t xml:space="preserve">donde </w:t>
      </w:r>
      <m:oMath>
        <m:sSubSup>
          <m:sSubSupPr>
            <m:ctrlPr>
              <w:rPr>
                <w:rFonts w:ascii="Cambria Math" w:hAnsi="Cambria Math"/>
                <w:lang w:val="es-CL"/>
              </w:rPr>
            </m:ctrlPr>
          </m:sSubSupPr>
          <m:e>
            <m:acc>
              <m:accPr>
                <m:ctrlPr>
                  <w:rPr>
                    <w:rFonts w:ascii="Cambria Math" w:hAnsi="Cambria Math"/>
                    <w:lang w:val="es-CL"/>
                  </w:rPr>
                </m:ctrlPr>
              </m:accPr>
              <m:e>
                <m:r>
                  <w:rPr>
                    <w:rFonts w:ascii="Cambria Math" w:hAnsi="Cambria Math"/>
                    <w:lang w:val="es-CL"/>
                  </w:rPr>
                  <m:t>ψ</m:t>
                </m:r>
              </m:e>
            </m:acc>
          </m:e>
          <m:sub>
            <m:r>
              <w:rPr>
                <w:rFonts w:ascii="Cambria Math" w:hAnsi="Cambria Math"/>
                <w:lang w:val="es-CL"/>
              </w:rPr>
              <m:t>d</m:t>
            </m:r>
          </m:sub>
          <m:sup>
            <m:r>
              <w:rPr>
                <w:rFonts w:ascii="Cambria Math" w:hAnsi="Cambria Math"/>
                <w:lang w:val="es-CL"/>
              </w:rPr>
              <m:t>2</m:t>
            </m:r>
          </m:sup>
        </m:sSubSup>
      </m:oMath>
      <w:r>
        <w:rPr>
          <w:rStyle w:val="vlist-s"/>
          <w:rFonts w:ascii="Arial" w:hAnsi="Arial" w:cs="Arial"/>
        </w:rPr>
        <w:t>​</w:t>
      </w:r>
      <w:r>
        <w:t xml:space="preserve"> es la varianza directa del distrito </w:t>
      </w:r>
      <w:r>
        <w:rPr>
          <w:rStyle w:val="katex-mathml"/>
        </w:rPr>
        <w:t>d</w:t>
      </w:r>
      <w:r>
        <w:t>,</w:t>
      </w:r>
      <w:r w:rsidRPr="007146B5">
        <w:rPr>
          <w:rFonts w:ascii="Cambria Math" w:hAnsi="Cambria Math"/>
          <w:lang w:val="es-CL"/>
        </w:rPr>
        <w:t xml:space="preserve"> </w:t>
      </w:r>
      <m:oMath>
        <m:sSub>
          <m:sSubPr>
            <m:ctrlPr>
              <w:rPr>
                <w:rFonts w:ascii="Cambria Math" w:hAnsi="Cambria Math"/>
                <w:lang w:val="es-CL"/>
              </w:rPr>
            </m:ctrlPr>
          </m:sSubPr>
          <m:e>
            <m:r>
              <m:rPr>
                <m:sty m:val="b"/>
              </m:rPr>
              <w:rPr>
                <w:rFonts w:ascii="Cambria Math" w:hAnsi="Cambria Math"/>
                <w:lang w:val="es-CL"/>
              </w:rPr>
              <m:t>z</m:t>
            </m:r>
          </m:e>
          <m:sub>
            <m:r>
              <w:rPr>
                <w:rFonts w:ascii="Cambria Math" w:hAnsi="Cambria Math"/>
                <w:lang w:val="es-CL"/>
              </w:rPr>
              <m:t>d</m:t>
            </m:r>
          </m:sub>
        </m:sSub>
      </m:oMath>
      <w:r>
        <w:rPr>
          <w:rStyle w:val="vlist-s"/>
          <w:rFonts w:ascii="Arial" w:hAnsi="Arial" w:cs="Arial"/>
        </w:rPr>
        <w:t>​</w:t>
      </w:r>
      <w:r>
        <w:t xml:space="preserve"> corresponde al vector de covariables específicas para cada indicador, </w:t>
      </w:r>
      <m:oMath>
        <m:r>
          <m:rPr>
            <m:sty m:val="b"/>
          </m:rPr>
          <w:rPr>
            <w:rFonts w:ascii="Cambria Math" w:hAnsi="Cambria Math"/>
            <w:lang w:val="es-CL"/>
          </w:rPr>
          <m:t>α</m:t>
        </m:r>
      </m:oMath>
      <w:r>
        <w:t xml:space="preserve"> es el vector de parámetros del modelo y </w:t>
      </w:r>
      <m:oMath>
        <m:sSub>
          <m:sSubPr>
            <m:ctrlPr>
              <w:rPr>
                <w:rFonts w:ascii="Cambria Math" w:hAnsi="Cambria Math"/>
                <w:lang w:val="es-CL"/>
              </w:rPr>
            </m:ctrlPr>
          </m:sSubPr>
          <m:e>
            <m:r>
              <w:rPr>
                <w:rFonts w:ascii="Cambria Math" w:hAnsi="Cambria Math"/>
                <w:lang w:val="es-CL"/>
              </w:rPr>
              <m:t>ε</m:t>
            </m:r>
          </m:e>
          <m:sub>
            <m:r>
              <w:rPr>
                <w:rFonts w:ascii="Cambria Math" w:hAnsi="Cambria Math"/>
                <w:lang w:val="es-CL"/>
              </w:rPr>
              <m:t>d</m:t>
            </m:r>
          </m:sub>
        </m:sSub>
      </m:oMath>
      <w:r>
        <w:rPr>
          <w:rStyle w:val="vlist-s"/>
          <w:rFonts w:ascii="Arial" w:hAnsi="Arial" w:cs="Arial"/>
        </w:rPr>
        <w:t>​</w:t>
      </w:r>
      <w:r>
        <w:t xml:space="preserve"> es un error con media cero. La varianza suavizada se obtiene de:</w:t>
      </w:r>
    </w:p>
    <w:p w14:paraId="2D5715E7" w14:textId="2EB24ACE" w:rsidR="007146B5" w:rsidRPr="00E46A74" w:rsidRDefault="00351E3A" w:rsidP="0063547B">
      <w:pPr>
        <w:rPr>
          <w:rFonts w:eastAsiaTheme="minorEastAsia"/>
          <w:lang w:val="es-CL"/>
        </w:rPr>
      </w:pPr>
      <m:oMathPara>
        <m:oMath>
          <m:sSubSup>
            <m:sSubSupPr>
              <m:ctrlPr>
                <w:rPr>
                  <w:rFonts w:ascii="Cambria Math" w:hAnsi="Cambria Math"/>
                  <w:lang w:val="es-CL"/>
                </w:rPr>
              </m:ctrlPr>
            </m:sSubSupPr>
            <m:e>
              <m:acc>
                <m:accPr>
                  <m:chr m:val="̃"/>
                  <m:ctrlPr>
                    <w:rPr>
                      <w:rFonts w:ascii="Cambria Math" w:hAnsi="Cambria Math"/>
                      <w:lang w:val="es-CL"/>
                    </w:rPr>
                  </m:ctrlPr>
                </m:accPr>
                <m:e>
                  <m:r>
                    <w:rPr>
                      <w:rFonts w:ascii="Cambria Math" w:hAnsi="Cambria Math"/>
                      <w:lang w:val="es-CL"/>
                    </w:rPr>
                    <m:t>ψ</m:t>
                  </m:r>
                </m:e>
              </m:acc>
            </m:e>
            <m:sub>
              <m:r>
                <w:rPr>
                  <w:rFonts w:ascii="Cambria Math" w:hAnsi="Cambria Math"/>
                  <w:lang w:val="es-CL"/>
                </w:rPr>
                <m:t>d</m:t>
              </m:r>
            </m:sub>
            <m:sup>
              <m:r>
                <w:rPr>
                  <w:rFonts w:ascii="Cambria Math" w:hAnsi="Cambria Math"/>
                  <w:lang w:val="es-CL"/>
                </w:rPr>
                <m:t>2</m:t>
              </m:r>
            </m:sup>
          </m:sSubSup>
          <m:r>
            <w:rPr>
              <w:rFonts w:ascii="Cambria Math" w:hAnsi="Cambria Math"/>
              <w:lang w:val="es-CL"/>
            </w:rPr>
            <m:t>=</m:t>
          </m:r>
          <m:r>
            <m:rPr>
              <m:nor/>
            </m:rPr>
            <w:rPr>
              <w:lang w:val="es-CL"/>
            </w:rPr>
            <m:t>exp</m:t>
          </m:r>
          <m:d>
            <m:dPr>
              <m:ctrlPr>
                <w:rPr>
                  <w:rFonts w:ascii="Cambria Math" w:hAnsi="Cambria Math"/>
                  <w:i/>
                  <w:lang w:val="es-CL"/>
                </w:rPr>
              </m:ctrlPr>
            </m:dPr>
            <m:e>
              <m:sSubSup>
                <m:sSubSupPr>
                  <m:ctrlPr>
                    <w:rPr>
                      <w:rFonts w:ascii="Cambria Math" w:hAnsi="Cambria Math"/>
                      <w:lang w:val="es-CL"/>
                    </w:rPr>
                  </m:ctrlPr>
                </m:sSubSupPr>
                <m:e>
                  <m:r>
                    <m:rPr>
                      <m:sty m:val="b"/>
                    </m:rPr>
                    <w:rPr>
                      <w:rFonts w:ascii="Cambria Math" w:hAnsi="Cambria Math"/>
                      <w:lang w:val="es-CL"/>
                    </w:rPr>
                    <m:t>z</m:t>
                  </m:r>
                  <m:ctrlPr>
                    <w:rPr>
                      <w:rFonts w:ascii="Cambria Math" w:hAnsi="Cambria Math"/>
                      <w:i/>
                      <w:lang w:val="es-CL"/>
                    </w:rPr>
                  </m:ctrlPr>
                </m:e>
                <m:sub>
                  <m:r>
                    <w:rPr>
                      <w:rFonts w:ascii="Cambria Math" w:hAnsi="Cambria Math"/>
                      <w:lang w:val="es-CL"/>
                    </w:rPr>
                    <m:t>d</m:t>
                  </m:r>
                  <m:ctrlPr>
                    <w:rPr>
                      <w:rFonts w:ascii="Cambria Math" w:hAnsi="Cambria Math"/>
                      <w:i/>
                      <w:lang w:val="es-CL"/>
                    </w:rPr>
                  </m:ctrlPr>
                </m:sub>
                <m:sup>
                  <m:r>
                    <m:rPr>
                      <m:sty m:val="p"/>
                    </m:rPr>
                    <w:rPr>
                      <w:rFonts w:ascii="Cambria Math" w:hAnsi="Cambria Math"/>
                      <w:lang w:val="es-CL"/>
                    </w:rPr>
                    <m:t>'</m:t>
                  </m:r>
                </m:sup>
              </m:sSubSup>
              <m:r>
                <m:rPr>
                  <m:sty m:val="b"/>
                </m:rPr>
                <w:rPr>
                  <w:rFonts w:ascii="Cambria Math" w:hAnsi="Cambria Math"/>
                  <w:lang w:val="es-CL"/>
                </w:rPr>
                <m:t>α</m:t>
              </m:r>
            </m:e>
          </m:d>
          <m:r>
            <w:rPr>
              <w:rFonts w:ascii="Cambria Math" w:hAnsi="Cambria Math"/>
              <w:lang w:val="es-CL"/>
            </w:rPr>
            <m:t>⋅Δ</m:t>
          </m:r>
          <m:r>
            <w:rPr>
              <w:rFonts w:ascii="Cambria Math"/>
              <w:lang w:val="es-CL"/>
            </w:rPr>
            <m:t xml:space="preserve">,  </m:t>
          </m:r>
          <m:acc>
            <m:accPr>
              <m:ctrlPr>
                <w:rPr>
                  <w:rFonts w:ascii="Cambria Math" w:hAnsi="Cambria Math"/>
                  <w:lang w:val="es-CL"/>
                </w:rPr>
              </m:ctrlPr>
            </m:accPr>
            <m:e>
              <m:r>
                <w:rPr>
                  <w:rFonts w:ascii="Cambria Math" w:hAnsi="Cambria Math"/>
                  <w:lang w:val="es-CL"/>
                </w:rPr>
                <m:t>Δ</m:t>
              </m:r>
            </m:e>
          </m:acc>
          <m:r>
            <w:rPr>
              <w:rFonts w:ascii="Cambria Math"/>
              <w:lang w:val="es-CL"/>
            </w:rPr>
            <m:t>=</m:t>
          </m:r>
          <m:f>
            <m:fPr>
              <m:ctrlPr>
                <w:rPr>
                  <w:rFonts w:ascii="Cambria Math" w:hAnsi="Cambria Math"/>
                  <w:lang w:val="es-CL"/>
                </w:rPr>
              </m:ctrlPr>
            </m:fPr>
            <m:num>
              <m:nary>
                <m:naryPr>
                  <m:chr m:val="∑"/>
                  <m:limLoc m:val="undOvr"/>
                  <m:ctrlPr>
                    <w:rPr>
                      <w:rFonts w:ascii="Cambria Math" w:hAnsi="Cambria Math"/>
                      <w:lang w:val="es-CL"/>
                    </w:rPr>
                  </m:ctrlPr>
                </m:naryPr>
                <m:sub>
                  <m:r>
                    <w:rPr>
                      <w:rFonts w:ascii="Cambria Math"/>
                      <w:lang w:val="es-CL"/>
                    </w:rPr>
                    <m:t>d=1</m:t>
                  </m:r>
                </m:sub>
                <m:sup>
                  <m:r>
                    <w:rPr>
                      <w:rFonts w:ascii="Cambria Math"/>
                      <w:lang w:val="es-CL"/>
                    </w:rPr>
                    <m:t>D</m:t>
                  </m:r>
                </m:sup>
                <m:e>
                  <m:sSubSup>
                    <m:sSubSupPr>
                      <m:ctrlPr>
                        <w:rPr>
                          <w:rFonts w:ascii="Cambria Math" w:hAnsi="Cambria Math"/>
                          <w:lang w:val="es-CL"/>
                        </w:rPr>
                      </m:ctrlPr>
                    </m:sSubSupPr>
                    <m:e>
                      <m:acc>
                        <m:accPr>
                          <m:ctrlPr>
                            <w:rPr>
                              <w:rFonts w:ascii="Cambria Math" w:hAnsi="Cambria Math"/>
                              <w:lang w:val="es-CL"/>
                            </w:rPr>
                          </m:ctrlPr>
                        </m:accPr>
                        <m:e>
                          <m:r>
                            <w:rPr>
                              <w:rFonts w:ascii="Cambria Math"/>
                              <w:lang w:val="es-CL"/>
                            </w:rPr>
                            <m:t>ψ</m:t>
                          </m:r>
                        </m:e>
                      </m:acc>
                    </m:e>
                    <m:sub>
                      <m:r>
                        <w:rPr>
                          <w:rFonts w:ascii="Cambria Math"/>
                          <w:lang w:val="es-CL"/>
                        </w:rPr>
                        <m:t>d</m:t>
                      </m:r>
                    </m:sub>
                    <m:sup>
                      <m:r>
                        <w:rPr>
                          <w:rFonts w:ascii="Cambria Math"/>
                          <w:lang w:val="es-CL"/>
                        </w:rPr>
                        <m:t>2</m:t>
                      </m:r>
                    </m:sup>
                  </m:sSubSup>
                </m:e>
              </m:nary>
            </m:num>
            <m:den>
              <m:nary>
                <m:naryPr>
                  <m:chr m:val="∑"/>
                  <m:limLoc m:val="undOvr"/>
                  <m:ctrlPr>
                    <w:rPr>
                      <w:rFonts w:ascii="Cambria Math" w:hAnsi="Cambria Math"/>
                      <w:lang w:val="es-CL"/>
                    </w:rPr>
                  </m:ctrlPr>
                </m:naryPr>
                <m:sub>
                  <m:r>
                    <w:rPr>
                      <w:rFonts w:ascii="Cambria Math"/>
                      <w:lang w:val="es-CL"/>
                    </w:rPr>
                    <m:t>d=1</m:t>
                  </m:r>
                </m:sub>
                <m:sup>
                  <m:r>
                    <w:rPr>
                      <w:rFonts w:ascii="Cambria Math"/>
                      <w:lang w:val="es-CL"/>
                    </w:rPr>
                    <m:t>D</m:t>
                  </m:r>
                </m:sup>
                <m:e>
                  <m:r>
                    <m:rPr>
                      <m:nor/>
                    </m:rPr>
                    <w:rPr>
                      <w:lang w:val="es-CL"/>
                    </w:rPr>
                    <m:t>exp</m:t>
                  </m:r>
                </m:e>
              </m:nary>
              <m:r>
                <w:rPr>
                  <w:rFonts w:ascii="Cambria Math"/>
                  <w:lang w:val="es-CL"/>
                </w:rPr>
                <m:t>(</m:t>
              </m:r>
              <m:sSub>
                <m:sSubPr>
                  <m:ctrlPr>
                    <w:rPr>
                      <w:rFonts w:ascii="Cambria Math" w:hAnsi="Cambria Math"/>
                      <w:lang w:val="es-CL"/>
                    </w:rPr>
                  </m:ctrlPr>
                </m:sSubPr>
                <m:e>
                  <m:r>
                    <m:rPr>
                      <m:sty m:val="b"/>
                    </m:rPr>
                    <w:rPr>
                      <w:rFonts w:ascii="Cambria Math"/>
                      <w:lang w:val="es-CL"/>
                    </w:rPr>
                    <m:t>z</m:t>
                  </m:r>
                </m:e>
                <m:sub>
                  <m:r>
                    <w:rPr>
                      <w:rFonts w:ascii="Cambria Math"/>
                      <w:lang w:val="es-CL"/>
                    </w:rPr>
                    <m:t>d</m:t>
                  </m:r>
                </m:sub>
              </m:sSub>
              <m:r>
                <m:rPr>
                  <m:sty m:val="p"/>
                </m:rPr>
                <w:rPr>
                  <w:rFonts w:ascii="Cambria Math"/>
                  <w:lang w:val="es-CL"/>
                </w:rPr>
                <m:t>'</m:t>
              </m:r>
              <m:r>
                <m:rPr>
                  <m:sty m:val="b"/>
                </m:rPr>
                <w:rPr>
                  <w:rFonts w:ascii="Cambria Math"/>
                  <w:lang w:val="es-CL"/>
                </w:rPr>
                <m:t>α</m:t>
              </m:r>
              <m:r>
                <w:rPr>
                  <w:rFonts w:ascii="Cambria Math"/>
                  <w:lang w:val="es-CL"/>
                </w:rPr>
                <m:t>)</m:t>
              </m:r>
            </m:den>
          </m:f>
        </m:oMath>
      </m:oMathPara>
    </w:p>
    <w:p w14:paraId="3E22DB7D" w14:textId="77777777" w:rsidR="00E46A74" w:rsidRPr="007146B5" w:rsidRDefault="00E46A74" w:rsidP="0063547B">
      <w:pPr>
        <w:rPr>
          <w:rFonts w:eastAsiaTheme="minorEastAsia"/>
          <w:lang w:val="es-CL"/>
        </w:rPr>
      </w:pPr>
    </w:p>
    <w:p w14:paraId="65050C22" w14:textId="4EA026DB" w:rsidR="007146B5" w:rsidRDefault="00E46A74" w:rsidP="00E46A74">
      <w:pPr>
        <w:pStyle w:val="Heading3"/>
      </w:pPr>
      <w:bookmarkStart w:id="22" w:name="_Toc207902583"/>
      <w:r w:rsidRPr="00E46A74">
        <w:t xml:space="preserve">5.2.1 </w:t>
      </w:r>
      <w:r w:rsidR="003B738C">
        <w:t>Función generalizada de varianza para el indicador</w:t>
      </w:r>
      <w:r>
        <w:t xml:space="preserve"> “Promedio de hijos nacidos vivos”</w:t>
      </w:r>
      <w:bookmarkEnd w:id="22"/>
    </w:p>
    <w:p w14:paraId="1FD64AC1" w14:textId="77777777" w:rsidR="00E46A74" w:rsidRPr="00E46A74" w:rsidRDefault="00E46A74" w:rsidP="00E46A74"/>
    <w:p w14:paraId="30C437CC" w14:textId="6333CD89" w:rsidR="00E46A74" w:rsidRDefault="00E46A74" w:rsidP="00E46A74">
      <w:r>
        <w:t xml:space="preserve">En este caso, el vector de covariables </w:t>
      </w:r>
      <m:oMath>
        <m:sSub>
          <m:sSubPr>
            <m:ctrlPr>
              <w:rPr>
                <w:rFonts w:ascii="Cambria Math" w:hAnsi="Cambria Math"/>
                <w:lang w:val="es-CL"/>
              </w:rPr>
            </m:ctrlPr>
          </m:sSubPr>
          <m:e>
            <m:r>
              <m:rPr>
                <m:sty m:val="b"/>
              </m:rPr>
              <w:rPr>
                <w:rFonts w:ascii="Cambria Math" w:hAnsi="Cambria Math"/>
                <w:lang w:val="es-CL"/>
              </w:rPr>
              <m:t>z</m:t>
            </m:r>
          </m:e>
          <m:sub>
            <m:r>
              <w:rPr>
                <w:rFonts w:ascii="Cambria Math" w:hAnsi="Cambria Math"/>
                <w:lang w:val="es-CL"/>
              </w:rPr>
              <m:t>d</m:t>
            </m:r>
          </m:sub>
        </m:sSub>
      </m:oMath>
      <w:r>
        <w:rPr>
          <w:rStyle w:val="vlist-s"/>
          <w:rFonts w:ascii="Arial" w:hAnsi="Arial" w:cs="Arial"/>
        </w:rPr>
        <w:t>​</w:t>
      </w:r>
      <w:r>
        <w:t xml:space="preserve"> se definió considerando </w:t>
      </w:r>
      <w:r w:rsidRPr="001C3E7A">
        <w:t xml:space="preserve">el </w:t>
      </w:r>
      <w:r w:rsidRPr="001C3E7A">
        <w:rPr>
          <w:rStyle w:val="Strong"/>
          <w:b w:val="0"/>
          <w:bCs w:val="0"/>
        </w:rPr>
        <w:t>tamaño muestral distrital (</w:t>
      </w:r>
      <w:proofErr w:type="spellStart"/>
      <w:r w:rsidRPr="001C3E7A">
        <w:rPr>
          <w:rStyle w:val="Strong"/>
          <w:b w:val="0"/>
          <w:bCs w:val="0"/>
        </w:rPr>
        <w:t>nd</w:t>
      </w:r>
      <w:proofErr w:type="spellEnd"/>
      <w:r w:rsidRPr="001C3E7A">
        <w:rPr>
          <w:rStyle w:val="Strong"/>
          <w:b w:val="0"/>
          <w:bCs w:val="0"/>
        </w:rPr>
        <w:t>)</w:t>
      </w:r>
      <w:r>
        <w:t xml:space="preserve"> y el valor del estimador directo del indicador. La especificación adoptada fue:</w:t>
      </w:r>
    </w:p>
    <w:p w14:paraId="16D67DB1" w14:textId="44D22C41" w:rsidR="003B738C" w:rsidRPr="001C3E7A" w:rsidRDefault="00351E3A" w:rsidP="00E46A74">
      <w:pPr>
        <w:rPr>
          <w:rFonts w:eastAsiaTheme="minorEastAsia"/>
          <w:lang w:val="es-CL"/>
        </w:rPr>
      </w:pPr>
      <m:oMathPara>
        <m:oMath>
          <m:sSubSup>
            <m:sSubSupPr>
              <m:ctrlPr>
                <w:rPr>
                  <w:rFonts w:ascii="Cambria Math" w:hAnsi="Cambria Math"/>
                  <w:lang w:val="es-CL"/>
                </w:rPr>
              </m:ctrlPr>
            </m:sSubSupPr>
            <m:e>
              <m:acc>
                <m:accPr>
                  <m:chr m:val="̃"/>
                  <m:ctrlPr>
                    <w:rPr>
                      <w:rFonts w:ascii="Cambria Math" w:hAnsi="Cambria Math"/>
                      <w:lang w:val="es-CL"/>
                    </w:rPr>
                  </m:ctrlPr>
                </m:accPr>
                <m:e>
                  <m:r>
                    <w:rPr>
                      <w:rFonts w:ascii="Cambria Math" w:hAnsi="Cambria Math"/>
                      <w:lang w:val="es-CL"/>
                    </w:rPr>
                    <m:t>ψ</m:t>
                  </m:r>
                </m:e>
              </m:acc>
            </m:e>
            <m:sub>
              <m:r>
                <w:rPr>
                  <w:rFonts w:ascii="Cambria Math" w:hAnsi="Cambria Math"/>
                  <w:lang w:val="es-CL"/>
                </w:rPr>
                <m:t>d</m:t>
              </m:r>
            </m:sub>
            <m:sup>
              <m:r>
                <w:rPr>
                  <w:rFonts w:ascii="Cambria Math" w:hAnsi="Cambria Math"/>
                  <w:lang w:val="es-CL"/>
                </w:rPr>
                <m:t>2</m:t>
              </m:r>
            </m:sup>
          </m:sSubSup>
          <m:r>
            <w:rPr>
              <w:rFonts w:ascii="Cambria Math" w:hAnsi="Cambria Math"/>
              <w:lang w:val="es-CL"/>
            </w:rPr>
            <m:t xml:space="preserve">= </m:t>
          </m:r>
          <m:r>
            <m:rPr>
              <m:nor/>
            </m:rPr>
            <w:rPr>
              <w:lang w:val="es-CL"/>
            </w:rPr>
            <m:t>exp</m:t>
          </m:r>
          <m:d>
            <m:dPr>
              <m:ctrlPr>
                <w:rPr>
                  <w:rFonts w:ascii="Cambria Math" w:hAnsi="Cambria Math"/>
                  <w:i/>
                  <w:lang w:val="es-CL"/>
                </w:rPr>
              </m:ctrlPr>
            </m:dPr>
            <m:e>
              <m:sSub>
                <m:sSubPr>
                  <m:ctrlPr>
                    <w:rPr>
                      <w:rFonts w:ascii="Cambria Math" w:hAnsi="Cambria Math"/>
                      <w:lang w:val="es-CL"/>
                    </w:rPr>
                  </m:ctrlPr>
                </m:sSubPr>
                <m:e>
                  <m:acc>
                    <m:accPr>
                      <m:ctrlPr>
                        <w:rPr>
                          <w:rFonts w:ascii="Cambria Math" w:hAnsi="Cambria Math"/>
                          <w:b/>
                          <w:lang w:val="es-CL"/>
                        </w:rPr>
                      </m:ctrlPr>
                    </m:accPr>
                    <m:e>
                      <m:r>
                        <m:rPr>
                          <m:sty m:val="b"/>
                        </m:rPr>
                        <w:rPr>
                          <w:rFonts w:ascii="Cambria Math" w:hAnsi="Cambria Math"/>
                          <w:lang w:val="es-CL"/>
                        </w:rPr>
                        <m:t>α</m:t>
                      </m:r>
                    </m:e>
                  </m:acc>
                </m:e>
                <m:sub>
                  <m:r>
                    <w:rPr>
                      <w:rFonts w:ascii="Cambria Math" w:hAnsi="Cambria Math"/>
                      <w:lang w:val="es-CL"/>
                    </w:rPr>
                    <m:t>0</m:t>
                  </m:r>
                </m:sub>
              </m:sSub>
              <m:r>
                <w:rPr>
                  <w:rFonts w:ascii="Cambria Math" w:hAnsi="Cambria Math"/>
                  <w:lang w:val="es-CL"/>
                </w:rPr>
                <m:t xml:space="preserve">+ </m:t>
              </m:r>
              <m:sSub>
                <m:sSubPr>
                  <m:ctrlPr>
                    <w:rPr>
                      <w:rFonts w:ascii="Cambria Math" w:hAnsi="Cambria Math"/>
                      <w:lang w:val="es-CL"/>
                    </w:rPr>
                  </m:ctrlPr>
                </m:sSubPr>
                <m:e>
                  <m:acc>
                    <m:accPr>
                      <m:ctrlPr>
                        <w:rPr>
                          <w:rFonts w:ascii="Cambria Math" w:hAnsi="Cambria Math"/>
                          <w:b/>
                          <w:lang w:val="es-CL"/>
                        </w:rPr>
                      </m:ctrlPr>
                    </m:accPr>
                    <m:e>
                      <m:r>
                        <m:rPr>
                          <m:sty m:val="b"/>
                        </m:rPr>
                        <w:rPr>
                          <w:rFonts w:ascii="Cambria Math" w:hAnsi="Cambria Math"/>
                          <w:lang w:val="es-CL"/>
                        </w:rPr>
                        <m:t>α</m:t>
                      </m:r>
                    </m:e>
                  </m:acc>
                </m:e>
                <m:sub>
                  <m:r>
                    <w:rPr>
                      <w:rFonts w:ascii="Cambria Math" w:hAnsi="Cambria Math"/>
                      <w:lang w:val="es-CL"/>
                    </w:rPr>
                    <m:t>1</m:t>
                  </m:r>
                </m:sub>
              </m:sSub>
              <m:r>
                <w:rPr>
                  <w:rFonts w:ascii="Cambria Math" w:hAnsi="Cambria Math"/>
                  <w:lang w:val="es-CL"/>
                </w:rPr>
                <m:t xml:space="preserve"> </m:t>
              </m:r>
              <m:sSub>
                <m:sSubPr>
                  <m:ctrlPr>
                    <w:rPr>
                      <w:rFonts w:ascii="Cambria Math" w:hAnsi="Cambria Math"/>
                      <w:i/>
                      <w:lang w:val="es-CL"/>
                    </w:rPr>
                  </m:ctrlPr>
                </m:sSubPr>
                <m:e>
                  <m:r>
                    <w:rPr>
                      <w:rFonts w:ascii="Cambria Math" w:hAnsi="Cambria Math"/>
                      <w:lang w:val="es-CL"/>
                    </w:rPr>
                    <m:t>nd</m:t>
                  </m:r>
                </m:e>
                <m:sub>
                  <m:r>
                    <w:rPr>
                      <w:rFonts w:ascii="Cambria Math" w:hAnsi="Cambria Math"/>
                      <w:lang w:val="es-CL"/>
                    </w:rPr>
                    <m:t>d</m:t>
                  </m:r>
                </m:sub>
              </m:sSub>
              <m:r>
                <w:rPr>
                  <w:rFonts w:ascii="Cambria Math" w:hAnsi="Cambria Math"/>
                  <w:lang w:val="es-CL"/>
                </w:rPr>
                <m:t xml:space="preserve">+ </m:t>
              </m:r>
              <m:sSub>
                <m:sSubPr>
                  <m:ctrlPr>
                    <w:rPr>
                      <w:rFonts w:ascii="Cambria Math" w:hAnsi="Cambria Math"/>
                      <w:lang w:val="es-CL"/>
                    </w:rPr>
                  </m:ctrlPr>
                </m:sSubPr>
                <m:e>
                  <m:acc>
                    <m:accPr>
                      <m:ctrlPr>
                        <w:rPr>
                          <w:rFonts w:ascii="Cambria Math" w:hAnsi="Cambria Math"/>
                          <w:b/>
                          <w:lang w:val="es-CL"/>
                        </w:rPr>
                      </m:ctrlPr>
                    </m:accPr>
                    <m:e>
                      <m:r>
                        <m:rPr>
                          <m:sty m:val="b"/>
                        </m:rPr>
                        <w:rPr>
                          <w:rFonts w:ascii="Cambria Math" w:hAnsi="Cambria Math"/>
                          <w:lang w:val="es-CL"/>
                        </w:rPr>
                        <m:t>α</m:t>
                      </m:r>
                    </m:e>
                  </m:acc>
                </m:e>
                <m:sub>
                  <m:r>
                    <w:rPr>
                      <w:rFonts w:ascii="Cambria Math" w:hAnsi="Cambria Math"/>
                      <w:lang w:val="es-CL"/>
                    </w:rPr>
                    <m:t>2</m:t>
                  </m:r>
                </m:sub>
              </m:sSub>
              <m:sSubSup>
                <m:sSubSupPr>
                  <m:ctrlPr>
                    <w:rPr>
                      <w:rFonts w:ascii="Cambria Math" w:hAnsi="Cambria Math"/>
                      <w:i/>
                      <w:lang w:val="es-CL"/>
                    </w:rPr>
                  </m:ctrlPr>
                </m:sSubSupPr>
                <m:e>
                  <m:acc>
                    <m:accPr>
                      <m:ctrlPr>
                        <w:rPr>
                          <w:rFonts w:ascii="Cambria Math" w:hAnsi="Cambria Math"/>
                          <w:i/>
                          <w:lang w:val="es-CL"/>
                        </w:rPr>
                      </m:ctrlPr>
                    </m:accPr>
                    <m:e>
                      <m:r>
                        <w:rPr>
                          <w:rFonts w:ascii="Cambria Math" w:hAnsi="Cambria Math"/>
                          <w:lang w:val="es-CL"/>
                        </w:rPr>
                        <m:t>θ</m:t>
                      </m:r>
                    </m:e>
                  </m:acc>
                </m:e>
                <m:sub>
                  <m:r>
                    <w:rPr>
                      <w:rFonts w:ascii="Cambria Math" w:hAnsi="Cambria Math"/>
                      <w:lang w:val="es-CL"/>
                    </w:rPr>
                    <m:t>d</m:t>
                  </m:r>
                </m:sub>
                <m:sup>
                  <m:r>
                    <w:rPr>
                      <w:rFonts w:ascii="Cambria Math" w:hAnsi="Cambria Math"/>
                      <w:lang w:val="es-CL"/>
                    </w:rPr>
                    <m:t>Dir</m:t>
                  </m:r>
                </m:sup>
              </m:sSubSup>
            </m:e>
          </m:d>
          <m:r>
            <w:rPr>
              <w:rFonts w:ascii="Cambria Math" w:hAnsi="Cambria Math"/>
              <w:lang w:val="es-CL"/>
            </w:rPr>
            <m:t xml:space="preserve"> ∙ </m:t>
          </m:r>
          <m:acc>
            <m:accPr>
              <m:ctrlPr>
                <w:rPr>
                  <w:rFonts w:ascii="Cambria Math" w:hAnsi="Cambria Math"/>
                  <w:lang w:val="es-CL"/>
                </w:rPr>
              </m:ctrlPr>
            </m:accPr>
            <m:e>
              <m:r>
                <w:rPr>
                  <w:rFonts w:ascii="Cambria Math" w:hAnsi="Cambria Math"/>
                  <w:lang w:val="es-CL"/>
                </w:rPr>
                <m:t>Δ</m:t>
              </m:r>
            </m:e>
          </m:acc>
        </m:oMath>
      </m:oMathPara>
    </w:p>
    <w:p w14:paraId="64563943" w14:textId="61EFC6D7" w:rsidR="00314862" w:rsidRDefault="001C3E7A" w:rsidP="001C3E7A">
      <w:r>
        <w:t>Este procedimiento permite suavizar las varianzas directas, reduciendo la volatilidad en distritos con tamaños muestrales pequeños y otorgando mayor estabilidad a los insumos que alimentan el modelo SAE.</w:t>
      </w:r>
    </w:p>
    <w:p w14:paraId="31C438EE" w14:textId="1FFD211F" w:rsidR="00314862" w:rsidRPr="00314862" w:rsidRDefault="00314862" w:rsidP="001C3E7A">
      <w:pPr>
        <w:rPr>
          <w:i/>
          <w:iCs/>
        </w:rPr>
      </w:pPr>
      <w:r w:rsidRPr="00314862">
        <w:rPr>
          <w:noProof/>
        </w:rPr>
        <w:drawing>
          <wp:anchor distT="0" distB="0" distL="114300" distR="114300" simplePos="0" relativeHeight="251658240" behindDoc="0" locked="0" layoutInCell="1" allowOverlap="1" wp14:anchorId="74479238" wp14:editId="4CEC6B2B">
            <wp:simplePos x="0" y="0"/>
            <wp:positionH relativeFrom="margin">
              <wp:align>right</wp:align>
            </wp:positionH>
            <wp:positionV relativeFrom="paragraph">
              <wp:posOffset>485775</wp:posOffset>
            </wp:positionV>
            <wp:extent cx="5943600" cy="2514600"/>
            <wp:effectExtent l="19050" t="19050" r="19050" b="19050"/>
            <wp:wrapSquare wrapText="bothSides"/>
            <wp:docPr id="20237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10948"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514600"/>
                    </a:xfrm>
                    <a:prstGeom prst="rect">
                      <a:avLst/>
                    </a:prstGeom>
                    <a:ln>
                      <a:solidFill>
                        <a:schemeClr val="bg1">
                          <a:lumMod val="65000"/>
                        </a:schemeClr>
                      </a:solidFill>
                    </a:ln>
                  </pic:spPr>
                </pic:pic>
              </a:graphicData>
            </a:graphic>
          </wp:anchor>
        </w:drawing>
      </w:r>
      <w:r w:rsidRPr="00314862">
        <w:rPr>
          <w:i/>
          <w:iCs/>
        </w:rPr>
        <w:t>Figura 2. Relación entre el logaritmo de la varianza directa, el indicador y el tamaño muestral distrital</w:t>
      </w:r>
    </w:p>
    <w:p w14:paraId="52C07C40" w14:textId="064CDDAC" w:rsidR="00314862" w:rsidRPr="00136428" w:rsidRDefault="00314862" w:rsidP="00314862">
      <w:pPr>
        <w:rPr>
          <w:sz w:val="18"/>
          <w:szCs w:val="18"/>
        </w:rPr>
      </w:pPr>
      <w:r w:rsidRPr="00136428">
        <w:rPr>
          <w:sz w:val="18"/>
          <w:szCs w:val="18"/>
        </w:rPr>
        <w:t>Fuente: CEPAL</w:t>
      </w:r>
    </w:p>
    <w:p w14:paraId="5F7E6827" w14:textId="3E93E475" w:rsidR="00314862" w:rsidRDefault="00314862" w:rsidP="00314862">
      <w:r>
        <w:t xml:space="preserve">La Figura 2 muestra las relaciones exploratorias utilizadas para definir la especificación de la Función Generalizada de Varianza (FGV) aplicada al indicador </w:t>
      </w:r>
      <w:r>
        <w:rPr>
          <w:rStyle w:val="Emphasis"/>
        </w:rPr>
        <w:t>Promedio de hijos nacidos vivos</w:t>
      </w:r>
      <w:r>
        <w:t>.</w:t>
      </w:r>
    </w:p>
    <w:p w14:paraId="0F6E7896" w14:textId="4984D9E6" w:rsidR="00314862" w:rsidRDefault="00314862" w:rsidP="00314862">
      <w:r>
        <w:t xml:space="preserve">En el panel izquierdo se observa que el logaritmo de la varianza directa tiende a aumentar con el valor del indicador, lo cual justifica la inclusión de esta covariable en el modelo. En el panel derecho se aprecia la relación inversa entre el tamaño muestral distrital y la varianza: a medida que crece el número de observaciones, disminuye la magnitud y dispersión de la varianza, reforzando la necesidad de considerar </w:t>
      </w:r>
      <w:proofErr w:type="spellStart"/>
      <w:r>
        <w:rPr>
          <w:rStyle w:val="katex-mathml"/>
          <w:rFonts w:eastAsiaTheme="majorEastAsia"/>
        </w:rPr>
        <w:t>nd</w:t>
      </w:r>
      <w:proofErr w:type="spellEnd"/>
      <w:r>
        <w:rPr>
          <w:rStyle w:val="vlist-s"/>
          <w:rFonts w:ascii="Arial" w:hAnsi="Arial" w:cs="Arial"/>
        </w:rPr>
        <w:t>​</w:t>
      </w:r>
      <w:r>
        <w:t xml:space="preserve"> como covariable.</w:t>
      </w:r>
    </w:p>
    <w:p w14:paraId="7AB11D1C" w14:textId="6216293E" w:rsidR="00F91A3A" w:rsidRDefault="00F91A3A" w:rsidP="00314862">
      <w:r w:rsidRPr="00314862">
        <w:rPr>
          <w:i/>
          <w:iCs/>
        </w:rPr>
        <w:lastRenderedPageBreak/>
        <w:t xml:space="preserve">Figura </w:t>
      </w:r>
      <w:r>
        <w:rPr>
          <w:i/>
          <w:iCs/>
        </w:rPr>
        <w:t>3</w:t>
      </w:r>
      <w:r w:rsidRPr="00314862">
        <w:rPr>
          <w:i/>
          <w:iCs/>
        </w:rPr>
        <w:t xml:space="preserve">. </w:t>
      </w:r>
      <w:r w:rsidRPr="00F91A3A">
        <w:rPr>
          <w:i/>
          <w:iCs/>
        </w:rPr>
        <w:t>Análisis de calidad de ajuste del modelo</w:t>
      </w:r>
      <w:r>
        <w:rPr>
          <w:i/>
          <w:iCs/>
        </w:rPr>
        <w:t xml:space="preserve"> FGV </w:t>
      </w:r>
    </w:p>
    <w:p w14:paraId="34BB6C2D" w14:textId="720EBF14" w:rsidR="00F91A3A" w:rsidRDefault="00F91A3A" w:rsidP="00314862">
      <w:r w:rsidRPr="00F91A3A">
        <w:rPr>
          <w:noProof/>
        </w:rPr>
        <w:drawing>
          <wp:inline distT="0" distB="0" distL="0" distR="0" wp14:anchorId="3AC54A44" wp14:editId="1BA5A402">
            <wp:extent cx="5943600" cy="2847975"/>
            <wp:effectExtent l="19050" t="19050" r="19050" b="28575"/>
            <wp:docPr id="12722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4531" name=""/>
                    <pic:cNvPicPr/>
                  </pic:nvPicPr>
                  <pic:blipFill>
                    <a:blip r:embed="rId14"/>
                    <a:stretch>
                      <a:fillRect/>
                    </a:stretch>
                  </pic:blipFill>
                  <pic:spPr>
                    <a:xfrm>
                      <a:off x="0" y="0"/>
                      <a:ext cx="5943600" cy="2847975"/>
                    </a:xfrm>
                    <a:prstGeom prst="rect">
                      <a:avLst/>
                    </a:prstGeom>
                    <a:ln>
                      <a:solidFill>
                        <a:schemeClr val="bg1">
                          <a:lumMod val="65000"/>
                        </a:schemeClr>
                      </a:solidFill>
                    </a:ln>
                  </pic:spPr>
                </pic:pic>
              </a:graphicData>
            </a:graphic>
          </wp:inline>
        </w:drawing>
      </w:r>
    </w:p>
    <w:p w14:paraId="2B1C9EAF" w14:textId="77777777" w:rsidR="00F91A3A" w:rsidRPr="00136428" w:rsidRDefault="00F91A3A" w:rsidP="00F91A3A">
      <w:pPr>
        <w:rPr>
          <w:sz w:val="18"/>
          <w:szCs w:val="18"/>
        </w:rPr>
      </w:pPr>
      <w:r w:rsidRPr="00136428">
        <w:rPr>
          <w:sz w:val="18"/>
          <w:szCs w:val="18"/>
        </w:rPr>
        <w:t>Fuente: CEPAL</w:t>
      </w:r>
    </w:p>
    <w:p w14:paraId="5424D4CD" w14:textId="10D3CC2A" w:rsidR="00F91A3A" w:rsidRDefault="00F91A3A" w:rsidP="00F91A3A">
      <w:r>
        <w:t xml:space="preserve">La Figura </w:t>
      </w:r>
      <w:r w:rsidR="003E2F10">
        <w:t>3</w:t>
      </w:r>
      <w:r>
        <w:t xml:space="preserve"> presenta los gráficos de diagnóstico del modelo FGV ajustado al indicador </w:t>
      </w:r>
      <w:r>
        <w:rPr>
          <w:rStyle w:val="Emphasis"/>
        </w:rPr>
        <w:t>Promedio de hijos nacidos vivos</w:t>
      </w:r>
      <w:r>
        <w:t>.</w:t>
      </w:r>
    </w:p>
    <w:p w14:paraId="2404B050" w14:textId="77777777" w:rsidR="00F91A3A" w:rsidRDefault="00F91A3A" w:rsidP="00F91A3A">
      <w:pPr>
        <w:pStyle w:val="ListParagraph"/>
        <w:numPr>
          <w:ilvl w:val="0"/>
          <w:numId w:val="21"/>
        </w:numPr>
      </w:pPr>
      <w:proofErr w:type="spellStart"/>
      <w:r w:rsidRPr="00F91A3A">
        <w:rPr>
          <w:rStyle w:val="Strong"/>
          <w:b w:val="0"/>
          <w:bCs w:val="0"/>
          <w:color w:val="215E99" w:themeColor="text2" w:themeTint="BF"/>
        </w:rPr>
        <w:t>Residuals</w:t>
      </w:r>
      <w:proofErr w:type="spellEnd"/>
      <w:r w:rsidRPr="00F91A3A">
        <w:rPr>
          <w:rStyle w:val="Strong"/>
          <w:b w:val="0"/>
          <w:bCs w:val="0"/>
          <w:color w:val="215E99" w:themeColor="text2" w:themeTint="BF"/>
        </w:rPr>
        <w:t xml:space="preserve"> vs </w:t>
      </w:r>
      <w:proofErr w:type="spellStart"/>
      <w:r w:rsidRPr="00F91A3A">
        <w:rPr>
          <w:rStyle w:val="Strong"/>
          <w:b w:val="0"/>
          <w:bCs w:val="0"/>
          <w:color w:val="215E99" w:themeColor="text2" w:themeTint="BF"/>
        </w:rPr>
        <w:t>Fitted</w:t>
      </w:r>
      <w:proofErr w:type="spellEnd"/>
      <w:r w:rsidRPr="00F91A3A">
        <w:rPr>
          <w:rStyle w:val="Strong"/>
          <w:b w:val="0"/>
          <w:bCs w:val="0"/>
          <w:color w:val="215E99" w:themeColor="text2" w:themeTint="BF"/>
        </w:rPr>
        <w:t>:</w:t>
      </w:r>
      <w:r w:rsidRPr="00F91A3A">
        <w:rPr>
          <w:b/>
          <w:bCs/>
          <w:color w:val="215E99" w:themeColor="text2" w:themeTint="BF"/>
        </w:rPr>
        <w:t xml:space="preserve"> </w:t>
      </w:r>
      <w:r>
        <w:t>los residuales se distribuyen de manera aleatoria alrededor de cero, sin patrones sistemáticos, lo que sugiere que la especificación del modelo es adecuada.</w:t>
      </w:r>
    </w:p>
    <w:p w14:paraId="62ECBFDB" w14:textId="77777777" w:rsidR="00F91A3A" w:rsidRDefault="00F91A3A" w:rsidP="00F91A3A">
      <w:pPr>
        <w:pStyle w:val="ListParagraph"/>
        <w:numPr>
          <w:ilvl w:val="0"/>
          <w:numId w:val="21"/>
        </w:numPr>
      </w:pPr>
      <w:r w:rsidRPr="00F91A3A">
        <w:rPr>
          <w:rStyle w:val="Strong"/>
          <w:b w:val="0"/>
          <w:bCs w:val="0"/>
          <w:color w:val="215E99" w:themeColor="text2" w:themeTint="BF"/>
        </w:rPr>
        <w:t xml:space="preserve">Q-Q </w:t>
      </w:r>
      <w:proofErr w:type="spellStart"/>
      <w:r w:rsidRPr="00F91A3A">
        <w:rPr>
          <w:rStyle w:val="Strong"/>
          <w:b w:val="0"/>
          <w:bCs w:val="0"/>
          <w:color w:val="215E99" w:themeColor="text2" w:themeTint="BF"/>
        </w:rPr>
        <w:t>Plot</w:t>
      </w:r>
      <w:proofErr w:type="spellEnd"/>
      <w:r>
        <w:rPr>
          <w:rStyle w:val="Strong"/>
        </w:rPr>
        <w:t>:</w:t>
      </w:r>
      <w:r>
        <w:t xml:space="preserve"> los residuales estandarizados se alinean de forma razonable con la línea de referencia, evidenciando un comportamiento aproximadamente normal.</w:t>
      </w:r>
    </w:p>
    <w:p w14:paraId="2F8929BF" w14:textId="77777777" w:rsidR="00F91A3A" w:rsidRDefault="00F91A3A" w:rsidP="00F91A3A">
      <w:pPr>
        <w:pStyle w:val="ListParagraph"/>
        <w:numPr>
          <w:ilvl w:val="0"/>
          <w:numId w:val="21"/>
        </w:numPr>
      </w:pPr>
      <w:proofErr w:type="spellStart"/>
      <w:r w:rsidRPr="00F91A3A">
        <w:rPr>
          <w:rStyle w:val="Strong"/>
          <w:b w:val="0"/>
          <w:bCs w:val="0"/>
          <w:color w:val="215E99" w:themeColor="text2" w:themeTint="BF"/>
        </w:rPr>
        <w:t>Scale-Location</w:t>
      </w:r>
      <w:proofErr w:type="spellEnd"/>
      <w:r w:rsidRPr="00F91A3A">
        <w:rPr>
          <w:rStyle w:val="Strong"/>
          <w:b w:val="0"/>
          <w:bCs w:val="0"/>
          <w:color w:val="215E99" w:themeColor="text2" w:themeTint="BF"/>
        </w:rPr>
        <w:t>:</w:t>
      </w:r>
      <w:r w:rsidRPr="00F91A3A">
        <w:rPr>
          <w:color w:val="215E99" w:themeColor="text2" w:themeTint="BF"/>
        </w:rPr>
        <w:t xml:space="preserve"> </w:t>
      </w:r>
      <w:r>
        <w:t>no se observan patrones claros de heterocedasticidad, lo cual respalda la suposición de varianza constante en los errores.</w:t>
      </w:r>
    </w:p>
    <w:p w14:paraId="3C136186" w14:textId="77777777" w:rsidR="00F91A3A" w:rsidRDefault="00F91A3A" w:rsidP="00F91A3A">
      <w:pPr>
        <w:pStyle w:val="ListParagraph"/>
        <w:numPr>
          <w:ilvl w:val="0"/>
          <w:numId w:val="21"/>
        </w:numPr>
      </w:pPr>
      <w:proofErr w:type="spellStart"/>
      <w:r w:rsidRPr="00F91A3A">
        <w:rPr>
          <w:rStyle w:val="Strong"/>
          <w:b w:val="0"/>
          <w:bCs w:val="0"/>
          <w:color w:val="215E99" w:themeColor="text2" w:themeTint="BF"/>
        </w:rPr>
        <w:t>Residuals</w:t>
      </w:r>
      <w:proofErr w:type="spellEnd"/>
      <w:r w:rsidRPr="00F91A3A">
        <w:rPr>
          <w:rStyle w:val="Strong"/>
          <w:b w:val="0"/>
          <w:bCs w:val="0"/>
          <w:color w:val="215E99" w:themeColor="text2" w:themeTint="BF"/>
        </w:rPr>
        <w:t xml:space="preserve"> vs </w:t>
      </w:r>
      <w:proofErr w:type="spellStart"/>
      <w:r w:rsidRPr="00F91A3A">
        <w:rPr>
          <w:rStyle w:val="Strong"/>
          <w:b w:val="0"/>
          <w:bCs w:val="0"/>
          <w:color w:val="215E99" w:themeColor="text2" w:themeTint="BF"/>
        </w:rPr>
        <w:t>Leverage</w:t>
      </w:r>
      <w:proofErr w:type="spellEnd"/>
      <w:r w:rsidRPr="00F91A3A">
        <w:rPr>
          <w:rStyle w:val="Strong"/>
          <w:b w:val="0"/>
          <w:bCs w:val="0"/>
          <w:color w:val="215E99" w:themeColor="text2" w:themeTint="BF"/>
        </w:rPr>
        <w:t>:</w:t>
      </w:r>
      <w:r w:rsidRPr="00F91A3A">
        <w:rPr>
          <w:b/>
          <w:bCs/>
          <w:color w:val="215E99" w:themeColor="text2" w:themeTint="BF"/>
        </w:rPr>
        <w:t xml:space="preserve"> </w:t>
      </w:r>
      <w:r>
        <w:t>no se detectan distritos altamente influyentes, dado que ningún punto supera de forma significativa los límites de la distancia de Cook.</w:t>
      </w:r>
    </w:p>
    <w:p w14:paraId="46D55298" w14:textId="77777777" w:rsidR="00F91A3A" w:rsidRDefault="00F91A3A" w:rsidP="00F91A3A"/>
    <w:p w14:paraId="04B76730" w14:textId="7CE76612" w:rsidR="00F91A3A" w:rsidRDefault="00F91A3A" w:rsidP="00F91A3A">
      <w:pPr>
        <w:rPr>
          <w:i/>
          <w:iCs/>
        </w:rPr>
      </w:pPr>
      <w:r w:rsidRPr="00F91A3A">
        <w:rPr>
          <w:i/>
          <w:iCs/>
        </w:rPr>
        <w:t xml:space="preserve">Figura </w:t>
      </w:r>
      <w:r w:rsidR="00025697">
        <w:rPr>
          <w:i/>
          <w:iCs/>
        </w:rPr>
        <w:t>4</w:t>
      </w:r>
      <w:r w:rsidRPr="00F91A3A">
        <w:rPr>
          <w:i/>
          <w:iCs/>
        </w:rPr>
        <w:t>. Comparación entre varianza directa y varianza suavizada (FGV) para el indicador “Promedio de hijos nacidos vivos”</w:t>
      </w:r>
    </w:p>
    <w:p w14:paraId="565B7790" w14:textId="3D378F93" w:rsidR="00F91A3A" w:rsidRPr="00F91A3A" w:rsidRDefault="00F91A3A" w:rsidP="00F91A3A">
      <w:pPr>
        <w:rPr>
          <w:i/>
          <w:iCs/>
        </w:rPr>
      </w:pPr>
      <w:r w:rsidRPr="00F91A3A">
        <w:rPr>
          <w:i/>
          <w:iCs/>
          <w:noProof/>
        </w:rPr>
        <w:lastRenderedPageBreak/>
        <w:drawing>
          <wp:inline distT="0" distB="0" distL="0" distR="0" wp14:anchorId="178BC03D" wp14:editId="2732D158">
            <wp:extent cx="5943600" cy="3225800"/>
            <wp:effectExtent l="19050" t="19050" r="19050" b="12700"/>
            <wp:docPr id="18239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68370" name=""/>
                    <pic:cNvPicPr/>
                  </pic:nvPicPr>
                  <pic:blipFill>
                    <a:blip r:embed="rId15"/>
                    <a:stretch>
                      <a:fillRect/>
                    </a:stretch>
                  </pic:blipFill>
                  <pic:spPr>
                    <a:xfrm>
                      <a:off x="0" y="0"/>
                      <a:ext cx="5943600" cy="3225800"/>
                    </a:xfrm>
                    <a:prstGeom prst="rect">
                      <a:avLst/>
                    </a:prstGeom>
                    <a:ln>
                      <a:solidFill>
                        <a:schemeClr val="bg1">
                          <a:lumMod val="65000"/>
                        </a:schemeClr>
                      </a:solidFill>
                    </a:ln>
                  </pic:spPr>
                </pic:pic>
              </a:graphicData>
            </a:graphic>
          </wp:inline>
        </w:drawing>
      </w:r>
    </w:p>
    <w:p w14:paraId="791782CC" w14:textId="5D0EB197" w:rsidR="00BB303A" w:rsidRPr="00BB303A" w:rsidRDefault="00BB303A" w:rsidP="00F91A3A">
      <w:pPr>
        <w:rPr>
          <w:sz w:val="18"/>
          <w:szCs w:val="18"/>
        </w:rPr>
      </w:pPr>
      <w:r w:rsidRPr="00136428">
        <w:rPr>
          <w:sz w:val="18"/>
          <w:szCs w:val="18"/>
        </w:rPr>
        <w:t>Fuente: CEPAL</w:t>
      </w:r>
    </w:p>
    <w:p w14:paraId="46DEA61C" w14:textId="7A85C65B" w:rsidR="00F91A3A" w:rsidRDefault="00F91A3A" w:rsidP="00F91A3A">
      <w:r>
        <w:t xml:space="preserve">La Figura </w:t>
      </w:r>
      <w:r w:rsidR="00025697">
        <w:t>4</w:t>
      </w:r>
      <w:r>
        <w:t xml:space="preserve"> presenta la comparación entre las varianzas directas y las varianzas suavizadas a partir de la FGV ordenadas según el tamaño muestral distrital.</w:t>
      </w:r>
    </w:p>
    <w:p w14:paraId="16016AD4" w14:textId="09EC3CA1" w:rsidR="00F91A3A" w:rsidRDefault="00F91A3A" w:rsidP="00F91A3A">
      <w:r>
        <w:t>Como se observa, las varianzas directas exhiben una alta volatilidad en distritos con tamaños de muestra reducidos, generando picos que reflejan inestabilidad en la estimación. En contraste, la varianza suavizada mediante el modelo FGV sigue la misma tendencia decreciente, pero con mayor estabilidad, lo que confirma la efectividad del procedimiento para eliminar ruido y producir insumos consistentes en la estimación en áreas pequeñas.</w:t>
      </w:r>
    </w:p>
    <w:p w14:paraId="6EB5FB2E" w14:textId="77777777" w:rsidR="003E2F10" w:rsidRDefault="003E2F10" w:rsidP="00F91A3A"/>
    <w:p w14:paraId="6D2E7AE5" w14:textId="77777777" w:rsidR="003E2F10" w:rsidRDefault="003E2F10" w:rsidP="00F91A3A"/>
    <w:p w14:paraId="28C9AAE0" w14:textId="33CD3636" w:rsidR="00F91A3A" w:rsidRDefault="003E2F10" w:rsidP="00741194">
      <w:pPr>
        <w:pStyle w:val="Heading1"/>
        <w:numPr>
          <w:ilvl w:val="0"/>
          <w:numId w:val="13"/>
        </w:numPr>
        <w:rPr>
          <w:lang w:val="es-CL"/>
        </w:rPr>
      </w:pPr>
      <w:bookmarkStart w:id="23" w:name="_Toc207902584"/>
      <w:r w:rsidRPr="003E2F10">
        <w:rPr>
          <w:lang w:val="es-CL"/>
        </w:rPr>
        <w:t>Procedimiento final de estimación distrital de fecundidad y mortalidad en Perú</w:t>
      </w:r>
      <w:bookmarkEnd w:id="23"/>
    </w:p>
    <w:p w14:paraId="5D8E7FCF" w14:textId="77777777" w:rsidR="00157FE1" w:rsidRDefault="00157FE1" w:rsidP="00157FE1">
      <w:pPr>
        <w:rPr>
          <w:rFonts w:asciiTheme="majorHAnsi" w:eastAsiaTheme="majorEastAsia" w:hAnsiTheme="majorHAnsi" w:cstheme="majorBidi"/>
          <w:color w:val="0F4761" w:themeColor="accent1" w:themeShade="BF"/>
          <w:sz w:val="32"/>
          <w:szCs w:val="40"/>
          <w:lang w:val="es-CL"/>
        </w:rPr>
      </w:pPr>
    </w:p>
    <w:p w14:paraId="1F976E83" w14:textId="77777777" w:rsidR="00157FE1" w:rsidRDefault="00157FE1" w:rsidP="00157FE1">
      <w:r>
        <w:t>Como complemento a las estimaciones directas de fecundidad y mortalidad y a la estimación de sus varianzas, el modelo de Fay–</w:t>
      </w:r>
      <w:proofErr w:type="spellStart"/>
      <w:r>
        <w:t>Herriot</w:t>
      </w:r>
      <w:proofErr w:type="spellEnd"/>
      <w:r>
        <w:t xml:space="preserve"> requiere la especificación de un modelo sintético, así como la estimación de los componentes de varianza o errores aleatorios. Este modelo busca representar los indicadores de interés como función de un conjunto de variables auxiliares, con el fin de mejorar la precisión de las estimaciones directas obtenidas a partir de la encuesta.</w:t>
      </w:r>
    </w:p>
    <w:p w14:paraId="0F776405" w14:textId="77777777" w:rsidR="00157FE1" w:rsidRDefault="00157FE1" w:rsidP="00157FE1">
      <w:r>
        <w:t xml:space="preserve">Las variables auxiliares provienen de registros administrativos, información censal u otras fuentes externas, y cumplen un papel central en la calidad de las estimaciones. Para su selección, es </w:t>
      </w:r>
      <w:r>
        <w:lastRenderedPageBreak/>
        <w:t>fundamental que: (i) estén disponibles en los niveles geográficos requeridos (distritos), (</w:t>
      </w:r>
      <w:proofErr w:type="spellStart"/>
      <w:r>
        <w:t>ii</w:t>
      </w:r>
      <w:proofErr w:type="spellEnd"/>
      <w:r>
        <w:t>) sean comparables y consistentes en todas las áreas analizadas, y (</w:t>
      </w:r>
      <w:proofErr w:type="spellStart"/>
      <w:r>
        <w:t>iii</w:t>
      </w:r>
      <w:proofErr w:type="spellEnd"/>
      <w:r>
        <w:t>) tengan calidad en su cobertura y registro (Eurostat, 2019; Gutiérrez, 2018).</w:t>
      </w:r>
    </w:p>
    <w:p w14:paraId="7244D1C8" w14:textId="77777777" w:rsidR="00157FE1" w:rsidRDefault="00157FE1" w:rsidP="00157FE1">
      <w:r>
        <w:t>En esta sección se presenta la estimación del modelo sintético, incluyendo las variables evaluadas, la selección del modelo, la estimación de los coeficientes de regresión y de los componentes de varianza.</w:t>
      </w:r>
    </w:p>
    <w:p w14:paraId="165BB20E" w14:textId="7590A798" w:rsidR="00157FE1" w:rsidRDefault="00157FE1" w:rsidP="00157FE1">
      <w:pPr>
        <w:pStyle w:val="Heading2"/>
        <w:numPr>
          <w:ilvl w:val="1"/>
          <w:numId w:val="13"/>
        </w:numPr>
        <w:rPr>
          <w:rFonts w:eastAsia="Times New Roman"/>
          <w:lang w:val="es-CL"/>
        </w:rPr>
      </w:pPr>
      <w:bookmarkStart w:id="24" w:name="_Toc90573191"/>
      <w:bookmarkStart w:id="25" w:name="_Toc207902585"/>
      <w:r w:rsidRPr="00157FE1">
        <w:rPr>
          <w:rFonts w:eastAsia="Times New Roman"/>
          <w:lang w:val="es-CL"/>
        </w:rPr>
        <w:t>Covariables incluidas en el análisis</w:t>
      </w:r>
      <w:bookmarkEnd w:id="24"/>
      <w:bookmarkEnd w:id="25"/>
    </w:p>
    <w:p w14:paraId="30FC643D" w14:textId="77777777" w:rsidR="006718BC" w:rsidRPr="006718BC" w:rsidRDefault="006718BC" w:rsidP="006718BC">
      <w:pPr>
        <w:rPr>
          <w:lang w:val="es-CL"/>
        </w:rPr>
      </w:pPr>
      <w:r w:rsidRPr="006718BC">
        <w:rPr>
          <w:lang w:val="es-CL"/>
        </w:rPr>
        <w:t>En el caso del Perú, las estimaciones de áreas pequeñas para fecundidad y mortalidad distrital se apoyan en información proveniente de dos fuentes principales: el Censo de Población y Vivienda 2017 y variables satelitales.</w:t>
      </w:r>
    </w:p>
    <w:p w14:paraId="6A6D9EAF" w14:textId="12796683" w:rsidR="006718BC" w:rsidRDefault="006718BC" w:rsidP="006718BC">
      <w:pPr>
        <w:pStyle w:val="ListParagraph"/>
        <w:numPr>
          <w:ilvl w:val="0"/>
          <w:numId w:val="23"/>
        </w:numPr>
        <w:rPr>
          <w:lang w:val="es-CL"/>
        </w:rPr>
      </w:pPr>
      <w:r w:rsidRPr="006718BC">
        <w:rPr>
          <w:lang w:val="es-CL"/>
        </w:rPr>
        <w:t>Variables censales: incluyen características sociodemográficas y de vivienda, tales como sexo, edad, pertenencia étnica, condición de discapacidad, alfabetismo, años de escolaridad, rezago escolar, condiciones habitacionales (material del piso, paredes y techo), y acceso a servicios básicos (acueducto, alcantarillado, electricidad, gas e internet). Asimismo, se incluyen indicadores relacionados con estructura etaria, tasa de dependencia y composición por área urbana o rural.</w:t>
      </w:r>
    </w:p>
    <w:p w14:paraId="01E8285D" w14:textId="77777777" w:rsidR="006718BC" w:rsidRPr="006718BC" w:rsidRDefault="006718BC" w:rsidP="006718BC">
      <w:pPr>
        <w:pStyle w:val="ListParagraph"/>
        <w:rPr>
          <w:lang w:val="es-CL"/>
        </w:rPr>
      </w:pPr>
    </w:p>
    <w:p w14:paraId="2852C117" w14:textId="0AFC9861" w:rsidR="006718BC" w:rsidRPr="006718BC" w:rsidRDefault="006718BC" w:rsidP="006718BC">
      <w:pPr>
        <w:pStyle w:val="ListParagraph"/>
        <w:numPr>
          <w:ilvl w:val="0"/>
          <w:numId w:val="23"/>
        </w:numPr>
        <w:rPr>
          <w:lang w:val="es-CL"/>
        </w:rPr>
      </w:pPr>
      <w:r w:rsidRPr="006718BC">
        <w:rPr>
          <w:lang w:val="es-CL"/>
        </w:rPr>
        <w:t>Variables satelitales y de contexto territorial: se consideran indicadores derivados de fuentes externas como la intensidad de luces nocturnas, índices de desarrollo humano distrital, coberturas urbanas y rurales, y medidas de accesibilidad a hospitales, tanto en distancia total como caminando. Estas variables complementan la información censal al captar diferencias espaciales en el nivel de desarrollo y en la disponibilidad de servicios.</w:t>
      </w:r>
    </w:p>
    <w:p w14:paraId="4E6BC5D3" w14:textId="09C65D36" w:rsidR="00157FE1" w:rsidRPr="00157FE1" w:rsidRDefault="006718BC" w:rsidP="006718BC">
      <w:pPr>
        <w:rPr>
          <w:lang w:val="es-CL"/>
        </w:rPr>
      </w:pPr>
      <w:r w:rsidRPr="006718BC">
        <w:rPr>
          <w:lang w:val="es-CL"/>
        </w:rPr>
        <w:t>El uso de estas fuentes tiene dos ventajas: (i) ambas están disponibles para todos los distritos del país, garantizando cobertura completa y homogénea, y (</w:t>
      </w:r>
      <w:proofErr w:type="spellStart"/>
      <w:r w:rsidRPr="006718BC">
        <w:rPr>
          <w:lang w:val="es-CL"/>
        </w:rPr>
        <w:t>ii</w:t>
      </w:r>
      <w:proofErr w:type="spellEnd"/>
      <w:r w:rsidRPr="006718BC">
        <w:rPr>
          <w:lang w:val="es-CL"/>
        </w:rPr>
        <w:t>) la información proviene de fuentes consolidadas y consistentes, lo que asegura comparabilidad entre áreas.</w:t>
      </w:r>
    </w:p>
    <w:p w14:paraId="228A6594" w14:textId="77777777" w:rsidR="003E2F10" w:rsidRDefault="003E2F10" w:rsidP="003E2F10">
      <w:pPr>
        <w:rPr>
          <w:lang w:val="es-CL"/>
        </w:rPr>
      </w:pPr>
    </w:p>
    <w:p w14:paraId="5CB11BC5" w14:textId="138E2A08" w:rsidR="00FA522D" w:rsidRDefault="00FA522D" w:rsidP="00FA522D">
      <w:pPr>
        <w:pStyle w:val="Heading2"/>
        <w:numPr>
          <w:ilvl w:val="1"/>
          <w:numId w:val="13"/>
        </w:numPr>
        <w:rPr>
          <w:rFonts w:asciiTheme="minorHAnsi" w:hAnsiTheme="minorHAnsi"/>
        </w:rPr>
      </w:pPr>
      <w:bookmarkStart w:id="26" w:name="_Toc90573192"/>
      <w:bookmarkStart w:id="27" w:name="_Toc207902586"/>
      <w:r>
        <w:rPr>
          <w:rFonts w:asciiTheme="minorHAnsi" w:hAnsiTheme="minorHAnsi"/>
        </w:rPr>
        <w:t>Estimación de coeficientes de regresión</w:t>
      </w:r>
      <w:bookmarkEnd w:id="26"/>
      <w:r>
        <w:rPr>
          <w:rFonts w:asciiTheme="minorHAnsi" w:hAnsiTheme="minorHAnsi"/>
        </w:rPr>
        <w:t xml:space="preserve"> del modelo sintético</w:t>
      </w:r>
      <w:bookmarkEnd w:id="27"/>
    </w:p>
    <w:p w14:paraId="2F0C9B0B" w14:textId="77777777" w:rsidR="00FA522D" w:rsidRDefault="00FA522D" w:rsidP="00FA522D"/>
    <w:p w14:paraId="1425333C" w14:textId="52392BD5" w:rsidR="00FA522D" w:rsidRPr="00FA522D" w:rsidRDefault="00FA522D" w:rsidP="00FA522D">
      <w:r>
        <w:t xml:space="preserve">El objetivo del modelo sintético es representar los indicadores distritales de fecundidad y mortalidad como función de estas covariables auxiliares </w:t>
      </w:r>
      <m:oMath>
        <m:sSub>
          <m:sSubPr>
            <m:ctrlPr>
              <w:rPr>
                <w:rStyle w:val="katex-mathml"/>
                <w:rFonts w:ascii="Cambria Math" w:hAnsi="Cambria Math"/>
              </w:rPr>
            </m:ctrlPr>
          </m:sSubPr>
          <m:e>
            <m:r>
              <m:rPr>
                <m:sty m:val="bi"/>
              </m:rPr>
              <w:rPr>
                <w:rStyle w:val="katex-mathml"/>
                <w:rFonts w:ascii="Cambria Math" w:hAnsi="Cambria Math"/>
              </w:rPr>
              <m:t>x</m:t>
            </m:r>
          </m:e>
          <m:sub>
            <m:r>
              <w:rPr>
                <w:rStyle w:val="katex-mathml"/>
                <w:rFonts w:ascii="Cambria Math" w:hAnsi="Cambria Math"/>
              </w:rPr>
              <m:t>d</m:t>
            </m:r>
          </m:sub>
        </m:sSub>
      </m:oMath>
      <w:r>
        <w:rPr>
          <w:rStyle w:val="vlist-s"/>
          <w:rFonts w:ascii="Arial" w:hAnsi="Arial" w:cs="Arial"/>
        </w:rPr>
        <w:t>​</w:t>
      </w:r>
      <w:r>
        <w:t xml:space="preserve"> y un término de error aleatorio </w:t>
      </w:r>
      <m:oMath>
        <m:sSub>
          <m:sSubPr>
            <m:ctrlPr>
              <w:rPr>
                <w:rStyle w:val="katex-mathml"/>
                <w:rFonts w:ascii="Cambria Math" w:hAnsi="Cambria Math"/>
              </w:rPr>
            </m:ctrlPr>
          </m:sSubPr>
          <m:e>
            <m:r>
              <w:rPr>
                <w:rStyle w:val="katex-mathml"/>
                <w:rFonts w:ascii="Cambria Math" w:hAnsi="Cambria Math"/>
              </w:rPr>
              <m:t xml:space="preserve">   u</m:t>
            </m:r>
          </m:e>
          <m:sub>
            <m:r>
              <w:rPr>
                <w:rStyle w:val="katex-mathml"/>
                <w:rFonts w:ascii="Cambria Math" w:hAnsi="Cambria Math"/>
              </w:rPr>
              <m:t>d</m:t>
            </m:r>
          </m:sub>
        </m:sSub>
      </m:oMath>
      <w:r>
        <w:t>de acuerdo con la formulación del modelo de Fay–Herriot:</w:t>
      </w:r>
    </w:p>
    <w:p w14:paraId="65816DE1" w14:textId="47FFE893" w:rsidR="00FA522D" w:rsidRPr="00B64E34" w:rsidRDefault="00351E3A" w:rsidP="003E2F10">
      <w:pPr>
        <w:rPr>
          <w:rFonts w:eastAsiaTheme="minorEastAsia"/>
        </w:rPr>
      </w:pPr>
      <m:oMathPara>
        <m:oMath>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x</m:t>
                  </m:r>
                </m:e>
                <m:sub>
                  <m:r>
                    <w:rPr>
                      <w:rFonts w:ascii="Cambria Math" w:hAnsi="Cambria Math"/>
                    </w:rPr>
                    <m:t>d</m:t>
                  </m:r>
                </m:sub>
              </m:sSub>
            </m:e>
            <m:sup>
              <m:r>
                <m:rPr>
                  <m:sty m:val="p"/>
                </m:rPr>
                <w:rPr>
                  <w:rFonts w:ascii="Cambria Math" w:hAnsi="Cambria Math"/>
                </w:rPr>
                <m:t>'</m:t>
              </m:r>
            </m:sup>
          </m:sSup>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 xml:space="preserve"> ,  con </m:t>
          </m:r>
          <m:sSub>
            <m:sSubPr>
              <m:ctrlPr>
                <w:rPr>
                  <w:rFonts w:ascii="Cambria Math" w:hAnsi="Cambria Math"/>
                </w:rPr>
              </m:ctrlPr>
            </m:sSubPr>
            <m:e>
              <m:r>
                <w:rPr>
                  <w:rFonts w:ascii="Cambria Math" w:hAnsi="Cambria Math"/>
                </w:rPr>
                <m:t xml:space="preserve">   u</m:t>
              </m:r>
            </m:e>
            <m:sub>
              <m:r>
                <w:rPr>
                  <w:rFonts w:ascii="Cambria Math" w:hAnsi="Cambria Math"/>
                </w:rPr>
                <m:t>d</m:t>
              </m:r>
            </m:sub>
          </m:sSub>
          <m:limUpp>
            <m:limUppPr>
              <m:ctrlPr>
                <w:rPr>
                  <w:rFonts w:ascii="Cambria Math" w:hAnsi="Cambria Math"/>
                </w:rPr>
              </m:ctrlPr>
            </m:limUppPr>
            <m:e>
              <m:r>
                <w:rPr>
                  <w:rFonts w:ascii="Cambria Math" w:hAnsi="Cambria Math"/>
                </w:rPr>
                <m:t>∼</m:t>
              </m:r>
            </m:e>
            <m:lim>
              <m:r>
                <w:rPr>
                  <w:rFonts w:ascii="Cambria Math" w:hAnsi="Cambria Math"/>
                </w:rPr>
                <m:t>iid</m:t>
              </m:r>
            </m:lim>
          </m:limUpp>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3FCEA124" w14:textId="68438E12" w:rsidR="00B64E34" w:rsidRDefault="00B64E34" w:rsidP="00B64E34">
      <w:r>
        <w:t>Las covariables incluidas abarcan dimensiones demográficas, educativas, habitacionales y de servicios básicos (derivadas del Censo), junto con indicadores de contexto territorial y desarrollo (luces nocturnas, accesibilidad a hospitales, cobertura rural/urbana, índice de desarrollo humano). Asimismo, se incorporaron variables dicotómicas departamentales para capturar heterogeneidad estructural.</w:t>
      </w:r>
    </w:p>
    <w:p w14:paraId="7508B6BF" w14:textId="3B6F5409" w:rsidR="00B64E34" w:rsidRDefault="00B64E34" w:rsidP="00B64E34">
      <w:r>
        <w:lastRenderedPageBreak/>
        <w:t xml:space="preserve">La estimación de los parámetros del modelo sintético se llevó a cabo mediante </w:t>
      </w:r>
      <w:r w:rsidRPr="00B64E34">
        <w:rPr>
          <w:rStyle w:val="Strong"/>
          <w:b w:val="0"/>
          <w:bCs w:val="0"/>
        </w:rPr>
        <w:t>mínimos cuadrados generalizados (MCG)</w:t>
      </w:r>
      <w:r>
        <w:t xml:space="preserve">, ponderando por la suma de la varianza directa suavizada </w:t>
      </w:r>
      <m:oMath>
        <m:d>
          <m:dPr>
            <m:ctrlPr>
              <w:rPr>
                <w:rFonts w:ascii="Cambria Math" w:hAnsi="Cambria Math"/>
                <w:sz w:val="20"/>
                <w:lang w:val="es-MX"/>
              </w:rPr>
            </m:ctrlPr>
          </m:dPr>
          <m:e>
            <m:sSubSup>
              <m:sSubSupPr>
                <m:ctrlPr>
                  <w:rPr>
                    <w:rFonts w:ascii="Cambria Math" w:hAnsi="Cambria Math"/>
                    <w:sz w:val="20"/>
                    <w:lang w:val="es-MX"/>
                  </w:rPr>
                </m:ctrlPr>
              </m:sSubSupPr>
              <m:e>
                <m:acc>
                  <m:accPr>
                    <m:ctrlPr>
                      <w:rPr>
                        <w:rFonts w:ascii="Cambria Math" w:hAnsi="Cambria Math"/>
                        <w:i/>
                        <w:sz w:val="20"/>
                        <w:lang w:val="es-MX"/>
                      </w:rPr>
                    </m:ctrlPr>
                  </m:accPr>
                  <m:e>
                    <m:acc>
                      <m:accPr>
                        <m:chr m:val="̃"/>
                        <m:ctrlPr>
                          <w:rPr>
                            <w:rFonts w:ascii="Cambria Math" w:hAnsi="Cambria Math"/>
                            <w:i/>
                            <w:sz w:val="20"/>
                            <w:lang w:val="es-MX"/>
                          </w:rPr>
                        </m:ctrlPr>
                      </m:accPr>
                      <m:e>
                        <m:r>
                          <w:rPr>
                            <w:rFonts w:ascii="Cambria Math" w:hAnsi="Cambria Math"/>
                            <w:sz w:val="20"/>
                            <w:szCs w:val="20"/>
                            <w:lang w:val="es-MX"/>
                          </w:rPr>
                          <m:t>ψ</m:t>
                        </m:r>
                      </m:e>
                    </m:acc>
                  </m:e>
                </m:acc>
              </m:e>
              <m:sub>
                <m:r>
                  <w:rPr>
                    <w:rFonts w:ascii="Cambria Math" w:hAnsi="Cambria Math"/>
                    <w:sz w:val="20"/>
                    <w:szCs w:val="20"/>
                    <w:lang w:val="es-MX"/>
                  </w:rPr>
                  <m:t>d</m:t>
                </m:r>
              </m:sub>
              <m:sup>
                <m:r>
                  <w:rPr>
                    <w:rFonts w:ascii="Cambria Math" w:hAnsi="Cambria Math"/>
                    <w:sz w:val="20"/>
                    <w:szCs w:val="20"/>
                    <w:lang w:val="es-MX"/>
                  </w:rPr>
                  <m:t>2</m:t>
                </m:r>
              </m:sup>
            </m:sSubSup>
          </m:e>
        </m:d>
      </m:oMath>
      <w:r>
        <w:rPr>
          <w:lang w:val="es-MX"/>
        </w:rPr>
        <w:t xml:space="preserve"> </w:t>
      </w:r>
      <w:r>
        <w:t>y la varianza del error aleatorio (</w:t>
      </w:r>
      <m:oMath>
        <m:sSubSup>
          <m:sSubSupPr>
            <m:ctrlPr>
              <w:rPr>
                <w:rFonts w:ascii="Cambria Math" w:hAnsi="Cambria Math"/>
                <w:i/>
                <w:lang w:val="es-ES"/>
              </w:rPr>
            </m:ctrlPr>
          </m:sSubSupPr>
          <m:e>
            <m:acc>
              <m:accPr>
                <m:ctrlPr>
                  <w:rPr>
                    <w:rFonts w:ascii="Cambria Math" w:hAnsi="Cambria Math"/>
                    <w:i/>
                    <w:lang w:val="es-ES"/>
                  </w:rPr>
                </m:ctrlPr>
              </m:accPr>
              <m:e>
                <m:r>
                  <w:rPr>
                    <w:rFonts w:ascii="Cambria Math" w:hAnsi="Cambria Math"/>
                    <w:lang w:val="es-ES"/>
                  </w:rPr>
                  <m:t>σ</m:t>
                </m:r>
              </m:e>
            </m:acc>
          </m:e>
          <m:sub>
            <m:r>
              <w:rPr>
                <w:rFonts w:ascii="Cambria Math" w:hAnsi="Cambria Math"/>
                <w:lang w:val="es-ES"/>
              </w:rPr>
              <m:t>u</m:t>
            </m:r>
          </m:sub>
          <m:sup>
            <m:r>
              <w:rPr>
                <w:rFonts w:ascii="Cambria Math" w:hAnsi="Cambria Math"/>
                <w:lang w:val="es-ES"/>
              </w:rPr>
              <m:t>2</m:t>
            </m:r>
          </m:sup>
        </m:sSubSup>
      </m:oMath>
      <w:r w:rsidRPr="004D4AE3">
        <w:rPr>
          <w:lang w:val="es-ES"/>
        </w:rPr>
        <w:t xml:space="preserve">). </w:t>
      </w:r>
      <w:r>
        <w:t xml:space="preserve">En consecuencia, los coeficientes </w:t>
      </w:r>
      <m:oMath>
        <m:acc>
          <m:accPr>
            <m:ctrlPr>
              <w:rPr>
                <w:rFonts w:ascii="Cambria Math" w:hAnsi="Cambria Math"/>
                <w:i/>
                <w:lang w:val="es-ES"/>
              </w:rPr>
            </m:ctrlPr>
          </m:accPr>
          <m:e>
            <m:r>
              <w:rPr>
                <w:rFonts w:ascii="Cambria Math" w:hAnsi="Cambria Math"/>
                <w:lang w:val="es-ES"/>
              </w:rPr>
              <m:t>β</m:t>
            </m:r>
          </m:e>
        </m:acc>
      </m:oMath>
      <w:r w:rsidRPr="004D4AE3">
        <w:rPr>
          <w:lang w:val="es-ES"/>
        </w:rPr>
        <w:t xml:space="preserve">, </w:t>
      </w:r>
      <w:r>
        <w:rPr>
          <w:rStyle w:val="vlist-s"/>
          <w:rFonts w:ascii="Arial" w:hAnsi="Arial" w:cs="Arial"/>
        </w:rPr>
        <w:t>​</w:t>
      </w:r>
      <w:r>
        <w:t xml:space="preserve"> se obtienen de:</w:t>
      </w:r>
    </w:p>
    <w:p w14:paraId="0F727ECA" w14:textId="5D6CE3FD" w:rsidR="00B64E34" w:rsidRPr="00512B01" w:rsidRDefault="00351E3A" w:rsidP="00B64E34">
      <w:pPr>
        <w:rPr>
          <w:rFonts w:eastAsiaTheme="minorEastAsia"/>
        </w:rPr>
      </w:pPr>
      <m:oMathPara>
        <m:oMath>
          <m:acc>
            <m:accPr>
              <m:ctrlPr>
                <w:rPr>
                  <w:rFonts w:ascii="Cambria Math" w:hAnsi="Cambria Math"/>
                </w:rPr>
              </m:ctrlPr>
            </m:accPr>
            <m:e>
              <m:r>
                <w:rPr>
                  <w:rFonts w:ascii="Cambria Math" w:hAnsi="Cambria Math"/>
                </w:rPr>
                <m:t>β</m:t>
              </m:r>
            </m:e>
          </m:acc>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xml:space="preserve"> </m:t>
                  </m:r>
                  <m:f>
                    <m:fPr>
                      <m:type m:val="lin"/>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dϵS</m:t>
                          </m:r>
                        </m:sub>
                        <m:sup/>
                        <m:e>
                          <m:sSub>
                            <m:sSubPr>
                              <m:ctrlPr>
                                <w:rPr>
                                  <w:rFonts w:ascii="Cambria Math" w:hAnsi="Cambria Math"/>
                                </w:rPr>
                              </m:ctrlPr>
                            </m:sSubPr>
                            <m:e>
                              <m:r>
                                <m:rPr>
                                  <m:sty m:val="bi"/>
                                </m:rPr>
                                <w:rPr>
                                  <w:rFonts w:ascii="Cambria Math" w:hAnsi="Cambria Math"/>
                                </w:rPr>
                                <m:t>x</m:t>
                              </m:r>
                            </m:e>
                            <m:sub>
                              <m:r>
                                <w:rPr>
                                  <w:rFonts w:ascii="Cambria Math" w:hAnsi="Cambria Math"/>
                                </w:rPr>
                                <m:t>d</m:t>
                              </m:r>
                            </m:sub>
                          </m:sSub>
                          <m:sSub>
                            <m:sSubPr>
                              <m:ctrlPr>
                                <w:rPr>
                                  <w:rFonts w:ascii="Cambria Math" w:hAnsi="Cambria Math"/>
                                </w:rPr>
                              </m:ctrlPr>
                            </m:sSubPr>
                            <m:e>
                              <m:r>
                                <m:rPr>
                                  <m:sty m:val="bi"/>
                                </m:rPr>
                                <w:rPr>
                                  <w:rFonts w:ascii="Cambria Math" w:hAnsi="Cambria Math"/>
                                </w:rPr>
                                <m:t>x</m:t>
                              </m:r>
                            </m:e>
                            <m:sub>
                              <m:r>
                                <w:rPr>
                                  <w:rFonts w:ascii="Cambria Math" w:hAnsi="Cambria Math"/>
                                </w:rPr>
                                <m:t>d</m:t>
                              </m:r>
                            </m:sub>
                          </m:sSub>
                          <m:r>
                            <w:rPr>
                              <w:rFonts w:ascii="Cambria Math" w:hAnsi="Cambria Math"/>
                            </w:rPr>
                            <m:t>'</m:t>
                          </m:r>
                        </m:e>
                      </m:nary>
                    </m:num>
                    <m:den>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acc>
                                    <m:accPr>
                                      <m:chr m:val="̃"/>
                                      <m:ctrlPr>
                                        <w:rPr>
                                          <w:rFonts w:ascii="Cambria Math" w:hAnsi="Cambria Math"/>
                                        </w:rPr>
                                      </m:ctrlPr>
                                    </m:accPr>
                                    <m:e>
                                      <m:r>
                                        <w:rPr>
                                          <w:rFonts w:ascii="Cambria Math" w:hAnsi="Cambria Math"/>
                                        </w:rPr>
                                        <m:t>ψ</m:t>
                                      </m:r>
                                    </m:e>
                                  </m:acc>
                                </m:e>
                              </m:acc>
                            </m:e>
                            <m:sub>
                              <m:r>
                                <w:rPr>
                                  <w:rFonts w:ascii="Cambria Math" w:hAnsi="Cambria Math"/>
                                </w:rPr>
                                <m:t>d</m:t>
                              </m:r>
                            </m:sub>
                            <m:sup>
                              <m:r>
                                <w:rPr>
                                  <w:rFonts w:ascii="Cambria Math" w:hAnsi="Cambria Math"/>
                                </w:rPr>
                                <m:t>2</m:t>
                              </m:r>
                            </m:sup>
                          </m:sSubSup>
                        </m:e>
                      </m:d>
                    </m:den>
                  </m:f>
                </m:e>
              </m:d>
            </m:e>
            <m:sup>
              <m:r>
                <w:rPr>
                  <w:rFonts w:ascii="Cambria Math" w:hAnsi="Cambria Math"/>
                </w:rPr>
                <m:t>-1</m:t>
              </m:r>
            </m:sup>
          </m:sSup>
          <m:d>
            <m:dPr>
              <m:begChr m:val="["/>
              <m:endChr m:val="]"/>
              <m:ctrlPr>
                <w:rPr>
                  <w:rFonts w:ascii="Cambria Math" w:hAnsi="Cambria Math"/>
                </w:rPr>
              </m:ctrlPr>
            </m:dPr>
            <m:e>
              <m:f>
                <m:fPr>
                  <m:type m:val="lin"/>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dϵS</m:t>
                      </m:r>
                    </m:sub>
                    <m:sup/>
                    <m:e>
                      <m:sSub>
                        <m:sSubPr>
                          <m:ctrlPr>
                            <w:rPr>
                              <w:rFonts w:ascii="Cambria Math" w:hAnsi="Cambria Math"/>
                            </w:rPr>
                          </m:ctrlPr>
                        </m:sSubPr>
                        <m:e>
                          <m:r>
                            <m:rPr>
                              <m:sty m:val="bi"/>
                            </m:rPr>
                            <w:rPr>
                              <w:rFonts w:ascii="Cambria Math" w:hAnsi="Cambria Math"/>
                            </w:rPr>
                            <m:t>x</m:t>
                          </m:r>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e>
                  </m:nary>
                </m:num>
                <m:den>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acc>
                                <m:accPr>
                                  <m:chr m:val="̃"/>
                                  <m:ctrlPr>
                                    <w:rPr>
                                      <w:rFonts w:ascii="Cambria Math" w:hAnsi="Cambria Math"/>
                                    </w:rPr>
                                  </m:ctrlPr>
                                </m:accPr>
                                <m:e>
                                  <m:r>
                                    <w:rPr>
                                      <w:rFonts w:ascii="Cambria Math" w:hAnsi="Cambria Math"/>
                                    </w:rPr>
                                    <m:t>ψ</m:t>
                                  </m:r>
                                </m:e>
                              </m:acc>
                            </m:e>
                          </m:acc>
                        </m:e>
                        <m:sub>
                          <m:r>
                            <w:rPr>
                              <w:rFonts w:ascii="Cambria Math" w:hAnsi="Cambria Math"/>
                            </w:rPr>
                            <m:t>d</m:t>
                          </m:r>
                        </m:sub>
                        <m:sup>
                          <m:r>
                            <w:rPr>
                              <w:rFonts w:ascii="Cambria Math" w:hAnsi="Cambria Math"/>
                            </w:rPr>
                            <m:t>2</m:t>
                          </m:r>
                        </m:sup>
                      </m:sSubSup>
                    </m:e>
                  </m:d>
                </m:den>
              </m:f>
            </m:e>
          </m:d>
        </m:oMath>
      </m:oMathPara>
    </w:p>
    <w:p w14:paraId="2ACD008F" w14:textId="77777777" w:rsidR="00512B01" w:rsidRPr="00512B01" w:rsidRDefault="00512B01" w:rsidP="00512B01">
      <w:pPr>
        <w:pStyle w:val="Heading2"/>
        <w:rPr>
          <w:rFonts w:asciiTheme="minorHAnsi" w:hAnsiTheme="minorHAnsi"/>
        </w:rPr>
      </w:pPr>
    </w:p>
    <w:p w14:paraId="1E0777B7" w14:textId="77777777" w:rsidR="00512B01" w:rsidRPr="00512B01" w:rsidRDefault="00512B01" w:rsidP="00512B01">
      <w:pPr>
        <w:pStyle w:val="Heading2"/>
        <w:numPr>
          <w:ilvl w:val="1"/>
          <w:numId w:val="13"/>
        </w:numPr>
        <w:rPr>
          <w:rFonts w:asciiTheme="minorHAnsi" w:hAnsiTheme="minorHAnsi"/>
        </w:rPr>
      </w:pPr>
      <w:bookmarkStart w:id="28" w:name="_Toc90573193"/>
      <w:bookmarkStart w:id="29" w:name="_Toc207902587"/>
      <w:r w:rsidRPr="00512B01">
        <w:rPr>
          <w:rFonts w:asciiTheme="minorHAnsi" w:hAnsiTheme="minorHAnsi"/>
        </w:rPr>
        <w:t>Estimación de la varianza del modelo sintético</w:t>
      </w:r>
      <w:bookmarkEnd w:id="28"/>
      <w:bookmarkEnd w:id="29"/>
      <w:r w:rsidRPr="00512B01">
        <w:rPr>
          <w:rFonts w:asciiTheme="minorHAnsi" w:hAnsiTheme="minorHAnsi"/>
        </w:rPr>
        <w:t xml:space="preserve"> </w:t>
      </w:r>
    </w:p>
    <w:p w14:paraId="7C18FBDC" w14:textId="77777777" w:rsidR="00512B01" w:rsidRPr="00512B01" w:rsidRDefault="00512B01" w:rsidP="00B64E34">
      <w:pPr>
        <w:rPr>
          <w:lang w:val="es-CL"/>
        </w:rPr>
      </w:pPr>
    </w:p>
    <w:p w14:paraId="75AC103F" w14:textId="75DBB161" w:rsidR="00B64E34" w:rsidRDefault="00512B01" w:rsidP="003E2F10">
      <w:r w:rsidRPr="00512B01">
        <w:t xml:space="preserve">La estimación de la varianza de los efectos aleatorios </w:t>
      </w:r>
      <m:oMath>
        <m:sSubSup>
          <m:sSubSupPr>
            <m:ctrlPr>
              <w:rPr>
                <w:rFonts w:ascii="Cambria Math" w:hAnsi="Cambria Math"/>
                <w:i/>
                <w:lang w:val="es-ES"/>
              </w:rPr>
            </m:ctrlPr>
          </m:sSubSupPr>
          <m:e>
            <m:acc>
              <m:accPr>
                <m:ctrlPr>
                  <w:rPr>
                    <w:rFonts w:ascii="Cambria Math" w:hAnsi="Cambria Math"/>
                    <w:i/>
                    <w:lang w:val="es-ES"/>
                  </w:rPr>
                </m:ctrlPr>
              </m:accPr>
              <m:e>
                <m:r>
                  <w:rPr>
                    <w:rFonts w:ascii="Cambria Math" w:hAnsi="Cambria Math"/>
                    <w:lang w:val="es-ES"/>
                  </w:rPr>
                  <m:t>σ</m:t>
                </m:r>
              </m:e>
            </m:acc>
          </m:e>
          <m:sub>
            <m:r>
              <w:rPr>
                <w:rFonts w:ascii="Cambria Math" w:hAnsi="Cambria Math"/>
                <w:lang w:val="es-ES"/>
              </w:rPr>
              <m:t>u</m:t>
            </m:r>
          </m:sub>
          <m:sup>
            <m:r>
              <w:rPr>
                <w:rFonts w:ascii="Cambria Math" w:hAnsi="Cambria Math"/>
                <w:lang w:val="es-ES"/>
              </w:rPr>
              <m:t>2</m:t>
            </m:r>
          </m:sup>
        </m:sSubSup>
      </m:oMath>
      <w:r w:rsidRPr="00512B01">
        <w:rPr>
          <w:lang w:val="es-ES"/>
        </w:rPr>
        <w:t xml:space="preserve">, </w:t>
      </w:r>
      <w:r w:rsidRPr="00512B01">
        <w:rPr>
          <w:rFonts w:ascii="Arial" w:hAnsi="Arial" w:cs="Arial"/>
        </w:rPr>
        <w:t>​</w:t>
      </w:r>
      <w:r w:rsidRPr="00512B01">
        <w:t xml:space="preserve"> puede realizarse mediante distintos métodos, los cuales asumen que se cuenta con una estimación conocida o suavizada de </w:t>
      </w: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d</m:t>
            </m:r>
          </m:sub>
          <m:sup>
            <m:r>
              <w:rPr>
                <w:rFonts w:ascii="Cambria Math" w:hAnsi="Cambria Math"/>
              </w:rPr>
              <m:t>2</m:t>
            </m:r>
          </m:sup>
        </m:sSubSup>
      </m:oMath>
      <w:r w:rsidRPr="00512B01">
        <w:t xml:space="preserve"> </w:t>
      </w:r>
      <w:r w:rsidRPr="00512B01">
        <w:t>(</w:t>
      </w:r>
      <w:proofErr w:type="spellStart"/>
      <w:r w:rsidRPr="00512B01">
        <w:t>Hidiroglou</w:t>
      </w:r>
      <w:proofErr w:type="spellEnd"/>
      <w:r w:rsidRPr="00512B01">
        <w:t xml:space="preserve">, 2019). Entre los enfoques más utilizados se encuentran el </w:t>
      </w:r>
      <w:proofErr w:type="spellStart"/>
      <w:r w:rsidRPr="00512B01">
        <w:t>Restricted</w:t>
      </w:r>
      <w:proofErr w:type="spellEnd"/>
      <w:r w:rsidRPr="00512B01">
        <w:t xml:space="preserve"> </w:t>
      </w:r>
      <w:proofErr w:type="spellStart"/>
      <w:r w:rsidRPr="00512B01">
        <w:t>Maximum</w:t>
      </w:r>
      <w:proofErr w:type="spellEnd"/>
      <w:r w:rsidRPr="00512B01">
        <w:t xml:space="preserve"> </w:t>
      </w:r>
      <w:proofErr w:type="spellStart"/>
      <w:r w:rsidRPr="00512B01">
        <w:t>Likelihood</w:t>
      </w:r>
      <w:proofErr w:type="spellEnd"/>
      <w:r w:rsidRPr="00512B01">
        <w:t xml:space="preserve"> (REML) propuesto por Rao y Molina (2015), y el </w:t>
      </w:r>
      <w:proofErr w:type="spellStart"/>
      <w:r w:rsidRPr="00512B01">
        <w:t>Adjusted</w:t>
      </w:r>
      <w:proofErr w:type="spellEnd"/>
      <w:r w:rsidRPr="00512B01">
        <w:t xml:space="preserve"> </w:t>
      </w:r>
      <w:proofErr w:type="spellStart"/>
      <w:r w:rsidRPr="00512B01">
        <w:t>Density</w:t>
      </w:r>
      <w:proofErr w:type="spellEnd"/>
      <w:r w:rsidRPr="00512B01">
        <w:t xml:space="preserve"> </w:t>
      </w:r>
      <w:proofErr w:type="spellStart"/>
      <w:r w:rsidRPr="00512B01">
        <w:t>Maximization</w:t>
      </w:r>
      <w:proofErr w:type="spellEnd"/>
      <w:r w:rsidRPr="00512B01">
        <w:t xml:space="preserve"> (ADM) desarrollado por Li y </w:t>
      </w:r>
      <w:proofErr w:type="spellStart"/>
      <w:r w:rsidRPr="00512B01">
        <w:t>Lahiri</w:t>
      </w:r>
      <w:proofErr w:type="spellEnd"/>
      <w:r w:rsidRPr="00512B01">
        <w:t xml:space="preserve"> (2010).</w:t>
      </w:r>
    </w:p>
    <w:p w14:paraId="11D233E5" w14:textId="598091DA" w:rsidR="00512B01" w:rsidRDefault="00512B01" w:rsidP="00512B01">
      <w:r w:rsidRPr="00512B01">
        <w:t xml:space="preserve">En primer lugar, el método REML aproxima el valor de </w:t>
      </w:r>
      <m:oMath>
        <m:sSubSup>
          <m:sSubSupPr>
            <m:ctrlPr>
              <w:rPr>
                <w:rFonts w:ascii="Cambria Math" w:hAnsi="Cambria Math"/>
                <w:i/>
                <w:lang w:val="es-ES"/>
              </w:rPr>
            </m:ctrlPr>
          </m:sSubSupPr>
          <m:e>
            <m:acc>
              <m:accPr>
                <m:ctrlPr>
                  <w:rPr>
                    <w:rFonts w:ascii="Cambria Math" w:hAnsi="Cambria Math"/>
                    <w:i/>
                    <w:lang w:val="es-ES"/>
                  </w:rPr>
                </m:ctrlPr>
              </m:accPr>
              <m:e>
                <m:r>
                  <w:rPr>
                    <w:rFonts w:ascii="Cambria Math" w:hAnsi="Cambria Math"/>
                    <w:lang w:val="es-ES"/>
                  </w:rPr>
                  <m:t>σ</m:t>
                </m:r>
              </m:e>
            </m:acc>
          </m:e>
          <m:sub>
            <m:r>
              <w:rPr>
                <w:rFonts w:ascii="Cambria Math" w:hAnsi="Cambria Math"/>
                <w:lang w:val="es-ES"/>
              </w:rPr>
              <m:t>u</m:t>
            </m:r>
          </m:sub>
          <m:sup>
            <m:r>
              <w:rPr>
                <w:rFonts w:ascii="Cambria Math" w:hAnsi="Cambria Math"/>
                <w:lang w:val="es-ES"/>
              </w:rPr>
              <m:t>2</m:t>
            </m:r>
          </m:sup>
        </m:sSubSup>
      </m:oMath>
      <w:r w:rsidRPr="00512B01">
        <w:rPr>
          <w:lang w:val="es-ES"/>
        </w:rPr>
        <w:t xml:space="preserve">, </w:t>
      </w:r>
      <w:r w:rsidRPr="00512B01">
        <w:t>a partir de la log-verosimilitud del modelo Fay–</w:t>
      </w:r>
      <w:proofErr w:type="spellStart"/>
      <w:r w:rsidRPr="00512B01">
        <w:t>Herriot</w:t>
      </w:r>
      <w:proofErr w:type="spellEnd"/>
      <w:r w:rsidRPr="00512B01">
        <w:t xml:space="preserve">, utilizando el algoritmo recursivo de </w:t>
      </w:r>
      <w:r w:rsidRPr="00512B01">
        <w:rPr>
          <w:i/>
          <w:iCs/>
        </w:rPr>
        <w:t xml:space="preserve">Fisher </w:t>
      </w:r>
      <w:proofErr w:type="spellStart"/>
      <w:r w:rsidRPr="00512B01">
        <w:rPr>
          <w:i/>
          <w:iCs/>
        </w:rPr>
        <w:t>Scoring</w:t>
      </w:r>
      <w:proofErr w:type="spellEnd"/>
      <w:r w:rsidRPr="00512B01">
        <w:t>:</w:t>
      </w:r>
    </w:p>
    <w:p w14:paraId="07EADDDD" w14:textId="0140BE66" w:rsidR="00512B01" w:rsidRPr="00512B01" w:rsidRDefault="00512B01" w:rsidP="00512B01">
      <w:pPr>
        <w:rPr>
          <w:rFonts w:eastAsiaTheme="minorEastAsia"/>
        </w:rPr>
      </w:pPr>
      <m:oMathPara>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2(a+1)</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2(a)</m:t>
              </m:r>
            </m:sup>
          </m:sSub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2(a)</m:t>
                          </m:r>
                        </m:sup>
                      </m:sSubSup>
                    </m:e>
                  </m:d>
                </m:e>
              </m:d>
            </m:e>
            <m:sup>
              <m:r>
                <w:rPr>
                  <w:rFonts w:ascii="Cambria Math" w:hAnsi="Cambria Math"/>
                </w:rPr>
                <m:t>-1</m:t>
              </m:r>
            </m:sup>
          </m:sSup>
          <m:r>
            <w:rPr>
              <w:rFonts w:ascii="Cambria Math" w:hAnsi="Cambria Math"/>
            </w:rPr>
            <m:t>s</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2(a)</m:t>
                  </m:r>
                </m:sup>
              </m:sSubSup>
            </m:e>
          </m:d>
        </m:oMath>
      </m:oMathPara>
    </w:p>
    <w:p w14:paraId="7B84B5A9" w14:textId="6E21C205" w:rsidR="00512B01" w:rsidRDefault="00512B01" w:rsidP="00512B01">
      <w:pPr>
        <w:rPr>
          <w:rFonts w:eastAsiaTheme="minorEastAsia"/>
        </w:rPr>
      </w:pPr>
      <w:r>
        <w:rPr>
          <w:rFonts w:eastAsiaTheme="minorEastAsia"/>
        </w:rPr>
        <w:t>donde,</w:t>
      </w:r>
    </w:p>
    <w:p w14:paraId="3C946A48" w14:textId="5017AD47" w:rsidR="00512B01" w:rsidRDefault="00512B01" w:rsidP="00512B01">
      <w:pPr>
        <w:jc w:val="center"/>
        <w:rPr>
          <w:rFonts w:eastAsiaTheme="minorEastAsia"/>
        </w:rPr>
      </w:pPr>
      <m:oMath>
        <m: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tr</m:t>
        </m:r>
        <m:d>
          <m:dPr>
            <m:ctrlPr>
              <w:rPr>
                <w:rFonts w:ascii="Cambria Math" w:hAnsi="Cambria Math"/>
                <w:i/>
              </w:rPr>
            </m:ctrlPr>
          </m:dPr>
          <m:e>
            <m:sSup>
              <m:sSupPr>
                <m:ctrlPr>
                  <w:rPr>
                    <w:rFonts w:ascii="Cambria Math" w:hAnsi="Cambria Math"/>
                  </w:rPr>
                </m:ctrlPr>
              </m:sSupPr>
              <m:e>
                <m:r>
                  <w:rPr>
                    <w:rFonts w:ascii="Cambria Math" w:hAnsi="Cambria Math"/>
                  </w:rPr>
                  <m:t>P</m:t>
                </m:r>
              </m:e>
              <m:sup>
                <m:r>
                  <w:rPr>
                    <w:rFonts w:ascii="Cambria Math" w:hAnsi="Cambria Math"/>
                  </w:rPr>
                  <m:t>2</m:t>
                </m:r>
              </m:sup>
            </m:sSup>
          </m:e>
        </m:d>
        <m:r>
          <w:rPr>
            <w:rFonts w:ascii="Cambria Math" w:hAnsi="Cambria Math"/>
          </w:rPr>
          <m:t>,</m:t>
        </m:r>
      </m:oMath>
      <w:r>
        <w:rPr>
          <w:rFonts w:eastAsiaTheme="minorEastAsia"/>
        </w:rPr>
        <w:t xml:space="preserve">     </w:t>
      </w:r>
      <m:oMath>
        <m:r>
          <w:rPr>
            <w:rFonts w:ascii="Cambria Math" w:eastAsiaTheme="minorEastAsia" w:hAnsi="Cambria Math"/>
          </w:rPr>
          <m:t>s</m:t>
        </m:r>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tr(P)+</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sSubSup>
          <m:sSubSupPr>
            <m:ctrlPr>
              <w:rPr>
                <w:rFonts w:ascii="Cambria Math" w:eastAsiaTheme="minorEastAsia" w:hAnsi="Cambria Math"/>
              </w:rPr>
            </m:ctrlPr>
          </m:sSubSupPr>
          <m:e>
            <m:acc>
              <m:accPr>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d</m:t>
            </m:r>
          </m:sub>
          <m:sup>
            <m:r>
              <w:rPr>
                <w:rFonts w:ascii="Cambria Math" w:eastAsiaTheme="minorEastAsia" w:hAnsi="Cambria Math"/>
              </w:rPr>
              <m:t>Dir</m:t>
            </m:r>
          </m:sup>
        </m:sSubSup>
        <m:r>
          <w:rPr>
            <w:rFonts w:ascii="Cambria Math" w:eastAsiaTheme="minorEastAsia" w:hAnsi="Cambria Math"/>
          </w:rPr>
          <m:t>'P'P</m:t>
        </m:r>
        <m:sSubSup>
          <m:sSubSupPr>
            <m:ctrlPr>
              <w:rPr>
                <w:rFonts w:ascii="Cambria Math" w:eastAsiaTheme="minorEastAsia" w:hAnsi="Cambria Math"/>
              </w:rPr>
            </m:ctrlPr>
          </m:sSubSupPr>
          <m:e>
            <m:acc>
              <m:accPr>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d</m:t>
            </m:r>
          </m:sub>
          <m:sup>
            <m:r>
              <w:rPr>
                <w:rFonts w:ascii="Cambria Math" w:eastAsiaTheme="minorEastAsia" w:hAnsi="Cambria Math"/>
              </w:rPr>
              <m:t>Dir</m:t>
            </m:r>
          </m:sup>
        </m:sSubSup>
      </m:oMath>
    </w:p>
    <w:p w14:paraId="1475EB3F" w14:textId="4B898196" w:rsidR="00512B01" w:rsidRPr="00512B01" w:rsidRDefault="00512B01" w:rsidP="00512B01">
      <w:pPr>
        <w:rPr>
          <w:rFonts w:eastAsiaTheme="minorEastAsia"/>
        </w:rPr>
      </w:pPr>
      <w:r>
        <w:rPr>
          <w:rFonts w:eastAsiaTheme="minorEastAsia"/>
        </w:rPr>
        <w:t>U</w:t>
      </w:r>
      <w:r w:rsidRPr="00512B01">
        <w:rPr>
          <w:rFonts w:eastAsiaTheme="minorEastAsia"/>
        </w:rPr>
        <w:t xml:space="preserve">na limitación de este método es que puede generar valores negativos de </w:t>
      </w:r>
      <m:oMath>
        <m:sSubSup>
          <m:sSubSupPr>
            <m:ctrlPr>
              <w:rPr>
                <w:rFonts w:ascii="Cambria Math" w:hAnsi="Cambria Math"/>
                <w:i/>
                <w:lang w:val="es-ES"/>
              </w:rPr>
            </m:ctrlPr>
          </m:sSubSupPr>
          <m:e>
            <m:acc>
              <m:accPr>
                <m:ctrlPr>
                  <w:rPr>
                    <w:rFonts w:ascii="Cambria Math" w:hAnsi="Cambria Math"/>
                    <w:i/>
                    <w:lang w:val="es-ES"/>
                  </w:rPr>
                </m:ctrlPr>
              </m:accPr>
              <m:e>
                <m:r>
                  <w:rPr>
                    <w:rFonts w:ascii="Cambria Math" w:hAnsi="Cambria Math"/>
                    <w:lang w:val="es-ES"/>
                  </w:rPr>
                  <m:t>σ</m:t>
                </m:r>
              </m:e>
            </m:acc>
          </m:e>
          <m:sub>
            <m:r>
              <w:rPr>
                <w:rFonts w:ascii="Cambria Math" w:hAnsi="Cambria Math"/>
                <w:lang w:val="es-ES"/>
              </w:rPr>
              <m:t>u</m:t>
            </m:r>
          </m:sub>
          <m:sup>
            <m:r>
              <w:rPr>
                <w:rFonts w:ascii="Cambria Math" w:hAnsi="Cambria Math"/>
                <w:lang w:val="es-ES"/>
              </w:rPr>
              <m:t>2</m:t>
            </m:r>
          </m:sup>
        </m:sSubSup>
      </m:oMath>
      <w:r w:rsidRPr="00512B01">
        <w:rPr>
          <w:lang w:val="es-ES"/>
        </w:rPr>
        <w:t xml:space="preserve">, </w:t>
      </w:r>
      <w:r w:rsidRPr="00512B01">
        <w:rPr>
          <w:rFonts w:eastAsiaTheme="minorEastAsia"/>
        </w:rPr>
        <w:t xml:space="preserve">En estos casos, se </w:t>
      </w:r>
      <w:r w:rsidRPr="00512B01">
        <w:rPr>
          <w:rFonts w:eastAsiaTheme="minorEastAsia"/>
        </w:rPr>
        <w:t>acostumbra a</w:t>
      </w:r>
      <w:r w:rsidRPr="00512B01">
        <w:rPr>
          <w:rFonts w:eastAsiaTheme="minorEastAsia"/>
        </w:rPr>
        <w:t xml:space="preserve"> truncar el resultado a cero, lo cual implica que la estimación de Fay–</w:t>
      </w:r>
      <w:proofErr w:type="spellStart"/>
      <w:r w:rsidRPr="00512B01">
        <w:rPr>
          <w:rFonts w:eastAsiaTheme="minorEastAsia"/>
        </w:rPr>
        <w:t>Herriot</w:t>
      </w:r>
      <w:proofErr w:type="spellEnd"/>
      <w:r w:rsidRPr="00512B01">
        <w:rPr>
          <w:rFonts w:eastAsiaTheme="minorEastAsia"/>
        </w:rPr>
        <w:t xml:space="preserve"> coincide con la estimación sintética.</w:t>
      </w:r>
    </w:p>
    <w:p w14:paraId="0ACE87B6" w14:textId="6254AEC1" w:rsidR="00512B01" w:rsidRDefault="00512B01" w:rsidP="00512B01">
      <w:pPr>
        <w:rPr>
          <w:rFonts w:eastAsiaTheme="minorEastAsia"/>
        </w:rPr>
      </w:pPr>
      <w:r w:rsidRPr="00512B01">
        <w:rPr>
          <w:rFonts w:eastAsiaTheme="minorEastAsia"/>
        </w:rPr>
        <w:t xml:space="preserve">Por </w:t>
      </w:r>
      <w:r>
        <w:rPr>
          <w:rFonts w:eastAsiaTheme="minorEastAsia"/>
        </w:rPr>
        <w:t>otro lado</w:t>
      </w:r>
      <w:r w:rsidRPr="00512B01">
        <w:rPr>
          <w:rFonts w:eastAsiaTheme="minorEastAsia"/>
        </w:rPr>
        <w:t xml:space="preserve">, el método ADM planteado por Li y </w:t>
      </w:r>
      <w:proofErr w:type="spellStart"/>
      <w:r w:rsidRPr="00512B01">
        <w:rPr>
          <w:rFonts w:eastAsiaTheme="minorEastAsia"/>
        </w:rPr>
        <w:t>Lahiri</w:t>
      </w:r>
      <w:proofErr w:type="spellEnd"/>
      <w:r w:rsidRPr="00512B01">
        <w:rPr>
          <w:rFonts w:eastAsiaTheme="minorEastAsia"/>
        </w:rPr>
        <w:t xml:space="preserve"> propone una modificación de la verosimilitud que evita valores negativos mediante la maximización del producto entre la función de verosimilitud y la varianza del modelo. La función ajustada se define como:</w:t>
      </w:r>
    </w:p>
    <w:p w14:paraId="3B740470" w14:textId="64C7311E" w:rsidR="00512B01" w:rsidRPr="00512B01" w:rsidRDefault="00512B01" w:rsidP="00512B01">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adj</m:t>
              </m:r>
            </m:sub>
          </m:sSub>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e>
          </m:d>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reml</m:t>
              </m:r>
            </m:sub>
          </m:sSub>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e>
          </m:d>
        </m:oMath>
      </m:oMathPara>
    </w:p>
    <w:p w14:paraId="05EC167F" w14:textId="65B50ABB" w:rsidR="00512B01" w:rsidRDefault="00512B01" w:rsidP="00512B01">
      <w:pPr>
        <w:rPr>
          <w:rFonts w:eastAsiaTheme="minorEastAsia"/>
        </w:rPr>
      </w:pPr>
      <w:r>
        <w:rPr>
          <w:rFonts w:eastAsiaTheme="minorEastAsia"/>
        </w:rPr>
        <w:t>cuyo logaritmo es:</w:t>
      </w:r>
    </w:p>
    <w:p w14:paraId="0464F1F1" w14:textId="0F4275CB" w:rsidR="00512B01" w:rsidRPr="00512B01" w:rsidRDefault="00512B01" w:rsidP="00512B01">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adj</m:t>
              </m:r>
            </m:sub>
          </m:sSub>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e>
          </m:d>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log(σ</m:t>
              </m:r>
            </m:e>
            <m:sub>
              <m:r>
                <w:rPr>
                  <w:rFonts w:ascii="Cambria Math" w:eastAsiaTheme="minorEastAsia" w:hAnsi="Cambria Math"/>
                </w:rPr>
                <m:t>u</m:t>
              </m:r>
            </m:sub>
            <m:sup>
              <m:r>
                <w:rPr>
                  <w:rFonts w:ascii="Cambria Math" w:eastAsiaTheme="minorEastAsia" w:hAnsi="Cambria Math"/>
                </w:rPr>
                <m:t>2</m:t>
              </m:r>
            </m:sup>
          </m:sSubSup>
          <m:r>
            <w:rPr>
              <w:rFonts w:ascii="Cambria Math" w:eastAsiaTheme="minorEastAsia" w:hAnsi="Cambria Math"/>
            </w:rPr>
            <m:t>) +</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reml</m:t>
              </m:r>
            </m:sub>
          </m:sSub>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e>
          </m:d>
        </m:oMath>
      </m:oMathPara>
    </w:p>
    <w:p w14:paraId="0ABED624" w14:textId="20781198" w:rsidR="00512B01" w:rsidRDefault="00512B01" w:rsidP="00512B01">
      <w:pPr>
        <w:rPr>
          <w:rFonts w:eastAsiaTheme="minorEastAsia"/>
        </w:rPr>
      </w:pPr>
      <w:r w:rsidRPr="00512B01">
        <w:rPr>
          <w:rFonts w:eastAsiaTheme="minorEastAsia"/>
        </w:rPr>
        <w:t>La condición de primer orden para maximizarla se expresa como:</w:t>
      </w:r>
    </w:p>
    <w:p w14:paraId="708F49AA" w14:textId="4CD92D6F" w:rsidR="00512B01" w:rsidRPr="00A169A5" w:rsidRDefault="00A169A5" w:rsidP="00512B01">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adj</m:t>
                  </m:r>
                </m:sub>
              </m:sSub>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e>
              </m:d>
            </m:num>
            <m:den>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den>
          </m:f>
          <m:r>
            <w:rPr>
              <w:rFonts w:ascii="Cambria Math" w:eastAsiaTheme="minorEastAsia" w:hAnsi="Cambria Math"/>
            </w:rPr>
            <m:t>+ s</m:t>
          </m:r>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tr(P)+</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sSubSup>
            <m:sSubSupPr>
              <m:ctrlPr>
                <w:rPr>
                  <w:rFonts w:ascii="Cambria Math" w:eastAsiaTheme="minorEastAsia" w:hAnsi="Cambria Math"/>
                </w:rPr>
              </m:ctrlPr>
            </m:sSubSupPr>
            <m:e>
              <m:acc>
                <m:accPr>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d</m:t>
              </m:r>
            </m:sub>
            <m:sup>
              <m:r>
                <w:rPr>
                  <w:rFonts w:ascii="Cambria Math" w:eastAsiaTheme="minorEastAsia" w:hAnsi="Cambria Math"/>
                </w:rPr>
                <m:t>Dir</m:t>
              </m:r>
            </m:sup>
          </m:sSubSup>
          <m:r>
            <w:rPr>
              <w:rFonts w:ascii="Cambria Math" w:eastAsiaTheme="minorEastAsia" w:hAnsi="Cambria Math"/>
            </w:rPr>
            <m:t>'P'P</m:t>
          </m:r>
          <m:sSubSup>
            <m:sSubSupPr>
              <m:ctrlPr>
                <w:rPr>
                  <w:rFonts w:ascii="Cambria Math" w:eastAsiaTheme="minorEastAsia" w:hAnsi="Cambria Math"/>
                </w:rPr>
              </m:ctrlPr>
            </m:sSubSupPr>
            <m:e>
              <m:acc>
                <m:accPr>
                  <m:ctrlPr>
                    <w:rPr>
                      <w:rFonts w:ascii="Cambria Math" w:eastAsiaTheme="minorEastAsia" w:hAnsi="Cambria Math"/>
                    </w:rPr>
                  </m:ctrlPr>
                </m:accPr>
                <m:e>
                  <m:r>
                    <w:rPr>
                      <w:rFonts w:ascii="Cambria Math" w:eastAsiaTheme="minorEastAsia" w:hAnsi="Cambria Math"/>
                    </w:rPr>
                    <m:t>θ</m:t>
                  </m:r>
                </m:e>
              </m:acc>
            </m:e>
            <m:sub>
              <m:r>
                <w:rPr>
                  <w:rFonts w:ascii="Cambria Math" w:eastAsiaTheme="minorEastAsia" w:hAnsi="Cambria Math"/>
                </w:rPr>
                <m:t>d</m:t>
              </m:r>
            </m:sub>
            <m:sup>
              <m:r>
                <w:rPr>
                  <w:rFonts w:ascii="Cambria Math" w:eastAsiaTheme="minorEastAsia" w:hAnsi="Cambria Math"/>
                </w:rPr>
                <m:t>Dir</m:t>
              </m:r>
            </m:sup>
          </m:sSubSup>
          <m:r>
            <w:rPr>
              <w:rFonts w:ascii="Cambria Math" w:eastAsiaTheme="minorEastAsia" w:hAnsi="Cambria Math"/>
            </w:rPr>
            <m:t>=0</m:t>
          </m:r>
        </m:oMath>
      </m:oMathPara>
    </w:p>
    <w:p w14:paraId="54479146" w14:textId="61606985" w:rsidR="00992D5B" w:rsidRDefault="00A169A5" w:rsidP="00A169A5">
      <w:r w:rsidRPr="00A169A5">
        <w:t xml:space="preserve">En la práctica, la estrategia más recomendada consiste en aplicar primero el método REML y, en caso de obtener valores negativos para </w:t>
      </w:r>
      <m:oMath>
        <m:sSubSup>
          <m:sSubSupPr>
            <m:ctrlPr>
              <w:rPr>
                <w:rFonts w:ascii="Cambria Math" w:hAnsi="Cambria Math"/>
                <w:i/>
                <w:lang w:val="es-ES"/>
              </w:rPr>
            </m:ctrlPr>
          </m:sSubSupPr>
          <m:e>
            <m:acc>
              <m:accPr>
                <m:ctrlPr>
                  <w:rPr>
                    <w:rFonts w:ascii="Cambria Math" w:hAnsi="Cambria Math"/>
                    <w:i/>
                    <w:lang w:val="es-ES"/>
                  </w:rPr>
                </m:ctrlPr>
              </m:accPr>
              <m:e>
                <m:r>
                  <w:rPr>
                    <w:rFonts w:ascii="Cambria Math" w:hAnsi="Cambria Math"/>
                    <w:lang w:val="es-ES"/>
                  </w:rPr>
                  <m:t>σ</m:t>
                </m:r>
              </m:e>
            </m:acc>
          </m:e>
          <m:sub>
            <m:r>
              <w:rPr>
                <w:rFonts w:ascii="Cambria Math" w:hAnsi="Cambria Math"/>
                <w:lang w:val="es-ES"/>
              </w:rPr>
              <m:t>u</m:t>
            </m:r>
          </m:sub>
          <m:sup>
            <m:r>
              <w:rPr>
                <w:rFonts w:ascii="Cambria Math" w:hAnsi="Cambria Math"/>
                <w:lang w:val="es-ES"/>
              </w:rPr>
              <m:t>2</m:t>
            </m:r>
          </m:sup>
        </m:sSubSup>
      </m:oMath>
      <w:r w:rsidRPr="00A169A5">
        <w:rPr>
          <w:rFonts w:ascii="Arial" w:hAnsi="Arial" w:cs="Arial"/>
        </w:rPr>
        <w:t>​</w:t>
      </w:r>
      <w:r w:rsidRPr="00A169A5">
        <w:t xml:space="preserve">, recurrir al método ADM como alternativa. Esta </w:t>
      </w:r>
      <w:r w:rsidRPr="00A169A5">
        <w:lastRenderedPageBreak/>
        <w:t>combinación permite asegurar estimaciones estables y consistentes de la varianza de los efectos aleatorios en el modelo sintético.</w:t>
      </w:r>
    </w:p>
    <w:p w14:paraId="00CDB471" w14:textId="22EEBD2B" w:rsidR="00992D5B" w:rsidRDefault="00992D5B" w:rsidP="00741194">
      <w:pPr>
        <w:pStyle w:val="Heading1"/>
        <w:numPr>
          <w:ilvl w:val="0"/>
          <w:numId w:val="13"/>
        </w:numPr>
        <w:rPr>
          <w:lang w:val="es-CL"/>
        </w:rPr>
      </w:pPr>
      <w:bookmarkStart w:id="30" w:name="_Toc207902588"/>
      <w:r w:rsidRPr="00992D5B">
        <w:rPr>
          <w:lang w:val="es-CL"/>
        </w:rPr>
        <w:t>Estimación del error en el modelo</w:t>
      </w:r>
      <w:bookmarkEnd w:id="30"/>
    </w:p>
    <w:p w14:paraId="16C2BC67" w14:textId="77777777" w:rsidR="00741194" w:rsidRPr="00741194" w:rsidRDefault="00741194" w:rsidP="00741194">
      <w:pPr>
        <w:rPr>
          <w:lang w:val="es-CL"/>
        </w:rPr>
      </w:pPr>
    </w:p>
    <w:p w14:paraId="5EC21F93" w14:textId="63EF423B" w:rsidR="00512B01" w:rsidRDefault="00992D5B" w:rsidP="00741194">
      <w:pPr>
        <w:pStyle w:val="Heading1"/>
        <w:numPr>
          <w:ilvl w:val="0"/>
          <w:numId w:val="13"/>
        </w:numPr>
        <w:rPr>
          <w:lang w:val="es-CL"/>
        </w:rPr>
      </w:pPr>
      <w:bookmarkStart w:id="31" w:name="_Toc207902589"/>
      <w:r>
        <w:rPr>
          <w:lang w:val="es-CL"/>
        </w:rPr>
        <w:t>Resultados y validación de los modelos</w:t>
      </w:r>
      <w:bookmarkEnd w:id="31"/>
    </w:p>
    <w:p w14:paraId="594E84EE" w14:textId="77777777" w:rsidR="007F63E7" w:rsidRPr="007F63E7" w:rsidRDefault="007F63E7" w:rsidP="007F63E7">
      <w:pPr>
        <w:rPr>
          <w:lang w:val="es-CL"/>
        </w:rPr>
      </w:pPr>
    </w:p>
    <w:p w14:paraId="4836D2F9" w14:textId="670616FD" w:rsidR="005F1392" w:rsidRDefault="005F1392" w:rsidP="005F1392">
      <w:r>
        <w:t xml:space="preserve">Este capítulo presenta los principales hallazgos derivados de la implementación </w:t>
      </w:r>
      <w:r>
        <w:t>de los modelos</w:t>
      </w:r>
      <w:r>
        <w:t xml:space="preserve"> Fay–</w:t>
      </w:r>
      <w:proofErr w:type="spellStart"/>
      <w:r>
        <w:t>Herriot</w:t>
      </w:r>
      <w:proofErr w:type="spellEnd"/>
      <w:r>
        <w:t xml:space="preserve"> para los indicadores de fecundidad y mortalidad a nivel distrital.</w:t>
      </w:r>
    </w:p>
    <w:p w14:paraId="5887FCE0" w14:textId="5043A8B2" w:rsidR="005F1392" w:rsidRDefault="005F1392" w:rsidP="005F1392">
      <w:r>
        <w:t>En primer lugar, se realiza un análisis de los supuestos y de la calidad del ajuste del modelo, junto con la validación de las estimaciones frente a los criterios estadísticos definidos en capítulos anteriores.</w:t>
      </w:r>
      <w:r>
        <w:t xml:space="preserve"> P</w:t>
      </w:r>
      <w:r>
        <w:t>osteriormente, para cada indicador se presentan dos resultados principales:</w:t>
      </w:r>
      <w:r w:rsidR="00B4689E">
        <w:t xml:space="preserve"> </w:t>
      </w:r>
      <w:proofErr w:type="gramStart"/>
      <w:r>
        <w:t>i)</w:t>
      </w:r>
      <w:r>
        <w:t>Mapa</w:t>
      </w:r>
      <w:proofErr w:type="gramEnd"/>
      <w:r>
        <w:t xml:space="preserve"> distrital con la estimación del indicador</w:t>
      </w:r>
      <w:r>
        <w:t xml:space="preserve"> </w:t>
      </w:r>
      <w:proofErr w:type="spellStart"/>
      <w:r>
        <w:t>ii</w:t>
      </w:r>
      <w:proofErr w:type="spellEnd"/>
      <w:r>
        <w:t xml:space="preserve">) </w:t>
      </w:r>
      <w:r>
        <w:t>Mapa distrital del coeficiente de variación (CV), que permite evaluar de manera simultánea el nivel estimado y la precisión estadística alcanzada en cada distrito.</w:t>
      </w:r>
    </w:p>
    <w:p w14:paraId="1565DBCA" w14:textId="46AC1B5E" w:rsidR="00DA364D" w:rsidRDefault="005F1392" w:rsidP="005F1392">
      <w:r>
        <w:t>En total, el modelo permitió obtener resultados para 1.874 distritos, ampliando la cobertura más allá de las áreas observadas directamente en la encuesta.</w:t>
      </w:r>
    </w:p>
    <w:p w14:paraId="4510299D" w14:textId="15372552" w:rsidR="007F63E7" w:rsidRDefault="00741194" w:rsidP="00741194">
      <w:pPr>
        <w:pStyle w:val="Heading2"/>
        <w:numPr>
          <w:ilvl w:val="1"/>
          <w:numId w:val="13"/>
        </w:numPr>
        <w:rPr>
          <w:rFonts w:asciiTheme="minorHAnsi" w:hAnsiTheme="minorHAnsi"/>
        </w:rPr>
      </w:pPr>
      <w:bookmarkStart w:id="32" w:name="_Toc207902590"/>
      <w:r w:rsidRPr="00741194">
        <w:rPr>
          <w:rFonts w:asciiTheme="minorHAnsi" w:hAnsiTheme="minorHAnsi"/>
        </w:rPr>
        <w:t xml:space="preserve">Indicador </w:t>
      </w:r>
      <w:r w:rsidRPr="00741194">
        <w:rPr>
          <w:rFonts w:asciiTheme="minorHAnsi" w:hAnsiTheme="minorHAnsi"/>
        </w:rPr>
        <w:t>Promedio de hijos nacidos vivos</w:t>
      </w:r>
      <w:bookmarkEnd w:id="32"/>
    </w:p>
    <w:p w14:paraId="1D0A8F01" w14:textId="77777777" w:rsidR="007F63E7" w:rsidRDefault="007F63E7" w:rsidP="00DA364D">
      <w:pPr>
        <w:pStyle w:val="Heading3"/>
        <w:rPr>
          <w:lang w:val="es-CL"/>
        </w:rPr>
      </w:pPr>
    </w:p>
    <w:p w14:paraId="1691C6C8" w14:textId="69E58FAE" w:rsidR="000B6E94" w:rsidRDefault="00B4689E" w:rsidP="00DA364D">
      <w:pPr>
        <w:pStyle w:val="Heading3"/>
      </w:pPr>
      <w:bookmarkStart w:id="33" w:name="_Toc207902591"/>
      <w:r w:rsidRPr="00DA364D">
        <w:t>8.1.1 Validación de supuestos del modelo</w:t>
      </w:r>
      <w:bookmarkEnd w:id="33"/>
    </w:p>
    <w:p w14:paraId="5404DFD8" w14:textId="77777777" w:rsidR="00DA364D" w:rsidRPr="00DA364D" w:rsidRDefault="00DA364D" w:rsidP="00DA364D"/>
    <w:p w14:paraId="314577BB" w14:textId="65C1BE73" w:rsidR="00DA364D" w:rsidRPr="00DA364D" w:rsidRDefault="00DA364D" w:rsidP="00DA364D">
      <w:pPr>
        <w:pStyle w:val="ListParagraph"/>
        <w:numPr>
          <w:ilvl w:val="0"/>
          <w:numId w:val="24"/>
        </w:numPr>
        <w:rPr>
          <w:rStyle w:val="Strong"/>
          <w:b w:val="0"/>
          <w:bCs w:val="0"/>
          <w:color w:val="215E99" w:themeColor="text2" w:themeTint="BF"/>
        </w:rPr>
      </w:pPr>
      <w:r w:rsidRPr="00DA364D">
        <w:rPr>
          <w:rStyle w:val="Strong"/>
          <w:b w:val="0"/>
          <w:bCs w:val="0"/>
          <w:color w:val="215E99" w:themeColor="text2" w:themeTint="BF"/>
        </w:rPr>
        <w:t>Normalidad en los residuales</w:t>
      </w:r>
      <w:r w:rsidRPr="00DA364D">
        <w:rPr>
          <w:rStyle w:val="Strong"/>
          <w:b w:val="0"/>
          <w:bCs w:val="0"/>
          <w:color w:val="215E99" w:themeColor="text2" w:themeTint="BF"/>
        </w:rPr>
        <w:t xml:space="preserve"> </w:t>
      </w:r>
    </w:p>
    <w:p w14:paraId="20A14431" w14:textId="255C864B" w:rsidR="00DA364D" w:rsidRDefault="00DA364D" w:rsidP="00DA364D">
      <w:r w:rsidRPr="00DA364D">
        <w:t>El supuesto de normalidad en los residuos establece que estos deben distribuirse de manera aproximadamente normal alrededor de cero. En la Figura</w:t>
      </w:r>
      <w:r w:rsidR="00434F01">
        <w:t xml:space="preserve"> </w:t>
      </w:r>
      <w:r w:rsidR="00BB303A">
        <w:t>5</w:t>
      </w:r>
      <w:r w:rsidRPr="00DA364D">
        <w:t xml:space="preserve"> se muestra el histograma de los residuos estandarizados con la curva normal superpuesta, y en la Figura </w:t>
      </w:r>
      <w:r w:rsidR="00434F01">
        <w:t>6</w:t>
      </w:r>
      <w:r w:rsidRPr="00DA364D">
        <w:t xml:space="preserve"> el gráfico QQ-</w:t>
      </w:r>
      <w:proofErr w:type="spellStart"/>
      <w:r w:rsidRPr="00DA364D">
        <w:t>plot</w:t>
      </w:r>
      <w:proofErr w:type="spellEnd"/>
      <w:r w:rsidRPr="00DA364D">
        <w:t xml:space="preserve"> comparando los cuantiles muestrales con los de una distribución normal estándar. En ambos casos, los residuos se ajustan de forma razonable a la distribución normal, con leves desviaciones en las colas. Esto permite considerar que el supuesto de normalidad se cumple de manera aceptable para el modelo.</w:t>
      </w:r>
    </w:p>
    <w:p w14:paraId="7E1FCD5E" w14:textId="1CE9F492" w:rsidR="00DA364D" w:rsidRDefault="00DA364D" w:rsidP="00DA364D">
      <w:pPr>
        <w:rPr>
          <w:i/>
          <w:iCs/>
        </w:rPr>
      </w:pPr>
      <w:r w:rsidRPr="00DA364D">
        <w:rPr>
          <w:i/>
          <w:iCs/>
        </w:rPr>
        <w:t xml:space="preserve">Figura </w:t>
      </w:r>
      <w:r>
        <w:rPr>
          <w:i/>
          <w:iCs/>
        </w:rPr>
        <w:t>5</w:t>
      </w:r>
      <w:r w:rsidRPr="00DA364D">
        <w:rPr>
          <w:i/>
          <w:iCs/>
        </w:rPr>
        <w:t>: Distribución de los residuales</w:t>
      </w:r>
    </w:p>
    <w:p w14:paraId="4EB93BD8" w14:textId="30F09D99" w:rsidR="00BB303A" w:rsidRPr="00DA364D" w:rsidRDefault="00434F01" w:rsidP="00DA364D">
      <w:pPr>
        <w:rPr>
          <w:rStyle w:val="Strong"/>
          <w:b w:val="0"/>
          <w:bCs w:val="0"/>
          <w:i/>
          <w:iCs/>
          <w:color w:val="215E99" w:themeColor="text2" w:themeTint="BF"/>
        </w:rPr>
      </w:pPr>
      <w:r w:rsidRPr="00434F01">
        <w:rPr>
          <w:rStyle w:val="Strong"/>
          <w:b w:val="0"/>
          <w:bCs w:val="0"/>
          <w:i/>
          <w:iCs/>
          <w:color w:val="215E99" w:themeColor="text2" w:themeTint="BF"/>
        </w:rPr>
        <w:lastRenderedPageBreak/>
        <w:drawing>
          <wp:inline distT="0" distB="0" distL="0" distR="0" wp14:anchorId="19DACD6E" wp14:editId="429C32AB">
            <wp:extent cx="5491101" cy="3792855"/>
            <wp:effectExtent l="19050" t="19050" r="14605" b="17145"/>
            <wp:docPr id="67130878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8782" name="Picture 1" descr="A graph with a red line&#10;&#10;AI-generated content may be incorrect."/>
                    <pic:cNvPicPr/>
                  </pic:nvPicPr>
                  <pic:blipFill>
                    <a:blip r:embed="rId16"/>
                    <a:stretch>
                      <a:fillRect/>
                    </a:stretch>
                  </pic:blipFill>
                  <pic:spPr>
                    <a:xfrm>
                      <a:off x="0" y="0"/>
                      <a:ext cx="5498188" cy="3797750"/>
                    </a:xfrm>
                    <a:prstGeom prst="rect">
                      <a:avLst/>
                    </a:prstGeom>
                    <a:ln>
                      <a:solidFill>
                        <a:schemeClr val="bg1">
                          <a:lumMod val="65000"/>
                        </a:schemeClr>
                      </a:solidFill>
                    </a:ln>
                  </pic:spPr>
                </pic:pic>
              </a:graphicData>
            </a:graphic>
          </wp:inline>
        </w:drawing>
      </w:r>
    </w:p>
    <w:p w14:paraId="244CE75E" w14:textId="4ABD0941" w:rsidR="00BB303A" w:rsidRPr="00351E3A" w:rsidRDefault="00BB303A" w:rsidP="00DA364D">
      <w:pPr>
        <w:rPr>
          <w:sz w:val="18"/>
          <w:szCs w:val="18"/>
        </w:rPr>
      </w:pPr>
      <w:r w:rsidRPr="00136428">
        <w:rPr>
          <w:sz w:val="18"/>
          <w:szCs w:val="18"/>
        </w:rPr>
        <w:t>Fuente: CEPAL</w:t>
      </w:r>
    </w:p>
    <w:p w14:paraId="25E186E2" w14:textId="58004439" w:rsidR="00351E3A" w:rsidRPr="00BB303A" w:rsidRDefault="00BB303A" w:rsidP="00DA364D">
      <w:pPr>
        <w:rPr>
          <w:i/>
          <w:iCs/>
        </w:rPr>
      </w:pPr>
      <w:r w:rsidRPr="00DA364D">
        <w:rPr>
          <w:i/>
          <w:iCs/>
        </w:rPr>
        <w:t>Figura</w:t>
      </w:r>
      <w:r>
        <w:rPr>
          <w:i/>
          <w:iCs/>
        </w:rPr>
        <w:t>6</w:t>
      </w:r>
      <w:r w:rsidRPr="00DA364D">
        <w:rPr>
          <w:i/>
          <w:iCs/>
        </w:rPr>
        <w:t xml:space="preserve">: </w:t>
      </w:r>
      <w:r w:rsidRPr="00BB303A">
        <w:rPr>
          <w:i/>
          <w:iCs/>
        </w:rPr>
        <w:t>QQ-</w:t>
      </w:r>
      <w:proofErr w:type="spellStart"/>
      <w:r w:rsidRPr="00BB303A">
        <w:rPr>
          <w:i/>
          <w:iCs/>
        </w:rPr>
        <w:t>plot</w:t>
      </w:r>
      <w:proofErr w:type="spellEnd"/>
      <w:r w:rsidRPr="00BB303A">
        <w:rPr>
          <w:i/>
          <w:iCs/>
        </w:rPr>
        <w:t xml:space="preserve"> de los residuales</w:t>
      </w:r>
    </w:p>
    <w:p w14:paraId="66C92600" w14:textId="17860346" w:rsidR="00BB303A" w:rsidRDefault="00351E3A" w:rsidP="00BB303A">
      <w:pPr>
        <w:rPr>
          <w:lang w:val="es-CL"/>
        </w:rPr>
      </w:pPr>
      <w:r w:rsidRPr="00434F01">
        <w:rPr>
          <w:lang w:val="es-CL"/>
        </w:rPr>
        <w:lastRenderedPageBreak/>
        <w:drawing>
          <wp:inline distT="0" distB="0" distL="0" distR="0" wp14:anchorId="0B385625" wp14:editId="2C5747BC">
            <wp:extent cx="5080635" cy="4089812"/>
            <wp:effectExtent l="19050" t="19050" r="24765" b="25400"/>
            <wp:docPr id="180932093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20939" name="Picture 1" descr="A graph with a line&#10;&#10;AI-generated content may be incorrect."/>
                    <pic:cNvPicPr/>
                  </pic:nvPicPr>
                  <pic:blipFill>
                    <a:blip r:embed="rId17"/>
                    <a:stretch>
                      <a:fillRect/>
                    </a:stretch>
                  </pic:blipFill>
                  <pic:spPr>
                    <a:xfrm>
                      <a:off x="0" y="0"/>
                      <a:ext cx="5082079" cy="4090974"/>
                    </a:xfrm>
                    <a:prstGeom prst="rect">
                      <a:avLst/>
                    </a:prstGeom>
                    <a:ln>
                      <a:solidFill>
                        <a:schemeClr val="bg1">
                          <a:lumMod val="65000"/>
                        </a:schemeClr>
                      </a:solidFill>
                    </a:ln>
                  </pic:spPr>
                </pic:pic>
              </a:graphicData>
            </a:graphic>
          </wp:inline>
        </w:drawing>
      </w:r>
    </w:p>
    <w:p w14:paraId="30069B3E" w14:textId="77777777" w:rsidR="00BB303A" w:rsidRPr="00136428" w:rsidRDefault="00BB303A" w:rsidP="00BB303A">
      <w:pPr>
        <w:rPr>
          <w:sz w:val="18"/>
          <w:szCs w:val="18"/>
        </w:rPr>
      </w:pPr>
      <w:r w:rsidRPr="00136428">
        <w:rPr>
          <w:sz w:val="18"/>
          <w:szCs w:val="18"/>
        </w:rPr>
        <w:t>Fuente: CEPAL</w:t>
      </w:r>
    </w:p>
    <w:p w14:paraId="48C2C9D8" w14:textId="77777777" w:rsidR="00BB303A" w:rsidRDefault="00BB303A" w:rsidP="00BB303A">
      <w:pPr>
        <w:pStyle w:val="ListParagraph"/>
        <w:numPr>
          <w:ilvl w:val="0"/>
          <w:numId w:val="24"/>
        </w:numPr>
        <w:rPr>
          <w:rStyle w:val="Strong"/>
          <w:b w:val="0"/>
          <w:bCs w:val="0"/>
          <w:color w:val="215E99" w:themeColor="text2" w:themeTint="BF"/>
        </w:rPr>
      </w:pPr>
      <w:r w:rsidRPr="00BB303A">
        <w:rPr>
          <w:rStyle w:val="Strong"/>
          <w:b w:val="0"/>
          <w:bCs w:val="0"/>
          <w:color w:val="215E99" w:themeColor="text2" w:themeTint="BF"/>
        </w:rPr>
        <w:t xml:space="preserve">Normalidad en los </w:t>
      </w:r>
      <w:r>
        <w:rPr>
          <w:rStyle w:val="Strong"/>
          <w:b w:val="0"/>
          <w:bCs w:val="0"/>
          <w:color w:val="215E99" w:themeColor="text2" w:themeTint="BF"/>
        </w:rPr>
        <w:t>efectos aleatorios</w:t>
      </w:r>
    </w:p>
    <w:p w14:paraId="341498DC" w14:textId="6A7E9CFC" w:rsidR="00BB303A" w:rsidRPr="00BB303A" w:rsidRDefault="00BB303A" w:rsidP="00BB303A">
      <w:pPr>
        <w:rPr>
          <w:rStyle w:val="Strong"/>
          <w:b w:val="0"/>
          <w:bCs w:val="0"/>
          <w:color w:val="215E99" w:themeColor="text2" w:themeTint="BF"/>
        </w:rPr>
      </w:pPr>
      <w:r w:rsidRPr="00BB303A">
        <w:rPr>
          <w:rStyle w:val="Strong"/>
          <w:b w:val="0"/>
          <w:bCs w:val="0"/>
          <w:color w:val="215E99" w:themeColor="text2" w:themeTint="BF"/>
        </w:rPr>
        <w:t xml:space="preserve"> </w:t>
      </w:r>
      <w:r w:rsidR="008679C4" w:rsidRPr="008679C4">
        <w:rPr>
          <w:rStyle w:val="Strong"/>
          <w:b w:val="0"/>
          <w:bCs w:val="0"/>
        </w:rPr>
        <w:t>Un segundo supuesto fundamental corresponde a la normalidad de los efectos aleatorios. La Figura 7 presenta el histograma de los efectos estimados junto con la curva de una distribución normal teórica, mientras que la Figura 8 muestra el gráfico Q-Q. En ambos casos se aprecia que los efectos aleatorios siguen de manera consistente el comportamiento esperado bajo normalidad, sin evidenciar violaciones relevantes a este supuesto dentro del modelo.</w:t>
      </w:r>
    </w:p>
    <w:p w14:paraId="2FC83E31" w14:textId="7FDBED86" w:rsidR="00BB303A" w:rsidRDefault="00BB303A" w:rsidP="00BB303A">
      <w:pPr>
        <w:rPr>
          <w:i/>
          <w:iCs/>
        </w:rPr>
      </w:pPr>
      <w:r w:rsidRPr="00BB303A">
        <w:rPr>
          <w:i/>
          <w:iCs/>
        </w:rPr>
        <w:t>Figura</w:t>
      </w:r>
      <w:r w:rsidR="008679C4">
        <w:rPr>
          <w:i/>
          <w:iCs/>
        </w:rPr>
        <w:t>7</w:t>
      </w:r>
      <w:r w:rsidRPr="00BB303A">
        <w:rPr>
          <w:i/>
          <w:iCs/>
        </w:rPr>
        <w:t>: Distribución de los efectos aleatorios</w:t>
      </w:r>
    </w:p>
    <w:p w14:paraId="23B47850" w14:textId="51D2F778" w:rsidR="00BB303A" w:rsidRDefault="00434F01" w:rsidP="00BB303A">
      <w:pPr>
        <w:rPr>
          <w:i/>
          <w:iCs/>
        </w:rPr>
      </w:pPr>
      <w:r w:rsidRPr="00434F01">
        <w:rPr>
          <w:i/>
          <w:iCs/>
        </w:rPr>
        <w:lastRenderedPageBreak/>
        <w:drawing>
          <wp:inline distT="0" distB="0" distL="0" distR="0" wp14:anchorId="256CA51D" wp14:editId="1B0FB2C2">
            <wp:extent cx="4867275" cy="4127823"/>
            <wp:effectExtent l="19050" t="19050" r="9525" b="25400"/>
            <wp:docPr id="137230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01866" name=""/>
                    <pic:cNvPicPr/>
                  </pic:nvPicPr>
                  <pic:blipFill>
                    <a:blip r:embed="rId18"/>
                    <a:stretch>
                      <a:fillRect/>
                    </a:stretch>
                  </pic:blipFill>
                  <pic:spPr>
                    <a:xfrm>
                      <a:off x="0" y="0"/>
                      <a:ext cx="4869999" cy="4130133"/>
                    </a:xfrm>
                    <a:prstGeom prst="rect">
                      <a:avLst/>
                    </a:prstGeom>
                    <a:ln>
                      <a:solidFill>
                        <a:schemeClr val="bg1">
                          <a:lumMod val="65000"/>
                        </a:schemeClr>
                      </a:solidFill>
                    </a:ln>
                  </pic:spPr>
                </pic:pic>
              </a:graphicData>
            </a:graphic>
          </wp:inline>
        </w:drawing>
      </w:r>
    </w:p>
    <w:p w14:paraId="73B859D2" w14:textId="54889692" w:rsidR="008679C4" w:rsidRPr="008679C4" w:rsidRDefault="008679C4" w:rsidP="00BB303A">
      <w:pPr>
        <w:rPr>
          <w:sz w:val="18"/>
          <w:szCs w:val="18"/>
        </w:rPr>
      </w:pPr>
      <w:r w:rsidRPr="00136428">
        <w:rPr>
          <w:sz w:val="18"/>
          <w:szCs w:val="18"/>
        </w:rPr>
        <w:t>Fuente: CEPAL</w:t>
      </w:r>
    </w:p>
    <w:p w14:paraId="7507A085" w14:textId="40D0C57A" w:rsidR="00BB303A" w:rsidRDefault="00BB303A" w:rsidP="00BB303A">
      <w:pPr>
        <w:rPr>
          <w:i/>
          <w:iCs/>
        </w:rPr>
      </w:pPr>
      <w:r w:rsidRPr="00BB303A">
        <w:rPr>
          <w:i/>
          <w:iCs/>
        </w:rPr>
        <w:t xml:space="preserve">Figura </w:t>
      </w:r>
      <w:r w:rsidR="008679C4">
        <w:rPr>
          <w:i/>
          <w:iCs/>
        </w:rPr>
        <w:t>8</w:t>
      </w:r>
      <w:r w:rsidRPr="00BB303A">
        <w:rPr>
          <w:i/>
          <w:iCs/>
        </w:rPr>
        <w:t>: QQ-</w:t>
      </w:r>
      <w:proofErr w:type="spellStart"/>
      <w:r w:rsidRPr="00BB303A">
        <w:rPr>
          <w:i/>
          <w:iCs/>
        </w:rPr>
        <w:t>plot</w:t>
      </w:r>
      <w:proofErr w:type="spellEnd"/>
      <w:r w:rsidRPr="00BB303A">
        <w:rPr>
          <w:i/>
          <w:iCs/>
        </w:rPr>
        <w:t xml:space="preserve"> de los efectos aleatorios</w:t>
      </w:r>
    </w:p>
    <w:p w14:paraId="566D951E" w14:textId="53AEF400" w:rsidR="008679C4" w:rsidRDefault="00434F01" w:rsidP="00BB303A">
      <w:pPr>
        <w:rPr>
          <w:i/>
          <w:iCs/>
          <w:lang w:val="es-CL"/>
        </w:rPr>
      </w:pPr>
      <w:r w:rsidRPr="00434F01">
        <w:rPr>
          <w:i/>
          <w:iCs/>
          <w:lang w:val="es-CL"/>
        </w:rPr>
        <w:drawing>
          <wp:inline distT="0" distB="0" distL="0" distR="0" wp14:anchorId="79D373DF" wp14:editId="6F9A8DA5">
            <wp:extent cx="4820920" cy="3139786"/>
            <wp:effectExtent l="19050" t="19050" r="17780" b="22860"/>
            <wp:docPr id="1561434472"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34472" name="Picture 1" descr="A graph with red and blue lines&#10;&#10;AI-generated content may be incorrect."/>
                    <pic:cNvPicPr/>
                  </pic:nvPicPr>
                  <pic:blipFill>
                    <a:blip r:embed="rId19"/>
                    <a:stretch>
                      <a:fillRect/>
                    </a:stretch>
                  </pic:blipFill>
                  <pic:spPr>
                    <a:xfrm>
                      <a:off x="0" y="0"/>
                      <a:ext cx="4824122" cy="3141871"/>
                    </a:xfrm>
                    <a:prstGeom prst="rect">
                      <a:avLst/>
                    </a:prstGeom>
                    <a:ln>
                      <a:solidFill>
                        <a:schemeClr val="bg1">
                          <a:lumMod val="65000"/>
                        </a:schemeClr>
                      </a:solidFill>
                    </a:ln>
                  </pic:spPr>
                </pic:pic>
              </a:graphicData>
            </a:graphic>
          </wp:inline>
        </w:drawing>
      </w:r>
    </w:p>
    <w:p w14:paraId="3FBA9BB1" w14:textId="77777777" w:rsidR="008679C4" w:rsidRPr="008679C4" w:rsidRDefault="008679C4" w:rsidP="008679C4">
      <w:pPr>
        <w:rPr>
          <w:sz w:val="18"/>
          <w:szCs w:val="18"/>
        </w:rPr>
      </w:pPr>
      <w:r w:rsidRPr="00136428">
        <w:rPr>
          <w:sz w:val="18"/>
          <w:szCs w:val="18"/>
        </w:rPr>
        <w:lastRenderedPageBreak/>
        <w:t>Fuente: CEPAL</w:t>
      </w:r>
    </w:p>
    <w:p w14:paraId="07401036" w14:textId="77777777" w:rsidR="008679C4" w:rsidRDefault="008679C4" w:rsidP="00BB303A">
      <w:pPr>
        <w:rPr>
          <w:i/>
          <w:iCs/>
          <w:lang w:val="es-CL"/>
        </w:rPr>
      </w:pPr>
    </w:p>
    <w:p w14:paraId="367DA76D" w14:textId="7887D4D4" w:rsidR="009F1B44" w:rsidRPr="009F1B44" w:rsidRDefault="009F1B44" w:rsidP="009F1B44">
      <w:pPr>
        <w:pStyle w:val="ListParagraph"/>
        <w:numPr>
          <w:ilvl w:val="0"/>
          <w:numId w:val="24"/>
        </w:numPr>
        <w:rPr>
          <w:rStyle w:val="Strong"/>
          <w:b w:val="0"/>
          <w:bCs w:val="0"/>
          <w:color w:val="215E99" w:themeColor="text2" w:themeTint="BF"/>
        </w:rPr>
      </w:pPr>
      <w:r w:rsidRPr="009F1B44">
        <w:rPr>
          <w:rStyle w:val="Strong"/>
          <w:b w:val="0"/>
          <w:bCs w:val="0"/>
          <w:color w:val="215E99" w:themeColor="text2" w:themeTint="BF"/>
        </w:rPr>
        <w:t>Homocedasticidad de los residuos</w:t>
      </w:r>
    </w:p>
    <w:p w14:paraId="489FC9AE" w14:textId="54DC60DF" w:rsidR="003211CB" w:rsidRDefault="009F1B44" w:rsidP="009F1B44">
      <w:r w:rsidRPr="009F1B44">
        <w:t xml:space="preserve">La Figura </w:t>
      </w:r>
      <w:r>
        <w:t>9</w:t>
      </w:r>
      <w:r w:rsidRPr="009F1B44">
        <w:t xml:space="preserve"> presenta los residuos estandarizados ordenados por distrito, con la línea de referencia en y</w:t>
      </w:r>
      <w:r>
        <w:t xml:space="preserve"> = 0</w:t>
      </w:r>
      <w:r w:rsidRPr="009F1B44">
        <w:t>. La nube de puntos no muestra patrones sistemáticos ni cambios de dispersión a lo largo del eje horizontal; los valores se concentran alrededor de cero y exhiben una variabilidad similar entre distritos. En consecuencia, no se evidencian violaciones relevantes al supuesto de homocedasticidad.</w:t>
      </w:r>
    </w:p>
    <w:p w14:paraId="0F75DEB5" w14:textId="77777777" w:rsidR="003211CB" w:rsidRDefault="003211CB" w:rsidP="009F1B44"/>
    <w:p w14:paraId="28511681" w14:textId="711F1E5A" w:rsidR="009F1B44" w:rsidRDefault="009F1B44" w:rsidP="009F1B44">
      <w:pPr>
        <w:rPr>
          <w:i/>
          <w:iCs/>
        </w:rPr>
      </w:pPr>
      <w:r w:rsidRPr="00BB303A">
        <w:rPr>
          <w:i/>
          <w:iCs/>
        </w:rPr>
        <w:t xml:space="preserve">Figura </w:t>
      </w:r>
      <w:r>
        <w:rPr>
          <w:i/>
          <w:iCs/>
        </w:rPr>
        <w:t>9</w:t>
      </w:r>
      <w:r w:rsidRPr="00BB303A">
        <w:rPr>
          <w:i/>
          <w:iCs/>
        </w:rPr>
        <w:t xml:space="preserve">: </w:t>
      </w:r>
      <w:r w:rsidRPr="009F1B44">
        <w:rPr>
          <w:i/>
          <w:iCs/>
        </w:rPr>
        <w:t>Residuos estandarizados por distrito</w:t>
      </w:r>
    </w:p>
    <w:p w14:paraId="45862BF2" w14:textId="47BA782C" w:rsidR="009F1B44" w:rsidRDefault="003211CB" w:rsidP="009F1B44">
      <w:pPr>
        <w:pStyle w:val="ListParagraph"/>
        <w:ind w:left="765"/>
        <w:rPr>
          <w:i/>
          <w:iCs/>
          <w:lang w:val="es-CL"/>
        </w:rPr>
      </w:pPr>
      <w:r w:rsidRPr="003211CB">
        <w:rPr>
          <w:i/>
          <w:iCs/>
          <w:lang w:val="es-CL"/>
        </w:rPr>
        <w:drawing>
          <wp:inline distT="0" distB="0" distL="0" distR="0" wp14:anchorId="57A0F84A" wp14:editId="70DC83BA">
            <wp:extent cx="5409714" cy="3538855"/>
            <wp:effectExtent l="19050" t="19050" r="19685" b="23495"/>
            <wp:docPr id="1545576651"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76651" name="Picture 1" descr="A graph with blue dots&#10;&#10;AI-generated content may be incorrect."/>
                    <pic:cNvPicPr/>
                  </pic:nvPicPr>
                  <pic:blipFill>
                    <a:blip r:embed="rId20"/>
                    <a:stretch>
                      <a:fillRect/>
                    </a:stretch>
                  </pic:blipFill>
                  <pic:spPr>
                    <a:xfrm>
                      <a:off x="0" y="0"/>
                      <a:ext cx="5411138" cy="3539787"/>
                    </a:xfrm>
                    <a:prstGeom prst="rect">
                      <a:avLst/>
                    </a:prstGeom>
                    <a:ln>
                      <a:solidFill>
                        <a:schemeClr val="bg1">
                          <a:lumMod val="65000"/>
                        </a:schemeClr>
                      </a:solidFill>
                    </a:ln>
                  </pic:spPr>
                </pic:pic>
              </a:graphicData>
            </a:graphic>
          </wp:inline>
        </w:drawing>
      </w:r>
    </w:p>
    <w:p w14:paraId="492E79CD" w14:textId="77777777" w:rsidR="009F1B44" w:rsidRPr="008679C4" w:rsidRDefault="009F1B44" w:rsidP="009F1B44">
      <w:pPr>
        <w:rPr>
          <w:sz w:val="18"/>
          <w:szCs w:val="18"/>
        </w:rPr>
      </w:pPr>
      <w:r w:rsidRPr="00136428">
        <w:rPr>
          <w:sz w:val="18"/>
          <w:szCs w:val="18"/>
        </w:rPr>
        <w:t>Fuente: CEPAL</w:t>
      </w:r>
    </w:p>
    <w:p w14:paraId="3A2F71D3" w14:textId="77777777" w:rsidR="009F1B44" w:rsidRDefault="009F1B44" w:rsidP="009F1B44">
      <w:pPr>
        <w:rPr>
          <w:i/>
          <w:iCs/>
          <w:lang w:val="es-CL"/>
        </w:rPr>
      </w:pPr>
    </w:p>
    <w:p w14:paraId="033F662B" w14:textId="77777777" w:rsidR="001F27B9" w:rsidRDefault="001F27B9" w:rsidP="009F1B44">
      <w:pPr>
        <w:rPr>
          <w:i/>
          <w:iCs/>
          <w:lang w:val="es-CL"/>
        </w:rPr>
      </w:pPr>
    </w:p>
    <w:p w14:paraId="3C61A5B9" w14:textId="77777777" w:rsidR="001F27B9" w:rsidRDefault="001F27B9" w:rsidP="009F1B44">
      <w:pPr>
        <w:rPr>
          <w:i/>
          <w:iCs/>
          <w:lang w:val="es-CL"/>
        </w:rPr>
      </w:pPr>
    </w:p>
    <w:p w14:paraId="1A30657D" w14:textId="77777777" w:rsidR="001F27B9" w:rsidRDefault="001F27B9" w:rsidP="009F1B44">
      <w:pPr>
        <w:rPr>
          <w:i/>
          <w:iCs/>
          <w:lang w:val="es-CL"/>
        </w:rPr>
      </w:pPr>
    </w:p>
    <w:p w14:paraId="17FB5F77" w14:textId="77777777" w:rsidR="001F27B9" w:rsidRDefault="001F27B9" w:rsidP="009F1B44">
      <w:pPr>
        <w:rPr>
          <w:i/>
          <w:iCs/>
          <w:lang w:val="es-CL"/>
        </w:rPr>
      </w:pPr>
    </w:p>
    <w:p w14:paraId="4F62B531" w14:textId="77777777" w:rsidR="00351E3A" w:rsidRDefault="00351E3A" w:rsidP="009F1B44">
      <w:pPr>
        <w:rPr>
          <w:i/>
          <w:iCs/>
          <w:lang w:val="es-CL"/>
        </w:rPr>
      </w:pPr>
    </w:p>
    <w:p w14:paraId="3FE77E56" w14:textId="00330119" w:rsidR="009F1B44" w:rsidRDefault="009F1B44" w:rsidP="009F1B44">
      <w:pPr>
        <w:pStyle w:val="Heading3"/>
      </w:pPr>
      <w:bookmarkStart w:id="34" w:name="_Toc207902592"/>
      <w:r w:rsidRPr="00DA364D">
        <w:lastRenderedPageBreak/>
        <w:t>8.1.</w:t>
      </w:r>
      <w:r>
        <w:t xml:space="preserve">2 </w:t>
      </w:r>
      <w:r w:rsidRPr="009F1B44">
        <w:t>Mapas del indicador y precisión</w:t>
      </w:r>
      <w:bookmarkEnd w:id="34"/>
    </w:p>
    <w:p w14:paraId="46901E57" w14:textId="5CCE430D" w:rsidR="001F27B9" w:rsidRPr="001F27B9" w:rsidRDefault="001F27B9" w:rsidP="001F27B9">
      <w:pPr>
        <w:rPr>
          <w:i/>
          <w:iCs/>
        </w:rPr>
      </w:pPr>
      <w:r w:rsidRPr="001F27B9">
        <w:rPr>
          <w:i/>
          <w:iCs/>
        </w:rPr>
        <w:t xml:space="preserve">Figura </w:t>
      </w:r>
      <w:r>
        <w:rPr>
          <w:i/>
          <w:iCs/>
        </w:rPr>
        <w:t>10</w:t>
      </w:r>
      <w:r w:rsidRPr="001F27B9">
        <w:rPr>
          <w:i/>
          <w:iCs/>
        </w:rPr>
        <w:t>. Mapa distrital del promedio de hijos nacidos vivos (estimación FH)</w:t>
      </w:r>
    </w:p>
    <w:p w14:paraId="57C7D2B0" w14:textId="31C0F7BC" w:rsidR="009F1B44" w:rsidRDefault="003211CB" w:rsidP="009F1B44">
      <w:r w:rsidRPr="003211CB">
        <w:drawing>
          <wp:inline distT="0" distB="0" distL="0" distR="0" wp14:anchorId="52ECA8A2" wp14:editId="5C0E37AD">
            <wp:extent cx="4782217" cy="6468378"/>
            <wp:effectExtent l="0" t="0" r="0" b="0"/>
            <wp:docPr id="33839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92369" name=""/>
                    <pic:cNvPicPr/>
                  </pic:nvPicPr>
                  <pic:blipFill>
                    <a:blip r:embed="rId21"/>
                    <a:stretch>
                      <a:fillRect/>
                    </a:stretch>
                  </pic:blipFill>
                  <pic:spPr>
                    <a:xfrm>
                      <a:off x="0" y="0"/>
                      <a:ext cx="4782217" cy="6468378"/>
                    </a:xfrm>
                    <a:prstGeom prst="rect">
                      <a:avLst/>
                    </a:prstGeom>
                  </pic:spPr>
                </pic:pic>
              </a:graphicData>
            </a:graphic>
          </wp:inline>
        </w:drawing>
      </w:r>
    </w:p>
    <w:p w14:paraId="63292047" w14:textId="77777777" w:rsidR="001F27B9" w:rsidRPr="008679C4" w:rsidRDefault="001F27B9" w:rsidP="001F27B9">
      <w:pPr>
        <w:rPr>
          <w:sz w:val="18"/>
          <w:szCs w:val="18"/>
        </w:rPr>
      </w:pPr>
      <w:r w:rsidRPr="00136428">
        <w:rPr>
          <w:sz w:val="18"/>
          <w:szCs w:val="18"/>
        </w:rPr>
        <w:t>Fuente: CEPAL</w:t>
      </w:r>
    </w:p>
    <w:p w14:paraId="5E4147F0" w14:textId="6F2692A6" w:rsidR="003211CB" w:rsidRDefault="001F27B9" w:rsidP="001F27B9">
      <w:r w:rsidRPr="001F27B9">
        <w:t xml:space="preserve">El mapa muestra la distribución espacial del número promedio de hijos nacidos vivos por mujer a nivel distrital en el Perú. Los resultados permiten identificar una marcada heterogeneidad territorial: en la zona costera y gran parte de la sierra se observan valores relativamente bajos </w:t>
      </w:r>
      <w:r w:rsidRPr="001F27B9">
        <w:lastRenderedPageBreak/>
        <w:t>(entre 1 y 2 hijos en promedio), mientras que en distritos de la Amazonía y del norte del país predominan niveles más altos, llegando en algunos casos a promedios de 3 o más hijos por mujer.</w:t>
      </w:r>
    </w:p>
    <w:p w14:paraId="1FDEF3BC" w14:textId="77777777" w:rsidR="001F27B9" w:rsidRDefault="001F27B9" w:rsidP="001F27B9"/>
    <w:p w14:paraId="77AAFEED" w14:textId="1FF7059A" w:rsidR="001F27B9" w:rsidRPr="001F27B9" w:rsidRDefault="001F27B9" w:rsidP="001F27B9">
      <w:pPr>
        <w:rPr>
          <w:i/>
          <w:iCs/>
        </w:rPr>
      </w:pPr>
      <w:r w:rsidRPr="001F27B9">
        <w:rPr>
          <w:i/>
          <w:iCs/>
        </w:rPr>
        <w:t xml:space="preserve">Figura </w:t>
      </w:r>
      <w:r>
        <w:rPr>
          <w:i/>
          <w:iCs/>
        </w:rPr>
        <w:t>1</w:t>
      </w:r>
      <w:r>
        <w:rPr>
          <w:i/>
          <w:iCs/>
        </w:rPr>
        <w:t>1</w:t>
      </w:r>
      <w:r w:rsidRPr="001F27B9">
        <w:rPr>
          <w:i/>
          <w:iCs/>
        </w:rPr>
        <w:t>. Mapa distrital del coeficiente de variación (CV) del promedio de hijos nacidos vivos</w:t>
      </w:r>
    </w:p>
    <w:p w14:paraId="66BDA73D" w14:textId="6A00BB72" w:rsidR="003211CB" w:rsidRDefault="003211CB" w:rsidP="009F1B44">
      <w:r w:rsidRPr="003211CB">
        <w:drawing>
          <wp:inline distT="0" distB="0" distL="0" distR="0" wp14:anchorId="3923FA0D" wp14:editId="343CA54E">
            <wp:extent cx="5201376" cy="6477904"/>
            <wp:effectExtent l="0" t="0" r="0" b="0"/>
            <wp:docPr id="6828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083" name=""/>
                    <pic:cNvPicPr/>
                  </pic:nvPicPr>
                  <pic:blipFill>
                    <a:blip r:embed="rId22"/>
                    <a:stretch>
                      <a:fillRect/>
                    </a:stretch>
                  </pic:blipFill>
                  <pic:spPr>
                    <a:xfrm>
                      <a:off x="0" y="0"/>
                      <a:ext cx="5201376" cy="6477904"/>
                    </a:xfrm>
                    <a:prstGeom prst="rect">
                      <a:avLst/>
                    </a:prstGeom>
                  </pic:spPr>
                </pic:pic>
              </a:graphicData>
            </a:graphic>
          </wp:inline>
        </w:drawing>
      </w:r>
    </w:p>
    <w:p w14:paraId="6E304A5D" w14:textId="77777777" w:rsidR="001F27B9" w:rsidRPr="008679C4" w:rsidRDefault="001F27B9" w:rsidP="001F27B9">
      <w:pPr>
        <w:rPr>
          <w:sz w:val="18"/>
          <w:szCs w:val="18"/>
        </w:rPr>
      </w:pPr>
      <w:r w:rsidRPr="00136428">
        <w:rPr>
          <w:sz w:val="18"/>
          <w:szCs w:val="18"/>
        </w:rPr>
        <w:t>Fuente: CEPAL</w:t>
      </w:r>
    </w:p>
    <w:p w14:paraId="6A82DE18" w14:textId="45684CAF" w:rsidR="001F27B9" w:rsidRDefault="001F27B9" w:rsidP="001F27B9">
      <w:pPr>
        <w:jc w:val="both"/>
      </w:pPr>
      <w:r>
        <w:lastRenderedPageBreak/>
        <w:t>El mapa presenta la distribución del coeficiente de variación (CV) asociado a las estimaciones del indicador “Promedio de hijos nacidos vivos” a nivel distrital. El CV permite evaluar la precisión estadística de las estimaciones, de modo que valores más bajos indican mayor confiabilidad.</w:t>
      </w:r>
    </w:p>
    <w:p w14:paraId="6C83274E" w14:textId="398F316F" w:rsidR="009F1B44" w:rsidRPr="009F1B44" w:rsidRDefault="001F27B9" w:rsidP="001F27B9">
      <w:pPr>
        <w:jc w:val="both"/>
      </w:pPr>
      <w:r>
        <w:t xml:space="preserve">Los resultados muestran que la mayoría de </w:t>
      </w:r>
      <w:proofErr w:type="gramStart"/>
      <w:r>
        <w:t>distritos</w:t>
      </w:r>
      <w:proofErr w:type="gramEnd"/>
      <w:r>
        <w:t xml:space="preserve"> presentan CV inferiores al 20%, lo que refleja un buen nivel de precisión en la estimación. Sin embargo, en algunos distritos de la Amazonía y en zonas puntuales de la sierra y selva sur, se observan CV más elevados (entre 30% y 50%), lo que indica una menor precisión en dichas áreas. Aun así, en general, el modelo garantiza una adecuada estabilidad estadística en la mayor parte del territorio nacional.</w:t>
      </w:r>
    </w:p>
    <w:p w14:paraId="0ED29695" w14:textId="77777777" w:rsidR="009F1B44" w:rsidRPr="009F1B44" w:rsidRDefault="009F1B44" w:rsidP="009F1B44">
      <w:pPr>
        <w:rPr>
          <w:i/>
          <w:iCs/>
          <w:lang w:val="es-CL"/>
        </w:rPr>
      </w:pPr>
    </w:p>
    <w:p w14:paraId="7F608E91" w14:textId="6563FD8A" w:rsidR="00512B01" w:rsidRPr="001F27B9" w:rsidRDefault="00992D5B" w:rsidP="001F27B9">
      <w:pPr>
        <w:pStyle w:val="Heading1"/>
        <w:numPr>
          <w:ilvl w:val="0"/>
          <w:numId w:val="13"/>
        </w:numPr>
      </w:pPr>
      <w:bookmarkStart w:id="35" w:name="_Toc207902593"/>
      <w:r w:rsidRPr="001F27B9">
        <w:t>Referencias</w:t>
      </w:r>
      <w:bookmarkEnd w:id="35"/>
    </w:p>
    <w:p w14:paraId="1C4C7E7D" w14:textId="7E3CC7A3" w:rsidR="001F27B9" w:rsidRPr="001F27B9" w:rsidRDefault="001F27B9" w:rsidP="001F27B9">
      <w:pPr>
        <w:rPr>
          <w:lang w:val="en-US"/>
        </w:rPr>
      </w:pPr>
      <w:r>
        <w:rPr>
          <w:rFonts w:hAnsi="Symbol"/>
        </w:rPr>
        <w:t></w:t>
      </w:r>
      <w:r w:rsidRPr="001F27B9">
        <w:rPr>
          <w:lang w:val="en-US"/>
        </w:rPr>
        <w:t xml:space="preserve"> Datta</w:t>
      </w:r>
      <w:r w:rsidRPr="001F27B9">
        <w:rPr>
          <w:lang w:val="en-US"/>
        </w:rPr>
        <w:t xml:space="preserve">, G. S., &amp; Lahiri, P. (2000). A unified measure of uncertainty of estimated best linear unbiased predictors in small area estimation problems. </w:t>
      </w:r>
      <w:r w:rsidRPr="001F27B9">
        <w:rPr>
          <w:rStyle w:val="Emphasis"/>
          <w:lang w:val="en-US"/>
        </w:rPr>
        <w:t>Statistica Sinica, 10</w:t>
      </w:r>
      <w:r w:rsidRPr="001F27B9">
        <w:rPr>
          <w:lang w:val="en-US"/>
        </w:rPr>
        <w:t>(2), 613–627.</w:t>
      </w:r>
    </w:p>
    <w:p w14:paraId="3D9D3064" w14:textId="3A01ACCC" w:rsidR="001F27B9" w:rsidRPr="001F27B9" w:rsidRDefault="001F27B9" w:rsidP="001F27B9">
      <w:pPr>
        <w:rPr>
          <w:lang w:val="en-US"/>
        </w:rPr>
      </w:pPr>
      <w:r>
        <w:rPr>
          <w:rFonts w:hAnsi="Symbol"/>
        </w:rPr>
        <w:t></w:t>
      </w:r>
      <w:r w:rsidRPr="001F27B9">
        <w:rPr>
          <w:lang w:val="en-US"/>
        </w:rPr>
        <w:t xml:space="preserve"> Hidiroglou</w:t>
      </w:r>
      <w:r w:rsidRPr="001F27B9">
        <w:rPr>
          <w:lang w:val="en-US"/>
        </w:rPr>
        <w:t xml:space="preserve">, M. A. (2019). Development of a small area estimation system at Statistics Canada. </w:t>
      </w:r>
      <w:r w:rsidRPr="001F27B9">
        <w:rPr>
          <w:rStyle w:val="Emphasis"/>
          <w:lang w:val="en-US"/>
        </w:rPr>
        <w:t>Survey Methodology, 45</w:t>
      </w:r>
      <w:r w:rsidRPr="001F27B9">
        <w:rPr>
          <w:lang w:val="en-US"/>
        </w:rPr>
        <w:t>(1), 101–126.</w:t>
      </w:r>
    </w:p>
    <w:p w14:paraId="525641E5" w14:textId="7A80555C" w:rsidR="001F27B9" w:rsidRPr="001F27B9" w:rsidRDefault="001F27B9" w:rsidP="001F27B9">
      <w:pPr>
        <w:rPr>
          <w:lang w:val="en-US"/>
        </w:rPr>
      </w:pPr>
      <w:r>
        <w:rPr>
          <w:rFonts w:hAnsi="Symbol"/>
        </w:rPr>
        <w:t></w:t>
      </w:r>
      <w:r w:rsidRPr="001F27B9">
        <w:rPr>
          <w:lang w:val="en-US"/>
        </w:rPr>
        <w:t xml:space="preserve"> Jiang</w:t>
      </w:r>
      <w:r w:rsidRPr="001F27B9">
        <w:rPr>
          <w:lang w:val="en-US"/>
        </w:rPr>
        <w:t xml:space="preserve">, J., Lahiri, P., &amp; Wan, S. (2002). A unified jackknife theory for empirical best prediction with M-estimation. </w:t>
      </w:r>
      <w:r w:rsidRPr="001F27B9">
        <w:rPr>
          <w:rStyle w:val="Emphasis"/>
          <w:lang w:val="en-US"/>
        </w:rPr>
        <w:t>The Annals of Statistics, 30</w:t>
      </w:r>
      <w:r w:rsidRPr="001F27B9">
        <w:rPr>
          <w:lang w:val="en-US"/>
        </w:rPr>
        <w:t xml:space="preserve">(6), 1782–1810. </w:t>
      </w:r>
      <w:hyperlink r:id="rId23" w:tgtFrame="_new" w:history="1">
        <w:r w:rsidRPr="001F27B9">
          <w:rPr>
            <w:rStyle w:val="Hyperlink"/>
            <w:lang w:val="en-US"/>
          </w:rPr>
          <w:t>https://doi.org/10.1214/aos/1043351257</w:t>
        </w:r>
      </w:hyperlink>
    </w:p>
    <w:p w14:paraId="522AD8AA" w14:textId="7C526A21" w:rsidR="001F27B9" w:rsidRDefault="001F27B9" w:rsidP="001F27B9">
      <w:r>
        <w:rPr>
          <w:rFonts w:hAnsi="Symbol"/>
        </w:rPr>
        <w:t></w:t>
      </w:r>
      <w:r w:rsidRPr="001F27B9">
        <w:rPr>
          <w:lang w:val="en-US"/>
        </w:rPr>
        <w:t xml:space="preserve"> Lahiri</w:t>
      </w:r>
      <w:r w:rsidRPr="001F27B9">
        <w:rPr>
          <w:lang w:val="en-US"/>
        </w:rPr>
        <w:t xml:space="preserve">, P., &amp; Rao, J. N. K. (1995). Robust estimation of mean squared error of small area estimators. </w:t>
      </w:r>
      <w:proofErr w:type="spellStart"/>
      <w:r>
        <w:rPr>
          <w:rStyle w:val="Emphasis"/>
        </w:rPr>
        <w:t>Journal</w:t>
      </w:r>
      <w:proofErr w:type="spellEnd"/>
      <w:r>
        <w:rPr>
          <w:rStyle w:val="Emphasis"/>
        </w:rPr>
        <w:t xml:space="preserve"> </w:t>
      </w:r>
      <w:proofErr w:type="spellStart"/>
      <w:r>
        <w:rPr>
          <w:rStyle w:val="Emphasis"/>
        </w:rPr>
        <w:t>of</w:t>
      </w:r>
      <w:proofErr w:type="spellEnd"/>
      <w:r>
        <w:rPr>
          <w:rStyle w:val="Emphasis"/>
        </w:rPr>
        <w:t xml:space="preserve"> </w:t>
      </w:r>
      <w:proofErr w:type="spellStart"/>
      <w:r>
        <w:rPr>
          <w:rStyle w:val="Emphasis"/>
        </w:rPr>
        <w:t>the</w:t>
      </w:r>
      <w:proofErr w:type="spellEnd"/>
      <w:r>
        <w:rPr>
          <w:rStyle w:val="Emphasis"/>
        </w:rPr>
        <w:t xml:space="preserve"> American </w:t>
      </w:r>
      <w:proofErr w:type="spellStart"/>
      <w:r>
        <w:rPr>
          <w:rStyle w:val="Emphasis"/>
        </w:rPr>
        <w:t>Statistical</w:t>
      </w:r>
      <w:proofErr w:type="spellEnd"/>
      <w:r>
        <w:rPr>
          <w:rStyle w:val="Emphasis"/>
        </w:rPr>
        <w:t xml:space="preserve"> </w:t>
      </w:r>
      <w:proofErr w:type="spellStart"/>
      <w:r>
        <w:rPr>
          <w:rStyle w:val="Emphasis"/>
        </w:rPr>
        <w:t>Association</w:t>
      </w:r>
      <w:proofErr w:type="spellEnd"/>
      <w:r>
        <w:rPr>
          <w:rStyle w:val="Emphasis"/>
        </w:rPr>
        <w:t>, 90</w:t>
      </w:r>
      <w:r>
        <w:t>(430), 758–766.</w:t>
      </w:r>
    </w:p>
    <w:p w14:paraId="50C6CFDE" w14:textId="0E6F6FF3" w:rsidR="001F27B9" w:rsidRDefault="001F27B9" w:rsidP="001F27B9">
      <w:r>
        <w:rPr>
          <w:rFonts w:hAnsi="Symbol"/>
        </w:rPr>
        <w:t></w:t>
      </w:r>
      <w:r>
        <w:t xml:space="preserve"> Molina</w:t>
      </w:r>
      <w:r>
        <w:t xml:space="preserve">, I. (2019). </w:t>
      </w:r>
      <w:r>
        <w:rPr>
          <w:rStyle w:val="Emphasis"/>
        </w:rPr>
        <w:t>Desagregación de datos en encuestas de hogares: metodologías de estimación en áreas pequeñas</w:t>
      </w:r>
      <w:r>
        <w:t xml:space="preserve"> (Series Estudios Estadísticos, </w:t>
      </w:r>
      <w:proofErr w:type="spellStart"/>
      <w:r>
        <w:t>Nº</w:t>
      </w:r>
      <w:proofErr w:type="spellEnd"/>
      <w:r>
        <w:t xml:space="preserve"> 97, LC/TS.2018/82/Rev.1). Santiago de Chile: Comisión Económica para América Latina y el Caribe (CEPAL).</w:t>
      </w:r>
    </w:p>
    <w:p w14:paraId="762156E1" w14:textId="623B4673" w:rsidR="001F27B9" w:rsidRPr="001F27B9" w:rsidRDefault="001F27B9" w:rsidP="001F27B9">
      <w:pPr>
        <w:rPr>
          <w:lang w:val="en-US"/>
        </w:rPr>
      </w:pPr>
      <w:r>
        <w:rPr>
          <w:rFonts w:hAnsi="Symbol"/>
        </w:rPr>
        <w:t></w:t>
      </w:r>
      <w:r>
        <w:t xml:space="preserve"> </w:t>
      </w:r>
      <w:proofErr w:type="spellStart"/>
      <w:r>
        <w:t>Prasad</w:t>
      </w:r>
      <w:proofErr w:type="spellEnd"/>
      <w:r>
        <w:t xml:space="preserve">, N. N., &amp; Rao, J. N. K. (1990). </w:t>
      </w:r>
      <w:r w:rsidRPr="001F27B9">
        <w:rPr>
          <w:lang w:val="en-US"/>
        </w:rPr>
        <w:t xml:space="preserve">The estimation of the mean squared error of small-area estimators. </w:t>
      </w:r>
      <w:r w:rsidRPr="001F27B9">
        <w:rPr>
          <w:rStyle w:val="Emphasis"/>
          <w:lang w:val="en-US"/>
        </w:rPr>
        <w:t>Journal of the American Statistical Association, 85</w:t>
      </w:r>
      <w:r w:rsidRPr="001F27B9">
        <w:rPr>
          <w:lang w:val="en-US"/>
        </w:rPr>
        <w:t>(409), 163–171.</w:t>
      </w:r>
    </w:p>
    <w:p w14:paraId="780EF0C4" w14:textId="170A8C63" w:rsidR="001F27B9" w:rsidRPr="001F27B9" w:rsidRDefault="001F27B9" w:rsidP="001F27B9">
      <w:pPr>
        <w:rPr>
          <w:lang w:val="en-US"/>
        </w:rPr>
      </w:pPr>
      <w:r>
        <w:rPr>
          <w:rFonts w:hAnsi="Symbol"/>
        </w:rPr>
        <w:t></w:t>
      </w:r>
      <w:r w:rsidRPr="001F27B9">
        <w:rPr>
          <w:lang w:val="pt-BR"/>
        </w:rPr>
        <w:t xml:space="preserve"> Rao, J. N. K., &amp; Molina, I. (2015). </w:t>
      </w:r>
      <w:r w:rsidRPr="001F27B9">
        <w:rPr>
          <w:rStyle w:val="Emphasis"/>
          <w:lang w:val="en-US"/>
        </w:rPr>
        <w:t>Small area estimation</w:t>
      </w:r>
      <w:r w:rsidRPr="001F27B9">
        <w:rPr>
          <w:lang w:val="en-US"/>
        </w:rPr>
        <w:t xml:space="preserve"> (2ª ed.). Hoboken, NJ: Wiley.</w:t>
      </w:r>
    </w:p>
    <w:p w14:paraId="7037994B" w14:textId="654FE568" w:rsidR="001F27B9" w:rsidRPr="001F27B9" w:rsidRDefault="001F27B9" w:rsidP="001F27B9">
      <w:pPr>
        <w:rPr>
          <w:lang w:val="en-US"/>
        </w:rPr>
      </w:pPr>
      <w:r>
        <w:rPr>
          <w:rFonts w:hAnsi="Symbol"/>
        </w:rPr>
        <w:t></w:t>
      </w:r>
      <w:r w:rsidRPr="001F27B9">
        <w:rPr>
          <w:lang w:val="en-US"/>
        </w:rPr>
        <w:t xml:space="preserve"> </w:t>
      </w:r>
      <w:proofErr w:type="spellStart"/>
      <w:r>
        <w:rPr>
          <w:lang w:val="en-US"/>
        </w:rPr>
        <w:t>S</w:t>
      </w:r>
      <w:r w:rsidRPr="001F27B9">
        <w:rPr>
          <w:lang w:val="en-US"/>
        </w:rPr>
        <w:t>lud</w:t>
      </w:r>
      <w:proofErr w:type="spellEnd"/>
      <w:r w:rsidRPr="001F27B9">
        <w:rPr>
          <w:lang w:val="en-US"/>
        </w:rPr>
        <w:t xml:space="preserve">, E. V., &amp; Maiti, T. (2006). Mean-squared error estimation in transformed Fay–Herriot models. </w:t>
      </w:r>
      <w:r w:rsidRPr="001F27B9">
        <w:rPr>
          <w:rStyle w:val="Emphasis"/>
          <w:lang w:val="en-US"/>
        </w:rPr>
        <w:t>Journal of the Royal Statistical Society: Series B, 68</w:t>
      </w:r>
      <w:r w:rsidRPr="001F27B9">
        <w:rPr>
          <w:lang w:val="en-US"/>
        </w:rPr>
        <w:t>(2), 239–257.</w:t>
      </w:r>
    </w:p>
    <w:p w14:paraId="2000C976" w14:textId="4520C2DD" w:rsidR="001F27B9" w:rsidRDefault="001F27B9" w:rsidP="001F27B9">
      <w:r>
        <w:rPr>
          <w:rFonts w:hAnsi="Symbol"/>
        </w:rPr>
        <w:t></w:t>
      </w:r>
      <w:r w:rsidRPr="001F27B9">
        <w:rPr>
          <w:lang w:val="en-US"/>
        </w:rPr>
        <w:t xml:space="preserve"> </w:t>
      </w:r>
      <w:proofErr w:type="spellStart"/>
      <w:r w:rsidRPr="001F27B9">
        <w:rPr>
          <w:lang w:val="en-US"/>
        </w:rPr>
        <w:t>Sugasawa</w:t>
      </w:r>
      <w:proofErr w:type="spellEnd"/>
      <w:r w:rsidRPr="001F27B9">
        <w:rPr>
          <w:lang w:val="en-US"/>
        </w:rPr>
        <w:t xml:space="preserve">, S., &amp; </w:t>
      </w:r>
      <w:proofErr w:type="spellStart"/>
      <w:r w:rsidRPr="001F27B9">
        <w:rPr>
          <w:lang w:val="en-US"/>
        </w:rPr>
        <w:t>Kubokawa</w:t>
      </w:r>
      <w:proofErr w:type="spellEnd"/>
      <w:r w:rsidRPr="001F27B9">
        <w:rPr>
          <w:lang w:val="en-US"/>
        </w:rPr>
        <w:t xml:space="preserve">, T. (2017). Transforming response values </w:t>
      </w:r>
      <w:proofErr w:type="gramStart"/>
      <w:r w:rsidRPr="001F27B9">
        <w:rPr>
          <w:lang w:val="en-US"/>
        </w:rPr>
        <w:t>in</w:t>
      </w:r>
      <w:proofErr w:type="gramEnd"/>
      <w:r w:rsidRPr="001F27B9">
        <w:rPr>
          <w:lang w:val="en-US"/>
        </w:rPr>
        <w:t xml:space="preserve"> small area prediction. </w:t>
      </w:r>
      <w:proofErr w:type="spellStart"/>
      <w:r>
        <w:rPr>
          <w:rStyle w:val="Emphasis"/>
        </w:rPr>
        <w:t>Computational</w:t>
      </w:r>
      <w:proofErr w:type="spellEnd"/>
      <w:r>
        <w:rPr>
          <w:rStyle w:val="Emphasis"/>
        </w:rPr>
        <w:t xml:space="preserve"> </w:t>
      </w:r>
      <w:proofErr w:type="spellStart"/>
      <w:r>
        <w:rPr>
          <w:rStyle w:val="Emphasis"/>
        </w:rPr>
        <w:t>Statistics</w:t>
      </w:r>
      <w:proofErr w:type="spellEnd"/>
      <w:r>
        <w:rPr>
          <w:rStyle w:val="Emphasis"/>
        </w:rPr>
        <w:t xml:space="preserve"> &amp; Data </w:t>
      </w:r>
      <w:proofErr w:type="spellStart"/>
      <w:r>
        <w:rPr>
          <w:rStyle w:val="Emphasis"/>
        </w:rPr>
        <w:t>Analysis</w:t>
      </w:r>
      <w:proofErr w:type="spellEnd"/>
      <w:r>
        <w:rPr>
          <w:rStyle w:val="Emphasis"/>
        </w:rPr>
        <w:t>, 114</w:t>
      </w:r>
      <w:r>
        <w:t>, 47–60.</w:t>
      </w:r>
    </w:p>
    <w:p w14:paraId="79FD71B5" w14:textId="77777777" w:rsidR="001F27B9" w:rsidRPr="001F27B9" w:rsidRDefault="001F27B9" w:rsidP="001F27B9">
      <w:pPr>
        <w:rPr>
          <w:lang w:val="es-CL"/>
        </w:rPr>
      </w:pPr>
    </w:p>
    <w:sectPr w:rsidR="001F27B9" w:rsidRPr="001F27B9">
      <w:headerReference w:type="default" r:id="rId2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Andres Gutierrez Rojas" w:date="2025-09-04T10:50:00Z" w:initials="HG">
    <w:p w14:paraId="2080EC23" w14:textId="77777777" w:rsidR="00C16420" w:rsidRDefault="00C16420" w:rsidP="00C16420">
      <w:pPr>
        <w:pStyle w:val="CommentText"/>
      </w:pPr>
      <w:r>
        <w:rPr>
          <w:rStyle w:val="CommentReference"/>
        </w:rPr>
        <w:annotationRef/>
      </w:r>
      <w:r>
        <w:t>Preguntar si hay alguna definción para el numero de UPM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80EC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63A4F7" w16cex:dateUtc="2025-09-04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80EC23" w16cid:durableId="5563A4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A79F0" w14:textId="77777777" w:rsidR="00AF6CDE" w:rsidRDefault="00AF6CDE" w:rsidP="00AF6CDE">
      <w:pPr>
        <w:spacing w:after="0" w:line="240" w:lineRule="auto"/>
      </w:pPr>
      <w:r>
        <w:separator/>
      </w:r>
    </w:p>
  </w:endnote>
  <w:endnote w:type="continuationSeparator" w:id="0">
    <w:p w14:paraId="195A8402" w14:textId="77777777" w:rsidR="00AF6CDE" w:rsidRDefault="00AF6CDE" w:rsidP="00AF6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obCL">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74275" w14:textId="77777777" w:rsidR="00AF6CDE" w:rsidRDefault="00AF6CDE" w:rsidP="00AF6CDE">
      <w:pPr>
        <w:spacing w:after="0" w:line="240" w:lineRule="auto"/>
      </w:pPr>
      <w:r>
        <w:separator/>
      </w:r>
    </w:p>
  </w:footnote>
  <w:footnote w:type="continuationSeparator" w:id="0">
    <w:p w14:paraId="5FB8A5B4" w14:textId="77777777" w:rsidR="00AF6CDE" w:rsidRDefault="00AF6CDE" w:rsidP="00AF6CDE">
      <w:pPr>
        <w:spacing w:after="0" w:line="240" w:lineRule="auto"/>
      </w:pPr>
      <w:r>
        <w:continuationSeparator/>
      </w:r>
    </w:p>
  </w:footnote>
  <w:footnote w:id="1">
    <w:p w14:paraId="72A28457" w14:textId="736CF9B2" w:rsidR="00AF6CDE" w:rsidRDefault="00AF6CDE" w:rsidP="00AF6CDE">
      <w:pPr>
        <w:pStyle w:val="FootnoteText"/>
        <w:jc w:val="both"/>
        <w:rPr>
          <w:rFonts w:cs="gobCL"/>
          <w:color w:val="000000"/>
          <w:sz w:val="18"/>
          <w:szCs w:val="18"/>
        </w:rPr>
      </w:pPr>
      <w:r w:rsidRPr="000004A3">
        <w:rPr>
          <w:rStyle w:val="Heading6Char"/>
          <w:sz w:val="18"/>
          <w:szCs w:val="18"/>
        </w:rPr>
        <w:footnoteRef/>
      </w:r>
      <w:r w:rsidRPr="00F431AD">
        <w:t xml:space="preserve"> </w:t>
      </w:r>
      <w:r w:rsidRPr="00E131C2">
        <w:rPr>
          <w:rFonts w:cs="gobCL"/>
          <w:color w:val="000000"/>
          <w:sz w:val="18"/>
          <w:szCs w:val="18"/>
        </w:rPr>
        <w:t xml:space="preserve">Esta es una publicación </w:t>
      </w:r>
      <w:proofErr w:type="gramStart"/>
      <w:r>
        <w:rPr>
          <w:rFonts w:cs="gobCL"/>
          <w:color w:val="000000"/>
          <w:sz w:val="18"/>
          <w:szCs w:val="18"/>
        </w:rPr>
        <w:t xml:space="preserve">de </w:t>
      </w:r>
      <w:r w:rsidRPr="00E131C2">
        <w:rPr>
          <w:rFonts w:cs="gobCL"/>
          <w:color w:val="000000"/>
          <w:sz w:val="18"/>
          <w:szCs w:val="18"/>
        </w:rPr>
        <w:t xml:space="preserve"> la</w:t>
      </w:r>
      <w:proofErr w:type="gramEnd"/>
      <w:r w:rsidRPr="00E131C2">
        <w:rPr>
          <w:rFonts w:cs="gobCL"/>
          <w:color w:val="000000"/>
          <w:sz w:val="18"/>
          <w:szCs w:val="18"/>
        </w:rPr>
        <w:t xml:space="preserve"> Comisión Económica para América Latina y el Caribe (CEPAL). </w:t>
      </w:r>
    </w:p>
    <w:p w14:paraId="29BA9E32" w14:textId="77777777" w:rsidR="00AF6CDE" w:rsidRDefault="00AF6CDE" w:rsidP="00AF6CDE">
      <w:pPr>
        <w:pStyle w:val="FootnoteText"/>
        <w:jc w:val="both"/>
      </w:pPr>
    </w:p>
  </w:footnote>
  <w:footnote w:id="2">
    <w:p w14:paraId="5A90A603" w14:textId="798F9DB6" w:rsidR="003C7483" w:rsidRPr="003C7483" w:rsidRDefault="003C7483">
      <w:pPr>
        <w:pStyle w:val="FootnoteText"/>
        <w:rPr>
          <w:lang w:val="es-CO"/>
        </w:rPr>
      </w:pPr>
      <w:r>
        <w:rPr>
          <w:rStyle w:val="FootnoteReference"/>
        </w:rPr>
        <w:footnoteRef/>
      </w:r>
      <w:r>
        <w:t xml:space="preserve"> </w:t>
      </w:r>
      <w:proofErr w:type="spellStart"/>
      <w:r w:rsidR="008A63E9" w:rsidRPr="008A63E9">
        <w:rPr>
          <w:sz w:val="18"/>
          <w:szCs w:val="18"/>
        </w:rPr>
        <w:t>M</w:t>
      </w:r>
      <w:r w:rsidRPr="008A63E9">
        <w:rPr>
          <w:sz w:val="18"/>
          <w:szCs w:val="18"/>
        </w:rPr>
        <w:t>ujeraño</w:t>
      </w:r>
      <w:proofErr w:type="spellEnd"/>
      <w:r w:rsidRPr="008A63E9">
        <w:rPr>
          <w:sz w:val="18"/>
          <w:szCs w:val="18"/>
        </w:rPr>
        <w:t xml:space="preserve"> es una unidad de medida que representa un año completo de exposición al riesgo de tener hijos por parte de una mujer en un determinado grupo de edad.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8453" w14:textId="3B8ADB18" w:rsidR="00AF6CDE" w:rsidRDefault="00AF6CDE">
    <w:pPr>
      <w:pStyle w:val="Header"/>
    </w:pPr>
    <w:r>
      <w:rPr>
        <w:noProof/>
      </w:rPr>
      <w:drawing>
        <wp:anchor distT="0" distB="0" distL="114300" distR="114300" simplePos="0" relativeHeight="251658240" behindDoc="0" locked="0" layoutInCell="1" allowOverlap="1" wp14:anchorId="59040694" wp14:editId="5CAE543C">
          <wp:simplePos x="0" y="0"/>
          <wp:positionH relativeFrom="rightMargin">
            <wp:align>left</wp:align>
          </wp:positionH>
          <wp:positionV relativeFrom="paragraph">
            <wp:posOffset>-306705</wp:posOffset>
          </wp:positionV>
          <wp:extent cx="567055" cy="691515"/>
          <wp:effectExtent l="0" t="0" r="4445" b="0"/>
          <wp:wrapSquare wrapText="bothSides"/>
          <wp:docPr id="14" name="Imagen 14" descr="A logo of a united nations organization&#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n 14" descr="A logo of a united nations organization&#10;&#10;AI-generated content may be incorrect."/>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7055" cy="6915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7E6514"/>
    <w:multiLevelType w:val="hybridMultilevel"/>
    <w:tmpl w:val="0AE8B3DA"/>
    <w:lvl w:ilvl="0" w:tplc="669268D4">
      <w:start w:val="1"/>
      <w:numFmt w:val="lowerRoman"/>
      <w:lvlText w:val="%1."/>
      <w:lvlJc w:val="left"/>
      <w:pPr>
        <w:ind w:left="765" w:hanging="720"/>
      </w:pPr>
      <w:rPr>
        <w:rFonts w:hint="default"/>
        <w:i w:val="0"/>
        <w:iCs w:val="0"/>
        <w:color w:val="215E99" w:themeColor="text2" w:themeTint="BF"/>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 w15:restartNumberingAfterBreak="0">
    <w:nsid w:val="01E905FD"/>
    <w:multiLevelType w:val="hybridMultilevel"/>
    <w:tmpl w:val="FAF8B5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B446CE"/>
    <w:multiLevelType w:val="hybridMultilevel"/>
    <w:tmpl w:val="6868B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566FBA"/>
    <w:multiLevelType w:val="hybridMultilevel"/>
    <w:tmpl w:val="D5D85D4A"/>
    <w:lvl w:ilvl="0" w:tplc="FFFFFFFF">
      <w:start w:val="1"/>
      <w:numFmt w:val="lowerRoman"/>
      <w:lvlText w:val="%1."/>
      <w:lvlJc w:val="left"/>
      <w:pPr>
        <w:ind w:left="765" w:hanging="72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5" w15:restartNumberingAfterBreak="0">
    <w:nsid w:val="14D552B4"/>
    <w:multiLevelType w:val="hybridMultilevel"/>
    <w:tmpl w:val="5F1C2B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BA40A3"/>
    <w:multiLevelType w:val="multilevel"/>
    <w:tmpl w:val="B984B50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7" w15:restartNumberingAfterBreak="0">
    <w:nsid w:val="1D964009"/>
    <w:multiLevelType w:val="multilevel"/>
    <w:tmpl w:val="FFFFFFFF"/>
    <w:lvl w:ilvl="0">
      <w:start w:val="3"/>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8" w15:restartNumberingAfterBreak="0">
    <w:nsid w:val="24B571D8"/>
    <w:multiLevelType w:val="hybridMultilevel"/>
    <w:tmpl w:val="B5EA7AC0"/>
    <w:lvl w:ilvl="0" w:tplc="23D6331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99B5E39"/>
    <w:multiLevelType w:val="hybridMultilevel"/>
    <w:tmpl w:val="605AD5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1F87E8A"/>
    <w:multiLevelType w:val="hybridMultilevel"/>
    <w:tmpl w:val="6EFAD5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051867"/>
    <w:multiLevelType w:val="multilevel"/>
    <w:tmpl w:val="C812ECD2"/>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2" w15:restartNumberingAfterBreak="0">
    <w:nsid w:val="45C13217"/>
    <w:multiLevelType w:val="hybridMultilevel"/>
    <w:tmpl w:val="9EB61A2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5FE652C"/>
    <w:multiLevelType w:val="hybridMultilevel"/>
    <w:tmpl w:val="532050C0"/>
    <w:lvl w:ilvl="0" w:tplc="EFBCBFFA">
      <w:start w:val="4"/>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7F70803"/>
    <w:multiLevelType w:val="multilevel"/>
    <w:tmpl w:val="FFFFFFFF"/>
    <w:lvl w:ilvl="0">
      <w:start w:val="1"/>
      <w:numFmt w:val="decimal"/>
      <w:lvlText w:val="%1."/>
      <w:lvlJc w:val="left"/>
      <w:pPr>
        <w:ind w:left="720" w:hanging="360"/>
      </w:pPr>
      <w:rPr>
        <w:rFonts w:cs="Times New Roman" w:hint="default"/>
        <w:sz w:val="32"/>
        <w:szCs w:val="32"/>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color w:val="0F4761" w:themeColor="accent1" w:themeShade="BF"/>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5" w15:restartNumberingAfterBreak="0">
    <w:nsid w:val="50FA4226"/>
    <w:multiLevelType w:val="multilevel"/>
    <w:tmpl w:val="C812ECD2"/>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6" w15:restartNumberingAfterBreak="0">
    <w:nsid w:val="537B52D0"/>
    <w:multiLevelType w:val="hybridMultilevel"/>
    <w:tmpl w:val="BD6450EC"/>
    <w:lvl w:ilvl="0" w:tplc="EB0A6C60">
      <w:start w:val="1"/>
      <w:numFmt w:val="bullet"/>
      <w:lvlText w:val=""/>
      <w:lvlJc w:val="left"/>
      <w:pPr>
        <w:ind w:left="720" w:hanging="360"/>
      </w:pPr>
      <w:rPr>
        <w:rFonts w:ascii="Symbol" w:hAnsi="Symbol" w:hint="default"/>
        <w:color w:val="215E99" w:themeColor="text2" w:themeTint="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5A60C79"/>
    <w:multiLevelType w:val="hybridMultilevel"/>
    <w:tmpl w:val="3F1205D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60D7E85"/>
    <w:multiLevelType w:val="hybridMultilevel"/>
    <w:tmpl w:val="372AA930"/>
    <w:lvl w:ilvl="0" w:tplc="58AE8E0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84524AF"/>
    <w:multiLevelType w:val="hybridMultilevel"/>
    <w:tmpl w:val="EEE4480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95C653A"/>
    <w:multiLevelType w:val="hybridMultilevel"/>
    <w:tmpl w:val="D5D85D4A"/>
    <w:lvl w:ilvl="0" w:tplc="FFFFFFFF">
      <w:start w:val="1"/>
      <w:numFmt w:val="lowerRoman"/>
      <w:lvlText w:val="%1."/>
      <w:lvlJc w:val="left"/>
      <w:pPr>
        <w:ind w:left="765" w:hanging="72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21" w15:restartNumberingAfterBreak="0">
    <w:nsid w:val="64AB38EC"/>
    <w:multiLevelType w:val="hybridMultilevel"/>
    <w:tmpl w:val="3CE0CCC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A5D3D61"/>
    <w:multiLevelType w:val="multilevel"/>
    <w:tmpl w:val="C0AE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C4D99"/>
    <w:multiLevelType w:val="hybridMultilevel"/>
    <w:tmpl w:val="5B682F86"/>
    <w:lvl w:ilvl="0" w:tplc="240A000F">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4" w15:restartNumberingAfterBreak="0">
    <w:nsid w:val="71A46D57"/>
    <w:multiLevelType w:val="hybridMultilevel"/>
    <w:tmpl w:val="85DCAE2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37353C4"/>
    <w:multiLevelType w:val="multilevel"/>
    <w:tmpl w:val="C812ECD2"/>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num w:numId="1" w16cid:durableId="1068113017">
    <w:abstractNumId w:val="14"/>
  </w:num>
  <w:num w:numId="2" w16cid:durableId="1536119167">
    <w:abstractNumId w:val="9"/>
  </w:num>
  <w:num w:numId="3" w16cid:durableId="1860385803">
    <w:abstractNumId w:val="10"/>
  </w:num>
  <w:num w:numId="4" w16cid:durableId="1859537691">
    <w:abstractNumId w:val="3"/>
  </w:num>
  <w:num w:numId="5" w16cid:durableId="228805078">
    <w:abstractNumId w:val="16"/>
  </w:num>
  <w:num w:numId="6" w16cid:durableId="494348347">
    <w:abstractNumId w:val="0"/>
  </w:num>
  <w:num w:numId="7" w16cid:durableId="1262224330">
    <w:abstractNumId w:val="2"/>
  </w:num>
  <w:num w:numId="8" w16cid:durableId="1560432408">
    <w:abstractNumId w:val="5"/>
  </w:num>
  <w:num w:numId="9" w16cid:durableId="112677967">
    <w:abstractNumId w:val="23"/>
  </w:num>
  <w:num w:numId="10" w16cid:durableId="1044138864">
    <w:abstractNumId w:val="12"/>
  </w:num>
  <w:num w:numId="11" w16cid:durableId="32003623">
    <w:abstractNumId w:val="19"/>
  </w:num>
  <w:num w:numId="12" w16cid:durableId="1679887402">
    <w:abstractNumId w:val="17"/>
  </w:num>
  <w:num w:numId="13" w16cid:durableId="1922596388">
    <w:abstractNumId w:val="11"/>
  </w:num>
  <w:num w:numId="14" w16cid:durableId="854612207">
    <w:abstractNumId w:val="6"/>
  </w:num>
  <w:num w:numId="15" w16cid:durableId="1867909543">
    <w:abstractNumId w:val="13"/>
  </w:num>
  <w:num w:numId="16" w16cid:durableId="1095831439">
    <w:abstractNumId w:val="8"/>
  </w:num>
  <w:num w:numId="17" w16cid:durableId="1831169889">
    <w:abstractNumId w:val="18"/>
  </w:num>
  <w:num w:numId="18" w16cid:durableId="1643267818">
    <w:abstractNumId w:val="15"/>
  </w:num>
  <w:num w:numId="19" w16cid:durableId="1419328756">
    <w:abstractNumId w:val="25"/>
  </w:num>
  <w:num w:numId="20" w16cid:durableId="1036852434">
    <w:abstractNumId w:val="22"/>
  </w:num>
  <w:num w:numId="21" w16cid:durableId="687948606">
    <w:abstractNumId w:val="21"/>
  </w:num>
  <w:num w:numId="22" w16cid:durableId="1206018312">
    <w:abstractNumId w:val="7"/>
  </w:num>
  <w:num w:numId="23" w16cid:durableId="1339648823">
    <w:abstractNumId w:val="24"/>
  </w:num>
  <w:num w:numId="24" w16cid:durableId="353963287">
    <w:abstractNumId w:val="1"/>
  </w:num>
  <w:num w:numId="25" w16cid:durableId="543567948">
    <w:abstractNumId w:val="20"/>
  </w:num>
  <w:num w:numId="26" w16cid:durableId="1128647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s Gutierrez Rojas">
    <w15:presenceInfo w15:providerId="AD" w15:userId="S::andres.gutierrez@un.org::db6c2bf3-3e61-4919-bd75-4c40363454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CDE"/>
    <w:rsid w:val="00025697"/>
    <w:rsid w:val="0008577E"/>
    <w:rsid w:val="000B2045"/>
    <w:rsid w:val="000B6E94"/>
    <w:rsid w:val="0011456A"/>
    <w:rsid w:val="00136428"/>
    <w:rsid w:val="00157FE1"/>
    <w:rsid w:val="0017628B"/>
    <w:rsid w:val="001B1917"/>
    <w:rsid w:val="001C35B0"/>
    <w:rsid w:val="001C3E7A"/>
    <w:rsid w:val="001F27B9"/>
    <w:rsid w:val="00312154"/>
    <w:rsid w:val="00314862"/>
    <w:rsid w:val="003211CB"/>
    <w:rsid w:val="00351E3A"/>
    <w:rsid w:val="0037242E"/>
    <w:rsid w:val="003805A0"/>
    <w:rsid w:val="003A1133"/>
    <w:rsid w:val="003B738C"/>
    <w:rsid w:val="003C7483"/>
    <w:rsid w:val="003E2F10"/>
    <w:rsid w:val="00434F01"/>
    <w:rsid w:val="00481AD5"/>
    <w:rsid w:val="00512B01"/>
    <w:rsid w:val="005476E2"/>
    <w:rsid w:val="005727E1"/>
    <w:rsid w:val="005F1392"/>
    <w:rsid w:val="0061503C"/>
    <w:rsid w:val="0063547B"/>
    <w:rsid w:val="00662460"/>
    <w:rsid w:val="006718BC"/>
    <w:rsid w:val="006817A6"/>
    <w:rsid w:val="006A1500"/>
    <w:rsid w:val="007146B5"/>
    <w:rsid w:val="007245F6"/>
    <w:rsid w:val="0073650C"/>
    <w:rsid w:val="00741194"/>
    <w:rsid w:val="007F4AB3"/>
    <w:rsid w:val="007F600E"/>
    <w:rsid w:val="007F63E7"/>
    <w:rsid w:val="00825C5D"/>
    <w:rsid w:val="00846376"/>
    <w:rsid w:val="008679C4"/>
    <w:rsid w:val="008A63E9"/>
    <w:rsid w:val="008F0855"/>
    <w:rsid w:val="00986EC0"/>
    <w:rsid w:val="00992D5B"/>
    <w:rsid w:val="009C0525"/>
    <w:rsid w:val="009F1B44"/>
    <w:rsid w:val="00A169A5"/>
    <w:rsid w:val="00A22FB4"/>
    <w:rsid w:val="00AE60B0"/>
    <w:rsid w:val="00AF6CDE"/>
    <w:rsid w:val="00B4689E"/>
    <w:rsid w:val="00B64E34"/>
    <w:rsid w:val="00BB303A"/>
    <w:rsid w:val="00BB31E8"/>
    <w:rsid w:val="00C16420"/>
    <w:rsid w:val="00C73111"/>
    <w:rsid w:val="00CB34DF"/>
    <w:rsid w:val="00D10289"/>
    <w:rsid w:val="00D13F20"/>
    <w:rsid w:val="00D87D01"/>
    <w:rsid w:val="00D977D7"/>
    <w:rsid w:val="00DA364D"/>
    <w:rsid w:val="00DD4A4F"/>
    <w:rsid w:val="00E419FB"/>
    <w:rsid w:val="00E46A74"/>
    <w:rsid w:val="00F91A3A"/>
    <w:rsid w:val="00FA522D"/>
    <w:rsid w:val="00FB39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79CDF7"/>
  <w15:chartTrackingRefBased/>
  <w15:docId w15:val="{53F3B823-FD30-4CFE-B899-7FF5BE0F2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Section"/>
    <w:basedOn w:val="Normal"/>
    <w:next w:val="Normal"/>
    <w:link w:val="Heading1Char"/>
    <w:uiPriority w:val="99"/>
    <w:qFormat/>
    <w:rsid w:val="003C7483"/>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3C7483"/>
    <w:pPr>
      <w:keepNext/>
      <w:keepLines/>
      <w:spacing w:before="160" w:after="80"/>
      <w:ind w:left="708"/>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3C7483"/>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AF6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F6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F6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basedOn w:val="DefaultParagraphFont"/>
    <w:link w:val="Heading1"/>
    <w:uiPriority w:val="99"/>
    <w:rsid w:val="003C7483"/>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3C7483"/>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3C7483"/>
    <w:rPr>
      <w:rFonts w:eastAsiaTheme="majorEastAsia" w:cstheme="majorBidi"/>
      <w:color w:val="0F4761" w:themeColor="accent1" w:themeShade="BF"/>
      <w:sz w:val="24"/>
      <w:szCs w:val="28"/>
    </w:rPr>
  </w:style>
  <w:style w:type="character" w:customStyle="1" w:styleId="Heading4Char">
    <w:name w:val="Heading 4 Char"/>
    <w:basedOn w:val="DefaultParagraphFont"/>
    <w:link w:val="Heading4"/>
    <w:uiPriority w:val="9"/>
    <w:rsid w:val="00AF6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F6CDE"/>
    <w:rPr>
      <w:rFonts w:eastAsiaTheme="majorEastAsia" w:cstheme="majorBidi"/>
      <w:color w:val="0F4761" w:themeColor="accent1" w:themeShade="BF"/>
    </w:rPr>
  </w:style>
  <w:style w:type="character" w:customStyle="1" w:styleId="Heading6Char">
    <w:name w:val="Heading 6 Char"/>
    <w:basedOn w:val="DefaultParagraphFont"/>
    <w:link w:val="Heading6"/>
    <w:rsid w:val="00AF6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CDE"/>
    <w:rPr>
      <w:rFonts w:eastAsiaTheme="majorEastAsia" w:cstheme="majorBidi"/>
      <w:color w:val="272727" w:themeColor="text1" w:themeTint="D8"/>
    </w:rPr>
  </w:style>
  <w:style w:type="paragraph" w:styleId="Title">
    <w:name w:val="Title"/>
    <w:basedOn w:val="Normal"/>
    <w:next w:val="Normal"/>
    <w:link w:val="TitleChar"/>
    <w:uiPriority w:val="10"/>
    <w:qFormat/>
    <w:rsid w:val="00AF6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CDE"/>
    <w:pPr>
      <w:spacing w:before="160"/>
      <w:jc w:val="center"/>
    </w:pPr>
    <w:rPr>
      <w:i/>
      <w:iCs/>
      <w:color w:val="404040" w:themeColor="text1" w:themeTint="BF"/>
    </w:rPr>
  </w:style>
  <w:style w:type="character" w:customStyle="1" w:styleId="QuoteChar">
    <w:name w:val="Quote Char"/>
    <w:basedOn w:val="DefaultParagraphFont"/>
    <w:link w:val="Quote"/>
    <w:uiPriority w:val="29"/>
    <w:rsid w:val="00AF6CDE"/>
    <w:rPr>
      <w:i/>
      <w:iCs/>
      <w:color w:val="404040" w:themeColor="text1" w:themeTint="BF"/>
    </w:rPr>
  </w:style>
  <w:style w:type="paragraph" w:styleId="ListParagraph">
    <w:name w:val="List Paragraph"/>
    <w:basedOn w:val="Normal"/>
    <w:link w:val="ListParagraphChar"/>
    <w:uiPriority w:val="34"/>
    <w:qFormat/>
    <w:rsid w:val="00AF6CDE"/>
    <w:pPr>
      <w:ind w:left="720"/>
      <w:contextualSpacing/>
    </w:pPr>
  </w:style>
  <w:style w:type="character" w:styleId="IntenseEmphasis">
    <w:name w:val="Intense Emphasis"/>
    <w:basedOn w:val="DefaultParagraphFont"/>
    <w:uiPriority w:val="21"/>
    <w:qFormat/>
    <w:rsid w:val="00AF6CDE"/>
    <w:rPr>
      <w:i/>
      <w:iCs/>
      <w:color w:val="0F4761" w:themeColor="accent1" w:themeShade="BF"/>
    </w:rPr>
  </w:style>
  <w:style w:type="paragraph" w:styleId="IntenseQuote">
    <w:name w:val="Intense Quote"/>
    <w:basedOn w:val="Normal"/>
    <w:next w:val="Normal"/>
    <w:link w:val="IntenseQuoteChar"/>
    <w:uiPriority w:val="30"/>
    <w:qFormat/>
    <w:rsid w:val="00AF6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CDE"/>
    <w:rPr>
      <w:i/>
      <w:iCs/>
      <w:color w:val="0F4761" w:themeColor="accent1" w:themeShade="BF"/>
    </w:rPr>
  </w:style>
  <w:style w:type="character" w:styleId="IntenseReference">
    <w:name w:val="Intense Reference"/>
    <w:basedOn w:val="DefaultParagraphFont"/>
    <w:uiPriority w:val="32"/>
    <w:qFormat/>
    <w:rsid w:val="00AF6CDE"/>
    <w:rPr>
      <w:b/>
      <w:bCs/>
      <w:smallCaps/>
      <w:color w:val="0F4761" w:themeColor="accent1" w:themeShade="BF"/>
      <w:spacing w:val="5"/>
    </w:rPr>
  </w:style>
  <w:style w:type="paragraph" w:styleId="Header">
    <w:name w:val="header"/>
    <w:basedOn w:val="Normal"/>
    <w:link w:val="HeaderChar"/>
    <w:uiPriority w:val="99"/>
    <w:unhideWhenUsed/>
    <w:rsid w:val="00AF6C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CDE"/>
  </w:style>
  <w:style w:type="paragraph" w:styleId="Footer">
    <w:name w:val="footer"/>
    <w:basedOn w:val="Normal"/>
    <w:link w:val="FooterChar"/>
    <w:uiPriority w:val="99"/>
    <w:unhideWhenUsed/>
    <w:rsid w:val="00AF6C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CDE"/>
  </w:style>
  <w:style w:type="paragraph" w:styleId="FootnoteText">
    <w:name w:val="footnote text"/>
    <w:basedOn w:val="Normal"/>
    <w:link w:val="FootnoteTextChar"/>
    <w:uiPriority w:val="9"/>
    <w:unhideWhenUsed/>
    <w:qFormat/>
    <w:rsid w:val="00AF6CDE"/>
    <w:pPr>
      <w:spacing w:after="0" w:line="240" w:lineRule="auto"/>
    </w:pPr>
    <w:rPr>
      <w:rFonts w:eastAsia="Times New Roman" w:cs="Times New Roman"/>
      <w:kern w:val="0"/>
      <w:sz w:val="20"/>
      <w:szCs w:val="20"/>
      <w:lang w:val="es-CL"/>
      <w14:ligatures w14:val="none"/>
    </w:rPr>
  </w:style>
  <w:style w:type="character" w:customStyle="1" w:styleId="FootnoteTextChar">
    <w:name w:val="Footnote Text Char"/>
    <w:basedOn w:val="DefaultParagraphFont"/>
    <w:link w:val="FootnoteText"/>
    <w:uiPriority w:val="9"/>
    <w:rsid w:val="00AF6CDE"/>
    <w:rPr>
      <w:rFonts w:eastAsia="Times New Roman" w:cs="Times New Roman"/>
      <w:kern w:val="0"/>
      <w:sz w:val="20"/>
      <w:szCs w:val="20"/>
      <w:lang w:val="es-CL"/>
      <w14:ligatures w14:val="none"/>
    </w:rPr>
  </w:style>
  <w:style w:type="character" w:styleId="FootnoteReference">
    <w:name w:val="footnote reference"/>
    <w:basedOn w:val="DefaultParagraphFont"/>
    <w:uiPriority w:val="99"/>
    <w:unhideWhenUsed/>
    <w:rsid w:val="00AF6CDE"/>
    <w:rPr>
      <w:rFonts w:cs="Times New Roman"/>
      <w:vertAlign w:val="superscript"/>
    </w:rPr>
  </w:style>
  <w:style w:type="paragraph" w:styleId="TOCHeading">
    <w:name w:val="TOC Heading"/>
    <w:basedOn w:val="Heading1"/>
    <w:next w:val="Normal"/>
    <w:uiPriority w:val="39"/>
    <w:unhideWhenUsed/>
    <w:qFormat/>
    <w:rsid w:val="007245F6"/>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7245F6"/>
    <w:pPr>
      <w:spacing w:after="100"/>
    </w:pPr>
  </w:style>
  <w:style w:type="character" w:styleId="Hyperlink">
    <w:name w:val="Hyperlink"/>
    <w:basedOn w:val="DefaultParagraphFont"/>
    <w:uiPriority w:val="99"/>
    <w:unhideWhenUsed/>
    <w:rsid w:val="007245F6"/>
    <w:rPr>
      <w:color w:val="467886" w:themeColor="hyperlink"/>
      <w:u w:val="single"/>
    </w:rPr>
  </w:style>
  <w:style w:type="character" w:customStyle="1" w:styleId="ListParagraphChar">
    <w:name w:val="List Paragraph Char"/>
    <w:link w:val="ListParagraph"/>
    <w:uiPriority w:val="34"/>
    <w:locked/>
    <w:rsid w:val="0073650C"/>
  </w:style>
  <w:style w:type="paragraph" w:styleId="TOC3">
    <w:name w:val="toc 3"/>
    <w:basedOn w:val="Normal"/>
    <w:next w:val="Normal"/>
    <w:autoRedefine/>
    <w:uiPriority w:val="39"/>
    <w:unhideWhenUsed/>
    <w:rsid w:val="0073650C"/>
    <w:pPr>
      <w:spacing w:after="100"/>
      <w:ind w:left="440"/>
    </w:pPr>
  </w:style>
  <w:style w:type="character" w:customStyle="1" w:styleId="katex-mathml">
    <w:name w:val="katex-mathml"/>
    <w:basedOn w:val="DefaultParagraphFont"/>
    <w:rsid w:val="00D13F20"/>
  </w:style>
  <w:style w:type="character" w:customStyle="1" w:styleId="mord">
    <w:name w:val="mord"/>
    <w:basedOn w:val="DefaultParagraphFont"/>
    <w:rsid w:val="00D13F20"/>
  </w:style>
  <w:style w:type="character" w:customStyle="1" w:styleId="vlist-s">
    <w:name w:val="vlist-s"/>
    <w:basedOn w:val="DefaultParagraphFont"/>
    <w:rsid w:val="00D13F20"/>
  </w:style>
  <w:style w:type="character" w:styleId="PlaceholderText">
    <w:name w:val="Placeholder Text"/>
    <w:basedOn w:val="DefaultParagraphFont"/>
    <w:uiPriority w:val="99"/>
    <w:semiHidden/>
    <w:rsid w:val="00825C5D"/>
    <w:rPr>
      <w:color w:val="666666"/>
    </w:rPr>
  </w:style>
  <w:style w:type="paragraph" w:styleId="BodyText">
    <w:name w:val="Body Text"/>
    <w:basedOn w:val="Normal"/>
    <w:link w:val="BodyTextChar"/>
    <w:qFormat/>
    <w:rsid w:val="007F600E"/>
    <w:pPr>
      <w:spacing w:before="180" w:after="180" w:line="240" w:lineRule="auto"/>
    </w:pPr>
    <w:rPr>
      <w:rFonts w:eastAsia="Times New Roman" w:cs="Times New Roman"/>
      <w:kern w:val="0"/>
      <w:sz w:val="24"/>
      <w:szCs w:val="24"/>
      <w:lang w:val="en-US"/>
      <w14:ligatures w14:val="none"/>
    </w:rPr>
  </w:style>
  <w:style w:type="character" w:customStyle="1" w:styleId="BodyTextChar">
    <w:name w:val="Body Text Char"/>
    <w:basedOn w:val="DefaultParagraphFont"/>
    <w:link w:val="BodyText"/>
    <w:rsid w:val="007F600E"/>
    <w:rPr>
      <w:rFonts w:eastAsia="Times New Roman" w:cs="Times New Roman"/>
      <w:kern w:val="0"/>
      <w:sz w:val="24"/>
      <w:szCs w:val="24"/>
      <w:lang w:val="en-US"/>
      <w14:ligatures w14:val="none"/>
    </w:rPr>
  </w:style>
  <w:style w:type="paragraph" w:customStyle="1" w:styleId="FirstParagraph">
    <w:name w:val="First Paragraph"/>
    <w:basedOn w:val="BodyText"/>
    <w:next w:val="BodyText"/>
    <w:qFormat/>
    <w:rsid w:val="007F600E"/>
  </w:style>
  <w:style w:type="paragraph" w:customStyle="1" w:styleId="Compact">
    <w:name w:val="Compact"/>
    <w:basedOn w:val="BodyText"/>
    <w:qFormat/>
    <w:rsid w:val="007F600E"/>
    <w:pPr>
      <w:spacing w:before="36" w:after="36"/>
    </w:pPr>
  </w:style>
  <w:style w:type="paragraph" w:styleId="TOC2">
    <w:name w:val="toc 2"/>
    <w:basedOn w:val="Normal"/>
    <w:next w:val="Normal"/>
    <w:autoRedefine/>
    <w:uiPriority w:val="39"/>
    <w:unhideWhenUsed/>
    <w:rsid w:val="008A63E9"/>
    <w:pPr>
      <w:spacing w:after="100"/>
      <w:ind w:left="220"/>
    </w:pPr>
  </w:style>
  <w:style w:type="paragraph" w:styleId="NormalWeb">
    <w:name w:val="Normal (Web)"/>
    <w:basedOn w:val="Normal"/>
    <w:uiPriority w:val="99"/>
    <w:semiHidden/>
    <w:unhideWhenUsed/>
    <w:rsid w:val="0017628B"/>
    <w:pPr>
      <w:spacing w:before="100" w:beforeAutospacing="1" w:after="100" w:afterAutospacing="1" w:line="240" w:lineRule="auto"/>
    </w:pPr>
    <w:rPr>
      <w:rFonts w:ascii="Times New Roman" w:eastAsia="Times New Roman" w:hAnsi="Times New Roman" w:cs="Times New Roman"/>
      <w:kern w:val="0"/>
      <w:sz w:val="24"/>
      <w:szCs w:val="24"/>
      <w:lang w:eastAsia="es-CO"/>
    </w:rPr>
  </w:style>
  <w:style w:type="character" w:styleId="Strong">
    <w:name w:val="Strong"/>
    <w:basedOn w:val="DefaultParagraphFont"/>
    <w:uiPriority w:val="22"/>
    <w:qFormat/>
    <w:rsid w:val="00312154"/>
    <w:rPr>
      <w:b/>
      <w:bCs/>
    </w:rPr>
  </w:style>
  <w:style w:type="character" w:styleId="CommentReference">
    <w:name w:val="annotation reference"/>
    <w:basedOn w:val="DefaultParagraphFont"/>
    <w:uiPriority w:val="99"/>
    <w:semiHidden/>
    <w:unhideWhenUsed/>
    <w:rsid w:val="00C16420"/>
    <w:rPr>
      <w:sz w:val="16"/>
      <w:szCs w:val="16"/>
    </w:rPr>
  </w:style>
  <w:style w:type="paragraph" w:styleId="CommentText">
    <w:name w:val="annotation text"/>
    <w:basedOn w:val="Normal"/>
    <w:link w:val="CommentTextChar"/>
    <w:uiPriority w:val="99"/>
    <w:unhideWhenUsed/>
    <w:rsid w:val="00C16420"/>
    <w:pPr>
      <w:spacing w:line="240" w:lineRule="auto"/>
    </w:pPr>
    <w:rPr>
      <w:sz w:val="20"/>
      <w:szCs w:val="20"/>
    </w:rPr>
  </w:style>
  <w:style w:type="character" w:customStyle="1" w:styleId="CommentTextChar">
    <w:name w:val="Comment Text Char"/>
    <w:basedOn w:val="DefaultParagraphFont"/>
    <w:link w:val="CommentText"/>
    <w:uiPriority w:val="99"/>
    <w:rsid w:val="00C16420"/>
    <w:rPr>
      <w:sz w:val="20"/>
      <w:szCs w:val="20"/>
    </w:rPr>
  </w:style>
  <w:style w:type="paragraph" w:styleId="CommentSubject">
    <w:name w:val="annotation subject"/>
    <w:basedOn w:val="CommentText"/>
    <w:next w:val="CommentText"/>
    <w:link w:val="CommentSubjectChar"/>
    <w:uiPriority w:val="99"/>
    <w:semiHidden/>
    <w:unhideWhenUsed/>
    <w:rsid w:val="00C16420"/>
    <w:rPr>
      <w:b/>
      <w:bCs/>
    </w:rPr>
  </w:style>
  <w:style w:type="character" w:customStyle="1" w:styleId="CommentSubjectChar">
    <w:name w:val="Comment Subject Char"/>
    <w:basedOn w:val="CommentTextChar"/>
    <w:link w:val="CommentSubject"/>
    <w:uiPriority w:val="99"/>
    <w:semiHidden/>
    <w:rsid w:val="00C16420"/>
    <w:rPr>
      <w:b/>
      <w:bCs/>
      <w:sz w:val="20"/>
      <w:szCs w:val="20"/>
    </w:rPr>
  </w:style>
  <w:style w:type="table" w:styleId="TableGrid">
    <w:name w:val="Table Grid"/>
    <w:basedOn w:val="TableNormal"/>
    <w:uiPriority w:val="39"/>
    <w:rsid w:val="00372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rel">
    <w:name w:val="mrel"/>
    <w:basedOn w:val="DefaultParagraphFont"/>
    <w:rsid w:val="00986EC0"/>
  </w:style>
  <w:style w:type="character" w:customStyle="1" w:styleId="mpunct">
    <w:name w:val="mpunct"/>
    <w:basedOn w:val="DefaultParagraphFont"/>
    <w:rsid w:val="00986EC0"/>
  </w:style>
  <w:style w:type="character" w:customStyle="1" w:styleId="minner">
    <w:name w:val="minner"/>
    <w:basedOn w:val="DefaultParagraphFont"/>
    <w:rsid w:val="00986EC0"/>
  </w:style>
  <w:style w:type="character" w:styleId="Emphasis">
    <w:name w:val="Emphasis"/>
    <w:basedOn w:val="DefaultParagraphFont"/>
    <w:uiPriority w:val="20"/>
    <w:qFormat/>
    <w:rsid w:val="00314862"/>
    <w:rPr>
      <w:i/>
      <w:iCs/>
    </w:rPr>
  </w:style>
  <w:style w:type="character" w:customStyle="1" w:styleId="mopen">
    <w:name w:val="mopen"/>
    <w:basedOn w:val="DefaultParagraphFont"/>
    <w:rsid w:val="00314862"/>
  </w:style>
  <w:style w:type="character" w:customStyle="1" w:styleId="mclose">
    <w:name w:val="mclose"/>
    <w:basedOn w:val="DefaultParagraphFont"/>
    <w:rsid w:val="00314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214/aos/1043351257?utm_source=chatgpt.com" TargetMode="Externa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C9504-FA7B-441D-A0A5-9341467BE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1645</TotalTime>
  <Pages>25</Pages>
  <Words>5534</Words>
  <Characters>31469</Characters>
  <Application>Microsoft Office Word</Application>
  <DocSecurity>0</DocSecurity>
  <Lines>618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Gutierrez Rojas</dc:creator>
  <cp:keywords/>
  <dc:description/>
  <cp:lastModifiedBy>Andres Gutierrez Rojas</cp:lastModifiedBy>
  <cp:revision>3</cp:revision>
  <dcterms:created xsi:type="dcterms:W3CDTF">2025-09-03T18:58:00Z</dcterms:created>
  <dcterms:modified xsi:type="dcterms:W3CDTF">2025-09-04T22:25:00Z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bc3996eb-776b-413a-91b8-5795b83f45ad</vt:lpwstr>
  </property>
</Properties>
</file>