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1E1" w:rsidRPr="00373EC1" w:rsidRDefault="00D631E1" w:rsidP="00D631E1">
      <w:pPr>
        <w:pStyle w:val="Title1"/>
        <w:rPr>
          <w:rFonts w:ascii="Arial" w:hAnsi="Arial" w:cs="Arial"/>
          <w:sz w:val="24"/>
          <w:szCs w:val="24"/>
        </w:rPr>
      </w:pPr>
      <w:r w:rsidRPr="00373EC1">
        <w:rPr>
          <w:rFonts w:ascii="Arial" w:hAnsi="Arial" w:cs="Arial"/>
          <w:sz w:val="24"/>
          <w:szCs w:val="24"/>
        </w:rPr>
        <w:t>Use Case Requirements Validation Checklist</w:t>
      </w:r>
    </w:p>
    <w:p w:rsidR="00D631E1" w:rsidRPr="00373EC1" w:rsidRDefault="00D631E1" w:rsidP="00D631E1">
      <w:pPr>
        <w:pStyle w:val="Body"/>
      </w:pPr>
    </w:p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General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 xml:space="preserve">Unique name 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Reflects the functional role and purpose of the use case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Includes all relevant actors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Avoids ambiguities, omissions, and impreciseness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Pre-Conditions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Explicit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Describes the state of the system when the use case begins, including data that must exist as well as data that must not exist</w:t>
            </w:r>
          </w:p>
        </w:tc>
      </w:tr>
      <w:tr w:rsidR="00D631E1" w:rsidRPr="00373EC1" w:rsidTr="00E12031">
        <w:trPr>
          <w:trHeight w:val="28"/>
        </w:trPr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Captures a valid business situation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Basic Flow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Consistent and compliant with relevant business rules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Includes only information that is relevant to the use case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Includes no references to other use cases that include this use case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Includes events in the correct order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References named alternate and exception flows at the appropriate points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References non-functional requirements that are specific to the use case, as applicable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Uses actor names instead of pronouns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Avoids the use of adverbs, adjectives, pronouns, synonyms, and negatives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Uses the present tense throughout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Avoids the use of design terms, such as user interface design or database design terms, including but not limited to: click, button, screen, record, table, database, process, data, information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br w:type="page"/>
      </w:r>
      <w:r w:rsidRPr="00373EC1">
        <w:rPr>
          <w:rFonts w:ascii="Arial" w:hAnsi="Arial" w:cs="Arial"/>
          <w:b/>
          <w:sz w:val="20"/>
          <w:szCs w:val="20"/>
        </w:rPr>
        <w:lastRenderedPageBreak/>
        <w:t>Alternate Flows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Named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Comprehensive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 xml:space="preserve">Correctly state its starting point in the basic flow 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Last step indicates the returning point within the basic flow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Exception Flows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Named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Correctly states starting point in the basic flow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Comprehensive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Post-Conditions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Explicit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Captures a valid business situation</w:t>
            </w:r>
          </w:p>
        </w:tc>
      </w:tr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Describes the state of the system when the use case ends, including data that must exist as well as data that must not exist</w:t>
            </w:r>
          </w:p>
        </w:tc>
      </w:tr>
    </w:tbl>
    <w:p w:rsidR="00D631E1" w:rsidRPr="00373EC1" w:rsidRDefault="00D631E1" w:rsidP="00D631E1">
      <w:pPr>
        <w:spacing w:before="120" w:after="60"/>
        <w:rPr>
          <w:rFonts w:ascii="Arial" w:hAnsi="Arial" w:cs="Arial"/>
          <w:b/>
          <w:sz w:val="20"/>
          <w:szCs w:val="20"/>
        </w:rPr>
      </w:pPr>
      <w:r w:rsidRPr="00373EC1">
        <w:rPr>
          <w:rFonts w:ascii="Arial" w:hAnsi="Arial" w:cs="Arial"/>
          <w:b/>
          <w:sz w:val="20"/>
          <w:szCs w:val="20"/>
        </w:rPr>
        <w:t>Process: Follow-On Activities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  <w:tblLook w:val="01E0" w:firstRow="1" w:lastRow="1" w:firstColumn="1" w:lastColumn="1" w:noHBand="0" w:noVBand="0"/>
      </w:tblPr>
      <w:tblGrid>
        <w:gridCol w:w="389"/>
        <w:gridCol w:w="8971"/>
      </w:tblGrid>
      <w:tr w:rsidR="00D631E1" w:rsidRPr="00373EC1" w:rsidTr="00E12031">
        <w:tc>
          <w:tcPr>
            <w:tcW w:w="208" w:type="pct"/>
          </w:tcPr>
          <w:p w:rsidR="00D631E1" w:rsidRPr="00373EC1" w:rsidRDefault="00D631E1" w:rsidP="00D631E1">
            <w:pPr>
              <w:numPr>
                <w:ilvl w:val="0"/>
                <w:numId w:val="1"/>
              </w:num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92" w:type="pct"/>
          </w:tcPr>
          <w:p w:rsidR="00D631E1" w:rsidRPr="00373EC1" w:rsidRDefault="00D631E1" w:rsidP="00E12031">
            <w:pPr>
              <w:spacing w:before="120" w:after="60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Use case and associated documents are considered “final documentation” after sign-off has occurred</w:t>
            </w:r>
          </w:p>
          <w:p w:rsidR="00D631E1" w:rsidRPr="00373EC1" w:rsidRDefault="00D631E1" w:rsidP="00D631E1">
            <w:pPr>
              <w:numPr>
                <w:ilvl w:val="0"/>
                <w:numId w:val="2"/>
              </w:numPr>
              <w:spacing w:before="120" w:after="60"/>
              <w:ind w:left="415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Traceability is updated, up to the applicable test case/script</w:t>
            </w:r>
          </w:p>
          <w:p w:rsidR="00D631E1" w:rsidRPr="00373EC1" w:rsidRDefault="00D631E1" w:rsidP="00D631E1">
            <w:pPr>
              <w:numPr>
                <w:ilvl w:val="0"/>
                <w:numId w:val="2"/>
              </w:numPr>
              <w:spacing w:before="120" w:after="60"/>
              <w:ind w:left="415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Issues are assigned to appropriate parties and if necessary added to the project issue database</w:t>
            </w:r>
          </w:p>
          <w:p w:rsidR="00D631E1" w:rsidRPr="00373EC1" w:rsidRDefault="00D631E1" w:rsidP="00D631E1">
            <w:pPr>
              <w:numPr>
                <w:ilvl w:val="0"/>
                <w:numId w:val="2"/>
              </w:numPr>
              <w:spacing w:before="120" w:after="60"/>
              <w:ind w:left="415"/>
              <w:rPr>
                <w:rFonts w:ascii="Arial" w:hAnsi="Arial" w:cs="Arial"/>
                <w:sz w:val="20"/>
                <w:szCs w:val="20"/>
              </w:rPr>
            </w:pPr>
            <w:r w:rsidRPr="00373EC1">
              <w:rPr>
                <w:rFonts w:ascii="Arial" w:hAnsi="Arial" w:cs="Arial"/>
                <w:sz w:val="20"/>
                <w:szCs w:val="20"/>
              </w:rPr>
              <w:t>Final documentation is copied and made available in a document repository</w:t>
            </w:r>
          </w:p>
        </w:tc>
      </w:tr>
    </w:tbl>
    <w:p w:rsidR="00981E44" w:rsidRDefault="00981E44">
      <w:bookmarkStart w:id="0" w:name="_GoBack"/>
      <w:bookmarkEnd w:id="0"/>
    </w:p>
    <w:sectPr w:rsidR="0098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67EC7"/>
    <w:multiLevelType w:val="hybridMultilevel"/>
    <w:tmpl w:val="EF7AD07A"/>
    <w:lvl w:ilvl="0" w:tplc="F770144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2862FF"/>
    <w:multiLevelType w:val="hybridMultilevel"/>
    <w:tmpl w:val="1C3E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1E1"/>
    <w:rsid w:val="00981E44"/>
    <w:rsid w:val="00D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45117-A36F-4253-9CFD-76437D63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31E1"/>
    <w:pPr>
      <w:spacing w:after="200" w:line="276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D631E1"/>
    <w:pPr>
      <w:spacing w:after="0" w:line="312" w:lineRule="auto"/>
    </w:pPr>
    <w:rPr>
      <w:rFonts w:ascii="Arial" w:eastAsia="ヒラギノ角ゴ Pro W3" w:hAnsi="Arial" w:cs="Times New Roman"/>
      <w:color w:val="191919"/>
      <w:szCs w:val="20"/>
    </w:rPr>
  </w:style>
  <w:style w:type="paragraph" w:customStyle="1" w:styleId="Title1">
    <w:name w:val="Title1"/>
    <w:next w:val="Body"/>
    <w:rsid w:val="00D631E1"/>
    <w:pPr>
      <w:keepNext/>
      <w:spacing w:after="0" w:line="288" w:lineRule="auto"/>
    </w:pPr>
    <w:rPr>
      <w:rFonts w:ascii="Helvetica" w:eastAsia="ヒラギノ角ゴ Pro W3" w:hAnsi="Helvetica" w:cs="Times New Roman"/>
      <w:b/>
      <w:color w:val="2B5C86"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SISTLA</dc:creator>
  <cp:keywords/>
  <dc:description/>
  <cp:lastModifiedBy>Prasanthsistla Live</cp:lastModifiedBy>
  <cp:revision>1</cp:revision>
  <dcterms:created xsi:type="dcterms:W3CDTF">2017-02-06T15:49:00Z</dcterms:created>
  <dcterms:modified xsi:type="dcterms:W3CDTF">2017-02-06T15:49:00Z</dcterms:modified>
</cp:coreProperties>
</file>