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A1A1A"/>
          <w:sz w:val="38"/>
        </w:rPr>
        <w:t>Customers of private hospitals in the Thai health system</w:t>
      </w:r>
    </w:p>
    <w:p>
      <w:pPr>
        <w:spacing w:after="240"/>
      </w:pPr>
      <w:r>
        <w:rPr>
          <w:color w:val="606060"/>
          <w:sz w:val="24"/>
        </w:rPr>
        <w:t>Who they are, how they use care, how they judge quality — and what it means for regulating private hospitals</w:t>
      </w:r>
    </w:p>
    <w:p>
      <w:pPr>
        <w:spacing w:after="320"/>
      </w:pPr>
      <w:r>
        <w:rPr>
          <w:color w:val="606060"/>
          <w:sz w:val="19"/>
        </w:rPr>
        <w:t>People’s Voice Survey (Thailand) • Population Confidence and Quality of the Health System</w:t>
        <w:br/>
        <w:t>P. Sitthirat et al. • 2,017 adult respondents; 1,518 with a classifiable usual source of care • Edition of 14 September 2026</w:t>
      </w:r>
    </w:p>
    <w:p>
      <w:pPr>
        <w:pStyle w:val="Heading1"/>
        <w:spacing w:before="280" w:after="100"/>
      </w:pPr>
      <w:r>
        <w:rPr>
          <w:rFonts w:ascii="Calibri" w:hAnsi="Calibri"/>
          <w:b/>
          <w:color w:val="1A1A1A"/>
          <w:sz w:val="30"/>
        </w:rPr>
        <w:t>Summary</w:t>
      </w:r>
    </w:p>
    <w:p>
      <w:pPr>
        <w:spacing w:after="140"/>
        <w:jc w:val="both"/>
      </w:pPr>
      <w:r>
        <w:rPr>
          <w:b w:val="0"/>
          <w:i w:val="0"/>
          <w:color w:val="1A1A1A"/>
          <w:sz w:val="21"/>
        </w:rPr>
        <w:t>Thailand’s People’s Voice Survey asks every respondent where they usually go first when they are ill. Crossing the sector of that usual source with its setting divides the 1,518 respondents who named one into four groups: public primary care (n = 634), public hospital outpatient or emergency care (n = 615), private clinics and pharmacies (n = 142), and private hospitals (n = 127). This report profiles the last of these against the other three, with public hospital users as the comparison throughout — the closest counterfactual, since both groups use hospital outpatient care.</w:t>
      </w:r>
    </w:p>
    <w:p>
      <w:pPr>
        <w:spacing w:after="140"/>
        <w:jc w:val="both"/>
      </w:pPr>
      <w:r>
        <w:rPr>
          <w:b w:val="0"/>
          <w:i w:val="0"/>
          <w:color w:val="1A1A1A"/>
          <w:sz w:val="21"/>
        </w:rPr>
        <w:t>Six findings stand out.</w:t>
      </w:r>
    </w:p>
    <w:p>
      <w:pPr>
        <w:pStyle w:val="ListBullet"/>
        <w:spacing w:after="80"/>
      </w:pPr>
      <w:r>
        <w:rPr>
          <w:b/>
          <w:color w:val="1A1A1A"/>
          <w:sz w:val="21"/>
        </w:rPr>
        <w:t xml:space="preserve">They are a salaried middle, not an affluent elite. </w:t>
      </w:r>
      <w:r>
        <w:rPr>
          <w:color w:val="1A1A1A"/>
          <w:sz w:val="21"/>
        </w:rPr>
        <w:t>Only 4.7% of regular private-hospital users report a household income of ฿60,000 or more per month — no more than public primary care users. What distinguishes them is coverage: 69.8% hold Social Security, against 16.8% of public hospital users, and insurance coverage is the reason they most often give for choosing their facility (33.9%). Low cost is almost never cited (1.6%). Whether they were actually assigned to those providers cannot be determined — registration, payer and employment are not measured.</w:t>
      </w:r>
    </w:p>
    <w:p>
      <w:pPr>
        <w:pStyle w:val="ListBullet"/>
        <w:spacing w:after="80"/>
      </w:pPr>
      <w:r>
        <w:rPr>
          <w:b/>
          <w:color w:val="1A1A1A"/>
          <w:sz w:val="21"/>
        </w:rPr>
        <w:t xml:space="preserve">Faster walk-in access, but scheduled care queues much as it does in the public sector. </w:t>
      </w:r>
      <w:r>
        <w:rPr>
          <w:color w:val="1A1A1A"/>
          <w:sz w:val="21"/>
        </w:rPr>
        <w:t>They wait less at the facility (25.2% wait an hour or more, against 44.1%) and walk in more often. But among the 44 who booked ahead, 65.9% still waited a month or more to be seen, against 72.8% of public hospital appointment-holders. The advantage is concentrated in walk-in, same-day service rather than in scheduled care.</w:t>
      </w:r>
    </w:p>
    <w:p>
      <w:pPr>
        <w:pStyle w:val="ListBullet"/>
        <w:spacing w:after="80"/>
      </w:pPr>
      <w:r>
        <w:rPr>
          <w:b/>
          <w:color w:val="1A1A1A"/>
          <w:sz w:val="21"/>
        </w:rPr>
        <w:t xml:space="preserve">The quality difference is in service process, not perceived clinical competence. </w:t>
      </w:r>
      <w:r>
        <w:rPr>
          <w:color w:val="1A1A1A"/>
          <w:sz w:val="21"/>
        </w:rPr>
        <w:t>Nine of eleven experience items differ after adjustment, led by satisfaction with waiting time (aOR 3.54, +26.9 percentage points), the provider knowing the patient’s history (3.16, +26.6 pp) and ease of getting an appointment (3.28, +23.8 pp). The two perceived-competence items do not differ: provider knowledge and skill 1.38 (0.83–2.31) and equipment readiness 1.11 (0.69–1.78). None of the eleven measures objective clinical quality.</w:t>
      </w:r>
    </w:p>
    <w:p>
      <w:pPr>
        <w:pStyle w:val="ListBullet"/>
        <w:spacing w:after="80"/>
      </w:pPr>
      <w:r>
        <w:rPr>
          <w:b/>
          <w:color w:val="1A1A1A"/>
          <w:sz w:val="21"/>
        </w:rPr>
        <w:t xml:space="preserve">There is no preventive-service gap between private and public hospital users. </w:t>
      </w:r>
      <w:r>
        <w:rPr>
          <w:color w:val="1A1A1A"/>
          <w:sz w:val="21"/>
        </w:rPr>
        <w:t>On all eight screening and prevention items, private-hospital users are indistinguishable from public hospital users after adjustment. The one robust preventive finding concerns pharmacies: blood-pressure measurement is 70.0% among people whose usual source is a pharmacy, against 96.9–98.4% in every other group.</w:t>
      </w:r>
    </w:p>
    <w:p>
      <w:pPr>
        <w:pStyle w:val="ListBullet"/>
        <w:spacing w:after="80"/>
      </w:pPr>
      <w:r>
        <w:rPr>
          <w:b/>
          <w:color w:val="1A1A1A"/>
          <w:sz w:val="21"/>
        </w:rPr>
        <w:t xml:space="preserve">Self-reported admission is substantially higher, and unexplained. </w:t>
      </w:r>
      <w:r>
        <w:rPr>
          <w:color w:val="1A1A1A"/>
          <w:sz w:val="21"/>
        </w:rPr>
        <w:t>29.1% report an overnight admission in the past year — aOR 2.42 (1.35–4.31), +14.2 pp — in the group reporting the best health, with chronic illness adjusted for. The questionnaire never records where an admission happened, so this cannot show that it occurred at a private hospital or that it was unnecessary. It is the finding most worth pursuing with claims data.</w:t>
      </w:r>
    </w:p>
    <w:p>
      <w:pPr>
        <w:pStyle w:val="ListBullet"/>
        <w:spacing w:after="80"/>
      </w:pPr>
      <w:r>
        <w:rPr>
          <w:b/>
          <w:color w:val="1A1A1A"/>
          <w:sz w:val="21"/>
        </w:rPr>
        <w:t xml:space="preserve">A good personal experience and insecurity about serious illness coexist. </w:t>
      </w:r>
      <w:r>
        <w:rPr>
          <w:color w:val="1A1A1A"/>
          <w:sz w:val="21"/>
        </w:rPr>
        <w:t>No system-level difference is detectable after adjustment, including health security (aOR 1.27, 0.80–2.01). That interval is compatible with anything from a modest decrease to a doubling, so it is not evidence that provider type is unrelated to confidence. What the data show directly is that 14.2% of private-hospital users rate their own facility very good or excellent while remaining unsure they could get and afford care if seriously ill.</w:t>
      </w:r>
    </w:p>
    <w:p>
      <w:pPr>
        <w:pStyle w:val="Heading1"/>
        <w:spacing w:before="280" w:after="100"/>
      </w:pPr>
      <w:r>
        <w:rPr>
          <w:rFonts w:ascii="Calibri" w:hAnsi="Calibri"/>
          <w:b/>
          <w:color w:val="1A1A1A"/>
          <w:sz w:val="30"/>
        </w:rPr>
        <w:t>Data and methods</w:t>
      </w:r>
    </w:p>
    <w:p>
      <w:pPr>
        <w:spacing w:after="140"/>
        <w:jc w:val="both"/>
      </w:pPr>
      <w:r>
        <w:rPr>
          <w:b w:val="0"/>
          <w:i w:val="0"/>
          <w:color w:val="1A1A1A"/>
          <w:sz w:val="21"/>
        </w:rPr>
        <w:t>The Thai People’s Voice Survey covers 2,017 adults aged 18 or over across all 13 health regions, with one province sampled per region, subdistricts selected by probability proportional to size, and quota-based convenience recruitment at the final stage. The achieved sample tracks the plan closely — planned 686 municipal and 1,314 non-municipal, achieved 697 and 1,320, with every region within six respondents of target — but the sex quota was not met (42.8% male against 50% planned). Estimates are unweighted and describe the achieved sample.</w:t>
      </w:r>
    </w:p>
    <w:p>
      <w:pPr>
        <w:spacing w:after="140"/>
        <w:jc w:val="both"/>
      </w:pPr>
      <w:r>
        <w:rPr>
          <w:b w:val="0"/>
          <w:i w:val="0"/>
          <w:color w:val="1A1A1A"/>
          <w:sz w:val="21"/>
        </w:rPr>
        <w:t>Provider groups cross the sector of the usual source of care (Q14) with its setting (Q15). "Secondary" is not used as a label: Q15 separates hospital outpatient and emergency departments from non-hospital settings, which does not establish whether a hospital is secondary or tertiary. 488 respondents report no usual source of care and 11 are unclassifiable — 6 non-profit providers, 2 sector "other", 3 setting "other".</w:t>
      </w:r>
    </w:p>
    <w:p>
      <w:pPr>
        <w:spacing w:after="140"/>
        <w:jc w:val="both"/>
      </w:pPr>
      <w:r>
        <w:rPr>
          <w:b w:val="0"/>
          <w:i w:val="0"/>
          <w:color w:val="1A1A1A"/>
          <w:sz w:val="21"/>
        </w:rPr>
        <w:t>Adjusted comparisons use logistic regression on provider group plus age band, sex, education, household income, municipality, coverage scheme, self-rated health and chronic illness, with cluster-robust standard errors on the 107 sampled subdistricts. Each result is reported as an adjusted odds ratio and as the average marginal predicted probability with a percentage-point difference, because an odds ratio is not a probability ratio. Benjamini–Hochberg adjustment is applied within each pre-declared outcome family, and null results are retained.</w:t>
      </w:r>
    </w:p>
    <w:p>
      <w:pPr>
        <w:spacing w:after="140"/>
        <w:jc w:val="both"/>
      </w:pPr>
      <w:r>
        <w:rPr>
          <w:b w:val="0"/>
          <w:i/>
          <w:color w:val="606060"/>
          <w:sz w:val="20"/>
        </w:rPr>
        <w:t>Three cautions apply throughout, and are the reason several statements below are more guarded than they might otherwise be. These are associations, not effects: respondents are not allocated to providers, insurance routing is an obvious selection mechanism, and adjustment narrows but does not remove it. Most measures are not attributable to a provider — screening, admission, medical error and discrimination record no facility, and the visit-experience items describe the most recent visit, which is the usual source of care for 84.3% of private-hospital users but only 64.1% of private clinic and pharmacy users. And several items carry no recall period at all: screening, error, discrimination and unmet need are lifetime or unbounded reports, not 12-month rates.</w:t>
      </w:r>
    </w:p>
    <w:p>
      <w:pPr>
        <w:spacing w:before="200" w:after="60"/>
      </w:pPr>
      <w:r>
        <w:rPr>
          <w:b/>
          <w:color w:val="1A1A1A"/>
          <w:sz w:val="19"/>
        </w:rPr>
        <w:t xml:space="preserve">Table 1.  </w:t>
      </w:r>
      <w:r>
        <w:rPr>
          <w:color w:val="1A1A1A"/>
          <w:sz w:val="19"/>
        </w:rPr>
        <w:t>Cohort flow from the full sample to the four-group comparison.</w:t>
      </w:r>
    </w:p>
    <w:p>
      <w:pPr>
        <w:spacing w:before="40" w:after="220"/>
      </w:pPr>
      <w:r>
        <w:rPr>
          <w:i/>
          <w:color w:val="606060"/>
          <w:sz w:val="16"/>
        </w:rPr>
        <w:t>Exclusions are mutually exclusive and separately identified. The three public respondents whose setting was "other" are why the sector total of 1,252 exceeds the four-group public total of 1,249.</w:t>
      </w:r>
    </w:p>
    <w:tbl>
      <w:tblPr>
        <w:tblW w:type="auto" w:w="0"/>
        <w:jc w:val="center"/>
        <w:tblLayout w:type="fixed"/>
        <w:tblLook w:firstColumn="1" w:firstRow="1" w:lastColumn="0" w:lastRow="0" w:noHBand="0" w:noVBand="1" w:val="04A0"/>
        <w:tblBorders>
          <w:top w:val="single" w:sz="8" w:color="808080"/>
          <w:bottom w:val="single" w:sz="8" w:color="808080"/>
          <w:insideH w:val="single" w:sz="4" w:color="D8D8D8"/>
          <w:left w:val="none"/>
          <w:right w:val="none"/>
          <w:insideV w:val="none"/>
        </w:tblBorders>
        <w:tblLayout w:type="fixed"/>
      </w:tblPr>
      <w:tblGrid>
        <w:gridCol w:w="4819"/>
        <w:gridCol w:w="4819"/>
      </w:tblGrid>
      <w:tr>
        <w:tc>
          <w:tcPr>
            <w:tcW w:type="dxa" w:w="5669"/>
            <w:shd w:val="clear" w:fill="F2F2F0"/>
          </w:tcPr>
          <w:p>
            <w:pPr>
              <w:spacing w:after="0"/>
              <w:jc w:val="left"/>
            </w:pPr>
            <w:r/>
            <w:r>
              <w:rPr>
                <w:b/>
                <w:color w:val="1A1A1A"/>
                <w:sz w:val="16"/>
              </w:rPr>
              <w:t>Step</w:t>
            </w:r>
          </w:p>
        </w:tc>
        <w:tc>
          <w:tcPr>
            <w:tcW w:type="dxa" w:w="1701"/>
            <w:shd w:val="clear" w:fill="F2F2F0"/>
          </w:tcPr>
          <w:p>
            <w:pPr>
              <w:spacing w:after="0"/>
              <w:jc w:val="center"/>
            </w:pPr>
            <w:r/>
            <w:r>
              <w:rPr>
                <w:b/>
                <w:color w:val="1A1A1A"/>
                <w:sz w:val="16"/>
              </w:rPr>
              <w:t>n</w:t>
            </w:r>
          </w:p>
        </w:tc>
      </w:tr>
      <w:tr>
        <w:tc>
          <w:tcPr>
            <w:tcW w:type="dxa" w:w="5669"/>
          </w:tcPr>
          <w:p>
            <w:pPr>
              <w:spacing w:after="0"/>
              <w:jc w:val="left"/>
            </w:pPr>
            <w:r/>
            <w:r>
              <w:rPr>
                <w:color w:val="1A1A1A"/>
                <w:sz w:val="16"/>
              </w:rPr>
              <w:t>Respondents in the cleaned export</w:t>
            </w:r>
          </w:p>
        </w:tc>
        <w:tc>
          <w:tcPr>
            <w:tcW w:type="dxa" w:w="1701"/>
          </w:tcPr>
          <w:p>
            <w:pPr>
              <w:spacing w:after="0"/>
              <w:jc w:val="center"/>
            </w:pPr>
            <w:r/>
            <w:r>
              <w:rPr>
                <w:color w:val="1A1A1A"/>
                <w:sz w:val="16"/>
              </w:rPr>
              <w:t>2017</w:t>
            </w:r>
          </w:p>
        </w:tc>
      </w:tr>
      <w:tr>
        <w:tc>
          <w:tcPr>
            <w:tcW w:type="dxa" w:w="5669"/>
          </w:tcPr>
          <w:p>
            <w:pPr>
              <w:spacing w:after="0"/>
              <w:jc w:val="left"/>
            </w:pPr>
            <w:r/>
            <w:r>
              <w:rPr>
                <w:color w:val="1A1A1A"/>
                <w:sz w:val="16"/>
              </w:rPr>
              <w:t>consented</w:t>
            </w:r>
          </w:p>
        </w:tc>
        <w:tc>
          <w:tcPr>
            <w:tcW w:type="dxa" w:w="1701"/>
          </w:tcPr>
          <w:p>
            <w:pPr>
              <w:spacing w:after="0"/>
              <w:jc w:val="center"/>
            </w:pPr>
            <w:r/>
            <w:r>
              <w:rPr>
                <w:color w:val="1A1A1A"/>
                <w:sz w:val="16"/>
              </w:rPr>
              <w:t>2017</w:t>
            </w:r>
          </w:p>
        </w:tc>
      </w:tr>
      <w:tr>
        <w:tc>
          <w:tcPr>
            <w:tcW w:type="dxa" w:w="5669"/>
          </w:tcPr>
          <w:p>
            <w:pPr>
              <w:spacing w:after="0"/>
              <w:jc w:val="left"/>
            </w:pPr>
            <w:r/>
            <w:r>
              <w:rPr>
                <w:color w:val="1A1A1A"/>
                <w:sz w:val="16"/>
              </w:rPr>
              <w:t>No usual source of care (Q13 = no)</w:t>
            </w:r>
          </w:p>
        </w:tc>
        <w:tc>
          <w:tcPr>
            <w:tcW w:type="dxa" w:w="1701"/>
          </w:tcPr>
          <w:p>
            <w:pPr>
              <w:spacing w:after="0"/>
              <w:jc w:val="center"/>
            </w:pPr>
            <w:r/>
            <w:r>
              <w:rPr>
                <w:color w:val="1A1A1A"/>
                <w:sz w:val="16"/>
              </w:rPr>
              <w:t>488</w:t>
            </w:r>
          </w:p>
        </w:tc>
      </w:tr>
      <w:tr>
        <w:tc>
          <w:tcPr>
            <w:tcW w:type="dxa" w:w="5669"/>
          </w:tcPr>
          <w:p>
            <w:pPr>
              <w:spacing w:after="0"/>
              <w:jc w:val="left"/>
            </w:pPr>
            <w:r/>
            <w:r>
              <w:rPr>
                <w:color w:val="1A1A1A"/>
                <w:sz w:val="16"/>
              </w:rPr>
              <w:t>Has a usual source of care (Q13 = yes)</w:t>
            </w:r>
          </w:p>
        </w:tc>
        <w:tc>
          <w:tcPr>
            <w:tcW w:type="dxa" w:w="1701"/>
          </w:tcPr>
          <w:p>
            <w:pPr>
              <w:spacing w:after="0"/>
              <w:jc w:val="center"/>
            </w:pPr>
            <w:r/>
            <w:r>
              <w:rPr>
                <w:color w:val="1A1A1A"/>
                <w:sz w:val="16"/>
              </w:rPr>
              <w:t>1529</w:t>
            </w:r>
          </w:p>
        </w:tc>
      </w:tr>
      <w:tr>
        <w:tc>
          <w:tcPr>
            <w:tcW w:type="dxa" w:w="5669"/>
          </w:tcPr>
          <w:p>
            <w:pPr>
              <w:spacing w:after="0"/>
              <w:jc w:val="left"/>
            </w:pPr>
            <w:r/>
            <w:r>
              <w:rPr>
                <w:color w:val="1A1A1A"/>
                <w:sz w:val="16"/>
              </w:rPr>
              <w:t>excluded: non-profit provider</w:t>
            </w:r>
          </w:p>
        </w:tc>
        <w:tc>
          <w:tcPr>
            <w:tcW w:type="dxa" w:w="1701"/>
          </w:tcPr>
          <w:p>
            <w:pPr>
              <w:spacing w:after="0"/>
              <w:jc w:val="center"/>
            </w:pPr>
            <w:r/>
            <w:r>
              <w:rPr>
                <w:color w:val="1A1A1A"/>
                <w:sz w:val="16"/>
              </w:rPr>
              <w:t>6</w:t>
            </w:r>
          </w:p>
        </w:tc>
      </w:tr>
      <w:tr>
        <w:tc>
          <w:tcPr>
            <w:tcW w:type="dxa" w:w="5669"/>
          </w:tcPr>
          <w:p>
            <w:pPr>
              <w:spacing w:after="0"/>
              <w:jc w:val="left"/>
            </w:pPr>
            <w:r/>
            <w:r>
              <w:rPr>
                <w:color w:val="1A1A1A"/>
                <w:sz w:val="16"/>
              </w:rPr>
              <w:t>excluded: sector "other"</w:t>
            </w:r>
          </w:p>
        </w:tc>
        <w:tc>
          <w:tcPr>
            <w:tcW w:type="dxa" w:w="1701"/>
          </w:tcPr>
          <w:p>
            <w:pPr>
              <w:spacing w:after="0"/>
              <w:jc w:val="center"/>
            </w:pPr>
            <w:r/>
            <w:r>
              <w:rPr>
                <w:color w:val="1A1A1A"/>
                <w:sz w:val="16"/>
              </w:rPr>
              <w:t>2</w:t>
            </w:r>
          </w:p>
        </w:tc>
      </w:tr>
      <w:tr>
        <w:tc>
          <w:tcPr>
            <w:tcW w:type="dxa" w:w="5669"/>
          </w:tcPr>
          <w:p>
            <w:pPr>
              <w:spacing w:after="0"/>
              <w:jc w:val="left"/>
            </w:pPr>
            <w:r/>
            <w:r>
              <w:rPr>
                <w:color w:val="1A1A1A"/>
                <w:sz w:val="16"/>
              </w:rPr>
              <w:t>excluded: setting "other"</w:t>
            </w:r>
          </w:p>
        </w:tc>
        <w:tc>
          <w:tcPr>
            <w:tcW w:type="dxa" w:w="1701"/>
          </w:tcPr>
          <w:p>
            <w:pPr>
              <w:spacing w:after="0"/>
              <w:jc w:val="center"/>
            </w:pPr>
            <w:r/>
            <w:r>
              <w:rPr>
                <w:color w:val="1A1A1A"/>
                <w:sz w:val="16"/>
              </w:rPr>
              <w:t>3</w:t>
            </w:r>
          </w:p>
        </w:tc>
      </w:tr>
      <w:tr>
        <w:tc>
          <w:tcPr>
            <w:tcW w:type="dxa" w:w="5669"/>
          </w:tcPr>
          <w:p>
            <w:pPr>
              <w:spacing w:after="0"/>
              <w:jc w:val="left"/>
            </w:pPr>
            <w:r/>
            <w:r>
              <w:rPr>
                <w:color w:val="1A1A1A"/>
                <w:sz w:val="16"/>
              </w:rPr>
              <w:t>Four-group analysis cohort</w:t>
            </w:r>
          </w:p>
        </w:tc>
        <w:tc>
          <w:tcPr>
            <w:tcW w:type="dxa" w:w="1701"/>
          </w:tcPr>
          <w:p>
            <w:pPr>
              <w:spacing w:after="0"/>
              <w:jc w:val="center"/>
            </w:pPr>
            <w:r/>
            <w:r>
              <w:rPr>
                <w:color w:val="1A1A1A"/>
                <w:sz w:val="16"/>
              </w:rPr>
              <w:t>1518</w:t>
            </w:r>
          </w:p>
        </w:tc>
      </w:tr>
      <w:tr>
        <w:tc>
          <w:tcPr>
            <w:tcW w:type="dxa" w:w="5669"/>
          </w:tcPr>
          <w:p>
            <w:pPr>
              <w:spacing w:after="0"/>
              <w:jc w:val="left"/>
            </w:pPr>
            <w:r/>
            <w:r>
              <w:rPr>
                <w:color w:val="1A1A1A"/>
                <w:sz w:val="16"/>
              </w:rPr>
              <w:t>public primary care</w:t>
            </w:r>
          </w:p>
        </w:tc>
        <w:tc>
          <w:tcPr>
            <w:tcW w:type="dxa" w:w="1701"/>
          </w:tcPr>
          <w:p>
            <w:pPr>
              <w:spacing w:after="0"/>
              <w:jc w:val="center"/>
            </w:pPr>
            <w:r/>
            <w:r>
              <w:rPr>
                <w:color w:val="1A1A1A"/>
                <w:sz w:val="16"/>
              </w:rPr>
              <w:t>634</w:t>
            </w:r>
          </w:p>
        </w:tc>
      </w:tr>
      <w:tr>
        <w:tc>
          <w:tcPr>
            <w:tcW w:type="dxa" w:w="5669"/>
          </w:tcPr>
          <w:p>
            <w:pPr>
              <w:spacing w:after="0"/>
              <w:jc w:val="left"/>
            </w:pPr>
            <w:r/>
            <w:r>
              <w:rPr>
                <w:color w:val="1A1A1A"/>
                <w:sz w:val="16"/>
              </w:rPr>
              <w:t>public hospital OPD/ER</w:t>
            </w:r>
          </w:p>
        </w:tc>
        <w:tc>
          <w:tcPr>
            <w:tcW w:type="dxa" w:w="1701"/>
          </w:tcPr>
          <w:p>
            <w:pPr>
              <w:spacing w:after="0"/>
              <w:jc w:val="center"/>
            </w:pPr>
            <w:r/>
            <w:r>
              <w:rPr>
                <w:color w:val="1A1A1A"/>
                <w:sz w:val="16"/>
              </w:rPr>
              <w:t>615</w:t>
            </w:r>
          </w:p>
        </w:tc>
      </w:tr>
      <w:tr>
        <w:tc>
          <w:tcPr>
            <w:tcW w:type="dxa" w:w="5669"/>
          </w:tcPr>
          <w:p>
            <w:pPr>
              <w:spacing w:after="0"/>
              <w:jc w:val="left"/>
            </w:pPr>
            <w:r/>
            <w:r>
              <w:rPr>
                <w:color w:val="1A1A1A"/>
                <w:sz w:val="16"/>
              </w:rPr>
              <w:t>private clinic/pharmacy</w:t>
            </w:r>
          </w:p>
        </w:tc>
        <w:tc>
          <w:tcPr>
            <w:tcW w:type="dxa" w:w="1701"/>
          </w:tcPr>
          <w:p>
            <w:pPr>
              <w:spacing w:after="0"/>
              <w:jc w:val="center"/>
            </w:pPr>
            <w:r/>
            <w:r>
              <w:rPr>
                <w:color w:val="1A1A1A"/>
                <w:sz w:val="16"/>
              </w:rPr>
              <w:t>142</w:t>
            </w:r>
          </w:p>
        </w:tc>
      </w:tr>
      <w:tr>
        <w:tc>
          <w:tcPr>
            <w:tcW w:type="dxa" w:w="5669"/>
          </w:tcPr>
          <w:p>
            <w:pPr>
              <w:spacing w:after="0"/>
              <w:jc w:val="left"/>
            </w:pPr>
            <w:r/>
            <w:r>
              <w:rPr>
                <w:color w:val="1A1A1A"/>
                <w:sz w:val="16"/>
              </w:rPr>
              <w:t>private hospital OPD/ER</w:t>
            </w:r>
          </w:p>
        </w:tc>
        <w:tc>
          <w:tcPr>
            <w:tcW w:type="dxa" w:w="1701"/>
          </w:tcPr>
          <w:p>
            <w:pPr>
              <w:spacing w:after="0"/>
              <w:jc w:val="center"/>
            </w:pPr>
            <w:r/>
            <w:r>
              <w:rPr>
                <w:color w:val="1A1A1A"/>
                <w:sz w:val="16"/>
              </w:rPr>
              <w:t>127</w:t>
            </w:r>
          </w:p>
        </w:tc>
      </w:tr>
    </w:tbl>
    <w:p>
      <w:r>
        <w:br w:type="page"/>
      </w:r>
    </w:p>
    <w:p>
      <w:pPr>
        <w:pStyle w:val="Heading1"/>
        <w:spacing w:before="280" w:after="100"/>
      </w:pPr>
      <w:r>
        <w:rPr>
          <w:rFonts w:ascii="Calibri" w:hAnsi="Calibri"/>
          <w:b/>
          <w:color w:val="1A1A1A"/>
          <w:sz w:val="30"/>
        </w:rPr>
        <w:t>1. Who uses private hospitals</w:t>
      </w:r>
    </w:p>
    <w:p>
      <w:pPr>
        <w:spacing w:after="140"/>
        <w:jc w:val="both"/>
      </w:pPr>
      <w:r>
        <w:rPr>
          <w:b w:val="0"/>
          <w:i w:val="0"/>
          <w:color w:val="1A1A1A"/>
          <w:sz w:val="21"/>
        </w:rPr>
        <w:t>The four groups differ sharply, but not along the axis usually assumed. Private-hospital users are the most urban group (49.6%) and among the most educated — 62.2% hold a diploma or a bachelor’s degree. Their household income sits in the middle of the distribution rather than at the top: 46.5% report ฿30,000–59,999 per month, but only 4.7% report ฿60,000 or more, no more than public primary care users, and a single respondent in the group reports the top income band.</w:t>
      </w:r>
    </w:p>
    <w:p>
      <w:pPr>
        <w:spacing w:after="140"/>
        <w:jc w:val="both"/>
      </w:pPr>
      <w:r>
        <w:rPr>
          <w:b w:val="0"/>
          <w:i w:val="0"/>
          <w:color w:val="1A1A1A"/>
          <w:sz w:val="21"/>
        </w:rPr>
        <w:t>The defining characteristic is the coverage scheme. Social Security covers 69.8% of private-hospital users against 16.8% of public hospital users, while only 26.2% hold Universal Coverage against 79.5% in public primary care. Private health insurance is more common in this group (31.5%) but is held by a minority — and ownership is not evidence of use at any visit.</w:t>
      </w:r>
    </w:p>
    <w:p>
      <w:pPr>
        <w:spacing w:after="140"/>
        <w:jc w:val="both"/>
      </w:pPr>
      <w:r>
        <w:rPr>
          <w:b w:val="0"/>
          <w:i w:val="0"/>
          <w:color w:val="1A1A1A"/>
          <w:sz w:val="21"/>
        </w:rPr>
        <w:t>They also report better health (92.1% good or better) and higher patient activation (88.2%). One correction is worth making explicitly: it is private clinic and pharmacy users, not private-hospital users, who report the least chronic illness (16.2% against 32.3%) and marginally better self-rated health.</w:t>
      </w:r>
    </w:p>
    <w:p>
      <w:pPr>
        <w:spacing w:before="160" w:after="60"/>
        <w:jc w:val="center"/>
      </w:pPr>
      <w:r>
        <w:drawing>
          <wp:inline xmlns:a="http://schemas.openxmlformats.org/drawingml/2006/main" xmlns:pic="http://schemas.openxmlformats.org/drawingml/2006/picture">
            <wp:extent cx="5976000" cy="5496409"/>
            <wp:docPr id="1" name="Picture 1"/>
            <wp:cNvGraphicFramePr>
              <a:graphicFrameLocks noChangeAspect="1"/>
            </wp:cNvGraphicFramePr>
            <a:graphic>
              <a:graphicData uri="http://schemas.openxmlformats.org/drawingml/2006/picture">
                <pic:pic>
                  <pic:nvPicPr>
                    <pic:cNvPr id="0" name="Figure 1 - Profile by provider group.png"/>
                    <pic:cNvPicPr/>
                  </pic:nvPicPr>
                  <pic:blipFill>
                    <a:blip r:embed="rId9"/>
                    <a:stretch>
                      <a:fillRect/>
                    </a:stretch>
                  </pic:blipFill>
                  <pic:spPr>
                    <a:xfrm>
                      <a:off x="0" y="0"/>
                      <a:ext cx="5976000" cy="5496409"/>
                    </a:xfrm>
                    <a:prstGeom prst="rect"/>
                  </pic:spPr>
                </pic:pic>
              </a:graphicData>
            </a:graphic>
          </wp:inline>
        </w:drawing>
      </w:r>
    </w:p>
    <w:p>
      <w:pPr>
        <w:spacing w:before="200" w:after="60"/>
      </w:pPr>
      <w:r>
        <w:rPr>
          <w:b/>
          <w:color w:val="1A1A1A"/>
          <w:sz w:val="19"/>
        </w:rPr>
        <w:t xml:space="preserve">Figure 1.  </w:t>
      </w:r>
      <w:r>
        <w:rPr>
          <w:color w:val="1A1A1A"/>
          <w:sz w:val="19"/>
        </w:rPr>
        <w:t>Demographic, coverage and health profile by type of usual source of care.</w:t>
      </w:r>
    </w:p>
    <w:p>
      <w:pPr>
        <w:spacing w:before="40" w:after="220"/>
      </w:pPr>
      <w:r>
        <w:rPr>
          <w:i/>
          <w:color w:val="606060"/>
          <w:sz w:val="16"/>
        </w:rPr>
        <w:t>Bars show the percentage of eligible respondents in each group with a 95% Wilson interval. Age uses the complete Q4 band, which is observed for all 2,017 respondents; exact age (Q3) is missing for 308 and is not used here.</w:t>
      </w:r>
    </w:p>
    <w:p>
      <w:pPr>
        <w:spacing w:before="200" w:after="60"/>
      </w:pPr>
      <w:r>
        <w:rPr>
          <w:b/>
          <w:color w:val="1A1A1A"/>
          <w:sz w:val="19"/>
        </w:rPr>
        <w:t xml:space="preserve">Table 2.  </w:t>
      </w:r>
      <w:r>
        <w:rPr>
          <w:color w:val="1A1A1A"/>
          <w:sz w:val="19"/>
        </w:rPr>
        <w:t>Profile by type of usual source of care.</w:t>
      </w:r>
    </w:p>
    <w:p>
      <w:pPr>
        <w:spacing w:before="40" w:after="220"/>
      </w:pPr>
      <w:r>
        <w:rPr>
          <w:i/>
          <w:color w:val="606060"/>
          <w:sz w:val="16"/>
        </w:rPr>
        <w:t>Cells are n/N (% ; 95% CI) for binary measures and n/N (%) within distributions. Denominators vary where a variable has missing values — sex excludes 15 refusals, the coverage scheme excludes 20 "don’t know" answers. p-values are Pearson chi-square across the four groups.</w:t>
      </w:r>
    </w:p>
    <w:tbl>
      <w:tblPr>
        <w:tblW w:type="auto" w:w="0"/>
        <w:jc w:val="center"/>
        <w:tblLayout w:type="fixed"/>
        <w:tblLook w:firstColumn="1" w:firstRow="1" w:lastColumn="0" w:lastRow="0" w:noHBand="0" w:noVBand="1" w:val="04A0"/>
        <w:tblBorders>
          <w:top w:val="single" w:sz="8" w:color="808080"/>
          <w:bottom w:val="single" w:sz="8" w:color="808080"/>
          <w:insideH w:val="single" w:sz="4" w:color="D8D8D8"/>
          <w:left w:val="none"/>
          <w:right w:val="none"/>
          <w:insideV w:val="none"/>
        </w:tblBorders>
        <w:tblLayout w:type="fixed"/>
      </w:tblPr>
      <w:tblGrid>
        <w:gridCol w:w="1377"/>
        <w:gridCol w:w="1377"/>
        <w:gridCol w:w="1377"/>
        <w:gridCol w:w="1377"/>
        <w:gridCol w:w="1377"/>
        <w:gridCol w:w="1377"/>
        <w:gridCol w:w="1377"/>
      </w:tblGrid>
      <w:tr>
        <w:tc>
          <w:tcPr>
            <w:tcW w:type="dxa" w:w="2608"/>
            <w:shd w:val="clear" w:fill="F2F2F0"/>
          </w:tcPr>
          <w:p>
            <w:pPr>
              <w:spacing w:after="0"/>
              <w:jc w:val="left"/>
            </w:pPr>
            <w:r/>
            <w:r>
              <w:rPr>
                <w:b/>
                <w:color w:val="1A1A1A"/>
                <w:sz w:val="15"/>
              </w:rPr>
              <w:t>Measure</w:t>
            </w:r>
          </w:p>
        </w:tc>
        <w:tc>
          <w:tcPr>
            <w:tcW w:type="dxa" w:w="1236"/>
            <w:shd w:val="clear" w:fill="F2F2F0"/>
          </w:tcPr>
          <w:p>
            <w:pPr>
              <w:spacing w:after="0"/>
              <w:jc w:val="center"/>
            </w:pPr>
            <w:r/>
            <w:r>
              <w:rPr>
                <w:b/>
                <w:color w:val="1A1A1A"/>
                <w:sz w:val="15"/>
              </w:rPr>
              <w:t>Public</w:t>
            </w:r>
          </w:p>
          <w:p>
            <w:pPr>
              <w:spacing w:after="0"/>
              <w:jc w:val="center"/>
            </w:pPr>
            <w:r>
              <w:rPr>
                <w:b/>
                <w:color w:val="1A1A1A"/>
                <w:sz w:val="15"/>
              </w:rPr>
              <w:t>primary care</w:t>
            </w:r>
          </w:p>
        </w:tc>
        <w:tc>
          <w:tcPr>
            <w:tcW w:type="dxa" w:w="1236"/>
            <w:shd w:val="clear" w:fill="F2F2F0"/>
          </w:tcPr>
          <w:p>
            <w:pPr>
              <w:spacing w:after="0"/>
              <w:jc w:val="center"/>
            </w:pPr>
            <w:r/>
            <w:r>
              <w:rPr>
                <w:b/>
                <w:color w:val="1A1A1A"/>
                <w:sz w:val="15"/>
              </w:rPr>
              <w:t>Public</w:t>
            </w:r>
          </w:p>
          <w:p>
            <w:pPr>
              <w:spacing w:after="0"/>
              <w:jc w:val="center"/>
            </w:pPr>
            <w:r>
              <w:rPr>
                <w:b/>
                <w:color w:val="1A1A1A"/>
                <w:sz w:val="15"/>
              </w:rPr>
              <w:t>hospital OPD/ER</w:t>
            </w:r>
          </w:p>
        </w:tc>
        <w:tc>
          <w:tcPr>
            <w:tcW w:type="dxa" w:w="1236"/>
            <w:shd w:val="clear" w:fill="F2F2F0"/>
          </w:tcPr>
          <w:p>
            <w:pPr>
              <w:spacing w:after="0"/>
              <w:jc w:val="center"/>
            </w:pPr>
            <w:r/>
            <w:r>
              <w:rPr>
                <w:b/>
                <w:color w:val="1A1A1A"/>
                <w:sz w:val="15"/>
              </w:rPr>
              <w:t>Private</w:t>
            </w:r>
          </w:p>
          <w:p>
            <w:pPr>
              <w:spacing w:after="0"/>
              <w:jc w:val="center"/>
            </w:pPr>
            <w:r>
              <w:rPr>
                <w:b/>
                <w:color w:val="1A1A1A"/>
                <w:sz w:val="15"/>
              </w:rPr>
              <w:t>clinic/pharmacy</w:t>
            </w:r>
          </w:p>
        </w:tc>
        <w:tc>
          <w:tcPr>
            <w:tcW w:type="dxa" w:w="1236"/>
            <w:shd w:val="clear" w:fill="F2F2F0"/>
          </w:tcPr>
          <w:p>
            <w:pPr>
              <w:spacing w:after="0"/>
              <w:jc w:val="center"/>
            </w:pPr>
            <w:r/>
            <w:r>
              <w:rPr>
                <w:b/>
                <w:color w:val="1A1A1A"/>
                <w:sz w:val="15"/>
              </w:rPr>
              <w:t>Private</w:t>
            </w:r>
          </w:p>
          <w:p>
            <w:pPr>
              <w:spacing w:after="0"/>
              <w:jc w:val="center"/>
            </w:pPr>
            <w:r>
              <w:rPr>
                <w:b/>
                <w:color w:val="1A1A1A"/>
                <w:sz w:val="15"/>
              </w:rPr>
              <w:t>hospital OPD/ER</w:t>
            </w:r>
          </w:p>
        </w:tc>
        <w:tc>
          <w:tcPr>
            <w:tcW w:type="dxa" w:w="1236"/>
            <w:shd w:val="clear" w:fill="F2F2F0"/>
          </w:tcPr>
          <w:p>
            <w:pPr>
              <w:spacing w:after="0"/>
              <w:jc w:val="center"/>
            </w:pPr>
            <w:r/>
            <w:r>
              <w:rPr>
                <w:b/>
                <w:color w:val="1A1A1A"/>
                <w:sz w:val="15"/>
              </w:rPr>
              <w:t>p</w:t>
            </w:r>
          </w:p>
        </w:tc>
        <w:tc>
          <w:tcPr>
            <w:tcW w:type="dxa" w:w="850"/>
            <w:shd w:val="clear" w:fill="F2F2F0"/>
          </w:tcPr>
          <w:p>
            <w:pPr>
              <w:spacing w:after="0"/>
              <w:jc w:val="center"/>
            </w:pPr>
            <w:r/>
            <w:r>
              <w:rPr>
                <w:b/>
                <w:color w:val="1A1A1A"/>
                <w:sz w:val="15"/>
              </w:rPr>
              <w:t>Denominator</w:t>
            </w:r>
          </w:p>
        </w:tc>
      </w:tr>
      <w:tr>
        <w:tc>
          <w:tcPr>
            <w:tcW w:type="dxa" w:w="2608"/>
          </w:tcPr>
          <w:p>
            <w:pPr>
              <w:spacing w:after="0"/>
              <w:jc w:val="left"/>
            </w:pPr>
            <w:r/>
            <w:r>
              <w:rPr>
                <w:color w:val="1A1A1A"/>
                <w:sz w:val="15"/>
              </w:rPr>
              <w:t>Age band (Q4, complete for all)</w:t>
            </w:r>
          </w:p>
        </w:tc>
        <w:tc>
          <w:tcPr>
            <w:tcW w:type="dxa" w:w="1236"/>
          </w:tcPr>
          <w:p>
            <w:pPr>
              <w:spacing w:after="0"/>
              <w:jc w:val="center"/>
            </w:pPr>
            <w:r/>
            <w:r>
              <w:rPr>
                <w:color w:val="1A1A1A"/>
                <w:sz w:val="15"/>
              </w:rPr>
            </w:r>
          </w:p>
        </w:tc>
        <w:tc>
          <w:tcPr>
            <w:tcW w:type="dxa" w:w="1236"/>
          </w:tcPr>
          <w:p>
            <w:pPr>
              <w:spacing w:after="0"/>
              <w:jc w:val="center"/>
            </w:pPr>
            <w:r/>
            <w:r>
              <w:rPr>
                <w:color w:val="1A1A1A"/>
                <w:sz w:val="15"/>
              </w:rPr>
            </w:r>
          </w:p>
        </w:tc>
        <w:tc>
          <w:tcPr>
            <w:tcW w:type="dxa" w:w="1236"/>
          </w:tcPr>
          <w:p>
            <w:pPr>
              <w:spacing w:after="0"/>
              <w:jc w:val="center"/>
            </w:pPr>
            <w:r/>
            <w:r>
              <w:rPr>
                <w:color w:val="1A1A1A"/>
                <w:sz w:val="15"/>
              </w:rPr>
            </w:r>
          </w:p>
        </w:tc>
        <w:tc>
          <w:tcPr>
            <w:tcW w:type="dxa" w:w="1236"/>
          </w:tcPr>
          <w:p>
            <w:pPr>
              <w:spacing w:after="0"/>
              <w:jc w:val="center"/>
            </w:pPr>
            <w:r/>
            <w:r>
              <w:rPr>
                <w:color w:val="1A1A1A"/>
                <w:sz w:val="15"/>
              </w:rPr>
            </w:r>
          </w:p>
        </w:tc>
        <w:tc>
          <w:tcPr>
            <w:tcW w:type="dxa" w:w="1236"/>
          </w:tcPr>
          <w:p>
            <w:pPr>
              <w:spacing w:after="0"/>
              <w:jc w:val="center"/>
            </w:pPr>
            <w:r/>
            <w:r>
              <w:rPr>
                <w:color w:val="1A1A1A"/>
                <w:sz w:val="15"/>
              </w:rPr>
              <w:t>&lt;0.001</w:t>
            </w:r>
          </w:p>
        </w:tc>
        <w:tc>
          <w:tcPr>
            <w:tcW w:type="dxa" w:w="850"/>
          </w:tcPr>
          <w:p>
            <w:pPr>
              <w:spacing w:after="0"/>
              <w:jc w:val="center"/>
            </w:pPr>
            <w:r/>
            <w:r>
              <w:rPr>
                <w:color w:val="1A1A1A"/>
                <w:sz w:val="15"/>
              </w:rPr>
              <w:t>see rows below</w:t>
            </w:r>
          </w:p>
        </w:tc>
      </w:tr>
      <w:tr>
        <w:tc>
          <w:tcPr>
            <w:tcW w:type="dxa" w:w="2608"/>
          </w:tcPr>
          <w:p>
            <w:pPr>
              <w:spacing w:after="0"/>
              <w:ind w:left="198"/>
              <w:jc w:val="left"/>
            </w:pPr>
            <w:r/>
            <w:r>
              <w:rPr>
                <w:color w:val="1A1A1A"/>
                <w:sz w:val="15"/>
              </w:rPr>
              <w:t>18-29</w:t>
            </w:r>
          </w:p>
        </w:tc>
        <w:tc>
          <w:tcPr>
            <w:tcW w:type="dxa" w:w="1236"/>
          </w:tcPr>
          <w:p>
            <w:pPr>
              <w:spacing w:after="0"/>
              <w:jc w:val="center"/>
            </w:pPr>
            <w:r/>
            <w:r>
              <w:rPr>
                <w:color w:val="1A1A1A"/>
                <w:sz w:val="15"/>
              </w:rPr>
              <w:t>80/634 (12.6)</w:t>
            </w:r>
          </w:p>
        </w:tc>
        <w:tc>
          <w:tcPr>
            <w:tcW w:type="dxa" w:w="1236"/>
          </w:tcPr>
          <w:p>
            <w:pPr>
              <w:spacing w:after="0"/>
              <w:jc w:val="center"/>
            </w:pPr>
            <w:r/>
            <w:r>
              <w:rPr>
                <w:color w:val="1A1A1A"/>
                <w:sz w:val="15"/>
              </w:rPr>
              <w:t>83/615 (13.5)</w:t>
            </w:r>
          </w:p>
        </w:tc>
        <w:tc>
          <w:tcPr>
            <w:tcW w:type="dxa" w:w="1236"/>
          </w:tcPr>
          <w:p>
            <w:pPr>
              <w:spacing w:after="0"/>
              <w:jc w:val="center"/>
            </w:pPr>
            <w:r/>
            <w:r>
              <w:rPr>
                <w:color w:val="1A1A1A"/>
                <w:sz w:val="15"/>
              </w:rPr>
              <w:t>36/142 (25.4)</w:t>
            </w:r>
          </w:p>
        </w:tc>
        <w:tc>
          <w:tcPr>
            <w:tcW w:type="dxa" w:w="1236"/>
          </w:tcPr>
          <w:p>
            <w:pPr>
              <w:spacing w:after="0"/>
              <w:jc w:val="center"/>
            </w:pPr>
            <w:r/>
            <w:r>
              <w:rPr>
                <w:color w:val="1A1A1A"/>
                <w:sz w:val="15"/>
              </w:rPr>
              <w:t>19/127 (15.0)</w:t>
            </w:r>
          </w:p>
        </w:tc>
        <w:tc>
          <w:tcPr>
            <w:tcW w:type="dxa" w:w="1236"/>
          </w:tcPr>
          <w:p>
            <w:pPr>
              <w:spacing w:after="0"/>
              <w:jc w:val="center"/>
            </w:pPr>
            <w:r/>
            <w:r>
              <w:rPr>
                <w:color w:val="1A1A1A"/>
                <w:sz w:val="15"/>
              </w:rPr>
            </w:r>
          </w:p>
        </w:tc>
        <w:tc>
          <w:tcPr>
            <w:tcW w:type="dxa" w:w="850"/>
          </w:tcPr>
          <w:p>
            <w:pPr>
              <w:spacing w:after="0"/>
              <w:jc w:val="center"/>
            </w:pPr>
            <w:r/>
            <w:r>
              <w:rPr>
                <w:color w:val="1A1A1A"/>
                <w:sz w:val="15"/>
              </w:rPr>
            </w:r>
          </w:p>
        </w:tc>
      </w:tr>
      <w:tr>
        <w:tc>
          <w:tcPr>
            <w:tcW w:type="dxa" w:w="2608"/>
          </w:tcPr>
          <w:p>
            <w:pPr>
              <w:spacing w:after="0"/>
              <w:ind w:left="198"/>
              <w:jc w:val="left"/>
            </w:pPr>
            <w:r/>
            <w:r>
              <w:rPr>
                <w:color w:val="1A1A1A"/>
                <w:sz w:val="15"/>
              </w:rPr>
              <w:t>30-39</w:t>
            </w:r>
          </w:p>
        </w:tc>
        <w:tc>
          <w:tcPr>
            <w:tcW w:type="dxa" w:w="1236"/>
          </w:tcPr>
          <w:p>
            <w:pPr>
              <w:spacing w:after="0"/>
              <w:jc w:val="center"/>
            </w:pPr>
            <w:r/>
            <w:r>
              <w:rPr>
                <w:color w:val="1A1A1A"/>
                <w:sz w:val="15"/>
              </w:rPr>
              <w:t>97/634 (15.3)</w:t>
            </w:r>
          </w:p>
        </w:tc>
        <w:tc>
          <w:tcPr>
            <w:tcW w:type="dxa" w:w="1236"/>
          </w:tcPr>
          <w:p>
            <w:pPr>
              <w:spacing w:after="0"/>
              <w:jc w:val="center"/>
            </w:pPr>
            <w:r/>
            <w:r>
              <w:rPr>
                <w:color w:val="1A1A1A"/>
                <w:sz w:val="15"/>
              </w:rPr>
              <w:t>97/615 (15.8)</w:t>
            </w:r>
          </w:p>
        </w:tc>
        <w:tc>
          <w:tcPr>
            <w:tcW w:type="dxa" w:w="1236"/>
          </w:tcPr>
          <w:p>
            <w:pPr>
              <w:spacing w:after="0"/>
              <w:jc w:val="center"/>
            </w:pPr>
            <w:r/>
            <w:r>
              <w:rPr>
                <w:color w:val="1A1A1A"/>
                <w:sz w:val="15"/>
              </w:rPr>
              <w:t>42/142 (29.6)</w:t>
            </w:r>
          </w:p>
        </w:tc>
        <w:tc>
          <w:tcPr>
            <w:tcW w:type="dxa" w:w="1236"/>
          </w:tcPr>
          <w:p>
            <w:pPr>
              <w:spacing w:after="0"/>
              <w:jc w:val="center"/>
            </w:pPr>
            <w:r/>
            <w:r>
              <w:rPr>
                <w:color w:val="1A1A1A"/>
                <w:sz w:val="15"/>
              </w:rPr>
              <w:t>28/127 (22.0)</w:t>
            </w:r>
          </w:p>
        </w:tc>
        <w:tc>
          <w:tcPr>
            <w:tcW w:type="dxa" w:w="1236"/>
          </w:tcPr>
          <w:p>
            <w:pPr>
              <w:spacing w:after="0"/>
              <w:jc w:val="center"/>
            </w:pPr>
            <w:r/>
            <w:r>
              <w:rPr>
                <w:color w:val="1A1A1A"/>
                <w:sz w:val="15"/>
              </w:rPr>
            </w:r>
          </w:p>
        </w:tc>
        <w:tc>
          <w:tcPr>
            <w:tcW w:type="dxa" w:w="850"/>
          </w:tcPr>
          <w:p>
            <w:pPr>
              <w:spacing w:after="0"/>
              <w:jc w:val="center"/>
            </w:pPr>
            <w:r/>
            <w:r>
              <w:rPr>
                <w:color w:val="1A1A1A"/>
                <w:sz w:val="15"/>
              </w:rPr>
            </w:r>
          </w:p>
        </w:tc>
      </w:tr>
      <w:tr>
        <w:tc>
          <w:tcPr>
            <w:tcW w:type="dxa" w:w="2608"/>
          </w:tcPr>
          <w:p>
            <w:pPr>
              <w:spacing w:after="0"/>
              <w:ind w:left="198"/>
              <w:jc w:val="left"/>
            </w:pPr>
            <w:r/>
            <w:r>
              <w:rPr>
                <w:color w:val="1A1A1A"/>
                <w:sz w:val="15"/>
              </w:rPr>
              <w:t>40-49</w:t>
            </w:r>
          </w:p>
        </w:tc>
        <w:tc>
          <w:tcPr>
            <w:tcW w:type="dxa" w:w="1236"/>
          </w:tcPr>
          <w:p>
            <w:pPr>
              <w:spacing w:after="0"/>
              <w:jc w:val="center"/>
            </w:pPr>
            <w:r/>
            <w:r>
              <w:rPr>
                <w:color w:val="1A1A1A"/>
                <w:sz w:val="15"/>
              </w:rPr>
              <w:t>101/634 (15.9)</w:t>
            </w:r>
          </w:p>
        </w:tc>
        <w:tc>
          <w:tcPr>
            <w:tcW w:type="dxa" w:w="1236"/>
          </w:tcPr>
          <w:p>
            <w:pPr>
              <w:spacing w:after="0"/>
              <w:jc w:val="center"/>
            </w:pPr>
            <w:r/>
            <w:r>
              <w:rPr>
                <w:color w:val="1A1A1A"/>
                <w:sz w:val="15"/>
              </w:rPr>
              <w:t>106/615 (17.2)</w:t>
            </w:r>
          </w:p>
        </w:tc>
        <w:tc>
          <w:tcPr>
            <w:tcW w:type="dxa" w:w="1236"/>
          </w:tcPr>
          <w:p>
            <w:pPr>
              <w:spacing w:after="0"/>
              <w:jc w:val="center"/>
            </w:pPr>
            <w:r/>
            <w:r>
              <w:rPr>
                <w:color w:val="1A1A1A"/>
                <w:sz w:val="15"/>
              </w:rPr>
              <w:t>30/142 (21.1)</w:t>
            </w:r>
          </w:p>
        </w:tc>
        <w:tc>
          <w:tcPr>
            <w:tcW w:type="dxa" w:w="1236"/>
          </w:tcPr>
          <w:p>
            <w:pPr>
              <w:spacing w:after="0"/>
              <w:jc w:val="center"/>
            </w:pPr>
            <w:r/>
            <w:r>
              <w:rPr>
                <w:color w:val="1A1A1A"/>
                <w:sz w:val="15"/>
              </w:rPr>
              <w:t>35/127 (27.6)</w:t>
            </w:r>
          </w:p>
        </w:tc>
        <w:tc>
          <w:tcPr>
            <w:tcW w:type="dxa" w:w="1236"/>
          </w:tcPr>
          <w:p>
            <w:pPr>
              <w:spacing w:after="0"/>
              <w:jc w:val="center"/>
            </w:pPr>
            <w:r/>
            <w:r>
              <w:rPr>
                <w:color w:val="1A1A1A"/>
                <w:sz w:val="15"/>
              </w:rPr>
            </w:r>
          </w:p>
        </w:tc>
        <w:tc>
          <w:tcPr>
            <w:tcW w:type="dxa" w:w="850"/>
          </w:tcPr>
          <w:p>
            <w:pPr>
              <w:spacing w:after="0"/>
              <w:jc w:val="center"/>
            </w:pPr>
            <w:r/>
            <w:r>
              <w:rPr>
                <w:color w:val="1A1A1A"/>
                <w:sz w:val="15"/>
              </w:rPr>
            </w:r>
          </w:p>
        </w:tc>
      </w:tr>
      <w:tr>
        <w:tc>
          <w:tcPr>
            <w:tcW w:type="dxa" w:w="2608"/>
          </w:tcPr>
          <w:p>
            <w:pPr>
              <w:spacing w:after="0"/>
              <w:ind w:left="198"/>
              <w:jc w:val="left"/>
            </w:pPr>
            <w:r/>
            <w:r>
              <w:rPr>
                <w:color w:val="1A1A1A"/>
                <w:sz w:val="15"/>
              </w:rPr>
              <w:t>50-59</w:t>
            </w:r>
          </w:p>
        </w:tc>
        <w:tc>
          <w:tcPr>
            <w:tcW w:type="dxa" w:w="1236"/>
          </w:tcPr>
          <w:p>
            <w:pPr>
              <w:spacing w:after="0"/>
              <w:jc w:val="center"/>
            </w:pPr>
            <w:r/>
            <w:r>
              <w:rPr>
                <w:color w:val="1A1A1A"/>
                <w:sz w:val="15"/>
              </w:rPr>
              <w:t>138/634 (21.8)</w:t>
            </w:r>
          </w:p>
        </w:tc>
        <w:tc>
          <w:tcPr>
            <w:tcW w:type="dxa" w:w="1236"/>
          </w:tcPr>
          <w:p>
            <w:pPr>
              <w:spacing w:after="0"/>
              <w:jc w:val="center"/>
            </w:pPr>
            <w:r/>
            <w:r>
              <w:rPr>
                <w:color w:val="1A1A1A"/>
                <w:sz w:val="15"/>
              </w:rPr>
              <w:t>122/615 (19.8)</w:t>
            </w:r>
          </w:p>
        </w:tc>
        <w:tc>
          <w:tcPr>
            <w:tcW w:type="dxa" w:w="1236"/>
          </w:tcPr>
          <w:p>
            <w:pPr>
              <w:spacing w:after="0"/>
              <w:jc w:val="center"/>
            </w:pPr>
            <w:r/>
            <w:r>
              <w:rPr>
                <w:color w:val="1A1A1A"/>
                <w:sz w:val="15"/>
              </w:rPr>
              <w:t>20/142 (14.1)</w:t>
            </w:r>
          </w:p>
        </w:tc>
        <w:tc>
          <w:tcPr>
            <w:tcW w:type="dxa" w:w="1236"/>
          </w:tcPr>
          <w:p>
            <w:pPr>
              <w:spacing w:after="0"/>
              <w:jc w:val="center"/>
            </w:pPr>
            <w:r/>
            <w:r>
              <w:rPr>
                <w:color w:val="1A1A1A"/>
                <w:sz w:val="15"/>
              </w:rPr>
              <w:t>30/127 (23.6)</w:t>
            </w:r>
          </w:p>
        </w:tc>
        <w:tc>
          <w:tcPr>
            <w:tcW w:type="dxa" w:w="1236"/>
          </w:tcPr>
          <w:p>
            <w:pPr>
              <w:spacing w:after="0"/>
              <w:jc w:val="center"/>
            </w:pPr>
            <w:r/>
            <w:r>
              <w:rPr>
                <w:color w:val="1A1A1A"/>
                <w:sz w:val="15"/>
              </w:rPr>
            </w:r>
          </w:p>
        </w:tc>
        <w:tc>
          <w:tcPr>
            <w:tcW w:type="dxa" w:w="850"/>
          </w:tcPr>
          <w:p>
            <w:pPr>
              <w:spacing w:after="0"/>
              <w:jc w:val="center"/>
            </w:pPr>
            <w:r/>
            <w:r>
              <w:rPr>
                <w:color w:val="1A1A1A"/>
                <w:sz w:val="15"/>
              </w:rPr>
            </w:r>
          </w:p>
        </w:tc>
      </w:tr>
      <w:tr>
        <w:tc>
          <w:tcPr>
            <w:tcW w:type="dxa" w:w="2608"/>
          </w:tcPr>
          <w:p>
            <w:pPr>
              <w:spacing w:after="0"/>
              <w:ind w:left="198"/>
              <w:jc w:val="left"/>
            </w:pPr>
            <w:r/>
            <w:r>
              <w:rPr>
                <w:color w:val="1A1A1A"/>
                <w:sz w:val="15"/>
              </w:rPr>
              <w:t>60-69</w:t>
            </w:r>
          </w:p>
        </w:tc>
        <w:tc>
          <w:tcPr>
            <w:tcW w:type="dxa" w:w="1236"/>
          </w:tcPr>
          <w:p>
            <w:pPr>
              <w:spacing w:after="0"/>
              <w:jc w:val="center"/>
            </w:pPr>
            <w:r/>
            <w:r>
              <w:rPr>
                <w:color w:val="1A1A1A"/>
                <w:sz w:val="15"/>
              </w:rPr>
              <w:t>140/634 (22.1)</w:t>
            </w:r>
          </w:p>
        </w:tc>
        <w:tc>
          <w:tcPr>
            <w:tcW w:type="dxa" w:w="1236"/>
          </w:tcPr>
          <w:p>
            <w:pPr>
              <w:spacing w:after="0"/>
              <w:jc w:val="center"/>
            </w:pPr>
            <w:r/>
            <w:r>
              <w:rPr>
                <w:color w:val="1A1A1A"/>
                <w:sz w:val="15"/>
              </w:rPr>
              <w:t>110/615 (17.9)</w:t>
            </w:r>
          </w:p>
        </w:tc>
        <w:tc>
          <w:tcPr>
            <w:tcW w:type="dxa" w:w="1236"/>
          </w:tcPr>
          <w:p>
            <w:pPr>
              <w:spacing w:after="0"/>
              <w:jc w:val="center"/>
            </w:pPr>
            <w:r/>
            <w:r>
              <w:rPr>
                <w:color w:val="1A1A1A"/>
                <w:sz w:val="15"/>
              </w:rPr>
              <w:t>9/142 (6.3)</w:t>
            </w:r>
          </w:p>
        </w:tc>
        <w:tc>
          <w:tcPr>
            <w:tcW w:type="dxa" w:w="1236"/>
          </w:tcPr>
          <w:p>
            <w:pPr>
              <w:spacing w:after="0"/>
              <w:jc w:val="center"/>
            </w:pPr>
            <w:r/>
            <w:r>
              <w:rPr>
                <w:color w:val="1A1A1A"/>
                <w:sz w:val="15"/>
              </w:rPr>
              <w:t>13/127 (10.2)</w:t>
            </w:r>
          </w:p>
        </w:tc>
        <w:tc>
          <w:tcPr>
            <w:tcW w:type="dxa" w:w="1236"/>
          </w:tcPr>
          <w:p>
            <w:pPr>
              <w:spacing w:after="0"/>
              <w:jc w:val="center"/>
            </w:pPr>
            <w:r/>
            <w:r>
              <w:rPr>
                <w:color w:val="1A1A1A"/>
                <w:sz w:val="15"/>
              </w:rPr>
            </w:r>
          </w:p>
        </w:tc>
        <w:tc>
          <w:tcPr>
            <w:tcW w:type="dxa" w:w="850"/>
          </w:tcPr>
          <w:p>
            <w:pPr>
              <w:spacing w:after="0"/>
              <w:jc w:val="center"/>
            </w:pPr>
            <w:r/>
            <w:r>
              <w:rPr>
                <w:color w:val="1A1A1A"/>
                <w:sz w:val="15"/>
              </w:rPr>
            </w:r>
          </w:p>
        </w:tc>
      </w:tr>
      <w:tr>
        <w:tc>
          <w:tcPr>
            <w:tcW w:type="dxa" w:w="2608"/>
          </w:tcPr>
          <w:p>
            <w:pPr>
              <w:spacing w:after="0"/>
              <w:ind w:left="198"/>
              <w:jc w:val="left"/>
            </w:pPr>
            <w:r/>
            <w:r>
              <w:rPr>
                <w:color w:val="1A1A1A"/>
                <w:sz w:val="15"/>
              </w:rPr>
              <w:t>70-79</w:t>
            </w:r>
          </w:p>
        </w:tc>
        <w:tc>
          <w:tcPr>
            <w:tcW w:type="dxa" w:w="1236"/>
          </w:tcPr>
          <w:p>
            <w:pPr>
              <w:spacing w:after="0"/>
              <w:jc w:val="center"/>
            </w:pPr>
            <w:r/>
            <w:r>
              <w:rPr>
                <w:color w:val="1A1A1A"/>
                <w:sz w:val="15"/>
              </w:rPr>
              <w:t>56/634 (8.8)</w:t>
            </w:r>
          </w:p>
        </w:tc>
        <w:tc>
          <w:tcPr>
            <w:tcW w:type="dxa" w:w="1236"/>
          </w:tcPr>
          <w:p>
            <w:pPr>
              <w:spacing w:after="0"/>
              <w:jc w:val="center"/>
            </w:pPr>
            <w:r/>
            <w:r>
              <w:rPr>
                <w:color w:val="1A1A1A"/>
                <w:sz w:val="15"/>
              </w:rPr>
              <w:t>77/615 (12.5)</w:t>
            </w:r>
          </w:p>
        </w:tc>
        <w:tc>
          <w:tcPr>
            <w:tcW w:type="dxa" w:w="1236"/>
          </w:tcPr>
          <w:p>
            <w:pPr>
              <w:spacing w:after="0"/>
              <w:jc w:val="center"/>
            </w:pPr>
            <w:r/>
            <w:r>
              <w:rPr>
                <w:color w:val="1A1A1A"/>
                <w:sz w:val="15"/>
              </w:rPr>
              <w:t>4/142 (2.8)</w:t>
            </w:r>
          </w:p>
        </w:tc>
        <w:tc>
          <w:tcPr>
            <w:tcW w:type="dxa" w:w="1236"/>
          </w:tcPr>
          <w:p>
            <w:pPr>
              <w:spacing w:after="0"/>
              <w:jc w:val="center"/>
            </w:pPr>
            <w:r/>
            <w:r>
              <w:rPr>
                <w:color w:val="1A1A1A"/>
                <w:sz w:val="15"/>
              </w:rPr>
              <w:t>2/127 (1.6)</w:t>
            </w:r>
          </w:p>
        </w:tc>
        <w:tc>
          <w:tcPr>
            <w:tcW w:type="dxa" w:w="1236"/>
          </w:tcPr>
          <w:p>
            <w:pPr>
              <w:spacing w:after="0"/>
              <w:jc w:val="center"/>
            </w:pPr>
            <w:r/>
            <w:r>
              <w:rPr>
                <w:color w:val="1A1A1A"/>
                <w:sz w:val="15"/>
              </w:rPr>
            </w:r>
          </w:p>
        </w:tc>
        <w:tc>
          <w:tcPr>
            <w:tcW w:type="dxa" w:w="850"/>
          </w:tcPr>
          <w:p>
            <w:pPr>
              <w:spacing w:after="0"/>
              <w:jc w:val="center"/>
            </w:pPr>
            <w:r/>
            <w:r>
              <w:rPr>
                <w:color w:val="1A1A1A"/>
                <w:sz w:val="15"/>
              </w:rPr>
            </w:r>
          </w:p>
        </w:tc>
      </w:tr>
      <w:tr>
        <w:tc>
          <w:tcPr>
            <w:tcW w:type="dxa" w:w="2608"/>
          </w:tcPr>
          <w:p>
            <w:pPr>
              <w:spacing w:after="0"/>
              <w:ind w:left="198"/>
              <w:jc w:val="left"/>
            </w:pPr>
            <w:r/>
            <w:r>
              <w:rPr>
                <w:color w:val="1A1A1A"/>
                <w:sz w:val="15"/>
              </w:rPr>
              <w:t>80+</w:t>
            </w:r>
          </w:p>
        </w:tc>
        <w:tc>
          <w:tcPr>
            <w:tcW w:type="dxa" w:w="1236"/>
          </w:tcPr>
          <w:p>
            <w:pPr>
              <w:spacing w:after="0"/>
              <w:jc w:val="center"/>
            </w:pPr>
            <w:r/>
            <w:r>
              <w:rPr>
                <w:color w:val="1A1A1A"/>
                <w:sz w:val="15"/>
              </w:rPr>
              <w:t>22/634 (3.5)</w:t>
            </w:r>
          </w:p>
        </w:tc>
        <w:tc>
          <w:tcPr>
            <w:tcW w:type="dxa" w:w="1236"/>
          </w:tcPr>
          <w:p>
            <w:pPr>
              <w:spacing w:after="0"/>
              <w:jc w:val="center"/>
            </w:pPr>
            <w:r/>
            <w:r>
              <w:rPr>
                <w:color w:val="1A1A1A"/>
                <w:sz w:val="15"/>
              </w:rPr>
              <w:t>20/615 (3.3)</w:t>
            </w:r>
          </w:p>
        </w:tc>
        <w:tc>
          <w:tcPr>
            <w:tcW w:type="dxa" w:w="1236"/>
          </w:tcPr>
          <w:p>
            <w:pPr>
              <w:spacing w:after="0"/>
              <w:jc w:val="center"/>
            </w:pPr>
            <w:r/>
            <w:r>
              <w:rPr>
                <w:color w:val="1A1A1A"/>
                <w:sz w:val="15"/>
              </w:rPr>
              <w:t>1/142 (0.7)</w:t>
            </w:r>
          </w:p>
        </w:tc>
        <w:tc>
          <w:tcPr>
            <w:tcW w:type="dxa" w:w="1236"/>
          </w:tcPr>
          <w:p>
            <w:pPr>
              <w:spacing w:after="0"/>
              <w:jc w:val="center"/>
            </w:pPr>
            <w:r/>
            <w:r>
              <w:rPr>
                <w:color w:val="1A1A1A"/>
                <w:sz w:val="15"/>
              </w:rPr>
              <w:t>0/127 (0.0)</w:t>
            </w:r>
          </w:p>
        </w:tc>
        <w:tc>
          <w:tcPr>
            <w:tcW w:type="dxa" w:w="1236"/>
          </w:tcPr>
          <w:p>
            <w:pPr>
              <w:spacing w:after="0"/>
              <w:jc w:val="center"/>
            </w:pPr>
            <w:r/>
            <w:r>
              <w:rPr>
                <w:color w:val="1A1A1A"/>
                <w:sz w:val="15"/>
              </w:rPr>
            </w:r>
          </w:p>
        </w:tc>
        <w:tc>
          <w:tcPr>
            <w:tcW w:type="dxa" w:w="850"/>
          </w:tcPr>
          <w:p>
            <w:pPr>
              <w:spacing w:after="0"/>
              <w:jc w:val="center"/>
            </w:pPr>
            <w:r/>
            <w:r>
              <w:rPr>
                <w:color w:val="1A1A1A"/>
                <w:sz w:val="15"/>
              </w:rPr>
            </w:r>
          </w:p>
        </w:tc>
      </w:tr>
      <w:tr>
        <w:tc>
          <w:tcPr>
            <w:tcW w:type="dxa" w:w="2608"/>
          </w:tcPr>
          <w:p>
            <w:pPr>
              <w:spacing w:after="0"/>
              <w:jc w:val="left"/>
            </w:pPr>
            <w:r/>
            <w:r>
              <w:rPr>
                <w:color w:val="1A1A1A"/>
                <w:sz w:val="15"/>
              </w:rPr>
              <w:t>Sex (Q5)</w:t>
            </w:r>
          </w:p>
        </w:tc>
        <w:tc>
          <w:tcPr>
            <w:tcW w:type="dxa" w:w="1236"/>
          </w:tcPr>
          <w:p>
            <w:pPr>
              <w:spacing w:after="0"/>
              <w:jc w:val="center"/>
            </w:pPr>
            <w:r/>
            <w:r>
              <w:rPr>
                <w:color w:val="1A1A1A"/>
                <w:sz w:val="15"/>
              </w:rPr>
            </w:r>
          </w:p>
        </w:tc>
        <w:tc>
          <w:tcPr>
            <w:tcW w:type="dxa" w:w="1236"/>
          </w:tcPr>
          <w:p>
            <w:pPr>
              <w:spacing w:after="0"/>
              <w:jc w:val="center"/>
            </w:pPr>
            <w:r/>
            <w:r>
              <w:rPr>
                <w:color w:val="1A1A1A"/>
                <w:sz w:val="15"/>
              </w:rPr>
            </w:r>
          </w:p>
        </w:tc>
        <w:tc>
          <w:tcPr>
            <w:tcW w:type="dxa" w:w="1236"/>
          </w:tcPr>
          <w:p>
            <w:pPr>
              <w:spacing w:after="0"/>
              <w:jc w:val="center"/>
            </w:pPr>
            <w:r/>
            <w:r>
              <w:rPr>
                <w:color w:val="1A1A1A"/>
                <w:sz w:val="15"/>
              </w:rPr>
            </w:r>
          </w:p>
        </w:tc>
        <w:tc>
          <w:tcPr>
            <w:tcW w:type="dxa" w:w="1236"/>
          </w:tcPr>
          <w:p>
            <w:pPr>
              <w:spacing w:after="0"/>
              <w:jc w:val="center"/>
            </w:pPr>
            <w:r/>
            <w:r>
              <w:rPr>
                <w:color w:val="1A1A1A"/>
                <w:sz w:val="15"/>
              </w:rPr>
            </w:r>
          </w:p>
        </w:tc>
        <w:tc>
          <w:tcPr>
            <w:tcW w:type="dxa" w:w="1236"/>
          </w:tcPr>
          <w:p>
            <w:pPr>
              <w:spacing w:after="0"/>
              <w:jc w:val="center"/>
            </w:pPr>
            <w:r/>
            <w:r>
              <w:rPr>
                <w:color w:val="1A1A1A"/>
                <w:sz w:val="15"/>
              </w:rPr>
              <w:t>0.490</w:t>
            </w:r>
          </w:p>
        </w:tc>
        <w:tc>
          <w:tcPr>
            <w:tcW w:type="dxa" w:w="850"/>
          </w:tcPr>
          <w:p>
            <w:pPr>
              <w:spacing w:after="0"/>
              <w:jc w:val="center"/>
            </w:pPr>
            <w:r/>
            <w:r>
              <w:rPr>
                <w:color w:val="1A1A1A"/>
                <w:sz w:val="15"/>
              </w:rPr>
              <w:t>see rows below</w:t>
            </w:r>
          </w:p>
        </w:tc>
      </w:tr>
      <w:tr>
        <w:tc>
          <w:tcPr>
            <w:tcW w:type="dxa" w:w="2608"/>
          </w:tcPr>
          <w:p>
            <w:pPr>
              <w:spacing w:after="0"/>
              <w:ind w:left="198"/>
              <w:jc w:val="left"/>
            </w:pPr>
            <w:r/>
            <w:r>
              <w:rPr>
                <w:color w:val="1A1A1A"/>
                <w:sz w:val="15"/>
              </w:rPr>
              <w:t>female</w:t>
            </w:r>
          </w:p>
        </w:tc>
        <w:tc>
          <w:tcPr>
            <w:tcW w:type="dxa" w:w="1236"/>
          </w:tcPr>
          <w:p>
            <w:pPr>
              <w:spacing w:after="0"/>
              <w:jc w:val="center"/>
            </w:pPr>
            <w:r/>
            <w:r>
              <w:rPr>
                <w:color w:val="1A1A1A"/>
                <w:sz w:val="15"/>
              </w:rPr>
              <w:t>354/625 (56.6)</w:t>
            </w:r>
          </w:p>
        </w:tc>
        <w:tc>
          <w:tcPr>
            <w:tcW w:type="dxa" w:w="1236"/>
          </w:tcPr>
          <w:p>
            <w:pPr>
              <w:spacing w:after="0"/>
              <w:jc w:val="center"/>
            </w:pPr>
            <w:r/>
            <w:r>
              <w:rPr>
                <w:color w:val="1A1A1A"/>
                <w:sz w:val="15"/>
              </w:rPr>
              <w:t>326/613 (53.2)</w:t>
            </w:r>
          </w:p>
        </w:tc>
        <w:tc>
          <w:tcPr>
            <w:tcW w:type="dxa" w:w="1236"/>
          </w:tcPr>
          <w:p>
            <w:pPr>
              <w:spacing w:after="0"/>
              <w:jc w:val="center"/>
            </w:pPr>
            <w:r/>
            <w:r>
              <w:rPr>
                <w:color w:val="1A1A1A"/>
                <w:sz w:val="15"/>
              </w:rPr>
              <w:t>82/141 (58.2)</w:t>
            </w:r>
          </w:p>
        </w:tc>
        <w:tc>
          <w:tcPr>
            <w:tcW w:type="dxa" w:w="1236"/>
          </w:tcPr>
          <w:p>
            <w:pPr>
              <w:spacing w:after="0"/>
              <w:jc w:val="center"/>
            </w:pPr>
            <w:r/>
            <w:r>
              <w:rPr>
                <w:color w:val="1A1A1A"/>
                <w:sz w:val="15"/>
              </w:rPr>
              <w:t>66/126 (52.4)</w:t>
            </w:r>
          </w:p>
        </w:tc>
        <w:tc>
          <w:tcPr>
            <w:tcW w:type="dxa" w:w="1236"/>
          </w:tcPr>
          <w:p>
            <w:pPr>
              <w:spacing w:after="0"/>
              <w:jc w:val="center"/>
            </w:pPr>
            <w:r/>
            <w:r>
              <w:rPr>
                <w:color w:val="1A1A1A"/>
                <w:sz w:val="15"/>
              </w:rPr>
            </w:r>
          </w:p>
        </w:tc>
        <w:tc>
          <w:tcPr>
            <w:tcW w:type="dxa" w:w="850"/>
          </w:tcPr>
          <w:p>
            <w:pPr>
              <w:spacing w:after="0"/>
              <w:jc w:val="center"/>
            </w:pPr>
            <w:r/>
            <w:r>
              <w:rPr>
                <w:color w:val="1A1A1A"/>
                <w:sz w:val="15"/>
              </w:rPr>
            </w:r>
          </w:p>
        </w:tc>
      </w:tr>
      <w:tr>
        <w:tc>
          <w:tcPr>
            <w:tcW w:type="dxa" w:w="2608"/>
          </w:tcPr>
          <w:p>
            <w:pPr>
              <w:spacing w:after="0"/>
              <w:ind w:left="198"/>
              <w:jc w:val="left"/>
            </w:pPr>
            <w:r/>
            <w:r>
              <w:rPr>
                <w:color w:val="1A1A1A"/>
                <w:sz w:val="15"/>
              </w:rPr>
              <w:t>male</w:t>
            </w:r>
          </w:p>
        </w:tc>
        <w:tc>
          <w:tcPr>
            <w:tcW w:type="dxa" w:w="1236"/>
          </w:tcPr>
          <w:p>
            <w:pPr>
              <w:spacing w:after="0"/>
              <w:jc w:val="center"/>
            </w:pPr>
            <w:r/>
            <w:r>
              <w:rPr>
                <w:color w:val="1A1A1A"/>
                <w:sz w:val="15"/>
              </w:rPr>
              <w:t>259/625 (41.4)</w:t>
            </w:r>
          </w:p>
        </w:tc>
        <w:tc>
          <w:tcPr>
            <w:tcW w:type="dxa" w:w="1236"/>
          </w:tcPr>
          <w:p>
            <w:pPr>
              <w:spacing w:after="0"/>
              <w:jc w:val="center"/>
            </w:pPr>
            <w:r/>
            <w:r>
              <w:rPr>
                <w:color w:val="1A1A1A"/>
                <w:sz w:val="15"/>
              </w:rPr>
              <w:t>276/613 (45.0)</w:t>
            </w:r>
          </w:p>
        </w:tc>
        <w:tc>
          <w:tcPr>
            <w:tcW w:type="dxa" w:w="1236"/>
          </w:tcPr>
          <w:p>
            <w:pPr>
              <w:spacing w:after="0"/>
              <w:jc w:val="center"/>
            </w:pPr>
            <w:r/>
            <w:r>
              <w:rPr>
                <w:color w:val="1A1A1A"/>
                <w:sz w:val="15"/>
              </w:rPr>
              <w:t>56/141 (39.7)</w:t>
            </w:r>
          </w:p>
        </w:tc>
        <w:tc>
          <w:tcPr>
            <w:tcW w:type="dxa" w:w="1236"/>
          </w:tcPr>
          <w:p>
            <w:pPr>
              <w:spacing w:after="0"/>
              <w:jc w:val="center"/>
            </w:pPr>
            <w:r/>
            <w:r>
              <w:rPr>
                <w:color w:val="1A1A1A"/>
                <w:sz w:val="15"/>
              </w:rPr>
              <w:t>60/126 (47.6)</w:t>
            </w:r>
          </w:p>
        </w:tc>
        <w:tc>
          <w:tcPr>
            <w:tcW w:type="dxa" w:w="1236"/>
          </w:tcPr>
          <w:p>
            <w:pPr>
              <w:spacing w:after="0"/>
              <w:jc w:val="center"/>
            </w:pPr>
            <w:r/>
            <w:r>
              <w:rPr>
                <w:color w:val="1A1A1A"/>
                <w:sz w:val="15"/>
              </w:rPr>
            </w:r>
          </w:p>
        </w:tc>
        <w:tc>
          <w:tcPr>
            <w:tcW w:type="dxa" w:w="850"/>
          </w:tcPr>
          <w:p>
            <w:pPr>
              <w:spacing w:after="0"/>
              <w:jc w:val="center"/>
            </w:pPr>
            <w:r/>
            <w:r>
              <w:rPr>
                <w:color w:val="1A1A1A"/>
                <w:sz w:val="15"/>
              </w:rPr>
            </w:r>
          </w:p>
        </w:tc>
      </w:tr>
      <w:tr>
        <w:tc>
          <w:tcPr>
            <w:tcW w:type="dxa" w:w="2608"/>
          </w:tcPr>
          <w:p>
            <w:pPr>
              <w:spacing w:after="0"/>
              <w:ind w:left="198"/>
              <w:jc w:val="left"/>
            </w:pPr>
            <w:r/>
            <w:r>
              <w:rPr>
                <w:color w:val="1A1A1A"/>
                <w:sz w:val="15"/>
              </w:rPr>
              <w:t>other</w:t>
            </w:r>
          </w:p>
        </w:tc>
        <w:tc>
          <w:tcPr>
            <w:tcW w:type="dxa" w:w="1236"/>
          </w:tcPr>
          <w:p>
            <w:pPr>
              <w:spacing w:after="0"/>
              <w:jc w:val="center"/>
            </w:pPr>
            <w:r/>
            <w:r>
              <w:rPr>
                <w:color w:val="1A1A1A"/>
                <w:sz w:val="15"/>
              </w:rPr>
              <w:t>12/625 (1.9)</w:t>
            </w:r>
          </w:p>
        </w:tc>
        <w:tc>
          <w:tcPr>
            <w:tcW w:type="dxa" w:w="1236"/>
          </w:tcPr>
          <w:p>
            <w:pPr>
              <w:spacing w:after="0"/>
              <w:jc w:val="center"/>
            </w:pPr>
            <w:r/>
            <w:r>
              <w:rPr>
                <w:color w:val="1A1A1A"/>
                <w:sz w:val="15"/>
              </w:rPr>
              <w:t>11/613 (1.8)</w:t>
            </w:r>
          </w:p>
        </w:tc>
        <w:tc>
          <w:tcPr>
            <w:tcW w:type="dxa" w:w="1236"/>
          </w:tcPr>
          <w:p>
            <w:pPr>
              <w:spacing w:after="0"/>
              <w:jc w:val="center"/>
            </w:pPr>
            <w:r/>
            <w:r>
              <w:rPr>
                <w:color w:val="1A1A1A"/>
                <w:sz w:val="15"/>
              </w:rPr>
              <w:t>3/141 (2.1)</w:t>
            </w:r>
          </w:p>
        </w:tc>
        <w:tc>
          <w:tcPr>
            <w:tcW w:type="dxa" w:w="1236"/>
          </w:tcPr>
          <w:p>
            <w:pPr>
              <w:spacing w:after="0"/>
              <w:jc w:val="center"/>
            </w:pPr>
            <w:r/>
            <w:r>
              <w:rPr>
                <w:color w:val="1A1A1A"/>
                <w:sz w:val="15"/>
              </w:rPr>
              <w:t>0/126 (0.0)</w:t>
            </w:r>
          </w:p>
        </w:tc>
        <w:tc>
          <w:tcPr>
            <w:tcW w:type="dxa" w:w="1236"/>
          </w:tcPr>
          <w:p>
            <w:pPr>
              <w:spacing w:after="0"/>
              <w:jc w:val="center"/>
            </w:pPr>
            <w:r/>
            <w:r>
              <w:rPr>
                <w:color w:val="1A1A1A"/>
                <w:sz w:val="15"/>
              </w:rPr>
            </w:r>
          </w:p>
        </w:tc>
        <w:tc>
          <w:tcPr>
            <w:tcW w:type="dxa" w:w="850"/>
          </w:tcPr>
          <w:p>
            <w:pPr>
              <w:spacing w:after="0"/>
              <w:jc w:val="center"/>
            </w:pPr>
            <w:r/>
            <w:r>
              <w:rPr>
                <w:color w:val="1A1A1A"/>
                <w:sz w:val="15"/>
              </w:rPr>
            </w:r>
          </w:p>
        </w:tc>
      </w:tr>
      <w:tr>
        <w:tc>
          <w:tcPr>
            <w:tcW w:type="dxa" w:w="2608"/>
          </w:tcPr>
          <w:p>
            <w:pPr>
              <w:spacing w:after="0"/>
              <w:jc w:val="left"/>
            </w:pPr>
            <w:r/>
            <w:r>
              <w:rPr>
                <w:color w:val="1A1A1A"/>
                <w:sz w:val="15"/>
              </w:rPr>
              <w:t>Municipal residence</w:t>
            </w:r>
          </w:p>
        </w:tc>
        <w:tc>
          <w:tcPr>
            <w:tcW w:type="dxa" w:w="1236"/>
          </w:tcPr>
          <w:p>
            <w:pPr>
              <w:spacing w:after="0"/>
              <w:jc w:val="center"/>
            </w:pPr>
            <w:r/>
            <w:r>
              <w:rPr>
                <w:color w:val="1A1A1A"/>
                <w:sz w:val="15"/>
              </w:rPr>
              <w:t>185/634 (29.2; 25.8-32.8)</w:t>
            </w:r>
          </w:p>
        </w:tc>
        <w:tc>
          <w:tcPr>
            <w:tcW w:type="dxa" w:w="1236"/>
          </w:tcPr>
          <w:p>
            <w:pPr>
              <w:spacing w:after="0"/>
              <w:jc w:val="center"/>
            </w:pPr>
            <w:r/>
            <w:r>
              <w:rPr>
                <w:color w:val="1A1A1A"/>
                <w:sz w:val="15"/>
              </w:rPr>
              <w:t>237/615 (38.5; 34.8-42.4)</w:t>
            </w:r>
          </w:p>
        </w:tc>
        <w:tc>
          <w:tcPr>
            <w:tcW w:type="dxa" w:w="1236"/>
          </w:tcPr>
          <w:p>
            <w:pPr>
              <w:spacing w:after="0"/>
              <w:jc w:val="center"/>
            </w:pPr>
            <w:r/>
            <w:r>
              <w:rPr>
                <w:color w:val="1A1A1A"/>
                <w:sz w:val="15"/>
              </w:rPr>
              <w:t>54/142 (38.0; 30.5-46.2)</w:t>
            </w:r>
          </w:p>
        </w:tc>
        <w:tc>
          <w:tcPr>
            <w:tcW w:type="dxa" w:w="1236"/>
          </w:tcPr>
          <w:p>
            <w:pPr>
              <w:spacing w:after="0"/>
              <w:jc w:val="center"/>
            </w:pPr>
            <w:r/>
            <w:r>
              <w:rPr>
                <w:color w:val="1A1A1A"/>
                <w:sz w:val="15"/>
              </w:rPr>
              <w:t>63/127 (49.6; 41.1-58.2)</w:t>
            </w:r>
          </w:p>
        </w:tc>
        <w:tc>
          <w:tcPr>
            <w:tcW w:type="dxa" w:w="1236"/>
          </w:tcPr>
          <w:p>
            <w:pPr>
              <w:spacing w:after="0"/>
              <w:jc w:val="center"/>
            </w:pPr>
            <w:r/>
            <w:r>
              <w:rPr>
                <w:color w:val="1A1A1A"/>
                <w:sz w:val="15"/>
              </w:rPr>
              <w:t>&lt;0.001</w:t>
            </w:r>
          </w:p>
        </w:tc>
        <w:tc>
          <w:tcPr>
            <w:tcW w:type="dxa" w:w="850"/>
          </w:tcPr>
          <w:p>
            <w:pPr>
              <w:spacing w:after="0"/>
              <w:jc w:val="center"/>
            </w:pPr>
            <w:r/>
            <w:r>
              <w:rPr>
                <w:color w:val="1A1A1A"/>
                <w:sz w:val="15"/>
              </w:rPr>
              <w:t>all in group</w:t>
            </w:r>
          </w:p>
        </w:tc>
      </w:tr>
      <w:tr>
        <w:tc>
          <w:tcPr>
            <w:tcW w:type="dxa" w:w="2608"/>
          </w:tcPr>
          <w:p>
            <w:pPr>
              <w:spacing w:after="0"/>
              <w:jc w:val="left"/>
            </w:pPr>
            <w:r/>
            <w:r>
              <w:rPr>
                <w:color w:val="1A1A1A"/>
                <w:sz w:val="15"/>
              </w:rPr>
              <w:t>Education (Q8)</w:t>
            </w:r>
          </w:p>
        </w:tc>
        <w:tc>
          <w:tcPr>
            <w:tcW w:type="dxa" w:w="1236"/>
          </w:tcPr>
          <w:p>
            <w:pPr>
              <w:spacing w:after="0"/>
              <w:jc w:val="center"/>
            </w:pPr>
            <w:r/>
            <w:r>
              <w:rPr>
                <w:color w:val="1A1A1A"/>
                <w:sz w:val="15"/>
              </w:rPr>
            </w:r>
          </w:p>
        </w:tc>
        <w:tc>
          <w:tcPr>
            <w:tcW w:type="dxa" w:w="1236"/>
          </w:tcPr>
          <w:p>
            <w:pPr>
              <w:spacing w:after="0"/>
              <w:jc w:val="center"/>
            </w:pPr>
            <w:r/>
            <w:r>
              <w:rPr>
                <w:color w:val="1A1A1A"/>
                <w:sz w:val="15"/>
              </w:rPr>
            </w:r>
          </w:p>
        </w:tc>
        <w:tc>
          <w:tcPr>
            <w:tcW w:type="dxa" w:w="1236"/>
          </w:tcPr>
          <w:p>
            <w:pPr>
              <w:spacing w:after="0"/>
              <w:jc w:val="center"/>
            </w:pPr>
            <w:r/>
            <w:r>
              <w:rPr>
                <w:color w:val="1A1A1A"/>
                <w:sz w:val="15"/>
              </w:rPr>
            </w:r>
          </w:p>
        </w:tc>
        <w:tc>
          <w:tcPr>
            <w:tcW w:type="dxa" w:w="1236"/>
          </w:tcPr>
          <w:p>
            <w:pPr>
              <w:spacing w:after="0"/>
              <w:jc w:val="center"/>
            </w:pPr>
            <w:r/>
            <w:r>
              <w:rPr>
                <w:color w:val="1A1A1A"/>
                <w:sz w:val="15"/>
              </w:rPr>
            </w:r>
          </w:p>
        </w:tc>
        <w:tc>
          <w:tcPr>
            <w:tcW w:type="dxa" w:w="1236"/>
          </w:tcPr>
          <w:p>
            <w:pPr>
              <w:spacing w:after="0"/>
              <w:jc w:val="center"/>
            </w:pPr>
            <w:r/>
            <w:r>
              <w:rPr>
                <w:color w:val="1A1A1A"/>
                <w:sz w:val="15"/>
              </w:rPr>
              <w:t>&lt;0.001</w:t>
            </w:r>
          </w:p>
        </w:tc>
        <w:tc>
          <w:tcPr>
            <w:tcW w:type="dxa" w:w="850"/>
          </w:tcPr>
          <w:p>
            <w:pPr>
              <w:spacing w:after="0"/>
              <w:jc w:val="center"/>
            </w:pPr>
            <w:r/>
            <w:r>
              <w:rPr>
                <w:color w:val="1A1A1A"/>
                <w:sz w:val="15"/>
              </w:rPr>
              <w:t>see rows below</w:t>
            </w:r>
          </w:p>
        </w:tc>
      </w:tr>
      <w:tr>
        <w:tc>
          <w:tcPr>
            <w:tcW w:type="dxa" w:w="2608"/>
          </w:tcPr>
          <w:p>
            <w:pPr>
              <w:spacing w:after="0"/>
              <w:ind w:left="198"/>
              <w:jc w:val="left"/>
            </w:pPr>
            <w:r/>
            <w:r>
              <w:rPr>
                <w:color w:val="1A1A1A"/>
                <w:sz w:val="15"/>
              </w:rPr>
              <w:t>below primary</w:t>
            </w:r>
          </w:p>
        </w:tc>
        <w:tc>
          <w:tcPr>
            <w:tcW w:type="dxa" w:w="1236"/>
          </w:tcPr>
          <w:p>
            <w:pPr>
              <w:spacing w:after="0"/>
              <w:jc w:val="center"/>
            </w:pPr>
            <w:r/>
            <w:r>
              <w:rPr>
                <w:color w:val="1A1A1A"/>
                <w:sz w:val="15"/>
              </w:rPr>
              <w:t>54/634 (8.5)</w:t>
            </w:r>
          </w:p>
        </w:tc>
        <w:tc>
          <w:tcPr>
            <w:tcW w:type="dxa" w:w="1236"/>
          </w:tcPr>
          <w:p>
            <w:pPr>
              <w:spacing w:after="0"/>
              <w:jc w:val="center"/>
            </w:pPr>
            <w:r/>
            <w:r>
              <w:rPr>
                <w:color w:val="1A1A1A"/>
                <w:sz w:val="15"/>
              </w:rPr>
              <w:t>42/615 (6.8)</w:t>
            </w:r>
          </w:p>
        </w:tc>
        <w:tc>
          <w:tcPr>
            <w:tcW w:type="dxa" w:w="1236"/>
          </w:tcPr>
          <w:p>
            <w:pPr>
              <w:spacing w:after="0"/>
              <w:jc w:val="center"/>
            </w:pPr>
            <w:r/>
            <w:r>
              <w:rPr>
                <w:color w:val="1A1A1A"/>
                <w:sz w:val="15"/>
              </w:rPr>
              <w:t>2/142 (1.4)</w:t>
            </w:r>
          </w:p>
        </w:tc>
        <w:tc>
          <w:tcPr>
            <w:tcW w:type="dxa" w:w="1236"/>
          </w:tcPr>
          <w:p>
            <w:pPr>
              <w:spacing w:after="0"/>
              <w:jc w:val="center"/>
            </w:pPr>
            <w:r/>
            <w:r>
              <w:rPr>
                <w:color w:val="1A1A1A"/>
                <w:sz w:val="15"/>
              </w:rPr>
              <w:t>1/127 (0.8)</w:t>
            </w:r>
          </w:p>
        </w:tc>
        <w:tc>
          <w:tcPr>
            <w:tcW w:type="dxa" w:w="1236"/>
          </w:tcPr>
          <w:p>
            <w:pPr>
              <w:spacing w:after="0"/>
              <w:jc w:val="center"/>
            </w:pPr>
            <w:r/>
            <w:r>
              <w:rPr>
                <w:color w:val="1A1A1A"/>
                <w:sz w:val="15"/>
              </w:rPr>
            </w:r>
          </w:p>
        </w:tc>
        <w:tc>
          <w:tcPr>
            <w:tcW w:type="dxa" w:w="850"/>
          </w:tcPr>
          <w:p>
            <w:pPr>
              <w:spacing w:after="0"/>
              <w:jc w:val="center"/>
            </w:pPr>
            <w:r/>
            <w:r>
              <w:rPr>
                <w:color w:val="1A1A1A"/>
                <w:sz w:val="15"/>
              </w:rPr>
            </w:r>
          </w:p>
        </w:tc>
      </w:tr>
      <w:tr>
        <w:tc>
          <w:tcPr>
            <w:tcW w:type="dxa" w:w="2608"/>
          </w:tcPr>
          <w:p>
            <w:pPr>
              <w:spacing w:after="0"/>
              <w:ind w:left="198"/>
              <w:jc w:val="left"/>
            </w:pPr>
            <w:r/>
            <w:r>
              <w:rPr>
                <w:color w:val="1A1A1A"/>
                <w:sz w:val="15"/>
              </w:rPr>
              <w:t>primary</w:t>
            </w:r>
          </w:p>
        </w:tc>
        <w:tc>
          <w:tcPr>
            <w:tcW w:type="dxa" w:w="1236"/>
          </w:tcPr>
          <w:p>
            <w:pPr>
              <w:spacing w:after="0"/>
              <w:jc w:val="center"/>
            </w:pPr>
            <w:r/>
            <w:r>
              <w:rPr>
                <w:color w:val="1A1A1A"/>
                <w:sz w:val="15"/>
              </w:rPr>
              <w:t>151/634 (23.8)</w:t>
            </w:r>
          </w:p>
        </w:tc>
        <w:tc>
          <w:tcPr>
            <w:tcW w:type="dxa" w:w="1236"/>
          </w:tcPr>
          <w:p>
            <w:pPr>
              <w:spacing w:after="0"/>
              <w:jc w:val="center"/>
            </w:pPr>
            <w:r/>
            <w:r>
              <w:rPr>
                <w:color w:val="1A1A1A"/>
                <w:sz w:val="15"/>
              </w:rPr>
              <w:t>110/615 (17.9)</w:t>
            </w:r>
          </w:p>
        </w:tc>
        <w:tc>
          <w:tcPr>
            <w:tcW w:type="dxa" w:w="1236"/>
          </w:tcPr>
          <w:p>
            <w:pPr>
              <w:spacing w:after="0"/>
              <w:jc w:val="center"/>
            </w:pPr>
            <w:r/>
            <w:r>
              <w:rPr>
                <w:color w:val="1A1A1A"/>
                <w:sz w:val="15"/>
              </w:rPr>
              <w:t>7/142 (4.9)</w:t>
            </w:r>
          </w:p>
        </w:tc>
        <w:tc>
          <w:tcPr>
            <w:tcW w:type="dxa" w:w="1236"/>
          </w:tcPr>
          <w:p>
            <w:pPr>
              <w:spacing w:after="0"/>
              <w:jc w:val="center"/>
            </w:pPr>
            <w:r/>
            <w:r>
              <w:rPr>
                <w:color w:val="1A1A1A"/>
                <w:sz w:val="15"/>
              </w:rPr>
              <w:t>7/127 (5.5)</w:t>
            </w:r>
          </w:p>
        </w:tc>
        <w:tc>
          <w:tcPr>
            <w:tcW w:type="dxa" w:w="1236"/>
          </w:tcPr>
          <w:p>
            <w:pPr>
              <w:spacing w:after="0"/>
              <w:jc w:val="center"/>
            </w:pPr>
            <w:r/>
            <w:r>
              <w:rPr>
                <w:color w:val="1A1A1A"/>
                <w:sz w:val="15"/>
              </w:rPr>
            </w:r>
          </w:p>
        </w:tc>
        <w:tc>
          <w:tcPr>
            <w:tcW w:type="dxa" w:w="850"/>
          </w:tcPr>
          <w:p>
            <w:pPr>
              <w:spacing w:after="0"/>
              <w:jc w:val="center"/>
            </w:pPr>
            <w:r/>
            <w:r>
              <w:rPr>
                <w:color w:val="1A1A1A"/>
                <w:sz w:val="15"/>
              </w:rPr>
            </w:r>
          </w:p>
        </w:tc>
      </w:tr>
      <w:tr>
        <w:tc>
          <w:tcPr>
            <w:tcW w:type="dxa" w:w="2608"/>
          </w:tcPr>
          <w:p>
            <w:pPr>
              <w:spacing w:after="0"/>
              <w:ind w:left="198"/>
              <w:jc w:val="left"/>
            </w:pPr>
            <w:r/>
            <w:r>
              <w:rPr>
                <w:color w:val="1A1A1A"/>
                <w:sz w:val="15"/>
              </w:rPr>
              <w:t>lower secondary</w:t>
            </w:r>
          </w:p>
        </w:tc>
        <w:tc>
          <w:tcPr>
            <w:tcW w:type="dxa" w:w="1236"/>
          </w:tcPr>
          <w:p>
            <w:pPr>
              <w:spacing w:after="0"/>
              <w:jc w:val="center"/>
            </w:pPr>
            <w:r/>
            <w:r>
              <w:rPr>
                <w:color w:val="1A1A1A"/>
                <w:sz w:val="15"/>
              </w:rPr>
              <w:t>96/634 (15.1)</w:t>
            </w:r>
          </w:p>
        </w:tc>
        <w:tc>
          <w:tcPr>
            <w:tcW w:type="dxa" w:w="1236"/>
          </w:tcPr>
          <w:p>
            <w:pPr>
              <w:spacing w:after="0"/>
              <w:jc w:val="center"/>
            </w:pPr>
            <w:r/>
            <w:r>
              <w:rPr>
                <w:color w:val="1A1A1A"/>
                <w:sz w:val="15"/>
              </w:rPr>
              <w:t>76/615 (12.4)</w:t>
            </w:r>
          </w:p>
        </w:tc>
        <w:tc>
          <w:tcPr>
            <w:tcW w:type="dxa" w:w="1236"/>
          </w:tcPr>
          <w:p>
            <w:pPr>
              <w:spacing w:after="0"/>
              <w:jc w:val="center"/>
            </w:pPr>
            <w:r/>
            <w:r>
              <w:rPr>
                <w:color w:val="1A1A1A"/>
                <w:sz w:val="15"/>
              </w:rPr>
              <w:t>11/142 (7.7)</w:t>
            </w:r>
          </w:p>
        </w:tc>
        <w:tc>
          <w:tcPr>
            <w:tcW w:type="dxa" w:w="1236"/>
          </w:tcPr>
          <w:p>
            <w:pPr>
              <w:spacing w:after="0"/>
              <w:jc w:val="center"/>
            </w:pPr>
            <w:r/>
            <w:r>
              <w:rPr>
                <w:color w:val="1A1A1A"/>
                <w:sz w:val="15"/>
              </w:rPr>
              <w:t>9/127 (7.1)</w:t>
            </w:r>
          </w:p>
        </w:tc>
        <w:tc>
          <w:tcPr>
            <w:tcW w:type="dxa" w:w="1236"/>
          </w:tcPr>
          <w:p>
            <w:pPr>
              <w:spacing w:after="0"/>
              <w:jc w:val="center"/>
            </w:pPr>
            <w:r/>
            <w:r>
              <w:rPr>
                <w:color w:val="1A1A1A"/>
                <w:sz w:val="15"/>
              </w:rPr>
            </w:r>
          </w:p>
        </w:tc>
        <w:tc>
          <w:tcPr>
            <w:tcW w:type="dxa" w:w="850"/>
          </w:tcPr>
          <w:p>
            <w:pPr>
              <w:spacing w:after="0"/>
              <w:jc w:val="center"/>
            </w:pPr>
            <w:r/>
            <w:r>
              <w:rPr>
                <w:color w:val="1A1A1A"/>
                <w:sz w:val="15"/>
              </w:rPr>
            </w:r>
          </w:p>
        </w:tc>
      </w:tr>
      <w:tr>
        <w:tc>
          <w:tcPr>
            <w:tcW w:type="dxa" w:w="2608"/>
          </w:tcPr>
          <w:p>
            <w:pPr>
              <w:spacing w:after="0"/>
              <w:ind w:left="198"/>
              <w:jc w:val="left"/>
            </w:pPr>
            <w:r/>
            <w:r>
              <w:rPr>
                <w:color w:val="1A1A1A"/>
                <w:sz w:val="15"/>
              </w:rPr>
              <w:t>upper secondary/voc</w:t>
            </w:r>
          </w:p>
        </w:tc>
        <w:tc>
          <w:tcPr>
            <w:tcW w:type="dxa" w:w="1236"/>
          </w:tcPr>
          <w:p>
            <w:pPr>
              <w:spacing w:after="0"/>
              <w:jc w:val="center"/>
            </w:pPr>
            <w:r/>
            <w:r>
              <w:rPr>
                <w:color w:val="1A1A1A"/>
                <w:sz w:val="15"/>
              </w:rPr>
              <w:t>149/634 (23.5)</w:t>
            </w:r>
          </w:p>
        </w:tc>
        <w:tc>
          <w:tcPr>
            <w:tcW w:type="dxa" w:w="1236"/>
          </w:tcPr>
          <w:p>
            <w:pPr>
              <w:spacing w:after="0"/>
              <w:jc w:val="center"/>
            </w:pPr>
            <w:r/>
            <w:r>
              <w:rPr>
                <w:color w:val="1A1A1A"/>
                <w:sz w:val="15"/>
              </w:rPr>
              <w:t>124/615 (20.2)</w:t>
            </w:r>
          </w:p>
        </w:tc>
        <w:tc>
          <w:tcPr>
            <w:tcW w:type="dxa" w:w="1236"/>
          </w:tcPr>
          <w:p>
            <w:pPr>
              <w:spacing w:after="0"/>
              <w:jc w:val="center"/>
            </w:pPr>
            <w:r/>
            <w:r>
              <w:rPr>
                <w:color w:val="1A1A1A"/>
                <w:sz w:val="15"/>
              </w:rPr>
              <w:t>28/142 (19.7)</w:t>
            </w:r>
          </w:p>
        </w:tc>
        <w:tc>
          <w:tcPr>
            <w:tcW w:type="dxa" w:w="1236"/>
          </w:tcPr>
          <w:p>
            <w:pPr>
              <w:spacing w:after="0"/>
              <w:jc w:val="center"/>
            </w:pPr>
            <w:r/>
            <w:r>
              <w:rPr>
                <w:color w:val="1A1A1A"/>
                <w:sz w:val="15"/>
              </w:rPr>
              <w:t>31/127 (24.4)</w:t>
            </w:r>
          </w:p>
        </w:tc>
        <w:tc>
          <w:tcPr>
            <w:tcW w:type="dxa" w:w="1236"/>
          </w:tcPr>
          <w:p>
            <w:pPr>
              <w:spacing w:after="0"/>
              <w:jc w:val="center"/>
            </w:pPr>
            <w:r/>
            <w:r>
              <w:rPr>
                <w:color w:val="1A1A1A"/>
                <w:sz w:val="15"/>
              </w:rPr>
            </w:r>
          </w:p>
        </w:tc>
        <w:tc>
          <w:tcPr>
            <w:tcW w:type="dxa" w:w="850"/>
          </w:tcPr>
          <w:p>
            <w:pPr>
              <w:spacing w:after="0"/>
              <w:jc w:val="center"/>
            </w:pPr>
            <w:r/>
            <w:r>
              <w:rPr>
                <w:color w:val="1A1A1A"/>
                <w:sz w:val="15"/>
              </w:rPr>
            </w:r>
          </w:p>
        </w:tc>
      </w:tr>
      <w:tr>
        <w:tc>
          <w:tcPr>
            <w:tcW w:type="dxa" w:w="2608"/>
          </w:tcPr>
          <w:p>
            <w:pPr>
              <w:spacing w:after="0"/>
              <w:ind w:left="198"/>
              <w:jc w:val="left"/>
            </w:pPr>
            <w:r/>
            <w:r>
              <w:rPr>
                <w:color w:val="1A1A1A"/>
                <w:sz w:val="15"/>
              </w:rPr>
              <w:t>diploma/high voc</w:t>
            </w:r>
          </w:p>
        </w:tc>
        <w:tc>
          <w:tcPr>
            <w:tcW w:type="dxa" w:w="1236"/>
          </w:tcPr>
          <w:p>
            <w:pPr>
              <w:spacing w:after="0"/>
              <w:jc w:val="center"/>
            </w:pPr>
            <w:r/>
            <w:r>
              <w:rPr>
                <w:color w:val="1A1A1A"/>
                <w:sz w:val="15"/>
              </w:rPr>
              <w:t>60/634 (9.5)</w:t>
            </w:r>
          </w:p>
        </w:tc>
        <w:tc>
          <w:tcPr>
            <w:tcW w:type="dxa" w:w="1236"/>
          </w:tcPr>
          <w:p>
            <w:pPr>
              <w:spacing w:after="0"/>
              <w:jc w:val="center"/>
            </w:pPr>
            <w:r/>
            <w:r>
              <w:rPr>
                <w:color w:val="1A1A1A"/>
                <w:sz w:val="15"/>
              </w:rPr>
              <w:t>69/615 (11.2)</w:t>
            </w:r>
          </w:p>
        </w:tc>
        <w:tc>
          <w:tcPr>
            <w:tcW w:type="dxa" w:w="1236"/>
          </w:tcPr>
          <w:p>
            <w:pPr>
              <w:spacing w:after="0"/>
              <w:jc w:val="center"/>
            </w:pPr>
            <w:r/>
            <w:r>
              <w:rPr>
                <w:color w:val="1A1A1A"/>
                <w:sz w:val="15"/>
              </w:rPr>
              <w:t>29/142 (20.4)</w:t>
            </w:r>
          </w:p>
        </w:tc>
        <w:tc>
          <w:tcPr>
            <w:tcW w:type="dxa" w:w="1236"/>
          </w:tcPr>
          <w:p>
            <w:pPr>
              <w:spacing w:after="0"/>
              <w:jc w:val="center"/>
            </w:pPr>
            <w:r/>
            <w:r>
              <w:rPr>
                <w:color w:val="1A1A1A"/>
                <w:sz w:val="15"/>
              </w:rPr>
              <w:t>28/127 (22.0)</w:t>
            </w:r>
          </w:p>
        </w:tc>
        <w:tc>
          <w:tcPr>
            <w:tcW w:type="dxa" w:w="1236"/>
          </w:tcPr>
          <w:p>
            <w:pPr>
              <w:spacing w:after="0"/>
              <w:jc w:val="center"/>
            </w:pPr>
            <w:r/>
            <w:r>
              <w:rPr>
                <w:color w:val="1A1A1A"/>
                <w:sz w:val="15"/>
              </w:rPr>
            </w:r>
          </w:p>
        </w:tc>
        <w:tc>
          <w:tcPr>
            <w:tcW w:type="dxa" w:w="850"/>
          </w:tcPr>
          <w:p>
            <w:pPr>
              <w:spacing w:after="0"/>
              <w:jc w:val="center"/>
            </w:pPr>
            <w:r/>
            <w:r>
              <w:rPr>
                <w:color w:val="1A1A1A"/>
                <w:sz w:val="15"/>
              </w:rPr>
            </w:r>
          </w:p>
        </w:tc>
      </w:tr>
      <w:tr>
        <w:tc>
          <w:tcPr>
            <w:tcW w:type="dxa" w:w="2608"/>
          </w:tcPr>
          <w:p>
            <w:pPr>
              <w:spacing w:after="0"/>
              <w:ind w:left="198"/>
              <w:jc w:val="left"/>
            </w:pPr>
            <w:r/>
            <w:r>
              <w:rPr>
                <w:color w:val="1A1A1A"/>
                <w:sz w:val="15"/>
              </w:rPr>
              <w:t>bachelor or above</w:t>
            </w:r>
          </w:p>
        </w:tc>
        <w:tc>
          <w:tcPr>
            <w:tcW w:type="dxa" w:w="1236"/>
          </w:tcPr>
          <w:p>
            <w:pPr>
              <w:spacing w:after="0"/>
              <w:jc w:val="center"/>
            </w:pPr>
            <w:r/>
            <w:r>
              <w:rPr>
                <w:color w:val="1A1A1A"/>
                <w:sz w:val="15"/>
              </w:rPr>
              <w:t>124/634 (19.6)</w:t>
            </w:r>
          </w:p>
        </w:tc>
        <w:tc>
          <w:tcPr>
            <w:tcW w:type="dxa" w:w="1236"/>
          </w:tcPr>
          <w:p>
            <w:pPr>
              <w:spacing w:after="0"/>
              <w:jc w:val="center"/>
            </w:pPr>
            <w:r/>
            <w:r>
              <w:rPr>
                <w:color w:val="1A1A1A"/>
                <w:sz w:val="15"/>
              </w:rPr>
              <w:t>194/615 (31.5)</w:t>
            </w:r>
          </w:p>
        </w:tc>
        <w:tc>
          <w:tcPr>
            <w:tcW w:type="dxa" w:w="1236"/>
          </w:tcPr>
          <w:p>
            <w:pPr>
              <w:spacing w:after="0"/>
              <w:jc w:val="center"/>
            </w:pPr>
            <w:r/>
            <w:r>
              <w:rPr>
                <w:color w:val="1A1A1A"/>
                <w:sz w:val="15"/>
              </w:rPr>
              <w:t>65/142 (45.8)</w:t>
            </w:r>
          </w:p>
        </w:tc>
        <w:tc>
          <w:tcPr>
            <w:tcW w:type="dxa" w:w="1236"/>
          </w:tcPr>
          <w:p>
            <w:pPr>
              <w:spacing w:after="0"/>
              <w:jc w:val="center"/>
            </w:pPr>
            <w:r/>
            <w:r>
              <w:rPr>
                <w:color w:val="1A1A1A"/>
                <w:sz w:val="15"/>
              </w:rPr>
              <w:t>51/127 (40.2)</w:t>
            </w:r>
          </w:p>
        </w:tc>
        <w:tc>
          <w:tcPr>
            <w:tcW w:type="dxa" w:w="1236"/>
          </w:tcPr>
          <w:p>
            <w:pPr>
              <w:spacing w:after="0"/>
              <w:jc w:val="center"/>
            </w:pPr>
            <w:r/>
            <w:r>
              <w:rPr>
                <w:color w:val="1A1A1A"/>
                <w:sz w:val="15"/>
              </w:rPr>
            </w:r>
          </w:p>
        </w:tc>
        <w:tc>
          <w:tcPr>
            <w:tcW w:type="dxa" w:w="850"/>
          </w:tcPr>
          <w:p>
            <w:pPr>
              <w:spacing w:after="0"/>
              <w:jc w:val="center"/>
            </w:pPr>
            <w:r/>
            <w:r>
              <w:rPr>
                <w:color w:val="1A1A1A"/>
                <w:sz w:val="15"/>
              </w:rPr>
            </w:r>
          </w:p>
        </w:tc>
      </w:tr>
      <w:tr>
        <w:tc>
          <w:tcPr>
            <w:tcW w:type="dxa" w:w="2608"/>
          </w:tcPr>
          <w:p>
            <w:pPr>
              <w:spacing w:after="0"/>
              <w:jc w:val="left"/>
            </w:pPr>
            <w:r/>
            <w:r>
              <w:rPr>
                <w:color w:val="1A1A1A"/>
                <w:sz w:val="15"/>
              </w:rPr>
              <w:t>Household income (Q51)</w:t>
            </w:r>
          </w:p>
        </w:tc>
        <w:tc>
          <w:tcPr>
            <w:tcW w:type="dxa" w:w="1236"/>
          </w:tcPr>
          <w:p>
            <w:pPr>
              <w:spacing w:after="0"/>
              <w:jc w:val="center"/>
            </w:pPr>
            <w:r/>
            <w:r>
              <w:rPr>
                <w:color w:val="1A1A1A"/>
                <w:sz w:val="15"/>
              </w:rPr>
            </w:r>
          </w:p>
        </w:tc>
        <w:tc>
          <w:tcPr>
            <w:tcW w:type="dxa" w:w="1236"/>
          </w:tcPr>
          <w:p>
            <w:pPr>
              <w:spacing w:after="0"/>
              <w:jc w:val="center"/>
            </w:pPr>
            <w:r/>
            <w:r>
              <w:rPr>
                <w:color w:val="1A1A1A"/>
                <w:sz w:val="15"/>
              </w:rPr>
            </w:r>
          </w:p>
        </w:tc>
        <w:tc>
          <w:tcPr>
            <w:tcW w:type="dxa" w:w="1236"/>
          </w:tcPr>
          <w:p>
            <w:pPr>
              <w:spacing w:after="0"/>
              <w:jc w:val="center"/>
            </w:pPr>
            <w:r/>
            <w:r>
              <w:rPr>
                <w:color w:val="1A1A1A"/>
                <w:sz w:val="15"/>
              </w:rPr>
            </w:r>
          </w:p>
        </w:tc>
        <w:tc>
          <w:tcPr>
            <w:tcW w:type="dxa" w:w="1236"/>
          </w:tcPr>
          <w:p>
            <w:pPr>
              <w:spacing w:after="0"/>
              <w:jc w:val="center"/>
            </w:pPr>
            <w:r/>
            <w:r>
              <w:rPr>
                <w:color w:val="1A1A1A"/>
                <w:sz w:val="15"/>
              </w:rPr>
            </w:r>
          </w:p>
        </w:tc>
        <w:tc>
          <w:tcPr>
            <w:tcW w:type="dxa" w:w="1236"/>
          </w:tcPr>
          <w:p>
            <w:pPr>
              <w:spacing w:after="0"/>
              <w:jc w:val="center"/>
            </w:pPr>
            <w:r/>
            <w:r>
              <w:rPr>
                <w:color w:val="1A1A1A"/>
                <w:sz w:val="15"/>
              </w:rPr>
              <w:t>&lt;0.001</w:t>
            </w:r>
          </w:p>
        </w:tc>
        <w:tc>
          <w:tcPr>
            <w:tcW w:type="dxa" w:w="850"/>
          </w:tcPr>
          <w:p>
            <w:pPr>
              <w:spacing w:after="0"/>
              <w:jc w:val="center"/>
            </w:pPr>
            <w:r/>
            <w:r>
              <w:rPr>
                <w:color w:val="1A1A1A"/>
                <w:sz w:val="15"/>
              </w:rPr>
              <w:t>see rows below</w:t>
            </w:r>
          </w:p>
        </w:tc>
      </w:tr>
      <w:tr>
        <w:tc>
          <w:tcPr>
            <w:tcW w:type="dxa" w:w="2608"/>
          </w:tcPr>
          <w:p>
            <w:pPr>
              <w:spacing w:after="0"/>
              <w:ind w:left="198"/>
              <w:jc w:val="left"/>
            </w:pPr>
            <w:r/>
            <w:r>
              <w:rPr>
                <w:color w:val="1A1A1A"/>
                <w:sz w:val="15"/>
              </w:rPr>
              <w:t>&lt;10k</w:t>
            </w:r>
          </w:p>
        </w:tc>
        <w:tc>
          <w:tcPr>
            <w:tcW w:type="dxa" w:w="1236"/>
          </w:tcPr>
          <w:p>
            <w:pPr>
              <w:spacing w:after="0"/>
              <w:jc w:val="center"/>
            </w:pPr>
            <w:r/>
            <w:r>
              <w:rPr>
                <w:color w:val="1A1A1A"/>
                <w:sz w:val="15"/>
              </w:rPr>
              <w:t>137/634 (21.6)</w:t>
            </w:r>
          </w:p>
        </w:tc>
        <w:tc>
          <w:tcPr>
            <w:tcW w:type="dxa" w:w="1236"/>
          </w:tcPr>
          <w:p>
            <w:pPr>
              <w:spacing w:after="0"/>
              <w:jc w:val="center"/>
            </w:pPr>
            <w:r/>
            <w:r>
              <w:rPr>
                <w:color w:val="1A1A1A"/>
                <w:sz w:val="15"/>
              </w:rPr>
              <w:t>120/615 (19.5)</w:t>
            </w:r>
          </w:p>
        </w:tc>
        <w:tc>
          <w:tcPr>
            <w:tcW w:type="dxa" w:w="1236"/>
          </w:tcPr>
          <w:p>
            <w:pPr>
              <w:spacing w:after="0"/>
              <w:jc w:val="center"/>
            </w:pPr>
            <w:r/>
            <w:r>
              <w:rPr>
                <w:color w:val="1A1A1A"/>
                <w:sz w:val="15"/>
              </w:rPr>
              <w:t>15/142 (10.6)</w:t>
            </w:r>
          </w:p>
        </w:tc>
        <w:tc>
          <w:tcPr>
            <w:tcW w:type="dxa" w:w="1236"/>
          </w:tcPr>
          <w:p>
            <w:pPr>
              <w:spacing w:after="0"/>
              <w:jc w:val="center"/>
            </w:pPr>
            <w:r/>
            <w:r>
              <w:rPr>
                <w:color w:val="1A1A1A"/>
                <w:sz w:val="15"/>
              </w:rPr>
              <w:t>3/127 (2.4)</w:t>
            </w:r>
          </w:p>
        </w:tc>
        <w:tc>
          <w:tcPr>
            <w:tcW w:type="dxa" w:w="1236"/>
          </w:tcPr>
          <w:p>
            <w:pPr>
              <w:spacing w:after="0"/>
              <w:jc w:val="center"/>
            </w:pPr>
            <w:r/>
            <w:r>
              <w:rPr>
                <w:color w:val="1A1A1A"/>
                <w:sz w:val="15"/>
              </w:rPr>
            </w:r>
          </w:p>
        </w:tc>
        <w:tc>
          <w:tcPr>
            <w:tcW w:type="dxa" w:w="850"/>
          </w:tcPr>
          <w:p>
            <w:pPr>
              <w:spacing w:after="0"/>
              <w:jc w:val="center"/>
            </w:pPr>
            <w:r/>
            <w:r>
              <w:rPr>
                <w:color w:val="1A1A1A"/>
                <w:sz w:val="15"/>
              </w:rPr>
            </w:r>
          </w:p>
        </w:tc>
      </w:tr>
      <w:tr>
        <w:tc>
          <w:tcPr>
            <w:tcW w:type="dxa" w:w="2608"/>
          </w:tcPr>
          <w:p>
            <w:pPr>
              <w:spacing w:after="0"/>
              <w:ind w:left="198"/>
              <w:jc w:val="left"/>
            </w:pPr>
            <w:r/>
            <w:r>
              <w:rPr>
                <w:color w:val="1A1A1A"/>
                <w:sz w:val="15"/>
              </w:rPr>
              <w:t>10-30k</w:t>
            </w:r>
          </w:p>
        </w:tc>
        <w:tc>
          <w:tcPr>
            <w:tcW w:type="dxa" w:w="1236"/>
          </w:tcPr>
          <w:p>
            <w:pPr>
              <w:spacing w:after="0"/>
              <w:jc w:val="center"/>
            </w:pPr>
            <w:r/>
            <w:r>
              <w:rPr>
                <w:color w:val="1A1A1A"/>
                <w:sz w:val="15"/>
              </w:rPr>
              <w:t>359/634 (56.6)</w:t>
            </w:r>
          </w:p>
        </w:tc>
        <w:tc>
          <w:tcPr>
            <w:tcW w:type="dxa" w:w="1236"/>
          </w:tcPr>
          <w:p>
            <w:pPr>
              <w:spacing w:after="0"/>
              <w:jc w:val="center"/>
            </w:pPr>
            <w:r/>
            <w:r>
              <w:rPr>
                <w:color w:val="1A1A1A"/>
                <w:sz w:val="15"/>
              </w:rPr>
              <w:t>325/615 (52.8)</w:t>
            </w:r>
          </w:p>
        </w:tc>
        <w:tc>
          <w:tcPr>
            <w:tcW w:type="dxa" w:w="1236"/>
          </w:tcPr>
          <w:p>
            <w:pPr>
              <w:spacing w:after="0"/>
              <w:jc w:val="center"/>
            </w:pPr>
            <w:r/>
            <w:r>
              <w:rPr>
                <w:color w:val="1A1A1A"/>
                <w:sz w:val="15"/>
              </w:rPr>
              <w:t>83/142 (58.5)</w:t>
            </w:r>
          </w:p>
        </w:tc>
        <w:tc>
          <w:tcPr>
            <w:tcW w:type="dxa" w:w="1236"/>
          </w:tcPr>
          <w:p>
            <w:pPr>
              <w:spacing w:after="0"/>
              <w:jc w:val="center"/>
            </w:pPr>
            <w:r/>
            <w:r>
              <w:rPr>
                <w:color w:val="1A1A1A"/>
                <w:sz w:val="15"/>
              </w:rPr>
              <w:t>59/127 (46.5)</w:t>
            </w:r>
          </w:p>
        </w:tc>
        <w:tc>
          <w:tcPr>
            <w:tcW w:type="dxa" w:w="1236"/>
          </w:tcPr>
          <w:p>
            <w:pPr>
              <w:spacing w:after="0"/>
              <w:jc w:val="center"/>
            </w:pPr>
            <w:r/>
            <w:r>
              <w:rPr>
                <w:color w:val="1A1A1A"/>
                <w:sz w:val="15"/>
              </w:rPr>
            </w:r>
          </w:p>
        </w:tc>
        <w:tc>
          <w:tcPr>
            <w:tcW w:type="dxa" w:w="850"/>
          </w:tcPr>
          <w:p>
            <w:pPr>
              <w:spacing w:after="0"/>
              <w:jc w:val="center"/>
            </w:pPr>
            <w:r/>
            <w:r>
              <w:rPr>
                <w:color w:val="1A1A1A"/>
                <w:sz w:val="15"/>
              </w:rPr>
            </w:r>
          </w:p>
        </w:tc>
      </w:tr>
      <w:tr>
        <w:tc>
          <w:tcPr>
            <w:tcW w:type="dxa" w:w="2608"/>
          </w:tcPr>
          <w:p>
            <w:pPr>
              <w:spacing w:after="0"/>
              <w:ind w:left="198"/>
              <w:jc w:val="left"/>
            </w:pPr>
            <w:r/>
            <w:r>
              <w:rPr>
                <w:color w:val="1A1A1A"/>
                <w:sz w:val="15"/>
              </w:rPr>
              <w:t>30-60k</w:t>
            </w:r>
          </w:p>
        </w:tc>
        <w:tc>
          <w:tcPr>
            <w:tcW w:type="dxa" w:w="1236"/>
          </w:tcPr>
          <w:p>
            <w:pPr>
              <w:spacing w:after="0"/>
              <w:jc w:val="center"/>
            </w:pPr>
            <w:r/>
            <w:r>
              <w:rPr>
                <w:color w:val="1A1A1A"/>
                <w:sz w:val="15"/>
              </w:rPr>
              <w:t>109/634 (17.2)</w:t>
            </w:r>
          </w:p>
        </w:tc>
        <w:tc>
          <w:tcPr>
            <w:tcW w:type="dxa" w:w="1236"/>
          </w:tcPr>
          <w:p>
            <w:pPr>
              <w:spacing w:after="0"/>
              <w:jc w:val="center"/>
            </w:pPr>
            <w:r/>
            <w:r>
              <w:rPr>
                <w:color w:val="1A1A1A"/>
                <w:sz w:val="15"/>
              </w:rPr>
              <w:t>142/615 (23.1)</w:t>
            </w:r>
          </w:p>
        </w:tc>
        <w:tc>
          <w:tcPr>
            <w:tcW w:type="dxa" w:w="1236"/>
          </w:tcPr>
          <w:p>
            <w:pPr>
              <w:spacing w:after="0"/>
              <w:jc w:val="center"/>
            </w:pPr>
            <w:r/>
            <w:r>
              <w:rPr>
                <w:color w:val="1A1A1A"/>
                <w:sz w:val="15"/>
              </w:rPr>
              <w:t>33/142 (23.2)</w:t>
            </w:r>
          </w:p>
        </w:tc>
        <w:tc>
          <w:tcPr>
            <w:tcW w:type="dxa" w:w="1236"/>
          </w:tcPr>
          <w:p>
            <w:pPr>
              <w:spacing w:after="0"/>
              <w:jc w:val="center"/>
            </w:pPr>
            <w:r/>
            <w:r>
              <w:rPr>
                <w:color w:val="1A1A1A"/>
                <w:sz w:val="15"/>
              </w:rPr>
              <w:t>59/127 (46.5)</w:t>
            </w:r>
          </w:p>
        </w:tc>
        <w:tc>
          <w:tcPr>
            <w:tcW w:type="dxa" w:w="1236"/>
          </w:tcPr>
          <w:p>
            <w:pPr>
              <w:spacing w:after="0"/>
              <w:jc w:val="center"/>
            </w:pPr>
            <w:r/>
            <w:r>
              <w:rPr>
                <w:color w:val="1A1A1A"/>
                <w:sz w:val="15"/>
              </w:rPr>
            </w:r>
          </w:p>
        </w:tc>
        <w:tc>
          <w:tcPr>
            <w:tcW w:type="dxa" w:w="850"/>
          </w:tcPr>
          <w:p>
            <w:pPr>
              <w:spacing w:after="0"/>
              <w:jc w:val="center"/>
            </w:pPr>
            <w:r/>
            <w:r>
              <w:rPr>
                <w:color w:val="1A1A1A"/>
                <w:sz w:val="15"/>
              </w:rPr>
            </w:r>
          </w:p>
        </w:tc>
      </w:tr>
      <w:tr>
        <w:tc>
          <w:tcPr>
            <w:tcW w:type="dxa" w:w="2608"/>
          </w:tcPr>
          <w:p>
            <w:pPr>
              <w:spacing w:after="0"/>
              <w:ind w:left="198"/>
              <w:jc w:val="left"/>
            </w:pPr>
            <w:r/>
            <w:r>
              <w:rPr>
                <w:color w:val="1A1A1A"/>
                <w:sz w:val="15"/>
              </w:rPr>
              <w:t>60-100k</w:t>
            </w:r>
          </w:p>
        </w:tc>
        <w:tc>
          <w:tcPr>
            <w:tcW w:type="dxa" w:w="1236"/>
          </w:tcPr>
          <w:p>
            <w:pPr>
              <w:spacing w:after="0"/>
              <w:jc w:val="center"/>
            </w:pPr>
            <w:r/>
            <w:r>
              <w:rPr>
                <w:color w:val="1A1A1A"/>
                <w:sz w:val="15"/>
              </w:rPr>
              <w:t>27/634 (4.3)</w:t>
            </w:r>
          </w:p>
        </w:tc>
        <w:tc>
          <w:tcPr>
            <w:tcW w:type="dxa" w:w="1236"/>
          </w:tcPr>
          <w:p>
            <w:pPr>
              <w:spacing w:after="0"/>
              <w:jc w:val="center"/>
            </w:pPr>
            <w:r/>
            <w:r>
              <w:rPr>
                <w:color w:val="1A1A1A"/>
                <w:sz w:val="15"/>
              </w:rPr>
              <w:t>20/615 (3.3)</w:t>
            </w:r>
          </w:p>
        </w:tc>
        <w:tc>
          <w:tcPr>
            <w:tcW w:type="dxa" w:w="1236"/>
          </w:tcPr>
          <w:p>
            <w:pPr>
              <w:spacing w:after="0"/>
              <w:jc w:val="center"/>
            </w:pPr>
            <w:r/>
            <w:r>
              <w:rPr>
                <w:color w:val="1A1A1A"/>
                <w:sz w:val="15"/>
              </w:rPr>
              <w:t>6/142 (4.2)</w:t>
            </w:r>
          </w:p>
        </w:tc>
        <w:tc>
          <w:tcPr>
            <w:tcW w:type="dxa" w:w="1236"/>
          </w:tcPr>
          <w:p>
            <w:pPr>
              <w:spacing w:after="0"/>
              <w:jc w:val="center"/>
            </w:pPr>
            <w:r/>
            <w:r>
              <w:rPr>
                <w:color w:val="1A1A1A"/>
                <w:sz w:val="15"/>
              </w:rPr>
              <w:t>5/127 (3.9)</w:t>
            </w:r>
          </w:p>
        </w:tc>
        <w:tc>
          <w:tcPr>
            <w:tcW w:type="dxa" w:w="1236"/>
          </w:tcPr>
          <w:p>
            <w:pPr>
              <w:spacing w:after="0"/>
              <w:jc w:val="center"/>
            </w:pPr>
            <w:r/>
            <w:r>
              <w:rPr>
                <w:color w:val="1A1A1A"/>
                <w:sz w:val="15"/>
              </w:rPr>
            </w:r>
          </w:p>
        </w:tc>
        <w:tc>
          <w:tcPr>
            <w:tcW w:type="dxa" w:w="850"/>
          </w:tcPr>
          <w:p>
            <w:pPr>
              <w:spacing w:after="0"/>
              <w:jc w:val="center"/>
            </w:pPr>
            <w:r/>
            <w:r>
              <w:rPr>
                <w:color w:val="1A1A1A"/>
                <w:sz w:val="15"/>
              </w:rPr>
            </w:r>
          </w:p>
        </w:tc>
      </w:tr>
      <w:tr>
        <w:tc>
          <w:tcPr>
            <w:tcW w:type="dxa" w:w="2608"/>
          </w:tcPr>
          <w:p>
            <w:pPr>
              <w:spacing w:after="0"/>
              <w:ind w:left="198"/>
              <w:jc w:val="left"/>
            </w:pPr>
            <w:r/>
            <w:r>
              <w:rPr>
                <w:color w:val="1A1A1A"/>
                <w:sz w:val="15"/>
              </w:rPr>
              <w:t>100k+</w:t>
            </w:r>
          </w:p>
        </w:tc>
        <w:tc>
          <w:tcPr>
            <w:tcW w:type="dxa" w:w="1236"/>
          </w:tcPr>
          <w:p>
            <w:pPr>
              <w:spacing w:after="0"/>
              <w:jc w:val="center"/>
            </w:pPr>
            <w:r/>
            <w:r>
              <w:rPr>
                <w:color w:val="1A1A1A"/>
                <w:sz w:val="15"/>
              </w:rPr>
              <w:t>2/634 (0.3)</w:t>
            </w:r>
          </w:p>
        </w:tc>
        <w:tc>
          <w:tcPr>
            <w:tcW w:type="dxa" w:w="1236"/>
          </w:tcPr>
          <w:p>
            <w:pPr>
              <w:spacing w:after="0"/>
              <w:jc w:val="center"/>
            </w:pPr>
            <w:r/>
            <w:r>
              <w:rPr>
                <w:color w:val="1A1A1A"/>
                <w:sz w:val="15"/>
              </w:rPr>
              <w:t>8/615 (1.3)</w:t>
            </w:r>
          </w:p>
        </w:tc>
        <w:tc>
          <w:tcPr>
            <w:tcW w:type="dxa" w:w="1236"/>
          </w:tcPr>
          <w:p>
            <w:pPr>
              <w:spacing w:after="0"/>
              <w:jc w:val="center"/>
            </w:pPr>
            <w:r/>
            <w:r>
              <w:rPr>
                <w:color w:val="1A1A1A"/>
                <w:sz w:val="15"/>
              </w:rPr>
              <w:t>5/142 (3.5)</w:t>
            </w:r>
          </w:p>
        </w:tc>
        <w:tc>
          <w:tcPr>
            <w:tcW w:type="dxa" w:w="1236"/>
          </w:tcPr>
          <w:p>
            <w:pPr>
              <w:spacing w:after="0"/>
              <w:jc w:val="center"/>
            </w:pPr>
            <w:r/>
            <w:r>
              <w:rPr>
                <w:color w:val="1A1A1A"/>
                <w:sz w:val="15"/>
              </w:rPr>
              <w:t>1/127 (0.8)</w:t>
            </w:r>
          </w:p>
        </w:tc>
        <w:tc>
          <w:tcPr>
            <w:tcW w:type="dxa" w:w="1236"/>
          </w:tcPr>
          <w:p>
            <w:pPr>
              <w:spacing w:after="0"/>
              <w:jc w:val="center"/>
            </w:pPr>
            <w:r/>
            <w:r>
              <w:rPr>
                <w:color w:val="1A1A1A"/>
                <w:sz w:val="15"/>
              </w:rPr>
            </w:r>
          </w:p>
        </w:tc>
        <w:tc>
          <w:tcPr>
            <w:tcW w:type="dxa" w:w="850"/>
          </w:tcPr>
          <w:p>
            <w:pPr>
              <w:spacing w:after="0"/>
              <w:jc w:val="center"/>
            </w:pPr>
            <w:r/>
            <w:r>
              <w:rPr>
                <w:color w:val="1A1A1A"/>
                <w:sz w:val="15"/>
              </w:rPr>
            </w:r>
          </w:p>
        </w:tc>
      </w:tr>
      <w:tr>
        <w:tc>
          <w:tcPr>
            <w:tcW w:type="dxa" w:w="2608"/>
          </w:tcPr>
          <w:p>
            <w:pPr>
              <w:spacing w:after="0"/>
              <w:jc w:val="left"/>
            </w:pPr>
            <w:r/>
            <w:r>
              <w:rPr>
                <w:color w:val="1A1A1A"/>
                <w:sz w:val="15"/>
              </w:rPr>
              <w:t>Main public scheme (Q6)</w:t>
            </w:r>
          </w:p>
        </w:tc>
        <w:tc>
          <w:tcPr>
            <w:tcW w:type="dxa" w:w="1236"/>
          </w:tcPr>
          <w:p>
            <w:pPr>
              <w:spacing w:after="0"/>
              <w:jc w:val="center"/>
            </w:pPr>
            <w:r/>
            <w:r>
              <w:rPr>
                <w:color w:val="1A1A1A"/>
                <w:sz w:val="15"/>
              </w:rPr>
            </w:r>
          </w:p>
        </w:tc>
        <w:tc>
          <w:tcPr>
            <w:tcW w:type="dxa" w:w="1236"/>
          </w:tcPr>
          <w:p>
            <w:pPr>
              <w:spacing w:after="0"/>
              <w:jc w:val="center"/>
            </w:pPr>
            <w:r/>
            <w:r>
              <w:rPr>
                <w:color w:val="1A1A1A"/>
                <w:sz w:val="15"/>
              </w:rPr>
            </w:r>
          </w:p>
        </w:tc>
        <w:tc>
          <w:tcPr>
            <w:tcW w:type="dxa" w:w="1236"/>
          </w:tcPr>
          <w:p>
            <w:pPr>
              <w:spacing w:after="0"/>
              <w:jc w:val="center"/>
            </w:pPr>
            <w:r/>
            <w:r>
              <w:rPr>
                <w:color w:val="1A1A1A"/>
                <w:sz w:val="15"/>
              </w:rPr>
            </w:r>
          </w:p>
        </w:tc>
        <w:tc>
          <w:tcPr>
            <w:tcW w:type="dxa" w:w="1236"/>
          </w:tcPr>
          <w:p>
            <w:pPr>
              <w:spacing w:after="0"/>
              <w:jc w:val="center"/>
            </w:pPr>
            <w:r/>
            <w:r>
              <w:rPr>
                <w:color w:val="1A1A1A"/>
                <w:sz w:val="15"/>
              </w:rPr>
            </w:r>
          </w:p>
        </w:tc>
        <w:tc>
          <w:tcPr>
            <w:tcW w:type="dxa" w:w="1236"/>
          </w:tcPr>
          <w:p>
            <w:pPr>
              <w:spacing w:after="0"/>
              <w:jc w:val="center"/>
            </w:pPr>
            <w:r/>
            <w:r>
              <w:rPr>
                <w:color w:val="1A1A1A"/>
                <w:sz w:val="15"/>
              </w:rPr>
              <w:t>&lt;0.001</w:t>
            </w:r>
          </w:p>
        </w:tc>
        <w:tc>
          <w:tcPr>
            <w:tcW w:type="dxa" w:w="850"/>
          </w:tcPr>
          <w:p>
            <w:pPr>
              <w:spacing w:after="0"/>
              <w:jc w:val="center"/>
            </w:pPr>
            <w:r/>
            <w:r>
              <w:rPr>
                <w:color w:val="1A1A1A"/>
                <w:sz w:val="15"/>
              </w:rPr>
              <w:t>see rows below</w:t>
            </w:r>
          </w:p>
        </w:tc>
      </w:tr>
      <w:tr>
        <w:tc>
          <w:tcPr>
            <w:tcW w:type="dxa" w:w="2608"/>
          </w:tcPr>
          <w:p>
            <w:pPr>
              <w:spacing w:after="0"/>
              <w:ind w:left="198"/>
              <w:jc w:val="left"/>
            </w:pPr>
            <w:r/>
            <w:r>
              <w:rPr>
                <w:color w:val="1A1A1A"/>
                <w:sz w:val="15"/>
              </w:rPr>
              <w:t>CSMBS</w:t>
            </w:r>
          </w:p>
        </w:tc>
        <w:tc>
          <w:tcPr>
            <w:tcW w:type="dxa" w:w="1236"/>
          </w:tcPr>
          <w:p>
            <w:pPr>
              <w:spacing w:after="0"/>
              <w:jc w:val="center"/>
            </w:pPr>
            <w:r/>
            <w:r>
              <w:rPr>
                <w:color w:val="1A1A1A"/>
                <w:sz w:val="15"/>
              </w:rPr>
              <w:t>51/629 (8.1)</w:t>
            </w:r>
          </w:p>
        </w:tc>
        <w:tc>
          <w:tcPr>
            <w:tcW w:type="dxa" w:w="1236"/>
          </w:tcPr>
          <w:p>
            <w:pPr>
              <w:spacing w:after="0"/>
              <w:jc w:val="center"/>
            </w:pPr>
            <w:r/>
            <w:r>
              <w:rPr>
                <w:color w:val="1A1A1A"/>
                <w:sz w:val="15"/>
              </w:rPr>
              <w:t>97/612 (15.8)</w:t>
            </w:r>
          </w:p>
        </w:tc>
        <w:tc>
          <w:tcPr>
            <w:tcW w:type="dxa" w:w="1236"/>
          </w:tcPr>
          <w:p>
            <w:pPr>
              <w:spacing w:after="0"/>
              <w:jc w:val="center"/>
            </w:pPr>
            <w:r/>
            <w:r>
              <w:rPr>
                <w:color w:val="1A1A1A"/>
                <w:sz w:val="15"/>
              </w:rPr>
              <w:t>14/140 (10.0)</w:t>
            </w:r>
          </w:p>
        </w:tc>
        <w:tc>
          <w:tcPr>
            <w:tcW w:type="dxa" w:w="1236"/>
          </w:tcPr>
          <w:p>
            <w:pPr>
              <w:spacing w:after="0"/>
              <w:jc w:val="center"/>
            </w:pPr>
            <w:r/>
            <w:r>
              <w:rPr>
                <w:color w:val="1A1A1A"/>
                <w:sz w:val="15"/>
              </w:rPr>
              <w:t>5/126 (4.0)</w:t>
            </w:r>
          </w:p>
        </w:tc>
        <w:tc>
          <w:tcPr>
            <w:tcW w:type="dxa" w:w="1236"/>
          </w:tcPr>
          <w:p>
            <w:pPr>
              <w:spacing w:after="0"/>
              <w:jc w:val="center"/>
            </w:pPr>
            <w:r/>
            <w:r>
              <w:rPr>
                <w:color w:val="1A1A1A"/>
                <w:sz w:val="15"/>
              </w:rPr>
            </w:r>
          </w:p>
        </w:tc>
        <w:tc>
          <w:tcPr>
            <w:tcW w:type="dxa" w:w="850"/>
          </w:tcPr>
          <w:p>
            <w:pPr>
              <w:spacing w:after="0"/>
              <w:jc w:val="center"/>
            </w:pPr>
            <w:r/>
            <w:r>
              <w:rPr>
                <w:color w:val="1A1A1A"/>
                <w:sz w:val="15"/>
              </w:rPr>
            </w:r>
          </w:p>
        </w:tc>
      </w:tr>
      <w:tr>
        <w:tc>
          <w:tcPr>
            <w:tcW w:type="dxa" w:w="2608"/>
          </w:tcPr>
          <w:p>
            <w:pPr>
              <w:spacing w:after="0"/>
              <w:ind w:left="198"/>
              <w:jc w:val="left"/>
            </w:pPr>
            <w:r/>
            <w:r>
              <w:rPr>
                <w:color w:val="1A1A1A"/>
                <w:sz w:val="15"/>
              </w:rPr>
              <w:t>SSS</w:t>
            </w:r>
          </w:p>
        </w:tc>
        <w:tc>
          <w:tcPr>
            <w:tcW w:type="dxa" w:w="1236"/>
          </w:tcPr>
          <w:p>
            <w:pPr>
              <w:spacing w:after="0"/>
              <w:jc w:val="center"/>
            </w:pPr>
            <w:r/>
            <w:r>
              <w:rPr>
                <w:color w:val="1A1A1A"/>
                <w:sz w:val="15"/>
              </w:rPr>
              <w:t>77/629 (12.2)</w:t>
            </w:r>
          </w:p>
        </w:tc>
        <w:tc>
          <w:tcPr>
            <w:tcW w:type="dxa" w:w="1236"/>
          </w:tcPr>
          <w:p>
            <w:pPr>
              <w:spacing w:after="0"/>
              <w:jc w:val="center"/>
            </w:pPr>
            <w:r/>
            <w:r>
              <w:rPr>
                <w:color w:val="1A1A1A"/>
                <w:sz w:val="15"/>
              </w:rPr>
              <w:t>103/612 (16.8)</w:t>
            </w:r>
          </w:p>
        </w:tc>
        <w:tc>
          <w:tcPr>
            <w:tcW w:type="dxa" w:w="1236"/>
          </w:tcPr>
          <w:p>
            <w:pPr>
              <w:spacing w:after="0"/>
              <w:jc w:val="center"/>
            </w:pPr>
            <w:r/>
            <w:r>
              <w:rPr>
                <w:color w:val="1A1A1A"/>
                <w:sz w:val="15"/>
              </w:rPr>
              <w:t>63/140 (45.0)</w:t>
            </w:r>
          </w:p>
        </w:tc>
        <w:tc>
          <w:tcPr>
            <w:tcW w:type="dxa" w:w="1236"/>
          </w:tcPr>
          <w:p>
            <w:pPr>
              <w:spacing w:after="0"/>
              <w:jc w:val="center"/>
            </w:pPr>
            <w:r/>
            <w:r>
              <w:rPr>
                <w:color w:val="1A1A1A"/>
                <w:sz w:val="15"/>
              </w:rPr>
              <w:t>88/126 (69.8)</w:t>
            </w:r>
          </w:p>
        </w:tc>
        <w:tc>
          <w:tcPr>
            <w:tcW w:type="dxa" w:w="1236"/>
          </w:tcPr>
          <w:p>
            <w:pPr>
              <w:spacing w:after="0"/>
              <w:jc w:val="center"/>
            </w:pPr>
            <w:r/>
            <w:r>
              <w:rPr>
                <w:color w:val="1A1A1A"/>
                <w:sz w:val="15"/>
              </w:rPr>
            </w:r>
          </w:p>
        </w:tc>
        <w:tc>
          <w:tcPr>
            <w:tcW w:type="dxa" w:w="850"/>
          </w:tcPr>
          <w:p>
            <w:pPr>
              <w:spacing w:after="0"/>
              <w:jc w:val="center"/>
            </w:pPr>
            <w:r/>
            <w:r>
              <w:rPr>
                <w:color w:val="1A1A1A"/>
                <w:sz w:val="15"/>
              </w:rPr>
            </w:r>
          </w:p>
        </w:tc>
      </w:tr>
      <w:tr>
        <w:tc>
          <w:tcPr>
            <w:tcW w:type="dxa" w:w="2608"/>
          </w:tcPr>
          <w:p>
            <w:pPr>
              <w:spacing w:after="0"/>
              <w:ind w:left="198"/>
              <w:jc w:val="left"/>
            </w:pPr>
            <w:r/>
            <w:r>
              <w:rPr>
                <w:color w:val="1A1A1A"/>
                <w:sz w:val="15"/>
              </w:rPr>
              <w:t>UCS</w:t>
            </w:r>
          </w:p>
        </w:tc>
        <w:tc>
          <w:tcPr>
            <w:tcW w:type="dxa" w:w="1236"/>
          </w:tcPr>
          <w:p>
            <w:pPr>
              <w:spacing w:after="0"/>
              <w:jc w:val="center"/>
            </w:pPr>
            <w:r/>
            <w:r>
              <w:rPr>
                <w:color w:val="1A1A1A"/>
                <w:sz w:val="15"/>
              </w:rPr>
              <w:t>500/629 (79.5)</w:t>
            </w:r>
          </w:p>
        </w:tc>
        <w:tc>
          <w:tcPr>
            <w:tcW w:type="dxa" w:w="1236"/>
          </w:tcPr>
          <w:p>
            <w:pPr>
              <w:spacing w:after="0"/>
              <w:jc w:val="center"/>
            </w:pPr>
            <w:r/>
            <w:r>
              <w:rPr>
                <w:color w:val="1A1A1A"/>
                <w:sz w:val="15"/>
              </w:rPr>
              <w:t>412/612 (67.3)</w:t>
            </w:r>
          </w:p>
        </w:tc>
        <w:tc>
          <w:tcPr>
            <w:tcW w:type="dxa" w:w="1236"/>
          </w:tcPr>
          <w:p>
            <w:pPr>
              <w:spacing w:after="0"/>
              <w:jc w:val="center"/>
            </w:pPr>
            <w:r/>
            <w:r>
              <w:rPr>
                <w:color w:val="1A1A1A"/>
                <w:sz w:val="15"/>
              </w:rPr>
              <w:t>63/140 (45.0)</w:t>
            </w:r>
          </w:p>
        </w:tc>
        <w:tc>
          <w:tcPr>
            <w:tcW w:type="dxa" w:w="1236"/>
          </w:tcPr>
          <w:p>
            <w:pPr>
              <w:spacing w:after="0"/>
              <w:jc w:val="center"/>
            </w:pPr>
            <w:r/>
            <w:r>
              <w:rPr>
                <w:color w:val="1A1A1A"/>
                <w:sz w:val="15"/>
              </w:rPr>
              <w:t>33/126 (26.2)</w:t>
            </w:r>
          </w:p>
        </w:tc>
        <w:tc>
          <w:tcPr>
            <w:tcW w:type="dxa" w:w="1236"/>
          </w:tcPr>
          <w:p>
            <w:pPr>
              <w:spacing w:after="0"/>
              <w:jc w:val="center"/>
            </w:pPr>
            <w:r/>
            <w:r>
              <w:rPr>
                <w:color w:val="1A1A1A"/>
                <w:sz w:val="15"/>
              </w:rPr>
            </w:r>
          </w:p>
        </w:tc>
        <w:tc>
          <w:tcPr>
            <w:tcW w:type="dxa" w:w="850"/>
          </w:tcPr>
          <w:p>
            <w:pPr>
              <w:spacing w:after="0"/>
              <w:jc w:val="center"/>
            </w:pPr>
            <w:r/>
            <w:r>
              <w:rPr>
                <w:color w:val="1A1A1A"/>
                <w:sz w:val="15"/>
              </w:rPr>
            </w:r>
          </w:p>
        </w:tc>
      </w:tr>
      <w:tr>
        <w:tc>
          <w:tcPr>
            <w:tcW w:type="dxa" w:w="2608"/>
          </w:tcPr>
          <w:p>
            <w:pPr>
              <w:spacing w:after="0"/>
              <w:ind w:left="198"/>
              <w:jc w:val="left"/>
            </w:pPr>
            <w:r/>
            <w:r>
              <w:rPr>
                <w:color w:val="1A1A1A"/>
                <w:sz w:val="15"/>
              </w:rPr>
              <w:t>other public</w:t>
            </w:r>
          </w:p>
        </w:tc>
        <w:tc>
          <w:tcPr>
            <w:tcW w:type="dxa" w:w="1236"/>
          </w:tcPr>
          <w:p>
            <w:pPr>
              <w:spacing w:after="0"/>
              <w:jc w:val="center"/>
            </w:pPr>
            <w:r/>
            <w:r>
              <w:rPr>
                <w:color w:val="1A1A1A"/>
                <w:sz w:val="15"/>
              </w:rPr>
              <w:t>1/629 (0.2)</w:t>
            </w:r>
          </w:p>
        </w:tc>
        <w:tc>
          <w:tcPr>
            <w:tcW w:type="dxa" w:w="1236"/>
          </w:tcPr>
          <w:p>
            <w:pPr>
              <w:spacing w:after="0"/>
              <w:jc w:val="center"/>
            </w:pPr>
            <w:r/>
            <w:r>
              <w:rPr>
                <w:color w:val="1A1A1A"/>
                <w:sz w:val="15"/>
              </w:rPr>
              <w:t>0/612 (0.0)</w:t>
            </w:r>
          </w:p>
        </w:tc>
        <w:tc>
          <w:tcPr>
            <w:tcW w:type="dxa" w:w="1236"/>
          </w:tcPr>
          <w:p>
            <w:pPr>
              <w:spacing w:after="0"/>
              <w:jc w:val="center"/>
            </w:pPr>
            <w:r/>
            <w:r>
              <w:rPr>
                <w:color w:val="1A1A1A"/>
                <w:sz w:val="15"/>
              </w:rPr>
              <w:t>0/140 (0.0)</w:t>
            </w:r>
          </w:p>
        </w:tc>
        <w:tc>
          <w:tcPr>
            <w:tcW w:type="dxa" w:w="1236"/>
          </w:tcPr>
          <w:p>
            <w:pPr>
              <w:spacing w:after="0"/>
              <w:jc w:val="center"/>
            </w:pPr>
            <w:r/>
            <w:r>
              <w:rPr>
                <w:color w:val="1A1A1A"/>
                <w:sz w:val="15"/>
              </w:rPr>
              <w:t>0/126 (0.0)</w:t>
            </w:r>
          </w:p>
        </w:tc>
        <w:tc>
          <w:tcPr>
            <w:tcW w:type="dxa" w:w="1236"/>
          </w:tcPr>
          <w:p>
            <w:pPr>
              <w:spacing w:after="0"/>
              <w:jc w:val="center"/>
            </w:pPr>
            <w:r/>
            <w:r>
              <w:rPr>
                <w:color w:val="1A1A1A"/>
                <w:sz w:val="15"/>
              </w:rPr>
            </w:r>
          </w:p>
        </w:tc>
        <w:tc>
          <w:tcPr>
            <w:tcW w:type="dxa" w:w="850"/>
          </w:tcPr>
          <w:p>
            <w:pPr>
              <w:spacing w:after="0"/>
              <w:jc w:val="center"/>
            </w:pPr>
            <w:r/>
            <w:r>
              <w:rPr>
                <w:color w:val="1A1A1A"/>
                <w:sz w:val="15"/>
              </w:rPr>
            </w:r>
          </w:p>
        </w:tc>
      </w:tr>
      <w:tr>
        <w:tc>
          <w:tcPr>
            <w:tcW w:type="dxa" w:w="2608"/>
          </w:tcPr>
          <w:p>
            <w:pPr>
              <w:spacing w:after="0"/>
              <w:jc w:val="left"/>
            </w:pPr>
            <w:r/>
            <w:r>
              <w:rPr>
                <w:color w:val="1A1A1A"/>
                <w:sz w:val="15"/>
              </w:rPr>
              <w:t>Owns private health insurance</w:t>
            </w:r>
          </w:p>
        </w:tc>
        <w:tc>
          <w:tcPr>
            <w:tcW w:type="dxa" w:w="1236"/>
          </w:tcPr>
          <w:p>
            <w:pPr>
              <w:spacing w:after="0"/>
              <w:jc w:val="center"/>
            </w:pPr>
            <w:r/>
            <w:r>
              <w:rPr>
                <w:color w:val="1A1A1A"/>
                <w:sz w:val="15"/>
              </w:rPr>
              <w:t>62/634 (9.8; 7.7-12.3)</w:t>
            </w:r>
          </w:p>
        </w:tc>
        <w:tc>
          <w:tcPr>
            <w:tcW w:type="dxa" w:w="1236"/>
          </w:tcPr>
          <w:p>
            <w:pPr>
              <w:spacing w:after="0"/>
              <w:jc w:val="center"/>
            </w:pPr>
            <w:r/>
            <w:r>
              <w:rPr>
                <w:color w:val="1A1A1A"/>
                <w:sz w:val="15"/>
              </w:rPr>
              <w:t>77/615 (12.5; 10.1-15.4)</w:t>
            </w:r>
          </w:p>
        </w:tc>
        <w:tc>
          <w:tcPr>
            <w:tcW w:type="dxa" w:w="1236"/>
          </w:tcPr>
          <w:p>
            <w:pPr>
              <w:spacing w:after="0"/>
              <w:jc w:val="center"/>
            </w:pPr>
            <w:r/>
            <w:r>
              <w:rPr>
                <w:color w:val="1A1A1A"/>
                <w:sz w:val="15"/>
              </w:rPr>
              <w:t>42/142 (29.6; 22.7-37.5)</w:t>
            </w:r>
          </w:p>
        </w:tc>
        <w:tc>
          <w:tcPr>
            <w:tcW w:type="dxa" w:w="1236"/>
          </w:tcPr>
          <w:p>
            <w:pPr>
              <w:spacing w:after="0"/>
              <w:jc w:val="center"/>
            </w:pPr>
            <w:r/>
            <w:r>
              <w:rPr>
                <w:color w:val="1A1A1A"/>
                <w:sz w:val="15"/>
              </w:rPr>
              <w:t>40/127 (31.5; 24.1-40.0)</w:t>
            </w:r>
          </w:p>
        </w:tc>
        <w:tc>
          <w:tcPr>
            <w:tcW w:type="dxa" w:w="1236"/>
          </w:tcPr>
          <w:p>
            <w:pPr>
              <w:spacing w:after="0"/>
              <w:jc w:val="center"/>
            </w:pPr>
            <w:r/>
            <w:r>
              <w:rPr>
                <w:color w:val="1A1A1A"/>
                <w:sz w:val="15"/>
              </w:rPr>
              <w:t>&lt;0.001</w:t>
            </w:r>
          </w:p>
        </w:tc>
        <w:tc>
          <w:tcPr>
            <w:tcW w:type="dxa" w:w="850"/>
          </w:tcPr>
          <w:p>
            <w:pPr>
              <w:spacing w:after="0"/>
              <w:jc w:val="center"/>
            </w:pPr>
            <w:r/>
            <w:r>
              <w:rPr>
                <w:color w:val="1A1A1A"/>
                <w:sz w:val="15"/>
              </w:rPr>
              <w:t>all in group</w:t>
            </w:r>
          </w:p>
        </w:tc>
      </w:tr>
      <w:tr>
        <w:tc>
          <w:tcPr>
            <w:tcW w:type="dxa" w:w="2608"/>
          </w:tcPr>
          <w:p>
            <w:pPr>
              <w:spacing w:after="0"/>
              <w:jc w:val="left"/>
            </w:pPr>
            <w:r/>
            <w:r>
              <w:rPr>
                <w:color w:val="1A1A1A"/>
                <w:sz w:val="15"/>
              </w:rPr>
              <w:t>Self-rated health good or better</w:t>
            </w:r>
          </w:p>
        </w:tc>
        <w:tc>
          <w:tcPr>
            <w:tcW w:type="dxa" w:w="1236"/>
          </w:tcPr>
          <w:p>
            <w:pPr>
              <w:spacing w:after="0"/>
              <w:jc w:val="center"/>
            </w:pPr>
            <w:r/>
            <w:r>
              <w:rPr>
                <w:color w:val="1A1A1A"/>
                <w:sz w:val="15"/>
              </w:rPr>
              <w:t>468/634 (73.8; 70.3-77.1)</w:t>
            </w:r>
          </w:p>
        </w:tc>
        <w:tc>
          <w:tcPr>
            <w:tcW w:type="dxa" w:w="1236"/>
          </w:tcPr>
          <w:p>
            <w:pPr>
              <w:spacing w:after="0"/>
              <w:jc w:val="center"/>
            </w:pPr>
            <w:r/>
            <w:r>
              <w:rPr>
                <w:color w:val="1A1A1A"/>
                <w:sz w:val="15"/>
              </w:rPr>
              <w:t>414/615 (67.3; 63.5-70.9)</w:t>
            </w:r>
          </w:p>
        </w:tc>
        <w:tc>
          <w:tcPr>
            <w:tcW w:type="dxa" w:w="1236"/>
          </w:tcPr>
          <w:p>
            <w:pPr>
              <w:spacing w:after="0"/>
              <w:jc w:val="center"/>
            </w:pPr>
            <w:r/>
            <w:r>
              <w:rPr>
                <w:color w:val="1A1A1A"/>
                <w:sz w:val="15"/>
              </w:rPr>
              <w:t>131/142 (92.3; 86.7-95.6)</w:t>
            </w:r>
          </w:p>
        </w:tc>
        <w:tc>
          <w:tcPr>
            <w:tcW w:type="dxa" w:w="1236"/>
          </w:tcPr>
          <w:p>
            <w:pPr>
              <w:spacing w:after="0"/>
              <w:jc w:val="center"/>
            </w:pPr>
            <w:r/>
            <w:r>
              <w:rPr>
                <w:color w:val="1A1A1A"/>
                <w:sz w:val="15"/>
              </w:rPr>
              <w:t>117/127 (92.1; 86.1-95.7)</w:t>
            </w:r>
          </w:p>
        </w:tc>
        <w:tc>
          <w:tcPr>
            <w:tcW w:type="dxa" w:w="1236"/>
          </w:tcPr>
          <w:p>
            <w:pPr>
              <w:spacing w:after="0"/>
              <w:jc w:val="center"/>
            </w:pPr>
            <w:r/>
            <w:r>
              <w:rPr>
                <w:color w:val="1A1A1A"/>
                <w:sz w:val="15"/>
              </w:rPr>
              <w:t>&lt;0.001</w:t>
            </w:r>
          </w:p>
        </w:tc>
        <w:tc>
          <w:tcPr>
            <w:tcW w:type="dxa" w:w="850"/>
          </w:tcPr>
          <w:p>
            <w:pPr>
              <w:spacing w:after="0"/>
              <w:jc w:val="center"/>
            </w:pPr>
            <w:r/>
            <w:r>
              <w:rPr>
                <w:color w:val="1A1A1A"/>
                <w:sz w:val="15"/>
              </w:rPr>
              <w:t>all in group</w:t>
            </w:r>
          </w:p>
        </w:tc>
      </w:tr>
      <w:tr>
        <w:tc>
          <w:tcPr>
            <w:tcW w:type="dxa" w:w="2608"/>
          </w:tcPr>
          <w:p>
            <w:pPr>
              <w:spacing w:after="0"/>
              <w:jc w:val="left"/>
            </w:pPr>
            <w:r/>
            <w:r>
              <w:rPr>
                <w:color w:val="1A1A1A"/>
                <w:sz w:val="15"/>
              </w:rPr>
              <w:t>Mental health good or better</w:t>
            </w:r>
          </w:p>
        </w:tc>
        <w:tc>
          <w:tcPr>
            <w:tcW w:type="dxa" w:w="1236"/>
          </w:tcPr>
          <w:p>
            <w:pPr>
              <w:spacing w:after="0"/>
              <w:jc w:val="center"/>
            </w:pPr>
            <w:r/>
            <w:r>
              <w:rPr>
                <w:color w:val="1A1A1A"/>
                <w:sz w:val="15"/>
              </w:rPr>
              <w:t>551/634 (86.9; 84.1-89.3)</w:t>
            </w:r>
          </w:p>
        </w:tc>
        <w:tc>
          <w:tcPr>
            <w:tcW w:type="dxa" w:w="1236"/>
          </w:tcPr>
          <w:p>
            <w:pPr>
              <w:spacing w:after="0"/>
              <w:jc w:val="center"/>
            </w:pPr>
            <w:r/>
            <w:r>
              <w:rPr>
                <w:color w:val="1A1A1A"/>
                <w:sz w:val="15"/>
              </w:rPr>
              <w:t>509/615 (82.8; 79.6-85.5)</w:t>
            </w:r>
          </w:p>
        </w:tc>
        <w:tc>
          <w:tcPr>
            <w:tcW w:type="dxa" w:w="1236"/>
          </w:tcPr>
          <w:p>
            <w:pPr>
              <w:spacing w:after="0"/>
              <w:jc w:val="center"/>
            </w:pPr>
            <w:r/>
            <w:r>
              <w:rPr>
                <w:color w:val="1A1A1A"/>
                <w:sz w:val="15"/>
              </w:rPr>
              <w:t>135/142 (95.1; 90.2-97.6)</w:t>
            </w:r>
          </w:p>
        </w:tc>
        <w:tc>
          <w:tcPr>
            <w:tcW w:type="dxa" w:w="1236"/>
          </w:tcPr>
          <w:p>
            <w:pPr>
              <w:spacing w:after="0"/>
              <w:jc w:val="center"/>
            </w:pPr>
            <w:r/>
            <w:r>
              <w:rPr>
                <w:color w:val="1A1A1A"/>
                <w:sz w:val="15"/>
              </w:rPr>
              <w:t>119/127 (93.7; 88.1-96.8)</w:t>
            </w:r>
          </w:p>
        </w:tc>
        <w:tc>
          <w:tcPr>
            <w:tcW w:type="dxa" w:w="1236"/>
          </w:tcPr>
          <w:p>
            <w:pPr>
              <w:spacing w:after="0"/>
              <w:jc w:val="center"/>
            </w:pPr>
            <w:r/>
            <w:r>
              <w:rPr>
                <w:color w:val="1A1A1A"/>
                <w:sz w:val="15"/>
              </w:rPr>
              <w:t>&lt;0.001</w:t>
            </w:r>
          </w:p>
        </w:tc>
        <w:tc>
          <w:tcPr>
            <w:tcW w:type="dxa" w:w="850"/>
          </w:tcPr>
          <w:p>
            <w:pPr>
              <w:spacing w:after="0"/>
              <w:jc w:val="center"/>
            </w:pPr>
            <w:r/>
            <w:r>
              <w:rPr>
                <w:color w:val="1A1A1A"/>
                <w:sz w:val="15"/>
              </w:rPr>
              <w:t>all in group</w:t>
            </w:r>
          </w:p>
        </w:tc>
      </w:tr>
      <w:tr>
        <w:tc>
          <w:tcPr>
            <w:tcW w:type="dxa" w:w="2608"/>
          </w:tcPr>
          <w:p>
            <w:pPr>
              <w:spacing w:after="0"/>
              <w:jc w:val="left"/>
            </w:pPr>
            <w:r/>
            <w:r>
              <w:rPr>
                <w:color w:val="1A1A1A"/>
                <w:sz w:val="15"/>
              </w:rPr>
              <w:t>Chronic condition &gt;= 6 months</w:t>
            </w:r>
          </w:p>
        </w:tc>
        <w:tc>
          <w:tcPr>
            <w:tcW w:type="dxa" w:w="1236"/>
          </w:tcPr>
          <w:p>
            <w:pPr>
              <w:spacing w:after="0"/>
              <w:jc w:val="center"/>
            </w:pPr>
            <w:r/>
            <w:r>
              <w:rPr>
                <w:color w:val="1A1A1A"/>
                <w:sz w:val="15"/>
              </w:rPr>
              <w:t>240/634 (37.9; 34.2-41.7)</w:t>
            </w:r>
          </w:p>
        </w:tc>
        <w:tc>
          <w:tcPr>
            <w:tcW w:type="dxa" w:w="1236"/>
          </w:tcPr>
          <w:p>
            <w:pPr>
              <w:spacing w:after="0"/>
              <w:jc w:val="center"/>
            </w:pPr>
            <w:r/>
            <w:r>
              <w:rPr>
                <w:color w:val="1A1A1A"/>
                <w:sz w:val="15"/>
              </w:rPr>
              <w:t>293/615 (47.6; 43.7-51.6)</w:t>
            </w:r>
          </w:p>
        </w:tc>
        <w:tc>
          <w:tcPr>
            <w:tcW w:type="dxa" w:w="1236"/>
          </w:tcPr>
          <w:p>
            <w:pPr>
              <w:spacing w:after="0"/>
              <w:jc w:val="center"/>
            </w:pPr>
            <w:r/>
            <w:r>
              <w:rPr>
                <w:color w:val="1A1A1A"/>
                <w:sz w:val="15"/>
              </w:rPr>
              <w:t>23/142 (16.2; 11.0-23.1)</w:t>
            </w:r>
          </w:p>
        </w:tc>
        <w:tc>
          <w:tcPr>
            <w:tcW w:type="dxa" w:w="1236"/>
          </w:tcPr>
          <w:p>
            <w:pPr>
              <w:spacing w:after="0"/>
              <w:jc w:val="center"/>
            </w:pPr>
            <w:r/>
            <w:r>
              <w:rPr>
                <w:color w:val="1A1A1A"/>
                <w:sz w:val="15"/>
              </w:rPr>
              <w:t>41/127 (32.3; 24.8-40.8)</w:t>
            </w:r>
          </w:p>
        </w:tc>
        <w:tc>
          <w:tcPr>
            <w:tcW w:type="dxa" w:w="1236"/>
          </w:tcPr>
          <w:p>
            <w:pPr>
              <w:spacing w:after="0"/>
              <w:jc w:val="center"/>
            </w:pPr>
            <w:r/>
            <w:r>
              <w:rPr>
                <w:color w:val="1A1A1A"/>
                <w:sz w:val="15"/>
              </w:rPr>
              <w:t>&lt;0.001</w:t>
            </w:r>
          </w:p>
        </w:tc>
        <w:tc>
          <w:tcPr>
            <w:tcW w:type="dxa" w:w="850"/>
          </w:tcPr>
          <w:p>
            <w:pPr>
              <w:spacing w:after="0"/>
              <w:jc w:val="center"/>
            </w:pPr>
            <w:r/>
            <w:r>
              <w:rPr>
                <w:color w:val="1A1A1A"/>
                <w:sz w:val="15"/>
              </w:rPr>
              <w:t>all in group</w:t>
            </w:r>
          </w:p>
        </w:tc>
      </w:tr>
      <w:tr>
        <w:tc>
          <w:tcPr>
            <w:tcW w:type="dxa" w:w="2608"/>
          </w:tcPr>
          <w:p>
            <w:pPr>
              <w:spacing w:after="0"/>
              <w:jc w:val="left"/>
            </w:pPr>
            <w:r/>
            <w:r>
              <w:rPr>
                <w:color w:val="1A1A1A"/>
                <w:sz w:val="15"/>
              </w:rPr>
              <w:t>High patient activation</w:t>
            </w:r>
          </w:p>
        </w:tc>
        <w:tc>
          <w:tcPr>
            <w:tcW w:type="dxa" w:w="1236"/>
          </w:tcPr>
          <w:p>
            <w:pPr>
              <w:spacing w:after="0"/>
              <w:jc w:val="center"/>
            </w:pPr>
            <w:r/>
            <w:r>
              <w:rPr>
                <w:color w:val="1A1A1A"/>
                <w:sz w:val="15"/>
              </w:rPr>
              <w:t>492/634 (77.6; 74.2-80.7)</w:t>
            </w:r>
          </w:p>
        </w:tc>
        <w:tc>
          <w:tcPr>
            <w:tcW w:type="dxa" w:w="1236"/>
          </w:tcPr>
          <w:p>
            <w:pPr>
              <w:spacing w:after="0"/>
              <w:jc w:val="center"/>
            </w:pPr>
            <w:r/>
            <w:r>
              <w:rPr>
                <w:color w:val="1A1A1A"/>
                <w:sz w:val="15"/>
              </w:rPr>
              <w:t>443/615 (72.0; 68.4-75.4)</w:t>
            </w:r>
          </w:p>
        </w:tc>
        <w:tc>
          <w:tcPr>
            <w:tcW w:type="dxa" w:w="1236"/>
          </w:tcPr>
          <w:p>
            <w:pPr>
              <w:spacing w:after="0"/>
              <w:jc w:val="center"/>
            </w:pPr>
            <w:r/>
            <w:r>
              <w:rPr>
                <w:color w:val="1A1A1A"/>
                <w:sz w:val="15"/>
              </w:rPr>
              <w:t>120/142 (84.5; 77.7-89.5)</w:t>
            </w:r>
          </w:p>
        </w:tc>
        <w:tc>
          <w:tcPr>
            <w:tcW w:type="dxa" w:w="1236"/>
          </w:tcPr>
          <w:p>
            <w:pPr>
              <w:spacing w:after="0"/>
              <w:jc w:val="center"/>
            </w:pPr>
            <w:r/>
            <w:r>
              <w:rPr>
                <w:color w:val="1A1A1A"/>
                <w:sz w:val="15"/>
              </w:rPr>
              <w:t>112/127 (88.2; 81.4-92.7)</w:t>
            </w:r>
          </w:p>
        </w:tc>
        <w:tc>
          <w:tcPr>
            <w:tcW w:type="dxa" w:w="1236"/>
          </w:tcPr>
          <w:p>
            <w:pPr>
              <w:spacing w:after="0"/>
              <w:jc w:val="center"/>
            </w:pPr>
            <w:r/>
            <w:r>
              <w:rPr>
                <w:color w:val="1A1A1A"/>
                <w:sz w:val="15"/>
              </w:rPr>
              <w:t>&lt;0.001</w:t>
            </w:r>
          </w:p>
        </w:tc>
        <w:tc>
          <w:tcPr>
            <w:tcW w:type="dxa" w:w="850"/>
          </w:tcPr>
          <w:p>
            <w:pPr>
              <w:spacing w:after="0"/>
              <w:jc w:val="center"/>
            </w:pPr>
            <w:r/>
            <w:r>
              <w:rPr>
                <w:color w:val="1A1A1A"/>
                <w:sz w:val="15"/>
              </w:rPr>
              <w:t>all in group</w:t>
            </w:r>
          </w:p>
        </w:tc>
      </w:tr>
    </w:tbl>
    <w:p>
      <w:r>
        <w:br w:type="page"/>
      </w:r>
    </w:p>
    <w:p>
      <w:pPr>
        <w:pStyle w:val="Heading2"/>
        <w:spacing w:before="280" w:after="100"/>
      </w:pPr>
      <w:r>
        <w:rPr>
          <w:rFonts w:ascii="Calibri" w:hAnsi="Calibri"/>
          <w:b/>
          <w:color w:val="1A1A1A"/>
          <w:sz w:val="25"/>
        </w:rPr>
        <w:t>1.1 Who is the main target population?</w:t>
      </w:r>
    </w:p>
    <w:p>
      <w:pPr>
        <w:spacing w:after="140"/>
        <w:jc w:val="both"/>
      </w:pPr>
      <w:r>
        <w:rPr>
          <w:b w:val="0"/>
          <w:i w:val="0"/>
          <w:color w:val="1A1A1A"/>
          <w:sz w:val="21"/>
        </w:rPr>
        <w:t>A natural summary of the profile above would be "under 50, urban, with Social Security". Tested directly, only one part of that holds up. Table 2a scores candidate target definitions on two things: precision — the rate of private-hospital use within the group, calculated over all 2,017 respondents — and reach, the share of all 127 private-hospital users the group contains. The average rate is 6.3%.</w:t>
      </w:r>
    </w:p>
    <w:p>
      <w:pPr>
        <w:spacing w:after="140"/>
        <w:jc w:val="both"/>
      </w:pPr>
      <w:r>
        <w:rPr>
          <w:b w:val="0"/>
          <w:i w:val="0"/>
          <w:color w:val="1A1A1A"/>
          <w:sz w:val="21"/>
        </w:rPr>
        <w:t>Social Security on its own is the strongest single marker: it covers 23.5% of respondents but contains 69.3% of all private-hospital users, at a rate of 18.6% — three times the average. Adding "under 50" makes the target worse rather than better: the rate falls to 16.8% and reach to 49.6%. Adding "municipal" raises precision to 22.2% but halves reach, because half of all private-hospital users live outside municipalities. The full combination of all three has a rate of 18.8% — no better than Social Security alone — while capturing only 19.7% of users.</w:t>
      </w:r>
    </w:p>
    <w:p>
      <w:pPr>
        <w:spacing w:after="140"/>
        <w:jc w:val="both"/>
      </w:pPr>
      <w:r>
        <w:rPr>
          <w:b w:val="0"/>
          <w:i w:val="0"/>
          <w:color w:val="1A1A1A"/>
          <w:sz w:val="21"/>
        </w:rPr>
        <w:t>Income is the better second marker. Social Security members with a household income of ฿30,000 or more have the highest rate of the definitions in Table 2a, 25.6% (index 406), and still account for 34.6% of users.</w:t>
      </w:r>
    </w:p>
    <w:p>
      <w:pPr>
        <w:spacing w:before="200" w:after="60"/>
      </w:pPr>
      <w:r>
        <w:rPr>
          <w:b/>
          <w:color w:val="1A1A1A"/>
          <w:sz w:val="19"/>
        </w:rPr>
        <w:t xml:space="preserve">Table 2a.  </w:t>
      </w:r>
      <w:r>
        <w:rPr>
          <w:color w:val="1A1A1A"/>
          <w:sz w:val="19"/>
        </w:rPr>
        <w:t>Candidate target definitions compared on precision and reach.</w:t>
      </w:r>
    </w:p>
    <w:p>
      <w:pPr>
        <w:spacing w:before="40" w:after="220"/>
      </w:pPr>
      <w:r>
        <w:rPr>
          <w:i/>
          <w:color w:val="606060"/>
          <w:sz w:val="16"/>
        </w:rPr>
        <w:t>Rate = private-hospital users ÷ everyone in the group, over all 2,017 respondents (people with no usual source of care count as non-users). Share = users in the group ÷ all 127 users. Index = rate ÷ 6.3% × 100. Scheme is coverage ownership, not registration or payment.</w:t>
      </w:r>
    </w:p>
    <w:tbl>
      <w:tblPr>
        <w:tblW w:type="auto" w:w="0"/>
        <w:jc w:val="center"/>
        <w:tblLayout w:type="fixed"/>
        <w:tblLook w:firstColumn="1" w:firstRow="1" w:lastColumn="0" w:lastRow="0" w:noHBand="0" w:noVBand="1" w:val="04A0"/>
        <w:tblBorders>
          <w:top w:val="single" w:sz="8" w:color="808080"/>
          <w:bottom w:val="single" w:sz="8" w:color="808080"/>
          <w:insideH w:val="single" w:sz="4" w:color="D8D8D8"/>
          <w:left w:val="none"/>
          <w:right w:val="none"/>
          <w:insideV w:val="none"/>
        </w:tblBorders>
        <w:tblLayout w:type="fixed"/>
      </w:tblPr>
      <w:tblGrid>
        <w:gridCol w:w="1205"/>
        <w:gridCol w:w="1205"/>
        <w:gridCol w:w="1205"/>
        <w:gridCol w:w="1205"/>
        <w:gridCol w:w="1205"/>
        <w:gridCol w:w="1205"/>
        <w:gridCol w:w="1205"/>
        <w:gridCol w:w="1205"/>
      </w:tblGrid>
      <w:tr>
        <w:tc>
          <w:tcPr>
            <w:tcW w:type="dxa" w:w="3515"/>
            <w:shd w:val="clear" w:fill="F2F2F0"/>
          </w:tcPr>
          <w:p>
            <w:pPr>
              <w:spacing w:after="0"/>
              <w:jc w:val="left"/>
            </w:pPr>
            <w:r/>
            <w:r>
              <w:rPr>
                <w:b/>
                <w:color w:val="1A1A1A"/>
                <w:sz w:val="15"/>
              </w:rPr>
              <w:t>Target definition</w:t>
            </w:r>
          </w:p>
        </w:tc>
        <w:tc>
          <w:tcPr>
            <w:tcW w:type="dxa" w:w="898"/>
            <w:shd w:val="clear" w:fill="F2F2F0"/>
          </w:tcPr>
          <w:p>
            <w:pPr>
              <w:spacing w:after="0"/>
              <w:jc w:val="center"/>
            </w:pPr>
            <w:r/>
            <w:r>
              <w:rPr>
                <w:b/>
                <w:color w:val="1A1A1A"/>
                <w:sz w:val="15"/>
              </w:rPr>
              <w:t>% of pop.</w:t>
            </w:r>
          </w:p>
        </w:tc>
        <w:tc>
          <w:tcPr>
            <w:tcW w:type="dxa" w:w="898"/>
            <w:shd w:val="clear" w:fill="F2F2F0"/>
          </w:tcPr>
          <w:p>
            <w:pPr>
              <w:spacing w:after="0"/>
              <w:jc w:val="center"/>
            </w:pPr>
            <w:r/>
            <w:r>
              <w:rPr>
                <w:b/>
                <w:color w:val="1A1A1A"/>
                <w:sz w:val="15"/>
              </w:rPr>
              <w:t>Users (n)</w:t>
            </w:r>
          </w:p>
        </w:tc>
        <w:tc>
          <w:tcPr>
            <w:tcW w:type="dxa" w:w="898"/>
            <w:shd w:val="clear" w:fill="F2F2F0"/>
          </w:tcPr>
          <w:p>
            <w:pPr>
              <w:spacing w:after="0"/>
              <w:jc w:val="center"/>
            </w:pPr>
            <w:r/>
            <w:r>
              <w:rPr>
                <w:b/>
                <w:color w:val="1A1A1A"/>
                <w:sz w:val="15"/>
              </w:rPr>
              <w:t>Rate %</w:t>
            </w:r>
          </w:p>
        </w:tc>
        <w:tc>
          <w:tcPr>
            <w:tcW w:type="dxa" w:w="898"/>
            <w:shd w:val="clear" w:fill="F2F2F0"/>
          </w:tcPr>
          <w:p>
            <w:pPr>
              <w:spacing w:after="0"/>
              <w:jc w:val="center"/>
            </w:pPr>
            <w:r/>
            <w:r>
              <w:rPr>
                <w:b/>
                <w:color w:val="1A1A1A"/>
                <w:sz w:val="15"/>
              </w:rPr>
              <w:t>CI low</w:t>
            </w:r>
          </w:p>
        </w:tc>
        <w:tc>
          <w:tcPr>
            <w:tcW w:type="dxa" w:w="898"/>
            <w:shd w:val="clear" w:fill="F2F2F0"/>
          </w:tcPr>
          <w:p>
            <w:pPr>
              <w:spacing w:after="0"/>
              <w:jc w:val="center"/>
            </w:pPr>
            <w:r/>
            <w:r>
              <w:rPr>
                <w:b/>
                <w:color w:val="1A1A1A"/>
                <w:sz w:val="15"/>
              </w:rPr>
              <w:t>CI high</w:t>
            </w:r>
          </w:p>
        </w:tc>
        <w:tc>
          <w:tcPr>
            <w:tcW w:type="dxa" w:w="898"/>
            <w:shd w:val="clear" w:fill="F2F2F0"/>
          </w:tcPr>
          <w:p>
            <w:pPr>
              <w:spacing w:after="0"/>
              <w:jc w:val="center"/>
            </w:pPr>
            <w:r/>
            <w:r>
              <w:rPr>
                <w:b/>
                <w:color w:val="1A1A1A"/>
                <w:sz w:val="15"/>
              </w:rPr>
              <w:t>Share of users %</w:t>
            </w:r>
          </w:p>
        </w:tc>
        <w:tc>
          <w:tcPr>
            <w:tcW w:type="dxa" w:w="737"/>
            <w:shd w:val="clear" w:fill="F2F2F0"/>
          </w:tcPr>
          <w:p>
            <w:pPr>
              <w:spacing w:after="0"/>
              <w:jc w:val="center"/>
            </w:pPr>
            <w:r/>
            <w:r>
              <w:rPr>
                <w:b/>
                <w:color w:val="1A1A1A"/>
                <w:sz w:val="15"/>
              </w:rPr>
              <w:t>Index</w:t>
            </w:r>
          </w:p>
        </w:tc>
      </w:tr>
      <w:tr>
        <w:tc>
          <w:tcPr>
            <w:tcW w:type="dxa" w:w="3515"/>
          </w:tcPr>
          <w:p>
            <w:pPr>
              <w:spacing w:after="0"/>
              <w:jc w:val="left"/>
            </w:pPr>
            <w:r/>
            <w:r>
              <w:rPr>
                <w:color w:val="1A1A1A"/>
                <w:sz w:val="15"/>
              </w:rPr>
              <w:t>Everyone (reference)</w:t>
            </w:r>
          </w:p>
        </w:tc>
        <w:tc>
          <w:tcPr>
            <w:tcW w:type="dxa" w:w="898"/>
          </w:tcPr>
          <w:p>
            <w:pPr>
              <w:spacing w:after="0"/>
              <w:jc w:val="center"/>
            </w:pPr>
            <w:r/>
            <w:r>
              <w:rPr>
                <w:color w:val="1A1A1A"/>
                <w:sz w:val="15"/>
              </w:rPr>
              <w:t>100.0</w:t>
            </w:r>
          </w:p>
        </w:tc>
        <w:tc>
          <w:tcPr>
            <w:tcW w:type="dxa" w:w="898"/>
          </w:tcPr>
          <w:p>
            <w:pPr>
              <w:spacing w:after="0"/>
              <w:jc w:val="center"/>
            </w:pPr>
            <w:r/>
            <w:r>
              <w:rPr>
                <w:color w:val="1A1A1A"/>
                <w:sz w:val="15"/>
              </w:rPr>
              <w:t>127</w:t>
            </w:r>
          </w:p>
        </w:tc>
        <w:tc>
          <w:tcPr>
            <w:tcW w:type="dxa" w:w="898"/>
          </w:tcPr>
          <w:p>
            <w:pPr>
              <w:spacing w:after="0"/>
              <w:jc w:val="center"/>
            </w:pPr>
            <w:r/>
            <w:r>
              <w:rPr>
                <w:color w:val="1A1A1A"/>
                <w:sz w:val="15"/>
              </w:rPr>
              <w:t>6.3</w:t>
            </w:r>
          </w:p>
        </w:tc>
        <w:tc>
          <w:tcPr>
            <w:tcW w:type="dxa" w:w="898"/>
          </w:tcPr>
          <w:p>
            <w:pPr>
              <w:spacing w:after="0"/>
              <w:jc w:val="center"/>
            </w:pPr>
            <w:r/>
            <w:r>
              <w:rPr>
                <w:color w:val="1A1A1A"/>
                <w:sz w:val="15"/>
              </w:rPr>
              <w:t>5.3</w:t>
            </w:r>
          </w:p>
        </w:tc>
        <w:tc>
          <w:tcPr>
            <w:tcW w:type="dxa" w:w="898"/>
          </w:tcPr>
          <w:p>
            <w:pPr>
              <w:spacing w:after="0"/>
              <w:jc w:val="center"/>
            </w:pPr>
            <w:r/>
            <w:r>
              <w:rPr>
                <w:color w:val="1A1A1A"/>
                <w:sz w:val="15"/>
              </w:rPr>
              <w:t>7.4</w:t>
            </w:r>
          </w:p>
        </w:tc>
        <w:tc>
          <w:tcPr>
            <w:tcW w:type="dxa" w:w="898"/>
          </w:tcPr>
          <w:p>
            <w:pPr>
              <w:spacing w:after="0"/>
              <w:jc w:val="center"/>
            </w:pPr>
            <w:r/>
            <w:r>
              <w:rPr>
                <w:color w:val="1A1A1A"/>
                <w:sz w:val="15"/>
              </w:rPr>
              <w:t>100.0</w:t>
            </w:r>
          </w:p>
        </w:tc>
        <w:tc>
          <w:tcPr>
            <w:tcW w:type="dxa" w:w="737"/>
          </w:tcPr>
          <w:p>
            <w:pPr>
              <w:spacing w:after="0"/>
              <w:jc w:val="center"/>
            </w:pPr>
            <w:r/>
            <w:r>
              <w:rPr>
                <w:color w:val="1A1A1A"/>
                <w:sz w:val="15"/>
              </w:rPr>
              <w:t>100</w:t>
            </w:r>
          </w:p>
        </w:tc>
      </w:tr>
      <w:tr>
        <w:tc>
          <w:tcPr>
            <w:tcW w:type="dxa" w:w="3515"/>
          </w:tcPr>
          <w:p>
            <w:pPr>
              <w:spacing w:after="0"/>
              <w:jc w:val="left"/>
            </w:pPr>
            <w:r/>
            <w:r>
              <w:rPr>
                <w:color w:val="1A1A1A"/>
                <w:sz w:val="15"/>
              </w:rPr>
              <w:t>Under 50</w:t>
            </w:r>
          </w:p>
        </w:tc>
        <w:tc>
          <w:tcPr>
            <w:tcW w:type="dxa" w:w="898"/>
          </w:tcPr>
          <w:p>
            <w:pPr>
              <w:spacing w:after="0"/>
              <w:jc w:val="center"/>
            </w:pPr>
            <w:r/>
            <w:r>
              <w:rPr>
                <w:color w:val="1A1A1A"/>
                <w:sz w:val="15"/>
              </w:rPr>
              <w:t>55.0</w:t>
            </w:r>
          </w:p>
        </w:tc>
        <w:tc>
          <w:tcPr>
            <w:tcW w:type="dxa" w:w="898"/>
          </w:tcPr>
          <w:p>
            <w:pPr>
              <w:spacing w:after="0"/>
              <w:jc w:val="center"/>
            </w:pPr>
            <w:r/>
            <w:r>
              <w:rPr>
                <w:color w:val="1A1A1A"/>
                <w:sz w:val="15"/>
              </w:rPr>
              <w:t>82</w:t>
            </w:r>
          </w:p>
        </w:tc>
        <w:tc>
          <w:tcPr>
            <w:tcW w:type="dxa" w:w="898"/>
          </w:tcPr>
          <w:p>
            <w:pPr>
              <w:spacing w:after="0"/>
              <w:jc w:val="center"/>
            </w:pPr>
            <w:r/>
            <w:r>
              <w:rPr>
                <w:color w:val="1A1A1A"/>
                <w:sz w:val="15"/>
              </w:rPr>
              <w:t>7.4</w:t>
            </w:r>
          </w:p>
        </w:tc>
        <w:tc>
          <w:tcPr>
            <w:tcW w:type="dxa" w:w="898"/>
          </w:tcPr>
          <w:p>
            <w:pPr>
              <w:spacing w:after="0"/>
              <w:jc w:val="center"/>
            </w:pPr>
            <w:r/>
            <w:r>
              <w:rPr>
                <w:color w:val="1A1A1A"/>
                <w:sz w:val="15"/>
              </w:rPr>
              <w:t>6.0</w:t>
            </w:r>
          </w:p>
        </w:tc>
        <w:tc>
          <w:tcPr>
            <w:tcW w:type="dxa" w:w="898"/>
          </w:tcPr>
          <w:p>
            <w:pPr>
              <w:spacing w:after="0"/>
              <w:jc w:val="center"/>
            </w:pPr>
            <w:r/>
            <w:r>
              <w:rPr>
                <w:color w:val="1A1A1A"/>
                <w:sz w:val="15"/>
              </w:rPr>
              <w:t>9.1</w:t>
            </w:r>
          </w:p>
        </w:tc>
        <w:tc>
          <w:tcPr>
            <w:tcW w:type="dxa" w:w="898"/>
          </w:tcPr>
          <w:p>
            <w:pPr>
              <w:spacing w:after="0"/>
              <w:jc w:val="center"/>
            </w:pPr>
            <w:r/>
            <w:r>
              <w:rPr>
                <w:color w:val="1A1A1A"/>
                <w:sz w:val="15"/>
              </w:rPr>
              <w:t>64.6</w:t>
            </w:r>
          </w:p>
        </w:tc>
        <w:tc>
          <w:tcPr>
            <w:tcW w:type="dxa" w:w="737"/>
          </w:tcPr>
          <w:p>
            <w:pPr>
              <w:spacing w:after="0"/>
              <w:jc w:val="center"/>
            </w:pPr>
            <w:r/>
            <w:r>
              <w:rPr>
                <w:color w:val="1A1A1A"/>
                <w:sz w:val="15"/>
              </w:rPr>
              <w:t>117</w:t>
            </w:r>
          </w:p>
        </w:tc>
      </w:tr>
      <w:tr>
        <w:tc>
          <w:tcPr>
            <w:tcW w:type="dxa" w:w="3515"/>
          </w:tcPr>
          <w:p>
            <w:pPr>
              <w:spacing w:after="0"/>
              <w:jc w:val="left"/>
            </w:pPr>
            <w:r/>
            <w:r>
              <w:rPr>
                <w:color w:val="1A1A1A"/>
                <w:sz w:val="15"/>
              </w:rPr>
              <w:t>Municipal (urban)</w:t>
            </w:r>
          </w:p>
        </w:tc>
        <w:tc>
          <w:tcPr>
            <w:tcW w:type="dxa" w:w="898"/>
          </w:tcPr>
          <w:p>
            <w:pPr>
              <w:spacing w:after="0"/>
              <w:jc w:val="center"/>
            </w:pPr>
            <w:r/>
            <w:r>
              <w:rPr>
                <w:color w:val="1A1A1A"/>
                <w:sz w:val="15"/>
              </w:rPr>
              <w:t>34.6</w:t>
            </w:r>
          </w:p>
        </w:tc>
        <w:tc>
          <w:tcPr>
            <w:tcW w:type="dxa" w:w="898"/>
          </w:tcPr>
          <w:p>
            <w:pPr>
              <w:spacing w:after="0"/>
              <w:jc w:val="center"/>
            </w:pPr>
            <w:r/>
            <w:r>
              <w:rPr>
                <w:color w:val="1A1A1A"/>
                <w:sz w:val="15"/>
              </w:rPr>
              <w:t>63</w:t>
            </w:r>
          </w:p>
        </w:tc>
        <w:tc>
          <w:tcPr>
            <w:tcW w:type="dxa" w:w="898"/>
          </w:tcPr>
          <w:p>
            <w:pPr>
              <w:spacing w:after="0"/>
              <w:jc w:val="center"/>
            </w:pPr>
            <w:r/>
            <w:r>
              <w:rPr>
                <w:color w:val="1A1A1A"/>
                <w:sz w:val="15"/>
              </w:rPr>
              <w:t>9.0</w:t>
            </w:r>
          </w:p>
        </w:tc>
        <w:tc>
          <w:tcPr>
            <w:tcW w:type="dxa" w:w="898"/>
          </w:tcPr>
          <w:p>
            <w:pPr>
              <w:spacing w:after="0"/>
              <w:jc w:val="center"/>
            </w:pPr>
            <w:r/>
            <w:r>
              <w:rPr>
                <w:color w:val="1A1A1A"/>
                <w:sz w:val="15"/>
              </w:rPr>
              <w:t>7.1</w:t>
            </w:r>
          </w:p>
        </w:tc>
        <w:tc>
          <w:tcPr>
            <w:tcW w:type="dxa" w:w="898"/>
          </w:tcPr>
          <w:p>
            <w:pPr>
              <w:spacing w:after="0"/>
              <w:jc w:val="center"/>
            </w:pPr>
            <w:r/>
            <w:r>
              <w:rPr>
                <w:color w:val="1A1A1A"/>
                <w:sz w:val="15"/>
              </w:rPr>
              <w:t>11.4</w:t>
            </w:r>
          </w:p>
        </w:tc>
        <w:tc>
          <w:tcPr>
            <w:tcW w:type="dxa" w:w="898"/>
          </w:tcPr>
          <w:p>
            <w:pPr>
              <w:spacing w:after="0"/>
              <w:jc w:val="center"/>
            </w:pPr>
            <w:r/>
            <w:r>
              <w:rPr>
                <w:color w:val="1A1A1A"/>
                <w:sz w:val="15"/>
              </w:rPr>
              <w:t>49.6</w:t>
            </w:r>
          </w:p>
        </w:tc>
        <w:tc>
          <w:tcPr>
            <w:tcW w:type="dxa" w:w="737"/>
          </w:tcPr>
          <w:p>
            <w:pPr>
              <w:spacing w:after="0"/>
              <w:jc w:val="center"/>
            </w:pPr>
            <w:r/>
            <w:r>
              <w:rPr>
                <w:color w:val="1A1A1A"/>
                <w:sz w:val="15"/>
              </w:rPr>
              <w:t>144</w:t>
            </w:r>
          </w:p>
        </w:tc>
      </w:tr>
      <w:tr>
        <w:tc>
          <w:tcPr>
            <w:tcW w:type="dxa" w:w="3515"/>
          </w:tcPr>
          <w:p>
            <w:pPr>
              <w:spacing w:after="0"/>
              <w:jc w:val="left"/>
            </w:pPr>
            <w:r/>
            <w:r>
              <w:rPr>
                <w:color w:val="1A1A1A"/>
                <w:sz w:val="15"/>
              </w:rPr>
              <w:t>Under 50 + municipal</w:t>
            </w:r>
          </w:p>
        </w:tc>
        <w:tc>
          <w:tcPr>
            <w:tcW w:type="dxa" w:w="898"/>
          </w:tcPr>
          <w:p>
            <w:pPr>
              <w:spacing w:after="0"/>
              <w:jc w:val="center"/>
            </w:pPr>
            <w:r/>
            <w:r>
              <w:rPr>
                <w:color w:val="1A1A1A"/>
                <w:sz w:val="15"/>
              </w:rPr>
              <w:t>19.5</w:t>
            </w:r>
          </w:p>
        </w:tc>
        <w:tc>
          <w:tcPr>
            <w:tcW w:type="dxa" w:w="898"/>
          </w:tcPr>
          <w:p>
            <w:pPr>
              <w:spacing w:after="0"/>
              <w:jc w:val="center"/>
            </w:pPr>
            <w:r/>
            <w:r>
              <w:rPr>
                <w:color w:val="1A1A1A"/>
                <w:sz w:val="15"/>
              </w:rPr>
              <w:t>37</w:t>
            </w:r>
          </w:p>
        </w:tc>
        <w:tc>
          <w:tcPr>
            <w:tcW w:type="dxa" w:w="898"/>
          </w:tcPr>
          <w:p>
            <w:pPr>
              <w:spacing w:after="0"/>
              <w:jc w:val="center"/>
            </w:pPr>
            <w:r/>
            <w:r>
              <w:rPr>
                <w:color w:val="1A1A1A"/>
                <w:sz w:val="15"/>
              </w:rPr>
              <w:t>9.4</w:t>
            </w:r>
          </w:p>
        </w:tc>
        <w:tc>
          <w:tcPr>
            <w:tcW w:type="dxa" w:w="898"/>
          </w:tcPr>
          <w:p>
            <w:pPr>
              <w:spacing w:after="0"/>
              <w:jc w:val="center"/>
            </w:pPr>
            <w:r/>
            <w:r>
              <w:rPr>
                <w:color w:val="1A1A1A"/>
                <w:sz w:val="15"/>
              </w:rPr>
              <w:t>6.9</w:t>
            </w:r>
          </w:p>
        </w:tc>
        <w:tc>
          <w:tcPr>
            <w:tcW w:type="dxa" w:w="898"/>
          </w:tcPr>
          <w:p>
            <w:pPr>
              <w:spacing w:after="0"/>
              <w:jc w:val="center"/>
            </w:pPr>
            <w:r/>
            <w:r>
              <w:rPr>
                <w:color w:val="1A1A1A"/>
                <w:sz w:val="15"/>
              </w:rPr>
              <w:t>12.7</w:t>
            </w:r>
          </w:p>
        </w:tc>
        <w:tc>
          <w:tcPr>
            <w:tcW w:type="dxa" w:w="898"/>
          </w:tcPr>
          <w:p>
            <w:pPr>
              <w:spacing w:after="0"/>
              <w:jc w:val="center"/>
            </w:pPr>
            <w:r/>
            <w:r>
              <w:rPr>
                <w:color w:val="1A1A1A"/>
                <w:sz w:val="15"/>
              </w:rPr>
              <w:t>29.1</w:t>
            </w:r>
          </w:p>
        </w:tc>
        <w:tc>
          <w:tcPr>
            <w:tcW w:type="dxa" w:w="737"/>
          </w:tcPr>
          <w:p>
            <w:pPr>
              <w:spacing w:after="0"/>
              <w:jc w:val="center"/>
            </w:pPr>
            <w:r/>
            <w:r>
              <w:rPr>
                <w:color w:val="1A1A1A"/>
                <w:sz w:val="15"/>
              </w:rPr>
              <w:t>150</w:t>
            </w:r>
          </w:p>
        </w:tc>
      </w:tr>
      <w:tr>
        <w:tc>
          <w:tcPr>
            <w:tcW w:type="dxa" w:w="3515"/>
          </w:tcPr>
          <w:p>
            <w:pPr>
              <w:spacing w:after="0"/>
              <w:jc w:val="left"/>
            </w:pPr>
            <w:r/>
            <w:r>
              <w:rPr>
                <w:color w:val="1A1A1A"/>
                <w:sz w:val="15"/>
              </w:rPr>
              <w:t>Income 30k and over</w:t>
            </w:r>
          </w:p>
        </w:tc>
        <w:tc>
          <w:tcPr>
            <w:tcW w:type="dxa" w:w="898"/>
          </w:tcPr>
          <w:p>
            <w:pPr>
              <w:spacing w:after="0"/>
              <w:jc w:val="center"/>
            </w:pPr>
            <w:r/>
            <w:r>
              <w:rPr>
                <w:color w:val="1A1A1A"/>
                <w:sz w:val="15"/>
              </w:rPr>
              <w:t>27.4</w:t>
            </w:r>
          </w:p>
        </w:tc>
        <w:tc>
          <w:tcPr>
            <w:tcW w:type="dxa" w:w="898"/>
          </w:tcPr>
          <w:p>
            <w:pPr>
              <w:spacing w:after="0"/>
              <w:jc w:val="center"/>
            </w:pPr>
            <w:r/>
            <w:r>
              <w:rPr>
                <w:color w:val="1A1A1A"/>
                <w:sz w:val="15"/>
              </w:rPr>
              <w:t>65</w:t>
            </w:r>
          </w:p>
        </w:tc>
        <w:tc>
          <w:tcPr>
            <w:tcW w:type="dxa" w:w="898"/>
          </w:tcPr>
          <w:p>
            <w:pPr>
              <w:spacing w:after="0"/>
              <w:jc w:val="center"/>
            </w:pPr>
            <w:r/>
            <w:r>
              <w:rPr>
                <w:color w:val="1A1A1A"/>
                <w:sz w:val="15"/>
              </w:rPr>
              <w:t>11.8</w:t>
            </w:r>
          </w:p>
        </w:tc>
        <w:tc>
          <w:tcPr>
            <w:tcW w:type="dxa" w:w="898"/>
          </w:tcPr>
          <w:p>
            <w:pPr>
              <w:spacing w:after="0"/>
              <w:jc w:val="center"/>
            </w:pPr>
            <w:r/>
            <w:r>
              <w:rPr>
                <w:color w:val="1A1A1A"/>
                <w:sz w:val="15"/>
              </w:rPr>
              <w:t>9.3</w:t>
            </w:r>
          </w:p>
        </w:tc>
        <w:tc>
          <w:tcPr>
            <w:tcW w:type="dxa" w:w="898"/>
          </w:tcPr>
          <w:p>
            <w:pPr>
              <w:spacing w:after="0"/>
              <w:jc w:val="center"/>
            </w:pPr>
            <w:r/>
            <w:r>
              <w:rPr>
                <w:color w:val="1A1A1A"/>
                <w:sz w:val="15"/>
              </w:rPr>
              <w:t>14.7</w:t>
            </w:r>
          </w:p>
        </w:tc>
        <w:tc>
          <w:tcPr>
            <w:tcW w:type="dxa" w:w="898"/>
          </w:tcPr>
          <w:p>
            <w:pPr>
              <w:spacing w:after="0"/>
              <w:jc w:val="center"/>
            </w:pPr>
            <w:r/>
            <w:r>
              <w:rPr>
                <w:color w:val="1A1A1A"/>
                <w:sz w:val="15"/>
              </w:rPr>
              <w:t>51.2</w:t>
            </w:r>
          </w:p>
        </w:tc>
        <w:tc>
          <w:tcPr>
            <w:tcW w:type="dxa" w:w="737"/>
          </w:tcPr>
          <w:p>
            <w:pPr>
              <w:spacing w:after="0"/>
              <w:jc w:val="center"/>
            </w:pPr>
            <w:r/>
            <w:r>
              <w:rPr>
                <w:color w:val="1A1A1A"/>
                <w:sz w:val="15"/>
              </w:rPr>
              <w:t>187</w:t>
            </w:r>
          </w:p>
        </w:tc>
      </w:tr>
      <w:tr>
        <w:tc>
          <w:tcPr>
            <w:tcW w:type="dxa" w:w="3515"/>
          </w:tcPr>
          <w:p>
            <w:pPr>
              <w:spacing w:after="0"/>
              <w:jc w:val="left"/>
            </w:pPr>
            <w:r/>
            <w:r>
              <w:rPr>
                <w:color w:val="1A1A1A"/>
                <w:sz w:val="15"/>
              </w:rPr>
              <w:t>Owns private insurance</w:t>
            </w:r>
          </w:p>
        </w:tc>
        <w:tc>
          <w:tcPr>
            <w:tcW w:type="dxa" w:w="898"/>
          </w:tcPr>
          <w:p>
            <w:pPr>
              <w:spacing w:after="0"/>
              <w:jc w:val="center"/>
            </w:pPr>
            <w:r/>
            <w:r>
              <w:rPr>
                <w:color w:val="1A1A1A"/>
                <w:sz w:val="15"/>
              </w:rPr>
              <w:t>15.1</w:t>
            </w:r>
          </w:p>
        </w:tc>
        <w:tc>
          <w:tcPr>
            <w:tcW w:type="dxa" w:w="898"/>
          </w:tcPr>
          <w:p>
            <w:pPr>
              <w:spacing w:after="0"/>
              <w:jc w:val="center"/>
            </w:pPr>
            <w:r/>
            <w:r>
              <w:rPr>
                <w:color w:val="1A1A1A"/>
                <w:sz w:val="15"/>
              </w:rPr>
              <w:t>40</w:t>
            </w:r>
          </w:p>
        </w:tc>
        <w:tc>
          <w:tcPr>
            <w:tcW w:type="dxa" w:w="898"/>
          </w:tcPr>
          <w:p>
            <w:pPr>
              <w:spacing w:after="0"/>
              <w:jc w:val="center"/>
            </w:pPr>
            <w:r/>
            <w:r>
              <w:rPr>
                <w:color w:val="1A1A1A"/>
                <w:sz w:val="15"/>
              </w:rPr>
              <w:t>13.2</w:t>
            </w:r>
          </w:p>
        </w:tc>
        <w:tc>
          <w:tcPr>
            <w:tcW w:type="dxa" w:w="898"/>
          </w:tcPr>
          <w:p>
            <w:pPr>
              <w:spacing w:after="0"/>
              <w:jc w:val="center"/>
            </w:pPr>
            <w:r/>
            <w:r>
              <w:rPr>
                <w:color w:val="1A1A1A"/>
                <w:sz w:val="15"/>
              </w:rPr>
              <w:t>9.8</w:t>
            </w:r>
          </w:p>
        </w:tc>
        <w:tc>
          <w:tcPr>
            <w:tcW w:type="dxa" w:w="898"/>
          </w:tcPr>
          <w:p>
            <w:pPr>
              <w:spacing w:after="0"/>
              <w:jc w:val="center"/>
            </w:pPr>
            <w:r/>
            <w:r>
              <w:rPr>
                <w:color w:val="1A1A1A"/>
                <w:sz w:val="15"/>
              </w:rPr>
              <w:t>17.4</w:t>
            </w:r>
          </w:p>
        </w:tc>
        <w:tc>
          <w:tcPr>
            <w:tcW w:type="dxa" w:w="898"/>
          </w:tcPr>
          <w:p>
            <w:pPr>
              <w:spacing w:after="0"/>
              <w:jc w:val="center"/>
            </w:pPr>
            <w:r/>
            <w:r>
              <w:rPr>
                <w:color w:val="1A1A1A"/>
                <w:sz w:val="15"/>
              </w:rPr>
              <w:t>31.5</w:t>
            </w:r>
          </w:p>
        </w:tc>
        <w:tc>
          <w:tcPr>
            <w:tcW w:type="dxa" w:w="737"/>
          </w:tcPr>
          <w:p>
            <w:pPr>
              <w:spacing w:after="0"/>
              <w:jc w:val="center"/>
            </w:pPr>
            <w:r/>
            <w:r>
              <w:rPr>
                <w:color w:val="1A1A1A"/>
                <w:sz w:val="15"/>
              </w:rPr>
              <w:t>209</w:t>
            </w:r>
          </w:p>
        </w:tc>
      </w:tr>
      <w:tr>
        <w:tc>
          <w:tcPr>
            <w:tcW w:type="dxa" w:w="3515"/>
          </w:tcPr>
          <w:p>
            <w:pPr>
              <w:spacing w:after="0"/>
              <w:jc w:val="left"/>
            </w:pPr>
            <w:r/>
            <w:r>
              <w:rPr>
                <w:color w:val="1A1A1A"/>
                <w:sz w:val="15"/>
              </w:rPr>
              <w:t>Social Security</w:t>
            </w:r>
          </w:p>
        </w:tc>
        <w:tc>
          <w:tcPr>
            <w:tcW w:type="dxa" w:w="898"/>
          </w:tcPr>
          <w:p>
            <w:pPr>
              <w:spacing w:after="0"/>
              <w:jc w:val="center"/>
            </w:pPr>
            <w:r/>
            <w:r>
              <w:rPr>
                <w:color w:val="1A1A1A"/>
                <w:sz w:val="15"/>
              </w:rPr>
              <w:t>23.5</w:t>
            </w:r>
          </w:p>
        </w:tc>
        <w:tc>
          <w:tcPr>
            <w:tcW w:type="dxa" w:w="898"/>
          </w:tcPr>
          <w:p>
            <w:pPr>
              <w:spacing w:after="0"/>
              <w:jc w:val="center"/>
            </w:pPr>
            <w:r/>
            <w:r>
              <w:rPr>
                <w:color w:val="1A1A1A"/>
                <w:sz w:val="15"/>
              </w:rPr>
              <w:t>88</w:t>
            </w:r>
          </w:p>
        </w:tc>
        <w:tc>
          <w:tcPr>
            <w:tcW w:type="dxa" w:w="898"/>
          </w:tcPr>
          <w:p>
            <w:pPr>
              <w:spacing w:after="0"/>
              <w:jc w:val="center"/>
            </w:pPr>
            <w:r/>
            <w:r>
              <w:rPr>
                <w:color w:val="1A1A1A"/>
                <w:sz w:val="15"/>
              </w:rPr>
              <w:t>18.6</w:t>
            </w:r>
          </w:p>
        </w:tc>
        <w:tc>
          <w:tcPr>
            <w:tcW w:type="dxa" w:w="898"/>
          </w:tcPr>
          <w:p>
            <w:pPr>
              <w:spacing w:after="0"/>
              <w:jc w:val="center"/>
            </w:pPr>
            <w:r/>
            <w:r>
              <w:rPr>
                <w:color w:val="1A1A1A"/>
                <w:sz w:val="15"/>
              </w:rPr>
              <w:t>15.3</w:t>
            </w:r>
          </w:p>
        </w:tc>
        <w:tc>
          <w:tcPr>
            <w:tcW w:type="dxa" w:w="898"/>
          </w:tcPr>
          <w:p>
            <w:pPr>
              <w:spacing w:after="0"/>
              <w:jc w:val="center"/>
            </w:pPr>
            <w:r/>
            <w:r>
              <w:rPr>
                <w:color w:val="1A1A1A"/>
                <w:sz w:val="15"/>
              </w:rPr>
              <w:t>22.3</w:t>
            </w:r>
          </w:p>
        </w:tc>
        <w:tc>
          <w:tcPr>
            <w:tcW w:type="dxa" w:w="898"/>
          </w:tcPr>
          <w:p>
            <w:pPr>
              <w:spacing w:after="0"/>
              <w:jc w:val="center"/>
            </w:pPr>
            <w:r/>
            <w:r>
              <w:rPr>
                <w:color w:val="1A1A1A"/>
                <w:sz w:val="15"/>
              </w:rPr>
              <w:t>69.3</w:t>
            </w:r>
          </w:p>
        </w:tc>
        <w:tc>
          <w:tcPr>
            <w:tcW w:type="dxa" w:w="737"/>
          </w:tcPr>
          <w:p>
            <w:pPr>
              <w:spacing w:after="0"/>
              <w:jc w:val="center"/>
            </w:pPr>
            <w:r/>
            <w:r>
              <w:rPr>
                <w:color w:val="1A1A1A"/>
                <w:sz w:val="15"/>
              </w:rPr>
              <w:t>295</w:t>
            </w:r>
          </w:p>
        </w:tc>
      </w:tr>
      <w:tr>
        <w:tc>
          <w:tcPr>
            <w:tcW w:type="dxa" w:w="3515"/>
          </w:tcPr>
          <w:p>
            <w:pPr>
              <w:spacing w:after="0"/>
              <w:jc w:val="left"/>
            </w:pPr>
            <w:r/>
            <w:r>
              <w:rPr>
                <w:color w:val="1A1A1A"/>
                <w:sz w:val="15"/>
              </w:rPr>
              <w:t>Social Security + under 50</w:t>
            </w:r>
          </w:p>
        </w:tc>
        <w:tc>
          <w:tcPr>
            <w:tcW w:type="dxa" w:w="898"/>
          </w:tcPr>
          <w:p>
            <w:pPr>
              <w:spacing w:after="0"/>
              <w:jc w:val="center"/>
            </w:pPr>
            <w:r/>
            <w:r>
              <w:rPr>
                <w:color w:val="1A1A1A"/>
                <w:sz w:val="15"/>
              </w:rPr>
              <w:t>18.6</w:t>
            </w:r>
          </w:p>
        </w:tc>
        <w:tc>
          <w:tcPr>
            <w:tcW w:type="dxa" w:w="898"/>
          </w:tcPr>
          <w:p>
            <w:pPr>
              <w:spacing w:after="0"/>
              <w:jc w:val="center"/>
            </w:pPr>
            <w:r/>
            <w:r>
              <w:rPr>
                <w:color w:val="1A1A1A"/>
                <w:sz w:val="15"/>
              </w:rPr>
              <w:t>63</w:t>
            </w:r>
          </w:p>
        </w:tc>
        <w:tc>
          <w:tcPr>
            <w:tcW w:type="dxa" w:w="898"/>
          </w:tcPr>
          <w:p>
            <w:pPr>
              <w:spacing w:after="0"/>
              <w:jc w:val="center"/>
            </w:pPr>
            <w:r/>
            <w:r>
              <w:rPr>
                <w:color w:val="1A1A1A"/>
                <w:sz w:val="15"/>
              </w:rPr>
              <w:t>16.8</w:t>
            </w:r>
          </w:p>
        </w:tc>
        <w:tc>
          <w:tcPr>
            <w:tcW w:type="dxa" w:w="898"/>
          </w:tcPr>
          <w:p>
            <w:pPr>
              <w:spacing w:after="0"/>
              <w:jc w:val="center"/>
            </w:pPr>
            <w:r/>
            <w:r>
              <w:rPr>
                <w:color w:val="1A1A1A"/>
                <w:sz w:val="15"/>
              </w:rPr>
              <w:t>13.4</w:t>
            </w:r>
          </w:p>
        </w:tc>
        <w:tc>
          <w:tcPr>
            <w:tcW w:type="dxa" w:w="898"/>
          </w:tcPr>
          <w:p>
            <w:pPr>
              <w:spacing w:after="0"/>
              <w:jc w:val="center"/>
            </w:pPr>
            <w:r/>
            <w:r>
              <w:rPr>
                <w:color w:val="1A1A1A"/>
                <w:sz w:val="15"/>
              </w:rPr>
              <w:t>20.9</w:t>
            </w:r>
          </w:p>
        </w:tc>
        <w:tc>
          <w:tcPr>
            <w:tcW w:type="dxa" w:w="898"/>
          </w:tcPr>
          <w:p>
            <w:pPr>
              <w:spacing w:after="0"/>
              <w:jc w:val="center"/>
            </w:pPr>
            <w:r/>
            <w:r>
              <w:rPr>
                <w:color w:val="1A1A1A"/>
                <w:sz w:val="15"/>
              </w:rPr>
              <w:t>49.6</w:t>
            </w:r>
          </w:p>
        </w:tc>
        <w:tc>
          <w:tcPr>
            <w:tcW w:type="dxa" w:w="737"/>
          </w:tcPr>
          <w:p>
            <w:pPr>
              <w:spacing w:after="0"/>
              <w:jc w:val="center"/>
            </w:pPr>
            <w:r/>
            <w:r>
              <w:rPr>
                <w:color w:val="1A1A1A"/>
                <w:sz w:val="15"/>
              </w:rPr>
              <w:t>267</w:t>
            </w:r>
          </w:p>
        </w:tc>
      </w:tr>
      <w:tr>
        <w:tc>
          <w:tcPr>
            <w:tcW w:type="dxa" w:w="3515"/>
          </w:tcPr>
          <w:p>
            <w:pPr>
              <w:spacing w:after="0"/>
              <w:jc w:val="left"/>
            </w:pPr>
            <w:r/>
            <w:r>
              <w:rPr>
                <w:color w:val="1A1A1A"/>
                <w:sz w:val="15"/>
              </w:rPr>
              <w:t>Social Security + municipal</w:t>
            </w:r>
          </w:p>
        </w:tc>
        <w:tc>
          <w:tcPr>
            <w:tcW w:type="dxa" w:w="898"/>
          </w:tcPr>
          <w:p>
            <w:pPr>
              <w:spacing w:after="0"/>
              <w:jc w:val="center"/>
            </w:pPr>
            <w:r/>
            <w:r>
              <w:rPr>
                <w:color w:val="1A1A1A"/>
                <w:sz w:val="15"/>
              </w:rPr>
              <w:t>9.2</w:t>
            </w:r>
          </w:p>
        </w:tc>
        <w:tc>
          <w:tcPr>
            <w:tcW w:type="dxa" w:w="898"/>
          </w:tcPr>
          <w:p>
            <w:pPr>
              <w:spacing w:after="0"/>
              <w:jc w:val="center"/>
            </w:pPr>
            <w:r/>
            <w:r>
              <w:rPr>
                <w:color w:val="1A1A1A"/>
                <w:sz w:val="15"/>
              </w:rPr>
              <w:t>41</w:t>
            </w:r>
          </w:p>
        </w:tc>
        <w:tc>
          <w:tcPr>
            <w:tcW w:type="dxa" w:w="898"/>
          </w:tcPr>
          <w:p>
            <w:pPr>
              <w:spacing w:after="0"/>
              <w:jc w:val="center"/>
            </w:pPr>
            <w:r/>
            <w:r>
              <w:rPr>
                <w:color w:val="1A1A1A"/>
                <w:sz w:val="15"/>
              </w:rPr>
              <w:t>22.2</w:t>
            </w:r>
          </w:p>
        </w:tc>
        <w:tc>
          <w:tcPr>
            <w:tcW w:type="dxa" w:w="898"/>
          </w:tcPr>
          <w:p>
            <w:pPr>
              <w:spacing w:after="0"/>
              <w:jc w:val="center"/>
            </w:pPr>
            <w:r/>
            <w:r>
              <w:rPr>
                <w:color w:val="1A1A1A"/>
                <w:sz w:val="15"/>
              </w:rPr>
              <w:t>16.8</w:t>
            </w:r>
          </w:p>
        </w:tc>
        <w:tc>
          <w:tcPr>
            <w:tcW w:type="dxa" w:w="898"/>
          </w:tcPr>
          <w:p>
            <w:pPr>
              <w:spacing w:after="0"/>
              <w:jc w:val="center"/>
            </w:pPr>
            <w:r/>
            <w:r>
              <w:rPr>
                <w:color w:val="1A1A1A"/>
                <w:sz w:val="15"/>
              </w:rPr>
              <w:t>28.7</w:t>
            </w:r>
          </w:p>
        </w:tc>
        <w:tc>
          <w:tcPr>
            <w:tcW w:type="dxa" w:w="898"/>
          </w:tcPr>
          <w:p>
            <w:pPr>
              <w:spacing w:after="0"/>
              <w:jc w:val="center"/>
            </w:pPr>
            <w:r/>
            <w:r>
              <w:rPr>
                <w:color w:val="1A1A1A"/>
                <w:sz w:val="15"/>
              </w:rPr>
              <w:t>32.3</w:t>
            </w:r>
          </w:p>
        </w:tc>
        <w:tc>
          <w:tcPr>
            <w:tcW w:type="dxa" w:w="737"/>
          </w:tcPr>
          <w:p>
            <w:pPr>
              <w:spacing w:after="0"/>
              <w:jc w:val="center"/>
            </w:pPr>
            <w:r/>
            <w:r>
              <w:rPr>
                <w:color w:val="1A1A1A"/>
                <w:sz w:val="15"/>
              </w:rPr>
              <w:t>352</w:t>
            </w:r>
          </w:p>
        </w:tc>
      </w:tr>
      <w:tr>
        <w:tc>
          <w:tcPr>
            <w:tcW w:type="dxa" w:w="3515"/>
          </w:tcPr>
          <w:p>
            <w:pPr>
              <w:spacing w:after="0"/>
              <w:jc w:val="left"/>
            </w:pPr>
            <w:r/>
            <w:r>
              <w:rPr>
                <w:color w:val="1A1A1A"/>
                <w:sz w:val="15"/>
              </w:rPr>
              <w:t>Social Security + under 50 + municipal  (the starting hypothesis)</w:t>
            </w:r>
          </w:p>
        </w:tc>
        <w:tc>
          <w:tcPr>
            <w:tcW w:type="dxa" w:w="898"/>
          </w:tcPr>
          <w:p>
            <w:pPr>
              <w:spacing w:after="0"/>
              <w:jc w:val="center"/>
            </w:pPr>
            <w:r/>
            <w:r>
              <w:rPr>
                <w:color w:val="1A1A1A"/>
                <w:sz w:val="15"/>
              </w:rPr>
              <w:t>6.6</w:t>
            </w:r>
          </w:p>
        </w:tc>
        <w:tc>
          <w:tcPr>
            <w:tcW w:type="dxa" w:w="898"/>
          </w:tcPr>
          <w:p>
            <w:pPr>
              <w:spacing w:after="0"/>
              <w:jc w:val="center"/>
            </w:pPr>
            <w:r/>
            <w:r>
              <w:rPr>
                <w:color w:val="1A1A1A"/>
                <w:sz w:val="15"/>
              </w:rPr>
              <w:t>25</w:t>
            </w:r>
          </w:p>
        </w:tc>
        <w:tc>
          <w:tcPr>
            <w:tcW w:type="dxa" w:w="898"/>
          </w:tcPr>
          <w:p>
            <w:pPr>
              <w:spacing w:after="0"/>
              <w:jc w:val="center"/>
            </w:pPr>
            <w:r/>
            <w:r>
              <w:rPr>
                <w:color w:val="1A1A1A"/>
                <w:sz w:val="15"/>
              </w:rPr>
              <w:t>18.8</w:t>
            </w:r>
          </w:p>
        </w:tc>
        <w:tc>
          <w:tcPr>
            <w:tcW w:type="dxa" w:w="898"/>
          </w:tcPr>
          <w:p>
            <w:pPr>
              <w:spacing w:after="0"/>
              <w:jc w:val="center"/>
            </w:pPr>
            <w:r/>
            <w:r>
              <w:rPr>
                <w:color w:val="1A1A1A"/>
                <w:sz w:val="15"/>
              </w:rPr>
              <w:t>13.1</w:t>
            </w:r>
          </w:p>
        </w:tc>
        <w:tc>
          <w:tcPr>
            <w:tcW w:type="dxa" w:w="898"/>
          </w:tcPr>
          <w:p>
            <w:pPr>
              <w:spacing w:after="0"/>
              <w:jc w:val="center"/>
            </w:pPr>
            <w:r/>
            <w:r>
              <w:rPr>
                <w:color w:val="1A1A1A"/>
                <w:sz w:val="15"/>
              </w:rPr>
              <w:t>26.3</w:t>
            </w:r>
          </w:p>
        </w:tc>
        <w:tc>
          <w:tcPr>
            <w:tcW w:type="dxa" w:w="898"/>
          </w:tcPr>
          <w:p>
            <w:pPr>
              <w:spacing w:after="0"/>
              <w:jc w:val="center"/>
            </w:pPr>
            <w:r/>
            <w:r>
              <w:rPr>
                <w:color w:val="1A1A1A"/>
                <w:sz w:val="15"/>
              </w:rPr>
              <w:t>19.7</w:t>
            </w:r>
          </w:p>
        </w:tc>
        <w:tc>
          <w:tcPr>
            <w:tcW w:type="dxa" w:w="737"/>
          </w:tcPr>
          <w:p>
            <w:pPr>
              <w:spacing w:after="0"/>
              <w:jc w:val="center"/>
            </w:pPr>
            <w:r/>
            <w:r>
              <w:rPr>
                <w:color w:val="1A1A1A"/>
                <w:sz w:val="15"/>
              </w:rPr>
              <w:t>299</w:t>
            </w:r>
          </w:p>
        </w:tc>
      </w:tr>
      <w:tr>
        <w:tc>
          <w:tcPr>
            <w:tcW w:type="dxa" w:w="3515"/>
          </w:tcPr>
          <w:p>
            <w:pPr>
              <w:spacing w:after="0"/>
              <w:jc w:val="left"/>
            </w:pPr>
            <w:r/>
            <w:r>
              <w:rPr>
                <w:color w:val="1A1A1A"/>
                <w:sz w:val="15"/>
              </w:rPr>
              <w:t>Social Security + income 30k and over</w:t>
            </w:r>
          </w:p>
        </w:tc>
        <w:tc>
          <w:tcPr>
            <w:tcW w:type="dxa" w:w="898"/>
          </w:tcPr>
          <w:p>
            <w:pPr>
              <w:spacing w:after="0"/>
              <w:jc w:val="center"/>
            </w:pPr>
            <w:r/>
            <w:r>
              <w:rPr>
                <w:color w:val="1A1A1A"/>
                <w:sz w:val="15"/>
              </w:rPr>
              <w:t>8.5</w:t>
            </w:r>
          </w:p>
        </w:tc>
        <w:tc>
          <w:tcPr>
            <w:tcW w:type="dxa" w:w="898"/>
          </w:tcPr>
          <w:p>
            <w:pPr>
              <w:spacing w:after="0"/>
              <w:jc w:val="center"/>
            </w:pPr>
            <w:r/>
            <w:r>
              <w:rPr>
                <w:color w:val="1A1A1A"/>
                <w:sz w:val="15"/>
              </w:rPr>
              <w:t>44</w:t>
            </w:r>
          </w:p>
        </w:tc>
        <w:tc>
          <w:tcPr>
            <w:tcW w:type="dxa" w:w="898"/>
          </w:tcPr>
          <w:p>
            <w:pPr>
              <w:spacing w:after="0"/>
              <w:jc w:val="center"/>
            </w:pPr>
            <w:r/>
            <w:r>
              <w:rPr>
                <w:color w:val="1A1A1A"/>
                <w:sz w:val="15"/>
              </w:rPr>
              <w:t>25.6</w:t>
            </w:r>
          </w:p>
        </w:tc>
        <w:tc>
          <w:tcPr>
            <w:tcW w:type="dxa" w:w="898"/>
          </w:tcPr>
          <w:p>
            <w:pPr>
              <w:spacing w:after="0"/>
              <w:jc w:val="center"/>
            </w:pPr>
            <w:r/>
            <w:r>
              <w:rPr>
                <w:color w:val="1A1A1A"/>
                <w:sz w:val="15"/>
              </w:rPr>
              <w:t>19.6</w:t>
            </w:r>
          </w:p>
        </w:tc>
        <w:tc>
          <w:tcPr>
            <w:tcW w:type="dxa" w:w="898"/>
          </w:tcPr>
          <w:p>
            <w:pPr>
              <w:spacing w:after="0"/>
              <w:jc w:val="center"/>
            </w:pPr>
            <w:r/>
            <w:r>
              <w:rPr>
                <w:color w:val="1A1A1A"/>
                <w:sz w:val="15"/>
              </w:rPr>
              <w:t>32.6</w:t>
            </w:r>
          </w:p>
        </w:tc>
        <w:tc>
          <w:tcPr>
            <w:tcW w:type="dxa" w:w="898"/>
          </w:tcPr>
          <w:p>
            <w:pPr>
              <w:spacing w:after="0"/>
              <w:jc w:val="center"/>
            </w:pPr>
            <w:r/>
            <w:r>
              <w:rPr>
                <w:color w:val="1A1A1A"/>
                <w:sz w:val="15"/>
              </w:rPr>
              <w:t>34.6</w:t>
            </w:r>
          </w:p>
        </w:tc>
        <w:tc>
          <w:tcPr>
            <w:tcW w:type="dxa" w:w="737"/>
          </w:tcPr>
          <w:p>
            <w:pPr>
              <w:spacing w:after="0"/>
              <w:jc w:val="center"/>
            </w:pPr>
            <w:r/>
            <w:r>
              <w:rPr>
                <w:color w:val="1A1A1A"/>
                <w:sz w:val="15"/>
              </w:rPr>
              <w:t>406</w:t>
            </w:r>
          </w:p>
        </w:tc>
      </w:tr>
      <w:tr>
        <w:tc>
          <w:tcPr>
            <w:tcW w:type="dxa" w:w="3515"/>
          </w:tcPr>
          <w:p>
            <w:pPr>
              <w:spacing w:after="0"/>
              <w:jc w:val="left"/>
            </w:pPr>
            <w:r/>
            <w:r>
              <w:rPr>
                <w:color w:val="1A1A1A"/>
                <w:sz w:val="15"/>
              </w:rPr>
              <w:t>Social Security OR owns private insurance</w:t>
            </w:r>
          </w:p>
        </w:tc>
        <w:tc>
          <w:tcPr>
            <w:tcW w:type="dxa" w:w="898"/>
          </w:tcPr>
          <w:p>
            <w:pPr>
              <w:spacing w:after="0"/>
              <w:jc w:val="center"/>
            </w:pPr>
            <w:r/>
            <w:r>
              <w:rPr>
                <w:color w:val="1A1A1A"/>
                <w:sz w:val="15"/>
              </w:rPr>
              <w:t>33.4</w:t>
            </w:r>
          </w:p>
        </w:tc>
        <w:tc>
          <w:tcPr>
            <w:tcW w:type="dxa" w:w="898"/>
          </w:tcPr>
          <w:p>
            <w:pPr>
              <w:spacing w:after="0"/>
              <w:jc w:val="center"/>
            </w:pPr>
            <w:r/>
            <w:r>
              <w:rPr>
                <w:color w:val="1A1A1A"/>
                <w:sz w:val="15"/>
              </w:rPr>
              <w:t>106</w:t>
            </w:r>
          </w:p>
        </w:tc>
        <w:tc>
          <w:tcPr>
            <w:tcW w:type="dxa" w:w="898"/>
          </w:tcPr>
          <w:p>
            <w:pPr>
              <w:spacing w:after="0"/>
              <w:jc w:val="center"/>
            </w:pPr>
            <w:r/>
            <w:r>
              <w:rPr>
                <w:color w:val="1A1A1A"/>
                <w:sz w:val="15"/>
              </w:rPr>
              <w:t>15.7</w:t>
            </w:r>
          </w:p>
        </w:tc>
        <w:tc>
          <w:tcPr>
            <w:tcW w:type="dxa" w:w="898"/>
          </w:tcPr>
          <w:p>
            <w:pPr>
              <w:spacing w:after="0"/>
              <w:jc w:val="center"/>
            </w:pPr>
            <w:r/>
            <w:r>
              <w:rPr>
                <w:color w:val="1A1A1A"/>
                <w:sz w:val="15"/>
              </w:rPr>
              <w:t>13.2</w:t>
            </w:r>
          </w:p>
        </w:tc>
        <w:tc>
          <w:tcPr>
            <w:tcW w:type="dxa" w:w="898"/>
          </w:tcPr>
          <w:p>
            <w:pPr>
              <w:spacing w:after="0"/>
              <w:jc w:val="center"/>
            </w:pPr>
            <w:r/>
            <w:r>
              <w:rPr>
                <w:color w:val="1A1A1A"/>
                <w:sz w:val="15"/>
              </w:rPr>
              <w:t>18.7</w:t>
            </w:r>
          </w:p>
        </w:tc>
        <w:tc>
          <w:tcPr>
            <w:tcW w:type="dxa" w:w="898"/>
          </w:tcPr>
          <w:p>
            <w:pPr>
              <w:spacing w:after="0"/>
              <w:jc w:val="center"/>
            </w:pPr>
            <w:r/>
            <w:r>
              <w:rPr>
                <w:color w:val="1A1A1A"/>
                <w:sz w:val="15"/>
              </w:rPr>
              <w:t>83.5</w:t>
            </w:r>
          </w:p>
        </w:tc>
        <w:tc>
          <w:tcPr>
            <w:tcW w:type="dxa" w:w="737"/>
          </w:tcPr>
          <w:p>
            <w:pPr>
              <w:spacing w:after="0"/>
              <w:jc w:val="center"/>
            </w:pPr>
            <w:r/>
            <w:r>
              <w:rPr>
                <w:color w:val="1A1A1A"/>
                <w:sz w:val="15"/>
              </w:rPr>
              <w:t>250</w:t>
            </w:r>
          </w:p>
        </w:tc>
      </w:tr>
    </w:tbl>
    <w:p>
      <w:pPr>
        <w:spacing w:after="140"/>
        <w:jc w:val="both"/>
      </w:pPr>
      <w:r>
        <w:rPr>
          <w:b w:val="0"/>
          <w:i w:val="0"/>
          <w:color w:val="1A1A1A"/>
          <w:sz w:val="21"/>
        </w:rPr>
        <w:t>Age is the trap. Under-50s have a higher rate overall (7.4% against 5.0%), but that is because Social Security members are mostly working-age. Within Social Security, members aged 50 and over are at least as likely to use a private hospital — 25.3% (95% CI 17.7–34.6) against 16.8% (13.4–20.9) — and under Universal Coverage the two age groups are essentially equal. When every characteristic is considered at once, Social Security (aOR 6.95, +13.3 percentage points), household income of ฿30,000 or more (5.54, +7.1 pp) and owning private insurance (1.94, +4.0 pp) each mark private-hospital users independently; being under 50 does not (0.73, 0.43–1.25), and municipal residence is suggestive but not statistically clear (1.69, 0.93–3.07).</w:t>
      </w:r>
    </w:p>
    <w:p>
      <w:pPr>
        <w:spacing w:before="200" w:after="60"/>
      </w:pPr>
      <w:r>
        <w:rPr>
          <w:b/>
          <w:color w:val="1A1A1A"/>
          <w:sz w:val="19"/>
        </w:rPr>
        <w:t xml:space="preserve">Table 2b.  </w:t>
      </w:r>
      <w:r>
        <w:rPr>
          <w:color w:val="1A1A1A"/>
          <w:sz w:val="19"/>
        </w:rPr>
        <w:t>Rate of private-hospital use by age, area and coverage scheme, ranked.</w:t>
      </w:r>
    </w:p>
    <w:p>
      <w:pPr>
        <w:spacing w:before="40" w:after="220"/>
      </w:pPr>
      <w:r>
        <w:rPr>
          <w:i/>
          <w:color w:val="606060"/>
          <w:sz w:val="16"/>
        </w:rPr>
        <w:t>All 16 combinations. Cells with fewer than 30 people are flagged and should be read as indicative only. Cumulative columns show how much of the user population is captured working down the list. Heat-shaded n × n matrices for nine pairs of characteristics are in "Target segmentation - private hospital users.xlsx".</w:t>
      </w:r>
    </w:p>
    <w:tbl>
      <w:tblPr>
        <w:tblW w:type="auto" w:w="0"/>
        <w:jc w:val="center"/>
        <w:tblLayout w:type="fixed"/>
        <w:tblLook w:firstColumn="1" w:firstRow="1" w:lastColumn="0" w:lastRow="0" w:noHBand="0" w:noVBand="1" w:val="04A0"/>
        <w:tblBorders>
          <w:top w:val="single" w:sz="8" w:color="808080"/>
          <w:bottom w:val="single" w:sz="8" w:color="808080"/>
          <w:insideH w:val="single" w:sz="4" w:color="D8D8D8"/>
          <w:left w:val="none"/>
          <w:right w:val="none"/>
          <w:insideV w:val="none"/>
        </w:tblBorders>
        <w:tblLayout w:type="fixed"/>
      </w:tblPr>
      <w:tblGrid>
        <w:gridCol w:w="1205"/>
        <w:gridCol w:w="1205"/>
        <w:gridCol w:w="1205"/>
        <w:gridCol w:w="1205"/>
        <w:gridCol w:w="1205"/>
        <w:gridCol w:w="1205"/>
        <w:gridCol w:w="1205"/>
        <w:gridCol w:w="1205"/>
      </w:tblGrid>
      <w:tr>
        <w:tc>
          <w:tcPr>
            <w:tcW w:type="dxa" w:w="3742"/>
            <w:shd w:val="clear" w:fill="F2F2F0"/>
          </w:tcPr>
          <w:p>
            <w:pPr>
              <w:spacing w:after="0"/>
              <w:jc w:val="left"/>
            </w:pPr>
            <w:r/>
            <w:r>
              <w:rPr>
                <w:b/>
                <w:color w:val="1A1A1A"/>
                <w:sz w:val="14"/>
              </w:rPr>
              <w:t>Segment</w:t>
            </w:r>
          </w:p>
        </w:tc>
        <w:tc>
          <w:tcPr>
            <w:tcW w:type="dxa" w:w="860"/>
            <w:shd w:val="clear" w:fill="F2F2F0"/>
          </w:tcPr>
          <w:p>
            <w:pPr>
              <w:spacing w:after="0"/>
              <w:jc w:val="center"/>
            </w:pPr>
            <w:r/>
            <w:r>
              <w:rPr>
                <w:b/>
                <w:color w:val="1A1A1A"/>
                <w:sz w:val="14"/>
              </w:rPr>
              <w:t>Rank</w:t>
            </w:r>
          </w:p>
        </w:tc>
        <w:tc>
          <w:tcPr>
            <w:tcW w:type="dxa" w:w="860"/>
            <w:shd w:val="clear" w:fill="F2F2F0"/>
          </w:tcPr>
          <w:p>
            <w:pPr>
              <w:spacing w:after="0"/>
              <w:jc w:val="center"/>
            </w:pPr>
            <w:r/>
            <w:r>
              <w:rPr>
                <w:b/>
                <w:color w:val="1A1A1A"/>
                <w:sz w:val="14"/>
              </w:rPr>
              <w:t>People</w:t>
            </w:r>
          </w:p>
        </w:tc>
        <w:tc>
          <w:tcPr>
            <w:tcW w:type="dxa" w:w="860"/>
            <w:shd w:val="clear" w:fill="F2F2F0"/>
          </w:tcPr>
          <w:p>
            <w:pPr>
              <w:spacing w:after="0"/>
              <w:jc w:val="center"/>
            </w:pPr>
            <w:r/>
            <w:r>
              <w:rPr>
                <w:b/>
                <w:color w:val="1A1A1A"/>
                <w:sz w:val="14"/>
              </w:rPr>
              <w:t>Users</w:t>
            </w:r>
          </w:p>
        </w:tc>
        <w:tc>
          <w:tcPr>
            <w:tcW w:type="dxa" w:w="860"/>
            <w:shd w:val="clear" w:fill="F2F2F0"/>
          </w:tcPr>
          <w:p>
            <w:pPr>
              <w:spacing w:after="0"/>
              <w:jc w:val="center"/>
            </w:pPr>
            <w:r/>
            <w:r>
              <w:rPr>
                <w:b/>
                <w:color w:val="1A1A1A"/>
                <w:sz w:val="14"/>
              </w:rPr>
              <w:t>Rate %</w:t>
            </w:r>
          </w:p>
        </w:tc>
        <w:tc>
          <w:tcPr>
            <w:tcW w:type="dxa" w:w="860"/>
            <w:shd w:val="clear" w:fill="F2F2F0"/>
          </w:tcPr>
          <w:p>
            <w:pPr>
              <w:spacing w:after="0"/>
              <w:jc w:val="center"/>
            </w:pPr>
            <w:r/>
            <w:r>
              <w:rPr>
                <w:b/>
                <w:color w:val="1A1A1A"/>
                <w:sz w:val="14"/>
              </w:rPr>
              <w:t>Share %</w:t>
            </w:r>
          </w:p>
        </w:tc>
        <w:tc>
          <w:tcPr>
            <w:tcW w:type="dxa" w:w="860"/>
            <w:shd w:val="clear" w:fill="F2F2F0"/>
          </w:tcPr>
          <w:p>
            <w:pPr>
              <w:spacing w:after="0"/>
              <w:jc w:val="center"/>
            </w:pPr>
            <w:r/>
            <w:r>
              <w:rPr>
                <w:b/>
                <w:color w:val="1A1A1A"/>
                <w:sz w:val="14"/>
              </w:rPr>
              <w:t>Cumul. share %</w:t>
            </w:r>
          </w:p>
        </w:tc>
        <w:tc>
          <w:tcPr>
            <w:tcW w:type="dxa" w:w="737"/>
            <w:shd w:val="clear" w:fill="F2F2F0"/>
          </w:tcPr>
          <w:p>
            <w:pPr>
              <w:spacing w:after="0"/>
              <w:jc w:val="center"/>
            </w:pPr>
            <w:r/>
            <w:r>
              <w:rPr>
                <w:b/>
                <w:color w:val="1A1A1A"/>
                <w:sz w:val="14"/>
              </w:rPr>
              <w:t>Small cell</w:t>
            </w:r>
          </w:p>
        </w:tc>
      </w:tr>
      <w:tr>
        <w:tc>
          <w:tcPr>
            <w:tcW w:type="dxa" w:w="3742"/>
          </w:tcPr>
          <w:p>
            <w:pPr>
              <w:spacing w:after="0"/>
              <w:jc w:val="left"/>
            </w:pPr>
            <w:r/>
            <w:r>
              <w:rPr>
                <w:color w:val="1A1A1A"/>
                <w:sz w:val="14"/>
              </w:rPr>
              <w:t>50 and over + Municipal (urban) + Social Security</w:t>
            </w:r>
          </w:p>
        </w:tc>
        <w:tc>
          <w:tcPr>
            <w:tcW w:type="dxa" w:w="860"/>
          </w:tcPr>
          <w:p>
            <w:pPr>
              <w:spacing w:after="0"/>
              <w:jc w:val="center"/>
            </w:pPr>
            <w:r/>
            <w:r>
              <w:rPr>
                <w:color w:val="1A1A1A"/>
                <w:sz w:val="14"/>
              </w:rPr>
              <w:t>1</w:t>
            </w:r>
          </w:p>
        </w:tc>
        <w:tc>
          <w:tcPr>
            <w:tcW w:type="dxa" w:w="860"/>
          </w:tcPr>
          <w:p>
            <w:pPr>
              <w:spacing w:after="0"/>
              <w:jc w:val="center"/>
            </w:pPr>
            <w:r/>
            <w:r>
              <w:rPr>
                <w:color w:val="1A1A1A"/>
                <w:sz w:val="14"/>
              </w:rPr>
              <w:t>52</w:t>
            </w:r>
          </w:p>
        </w:tc>
        <w:tc>
          <w:tcPr>
            <w:tcW w:type="dxa" w:w="860"/>
          </w:tcPr>
          <w:p>
            <w:pPr>
              <w:spacing w:after="0"/>
              <w:jc w:val="center"/>
            </w:pPr>
            <w:r/>
            <w:r>
              <w:rPr>
                <w:color w:val="1A1A1A"/>
                <w:sz w:val="14"/>
              </w:rPr>
              <w:t>16</w:t>
            </w:r>
          </w:p>
        </w:tc>
        <w:tc>
          <w:tcPr>
            <w:tcW w:type="dxa" w:w="860"/>
          </w:tcPr>
          <w:p>
            <w:pPr>
              <w:spacing w:after="0"/>
              <w:jc w:val="center"/>
            </w:pPr>
            <w:r/>
            <w:r>
              <w:rPr>
                <w:color w:val="1A1A1A"/>
                <w:sz w:val="14"/>
              </w:rPr>
              <w:t>30.8</w:t>
            </w:r>
          </w:p>
        </w:tc>
        <w:tc>
          <w:tcPr>
            <w:tcW w:type="dxa" w:w="860"/>
          </w:tcPr>
          <w:p>
            <w:pPr>
              <w:spacing w:after="0"/>
              <w:jc w:val="center"/>
            </w:pPr>
            <w:r/>
            <w:r>
              <w:rPr>
                <w:color w:val="1A1A1A"/>
                <w:sz w:val="14"/>
              </w:rPr>
              <w:t>12.6</w:t>
            </w:r>
          </w:p>
        </w:tc>
        <w:tc>
          <w:tcPr>
            <w:tcW w:type="dxa" w:w="860"/>
          </w:tcPr>
          <w:p>
            <w:pPr>
              <w:spacing w:after="0"/>
              <w:jc w:val="center"/>
            </w:pPr>
            <w:r/>
            <w:r>
              <w:rPr>
                <w:color w:val="1A1A1A"/>
                <w:sz w:val="14"/>
              </w:rPr>
              <w:t>12.6</w:t>
            </w:r>
          </w:p>
        </w:tc>
        <w:tc>
          <w:tcPr>
            <w:tcW w:type="dxa" w:w="737"/>
          </w:tcPr>
          <w:p>
            <w:pPr>
              <w:spacing w:after="0"/>
              <w:jc w:val="center"/>
            </w:pPr>
            <w:r/>
            <w:r>
              <w:rPr>
                <w:color w:val="1A1A1A"/>
                <w:sz w:val="14"/>
              </w:rPr>
            </w:r>
          </w:p>
        </w:tc>
      </w:tr>
      <w:tr>
        <w:tc>
          <w:tcPr>
            <w:tcW w:type="dxa" w:w="3742"/>
          </w:tcPr>
          <w:p>
            <w:pPr>
              <w:spacing w:after="0"/>
              <w:jc w:val="left"/>
            </w:pPr>
            <w:r/>
            <w:r>
              <w:rPr>
                <w:color w:val="1A1A1A"/>
                <w:sz w:val="14"/>
              </w:rPr>
              <w:t>50 and over + Non-municipal (rural) + Other / don't know</w:t>
            </w:r>
          </w:p>
        </w:tc>
        <w:tc>
          <w:tcPr>
            <w:tcW w:type="dxa" w:w="860"/>
          </w:tcPr>
          <w:p>
            <w:pPr>
              <w:spacing w:after="0"/>
              <w:jc w:val="center"/>
            </w:pPr>
            <w:r/>
            <w:r>
              <w:rPr>
                <w:color w:val="1A1A1A"/>
                <w:sz w:val="14"/>
              </w:rPr>
              <w:t>2</w:t>
            </w:r>
          </w:p>
        </w:tc>
        <w:tc>
          <w:tcPr>
            <w:tcW w:type="dxa" w:w="860"/>
          </w:tcPr>
          <w:p>
            <w:pPr>
              <w:spacing w:after="0"/>
              <w:jc w:val="center"/>
            </w:pPr>
            <w:r/>
            <w:r>
              <w:rPr>
                <w:color w:val="1A1A1A"/>
                <w:sz w:val="14"/>
              </w:rPr>
              <w:t>4</w:t>
            </w:r>
          </w:p>
        </w:tc>
        <w:tc>
          <w:tcPr>
            <w:tcW w:type="dxa" w:w="860"/>
          </w:tcPr>
          <w:p>
            <w:pPr>
              <w:spacing w:after="0"/>
              <w:jc w:val="center"/>
            </w:pPr>
            <w:r/>
            <w:r>
              <w:rPr>
                <w:color w:val="1A1A1A"/>
                <w:sz w:val="14"/>
              </w:rPr>
              <w:t>1</w:t>
            </w:r>
          </w:p>
        </w:tc>
        <w:tc>
          <w:tcPr>
            <w:tcW w:type="dxa" w:w="860"/>
          </w:tcPr>
          <w:p>
            <w:pPr>
              <w:spacing w:after="0"/>
              <w:jc w:val="center"/>
            </w:pPr>
            <w:r/>
            <w:r>
              <w:rPr>
                <w:color w:val="1A1A1A"/>
                <w:sz w:val="14"/>
              </w:rPr>
              <w:t>25.0</w:t>
            </w:r>
          </w:p>
        </w:tc>
        <w:tc>
          <w:tcPr>
            <w:tcW w:type="dxa" w:w="860"/>
          </w:tcPr>
          <w:p>
            <w:pPr>
              <w:spacing w:after="0"/>
              <w:jc w:val="center"/>
            </w:pPr>
            <w:r/>
            <w:r>
              <w:rPr>
                <w:color w:val="1A1A1A"/>
                <w:sz w:val="14"/>
              </w:rPr>
              <w:t>0.8</w:t>
            </w:r>
          </w:p>
        </w:tc>
        <w:tc>
          <w:tcPr>
            <w:tcW w:type="dxa" w:w="860"/>
          </w:tcPr>
          <w:p>
            <w:pPr>
              <w:spacing w:after="0"/>
              <w:jc w:val="center"/>
            </w:pPr>
            <w:r/>
            <w:r>
              <w:rPr>
                <w:color w:val="1A1A1A"/>
                <w:sz w:val="14"/>
              </w:rPr>
              <w:t>13.4</w:t>
            </w:r>
          </w:p>
        </w:tc>
        <w:tc>
          <w:tcPr>
            <w:tcW w:type="dxa" w:w="737"/>
          </w:tcPr>
          <w:p>
            <w:pPr>
              <w:spacing w:after="0"/>
              <w:jc w:val="center"/>
            </w:pPr>
            <w:r/>
            <w:r>
              <w:rPr>
                <w:color w:val="1A1A1A"/>
                <w:sz w:val="14"/>
              </w:rPr>
              <w:t>yes</w:t>
            </w:r>
          </w:p>
        </w:tc>
      </w:tr>
      <w:tr>
        <w:tc>
          <w:tcPr>
            <w:tcW w:type="dxa" w:w="3742"/>
          </w:tcPr>
          <w:p>
            <w:pPr>
              <w:spacing w:after="0"/>
              <w:jc w:val="left"/>
            </w:pPr>
            <w:r/>
            <w:r>
              <w:rPr>
                <w:color w:val="1A1A1A"/>
                <w:sz w:val="14"/>
              </w:rPr>
              <w:t>50 and over + Non-municipal (rural) + Social Security</w:t>
            </w:r>
          </w:p>
        </w:tc>
        <w:tc>
          <w:tcPr>
            <w:tcW w:type="dxa" w:w="860"/>
          </w:tcPr>
          <w:p>
            <w:pPr>
              <w:spacing w:after="0"/>
              <w:jc w:val="center"/>
            </w:pPr>
            <w:r/>
            <w:r>
              <w:rPr>
                <w:color w:val="1A1A1A"/>
                <w:sz w:val="14"/>
              </w:rPr>
              <w:t>3</w:t>
            </w:r>
          </w:p>
        </w:tc>
        <w:tc>
          <w:tcPr>
            <w:tcW w:type="dxa" w:w="860"/>
          </w:tcPr>
          <w:p>
            <w:pPr>
              <w:spacing w:after="0"/>
              <w:jc w:val="center"/>
            </w:pPr>
            <w:r/>
            <w:r>
              <w:rPr>
                <w:color w:val="1A1A1A"/>
                <w:sz w:val="14"/>
              </w:rPr>
              <w:t>47</w:t>
            </w:r>
          </w:p>
        </w:tc>
        <w:tc>
          <w:tcPr>
            <w:tcW w:type="dxa" w:w="860"/>
          </w:tcPr>
          <w:p>
            <w:pPr>
              <w:spacing w:after="0"/>
              <w:jc w:val="center"/>
            </w:pPr>
            <w:r/>
            <w:r>
              <w:rPr>
                <w:color w:val="1A1A1A"/>
                <w:sz w:val="14"/>
              </w:rPr>
              <w:t>9</w:t>
            </w:r>
          </w:p>
        </w:tc>
        <w:tc>
          <w:tcPr>
            <w:tcW w:type="dxa" w:w="860"/>
          </w:tcPr>
          <w:p>
            <w:pPr>
              <w:spacing w:after="0"/>
              <w:jc w:val="center"/>
            </w:pPr>
            <w:r/>
            <w:r>
              <w:rPr>
                <w:color w:val="1A1A1A"/>
                <w:sz w:val="14"/>
              </w:rPr>
              <w:t>19.1</w:t>
            </w:r>
          </w:p>
        </w:tc>
        <w:tc>
          <w:tcPr>
            <w:tcW w:type="dxa" w:w="860"/>
          </w:tcPr>
          <w:p>
            <w:pPr>
              <w:spacing w:after="0"/>
              <w:jc w:val="center"/>
            </w:pPr>
            <w:r/>
            <w:r>
              <w:rPr>
                <w:color w:val="1A1A1A"/>
                <w:sz w:val="14"/>
              </w:rPr>
              <w:t>7.1</w:t>
            </w:r>
          </w:p>
        </w:tc>
        <w:tc>
          <w:tcPr>
            <w:tcW w:type="dxa" w:w="860"/>
          </w:tcPr>
          <w:p>
            <w:pPr>
              <w:spacing w:after="0"/>
              <w:jc w:val="center"/>
            </w:pPr>
            <w:r/>
            <w:r>
              <w:rPr>
                <w:color w:val="1A1A1A"/>
                <w:sz w:val="14"/>
              </w:rPr>
              <w:t>20.5</w:t>
            </w:r>
          </w:p>
        </w:tc>
        <w:tc>
          <w:tcPr>
            <w:tcW w:type="dxa" w:w="737"/>
          </w:tcPr>
          <w:p>
            <w:pPr>
              <w:spacing w:after="0"/>
              <w:jc w:val="center"/>
            </w:pPr>
            <w:r/>
            <w:r>
              <w:rPr>
                <w:color w:val="1A1A1A"/>
                <w:sz w:val="14"/>
              </w:rPr>
            </w:r>
          </w:p>
        </w:tc>
      </w:tr>
      <w:tr>
        <w:tc>
          <w:tcPr>
            <w:tcW w:type="dxa" w:w="3742"/>
          </w:tcPr>
          <w:p>
            <w:pPr>
              <w:spacing w:after="0"/>
              <w:jc w:val="left"/>
            </w:pPr>
            <w:r/>
            <w:r>
              <w:rPr>
                <w:color w:val="1A1A1A"/>
                <w:sz w:val="14"/>
              </w:rPr>
              <w:t>Under 50 + Municipal (urban) + Social Security</w:t>
            </w:r>
          </w:p>
        </w:tc>
        <w:tc>
          <w:tcPr>
            <w:tcW w:type="dxa" w:w="860"/>
          </w:tcPr>
          <w:p>
            <w:pPr>
              <w:spacing w:after="0"/>
              <w:jc w:val="center"/>
            </w:pPr>
            <w:r/>
            <w:r>
              <w:rPr>
                <w:color w:val="1A1A1A"/>
                <w:sz w:val="14"/>
              </w:rPr>
              <w:t>4</w:t>
            </w:r>
          </w:p>
        </w:tc>
        <w:tc>
          <w:tcPr>
            <w:tcW w:type="dxa" w:w="860"/>
          </w:tcPr>
          <w:p>
            <w:pPr>
              <w:spacing w:after="0"/>
              <w:jc w:val="center"/>
            </w:pPr>
            <w:r/>
            <w:r>
              <w:rPr>
                <w:color w:val="1A1A1A"/>
                <w:sz w:val="14"/>
              </w:rPr>
              <w:t>133</w:t>
            </w:r>
          </w:p>
        </w:tc>
        <w:tc>
          <w:tcPr>
            <w:tcW w:type="dxa" w:w="860"/>
          </w:tcPr>
          <w:p>
            <w:pPr>
              <w:spacing w:after="0"/>
              <w:jc w:val="center"/>
            </w:pPr>
            <w:r/>
            <w:r>
              <w:rPr>
                <w:color w:val="1A1A1A"/>
                <w:sz w:val="14"/>
              </w:rPr>
              <w:t>25</w:t>
            </w:r>
          </w:p>
        </w:tc>
        <w:tc>
          <w:tcPr>
            <w:tcW w:type="dxa" w:w="860"/>
          </w:tcPr>
          <w:p>
            <w:pPr>
              <w:spacing w:after="0"/>
              <w:jc w:val="center"/>
            </w:pPr>
            <w:r/>
            <w:r>
              <w:rPr>
                <w:color w:val="1A1A1A"/>
                <w:sz w:val="14"/>
              </w:rPr>
              <w:t>18.8</w:t>
            </w:r>
          </w:p>
        </w:tc>
        <w:tc>
          <w:tcPr>
            <w:tcW w:type="dxa" w:w="860"/>
          </w:tcPr>
          <w:p>
            <w:pPr>
              <w:spacing w:after="0"/>
              <w:jc w:val="center"/>
            </w:pPr>
            <w:r/>
            <w:r>
              <w:rPr>
                <w:color w:val="1A1A1A"/>
                <w:sz w:val="14"/>
              </w:rPr>
              <w:t>19.7</w:t>
            </w:r>
          </w:p>
        </w:tc>
        <w:tc>
          <w:tcPr>
            <w:tcW w:type="dxa" w:w="860"/>
          </w:tcPr>
          <w:p>
            <w:pPr>
              <w:spacing w:after="0"/>
              <w:jc w:val="center"/>
            </w:pPr>
            <w:r/>
            <w:r>
              <w:rPr>
                <w:color w:val="1A1A1A"/>
                <w:sz w:val="14"/>
              </w:rPr>
              <w:t>40.2</w:t>
            </w:r>
          </w:p>
        </w:tc>
        <w:tc>
          <w:tcPr>
            <w:tcW w:type="dxa" w:w="737"/>
          </w:tcPr>
          <w:p>
            <w:pPr>
              <w:spacing w:after="0"/>
              <w:jc w:val="center"/>
            </w:pPr>
            <w:r/>
            <w:r>
              <w:rPr>
                <w:color w:val="1A1A1A"/>
                <w:sz w:val="14"/>
              </w:rPr>
            </w:r>
          </w:p>
        </w:tc>
      </w:tr>
      <w:tr>
        <w:tc>
          <w:tcPr>
            <w:tcW w:type="dxa" w:w="3742"/>
          </w:tcPr>
          <w:p>
            <w:pPr>
              <w:spacing w:after="0"/>
              <w:jc w:val="left"/>
            </w:pPr>
            <w:r/>
            <w:r>
              <w:rPr>
                <w:color w:val="1A1A1A"/>
                <w:sz w:val="14"/>
              </w:rPr>
              <w:t>Under 50 + Non-municipal (rural) + Social Security</w:t>
            </w:r>
          </w:p>
        </w:tc>
        <w:tc>
          <w:tcPr>
            <w:tcW w:type="dxa" w:w="860"/>
          </w:tcPr>
          <w:p>
            <w:pPr>
              <w:spacing w:after="0"/>
              <w:jc w:val="center"/>
            </w:pPr>
            <w:r/>
            <w:r>
              <w:rPr>
                <w:color w:val="1A1A1A"/>
                <w:sz w:val="14"/>
              </w:rPr>
              <w:t>5</w:t>
            </w:r>
          </w:p>
        </w:tc>
        <w:tc>
          <w:tcPr>
            <w:tcW w:type="dxa" w:w="860"/>
          </w:tcPr>
          <w:p>
            <w:pPr>
              <w:spacing w:after="0"/>
              <w:jc w:val="center"/>
            </w:pPr>
            <w:r/>
            <w:r>
              <w:rPr>
                <w:color w:val="1A1A1A"/>
                <w:sz w:val="14"/>
              </w:rPr>
              <w:t>242</w:t>
            </w:r>
          </w:p>
        </w:tc>
        <w:tc>
          <w:tcPr>
            <w:tcW w:type="dxa" w:w="860"/>
          </w:tcPr>
          <w:p>
            <w:pPr>
              <w:spacing w:after="0"/>
              <w:jc w:val="center"/>
            </w:pPr>
            <w:r/>
            <w:r>
              <w:rPr>
                <w:color w:val="1A1A1A"/>
                <w:sz w:val="14"/>
              </w:rPr>
              <w:t>38</w:t>
            </w:r>
          </w:p>
        </w:tc>
        <w:tc>
          <w:tcPr>
            <w:tcW w:type="dxa" w:w="860"/>
          </w:tcPr>
          <w:p>
            <w:pPr>
              <w:spacing w:after="0"/>
              <w:jc w:val="center"/>
            </w:pPr>
            <w:r/>
            <w:r>
              <w:rPr>
                <w:color w:val="1A1A1A"/>
                <w:sz w:val="14"/>
              </w:rPr>
              <w:t>15.7</w:t>
            </w:r>
          </w:p>
        </w:tc>
        <w:tc>
          <w:tcPr>
            <w:tcW w:type="dxa" w:w="860"/>
          </w:tcPr>
          <w:p>
            <w:pPr>
              <w:spacing w:after="0"/>
              <w:jc w:val="center"/>
            </w:pPr>
            <w:r/>
            <w:r>
              <w:rPr>
                <w:color w:val="1A1A1A"/>
                <w:sz w:val="14"/>
              </w:rPr>
              <w:t>29.9</w:t>
            </w:r>
          </w:p>
        </w:tc>
        <w:tc>
          <w:tcPr>
            <w:tcW w:type="dxa" w:w="860"/>
          </w:tcPr>
          <w:p>
            <w:pPr>
              <w:spacing w:after="0"/>
              <w:jc w:val="center"/>
            </w:pPr>
            <w:r/>
            <w:r>
              <w:rPr>
                <w:color w:val="1A1A1A"/>
                <w:sz w:val="14"/>
              </w:rPr>
              <w:t>70.1</w:t>
            </w:r>
          </w:p>
        </w:tc>
        <w:tc>
          <w:tcPr>
            <w:tcW w:type="dxa" w:w="737"/>
          </w:tcPr>
          <w:p>
            <w:pPr>
              <w:spacing w:after="0"/>
              <w:jc w:val="center"/>
            </w:pPr>
            <w:r/>
            <w:r>
              <w:rPr>
                <w:color w:val="1A1A1A"/>
                <w:sz w:val="14"/>
              </w:rPr>
            </w:r>
          </w:p>
        </w:tc>
      </w:tr>
      <w:tr>
        <w:tc>
          <w:tcPr>
            <w:tcW w:type="dxa" w:w="3742"/>
          </w:tcPr>
          <w:p>
            <w:pPr>
              <w:spacing w:after="0"/>
              <w:jc w:val="left"/>
            </w:pPr>
            <w:r/>
            <w:r>
              <w:rPr>
                <w:color w:val="1A1A1A"/>
                <w:sz w:val="14"/>
              </w:rPr>
              <w:t>Under 50 + Municipal (urban) + Civil servant</w:t>
            </w:r>
          </w:p>
        </w:tc>
        <w:tc>
          <w:tcPr>
            <w:tcW w:type="dxa" w:w="860"/>
          </w:tcPr>
          <w:p>
            <w:pPr>
              <w:spacing w:after="0"/>
              <w:jc w:val="center"/>
            </w:pPr>
            <w:r/>
            <w:r>
              <w:rPr>
                <w:color w:val="1A1A1A"/>
                <w:sz w:val="14"/>
              </w:rPr>
              <w:t>6</w:t>
            </w:r>
          </w:p>
        </w:tc>
        <w:tc>
          <w:tcPr>
            <w:tcW w:type="dxa" w:w="860"/>
          </w:tcPr>
          <w:p>
            <w:pPr>
              <w:spacing w:after="0"/>
              <w:jc w:val="center"/>
            </w:pPr>
            <w:r/>
            <w:r>
              <w:rPr>
                <w:color w:val="1A1A1A"/>
                <w:sz w:val="14"/>
              </w:rPr>
              <w:t>33</w:t>
            </w:r>
          </w:p>
        </w:tc>
        <w:tc>
          <w:tcPr>
            <w:tcW w:type="dxa" w:w="860"/>
          </w:tcPr>
          <w:p>
            <w:pPr>
              <w:spacing w:after="0"/>
              <w:jc w:val="center"/>
            </w:pPr>
            <w:r/>
            <w:r>
              <w:rPr>
                <w:color w:val="1A1A1A"/>
                <w:sz w:val="14"/>
              </w:rPr>
              <w:t>4</w:t>
            </w:r>
          </w:p>
        </w:tc>
        <w:tc>
          <w:tcPr>
            <w:tcW w:type="dxa" w:w="860"/>
          </w:tcPr>
          <w:p>
            <w:pPr>
              <w:spacing w:after="0"/>
              <w:jc w:val="center"/>
            </w:pPr>
            <w:r/>
            <w:r>
              <w:rPr>
                <w:color w:val="1A1A1A"/>
                <w:sz w:val="14"/>
              </w:rPr>
              <w:t>12.1</w:t>
            </w:r>
          </w:p>
        </w:tc>
        <w:tc>
          <w:tcPr>
            <w:tcW w:type="dxa" w:w="860"/>
          </w:tcPr>
          <w:p>
            <w:pPr>
              <w:spacing w:after="0"/>
              <w:jc w:val="center"/>
            </w:pPr>
            <w:r/>
            <w:r>
              <w:rPr>
                <w:color w:val="1A1A1A"/>
                <w:sz w:val="14"/>
              </w:rPr>
              <w:t>3.1</w:t>
            </w:r>
          </w:p>
        </w:tc>
        <w:tc>
          <w:tcPr>
            <w:tcW w:type="dxa" w:w="860"/>
          </w:tcPr>
          <w:p>
            <w:pPr>
              <w:spacing w:after="0"/>
              <w:jc w:val="center"/>
            </w:pPr>
            <w:r/>
            <w:r>
              <w:rPr>
                <w:color w:val="1A1A1A"/>
                <w:sz w:val="14"/>
              </w:rPr>
              <w:t>73.2</w:t>
            </w:r>
          </w:p>
        </w:tc>
        <w:tc>
          <w:tcPr>
            <w:tcW w:type="dxa" w:w="737"/>
          </w:tcPr>
          <w:p>
            <w:pPr>
              <w:spacing w:after="0"/>
              <w:jc w:val="center"/>
            </w:pPr>
            <w:r/>
            <w:r>
              <w:rPr>
                <w:color w:val="1A1A1A"/>
                <w:sz w:val="14"/>
              </w:rPr>
            </w:r>
          </w:p>
        </w:tc>
      </w:tr>
      <w:tr>
        <w:tc>
          <w:tcPr>
            <w:tcW w:type="dxa" w:w="3742"/>
          </w:tcPr>
          <w:p>
            <w:pPr>
              <w:spacing w:after="0"/>
              <w:jc w:val="left"/>
            </w:pPr>
            <w:r/>
            <w:r>
              <w:rPr>
                <w:color w:val="1A1A1A"/>
                <w:sz w:val="14"/>
              </w:rPr>
              <w:t>50 and over + Municipal (urban) + Universal Coverage</w:t>
            </w:r>
          </w:p>
        </w:tc>
        <w:tc>
          <w:tcPr>
            <w:tcW w:type="dxa" w:w="860"/>
          </w:tcPr>
          <w:p>
            <w:pPr>
              <w:spacing w:after="0"/>
              <w:jc w:val="center"/>
            </w:pPr>
            <w:r/>
            <w:r>
              <w:rPr>
                <w:color w:val="1A1A1A"/>
                <w:sz w:val="14"/>
              </w:rPr>
              <w:t>7</w:t>
            </w:r>
          </w:p>
        </w:tc>
        <w:tc>
          <w:tcPr>
            <w:tcW w:type="dxa" w:w="860"/>
          </w:tcPr>
          <w:p>
            <w:pPr>
              <w:spacing w:after="0"/>
              <w:jc w:val="center"/>
            </w:pPr>
            <w:r/>
            <w:r>
              <w:rPr>
                <w:color w:val="1A1A1A"/>
                <w:sz w:val="14"/>
              </w:rPr>
              <w:t>214</w:t>
            </w:r>
          </w:p>
        </w:tc>
        <w:tc>
          <w:tcPr>
            <w:tcW w:type="dxa" w:w="860"/>
          </w:tcPr>
          <w:p>
            <w:pPr>
              <w:spacing w:after="0"/>
              <w:jc w:val="center"/>
            </w:pPr>
            <w:r/>
            <w:r>
              <w:rPr>
                <w:color w:val="1A1A1A"/>
                <w:sz w:val="14"/>
              </w:rPr>
              <w:t>9</w:t>
            </w:r>
          </w:p>
        </w:tc>
        <w:tc>
          <w:tcPr>
            <w:tcW w:type="dxa" w:w="860"/>
          </w:tcPr>
          <w:p>
            <w:pPr>
              <w:spacing w:after="0"/>
              <w:jc w:val="center"/>
            </w:pPr>
            <w:r/>
            <w:r>
              <w:rPr>
                <w:color w:val="1A1A1A"/>
                <w:sz w:val="14"/>
              </w:rPr>
              <w:t>4.2</w:t>
            </w:r>
          </w:p>
        </w:tc>
        <w:tc>
          <w:tcPr>
            <w:tcW w:type="dxa" w:w="860"/>
          </w:tcPr>
          <w:p>
            <w:pPr>
              <w:spacing w:after="0"/>
              <w:jc w:val="center"/>
            </w:pPr>
            <w:r/>
            <w:r>
              <w:rPr>
                <w:color w:val="1A1A1A"/>
                <w:sz w:val="14"/>
              </w:rPr>
              <w:t>7.1</w:t>
            </w:r>
          </w:p>
        </w:tc>
        <w:tc>
          <w:tcPr>
            <w:tcW w:type="dxa" w:w="860"/>
          </w:tcPr>
          <w:p>
            <w:pPr>
              <w:spacing w:after="0"/>
              <w:jc w:val="center"/>
            </w:pPr>
            <w:r/>
            <w:r>
              <w:rPr>
                <w:color w:val="1A1A1A"/>
                <w:sz w:val="14"/>
              </w:rPr>
              <w:t>80.3</w:t>
            </w:r>
          </w:p>
        </w:tc>
        <w:tc>
          <w:tcPr>
            <w:tcW w:type="dxa" w:w="737"/>
          </w:tcPr>
          <w:p>
            <w:pPr>
              <w:spacing w:after="0"/>
              <w:jc w:val="center"/>
            </w:pPr>
            <w:r/>
            <w:r>
              <w:rPr>
                <w:color w:val="1A1A1A"/>
                <w:sz w:val="14"/>
              </w:rPr>
            </w:r>
          </w:p>
        </w:tc>
      </w:tr>
      <w:tr>
        <w:tc>
          <w:tcPr>
            <w:tcW w:type="dxa" w:w="3742"/>
          </w:tcPr>
          <w:p>
            <w:pPr>
              <w:spacing w:after="0"/>
              <w:jc w:val="left"/>
            </w:pPr>
            <w:r/>
            <w:r>
              <w:rPr>
                <w:color w:val="1A1A1A"/>
                <w:sz w:val="14"/>
              </w:rPr>
              <w:t>Under 50 + Municipal (urban) + Universal Coverage</w:t>
            </w:r>
          </w:p>
        </w:tc>
        <w:tc>
          <w:tcPr>
            <w:tcW w:type="dxa" w:w="860"/>
          </w:tcPr>
          <w:p>
            <w:pPr>
              <w:spacing w:after="0"/>
              <w:jc w:val="center"/>
            </w:pPr>
            <w:r/>
            <w:r>
              <w:rPr>
                <w:color w:val="1A1A1A"/>
                <w:sz w:val="14"/>
              </w:rPr>
              <w:t>8</w:t>
            </w:r>
          </w:p>
        </w:tc>
        <w:tc>
          <w:tcPr>
            <w:tcW w:type="dxa" w:w="860"/>
          </w:tcPr>
          <w:p>
            <w:pPr>
              <w:spacing w:after="0"/>
              <w:jc w:val="center"/>
            </w:pPr>
            <w:r/>
            <w:r>
              <w:rPr>
                <w:color w:val="1A1A1A"/>
                <w:sz w:val="14"/>
              </w:rPr>
              <w:t>223</w:t>
            </w:r>
          </w:p>
        </w:tc>
        <w:tc>
          <w:tcPr>
            <w:tcW w:type="dxa" w:w="860"/>
          </w:tcPr>
          <w:p>
            <w:pPr>
              <w:spacing w:after="0"/>
              <w:jc w:val="center"/>
            </w:pPr>
            <w:r/>
            <w:r>
              <w:rPr>
                <w:color w:val="1A1A1A"/>
                <w:sz w:val="14"/>
              </w:rPr>
              <w:t>8</w:t>
            </w:r>
          </w:p>
        </w:tc>
        <w:tc>
          <w:tcPr>
            <w:tcW w:type="dxa" w:w="860"/>
          </w:tcPr>
          <w:p>
            <w:pPr>
              <w:spacing w:after="0"/>
              <w:jc w:val="center"/>
            </w:pPr>
            <w:r/>
            <w:r>
              <w:rPr>
                <w:color w:val="1A1A1A"/>
                <w:sz w:val="14"/>
              </w:rPr>
              <w:t>3.6</w:t>
            </w:r>
          </w:p>
        </w:tc>
        <w:tc>
          <w:tcPr>
            <w:tcW w:type="dxa" w:w="860"/>
          </w:tcPr>
          <w:p>
            <w:pPr>
              <w:spacing w:after="0"/>
              <w:jc w:val="center"/>
            </w:pPr>
            <w:r/>
            <w:r>
              <w:rPr>
                <w:color w:val="1A1A1A"/>
                <w:sz w:val="14"/>
              </w:rPr>
              <w:t>6.3</w:t>
            </w:r>
          </w:p>
        </w:tc>
        <w:tc>
          <w:tcPr>
            <w:tcW w:type="dxa" w:w="860"/>
          </w:tcPr>
          <w:p>
            <w:pPr>
              <w:spacing w:after="0"/>
              <w:jc w:val="center"/>
            </w:pPr>
            <w:r/>
            <w:r>
              <w:rPr>
                <w:color w:val="1A1A1A"/>
                <w:sz w:val="14"/>
              </w:rPr>
              <w:t>86.6</w:t>
            </w:r>
          </w:p>
        </w:tc>
        <w:tc>
          <w:tcPr>
            <w:tcW w:type="dxa" w:w="737"/>
          </w:tcPr>
          <w:p>
            <w:pPr>
              <w:spacing w:after="0"/>
              <w:jc w:val="center"/>
            </w:pPr>
            <w:r/>
            <w:r>
              <w:rPr>
                <w:color w:val="1A1A1A"/>
                <w:sz w:val="14"/>
              </w:rPr>
            </w:r>
          </w:p>
        </w:tc>
      </w:tr>
      <w:tr>
        <w:tc>
          <w:tcPr>
            <w:tcW w:type="dxa" w:w="3742"/>
          </w:tcPr>
          <w:p>
            <w:pPr>
              <w:spacing w:after="0"/>
              <w:jc w:val="left"/>
            </w:pPr>
            <w:r/>
            <w:r>
              <w:rPr>
                <w:color w:val="1A1A1A"/>
                <w:sz w:val="14"/>
              </w:rPr>
              <w:t>50 and over + Municipal (urban) + Civil servant</w:t>
            </w:r>
          </w:p>
        </w:tc>
        <w:tc>
          <w:tcPr>
            <w:tcW w:type="dxa" w:w="860"/>
          </w:tcPr>
          <w:p>
            <w:pPr>
              <w:spacing w:after="0"/>
              <w:jc w:val="center"/>
            </w:pPr>
            <w:r/>
            <w:r>
              <w:rPr>
                <w:color w:val="1A1A1A"/>
                <w:sz w:val="14"/>
              </w:rPr>
              <w:t>9</w:t>
            </w:r>
          </w:p>
        </w:tc>
        <w:tc>
          <w:tcPr>
            <w:tcW w:type="dxa" w:w="860"/>
          </w:tcPr>
          <w:p>
            <w:pPr>
              <w:spacing w:after="0"/>
              <w:jc w:val="center"/>
            </w:pPr>
            <w:r/>
            <w:r>
              <w:rPr>
                <w:color w:val="1A1A1A"/>
                <w:sz w:val="14"/>
              </w:rPr>
              <w:t>35</w:t>
            </w:r>
          </w:p>
        </w:tc>
        <w:tc>
          <w:tcPr>
            <w:tcW w:type="dxa" w:w="860"/>
          </w:tcPr>
          <w:p>
            <w:pPr>
              <w:spacing w:after="0"/>
              <w:jc w:val="center"/>
            </w:pPr>
            <w:r/>
            <w:r>
              <w:rPr>
                <w:color w:val="1A1A1A"/>
                <w:sz w:val="14"/>
              </w:rPr>
              <w:t>1</w:t>
            </w:r>
          </w:p>
        </w:tc>
        <w:tc>
          <w:tcPr>
            <w:tcW w:type="dxa" w:w="860"/>
          </w:tcPr>
          <w:p>
            <w:pPr>
              <w:spacing w:after="0"/>
              <w:jc w:val="center"/>
            </w:pPr>
            <w:r/>
            <w:r>
              <w:rPr>
                <w:color w:val="1A1A1A"/>
                <w:sz w:val="14"/>
              </w:rPr>
              <w:t>2.9</w:t>
            </w:r>
          </w:p>
        </w:tc>
        <w:tc>
          <w:tcPr>
            <w:tcW w:type="dxa" w:w="860"/>
          </w:tcPr>
          <w:p>
            <w:pPr>
              <w:spacing w:after="0"/>
              <w:jc w:val="center"/>
            </w:pPr>
            <w:r/>
            <w:r>
              <w:rPr>
                <w:color w:val="1A1A1A"/>
                <w:sz w:val="14"/>
              </w:rPr>
              <w:t>0.8</w:t>
            </w:r>
          </w:p>
        </w:tc>
        <w:tc>
          <w:tcPr>
            <w:tcW w:type="dxa" w:w="860"/>
          </w:tcPr>
          <w:p>
            <w:pPr>
              <w:spacing w:after="0"/>
              <w:jc w:val="center"/>
            </w:pPr>
            <w:r/>
            <w:r>
              <w:rPr>
                <w:color w:val="1A1A1A"/>
                <w:sz w:val="14"/>
              </w:rPr>
              <w:t>87.4</w:t>
            </w:r>
          </w:p>
        </w:tc>
        <w:tc>
          <w:tcPr>
            <w:tcW w:type="dxa" w:w="737"/>
          </w:tcPr>
          <w:p>
            <w:pPr>
              <w:spacing w:after="0"/>
              <w:jc w:val="center"/>
            </w:pPr>
            <w:r/>
            <w:r>
              <w:rPr>
                <w:color w:val="1A1A1A"/>
                <w:sz w:val="14"/>
              </w:rPr>
            </w:r>
          </w:p>
        </w:tc>
      </w:tr>
      <w:tr>
        <w:tc>
          <w:tcPr>
            <w:tcW w:type="dxa" w:w="3742"/>
          </w:tcPr>
          <w:p>
            <w:pPr>
              <w:spacing w:after="0"/>
              <w:jc w:val="left"/>
            </w:pPr>
            <w:r/>
            <w:r>
              <w:rPr>
                <w:color w:val="1A1A1A"/>
                <w:sz w:val="14"/>
              </w:rPr>
              <w:t>50 and over + Non-municipal (rural) + Universal Coverage</w:t>
            </w:r>
          </w:p>
        </w:tc>
        <w:tc>
          <w:tcPr>
            <w:tcW w:type="dxa" w:w="860"/>
          </w:tcPr>
          <w:p>
            <w:pPr>
              <w:spacing w:after="0"/>
              <w:jc w:val="center"/>
            </w:pPr>
            <w:r/>
            <w:r>
              <w:rPr>
                <w:color w:val="1A1A1A"/>
                <w:sz w:val="14"/>
              </w:rPr>
              <w:t>10</w:t>
            </w:r>
          </w:p>
        </w:tc>
        <w:tc>
          <w:tcPr>
            <w:tcW w:type="dxa" w:w="860"/>
          </w:tcPr>
          <w:p>
            <w:pPr>
              <w:spacing w:after="0"/>
              <w:jc w:val="center"/>
            </w:pPr>
            <w:r/>
            <w:r>
              <w:rPr>
                <w:color w:val="1A1A1A"/>
                <w:sz w:val="14"/>
              </w:rPr>
              <w:t>482</w:t>
            </w:r>
          </w:p>
        </w:tc>
        <w:tc>
          <w:tcPr>
            <w:tcW w:type="dxa" w:w="860"/>
          </w:tcPr>
          <w:p>
            <w:pPr>
              <w:spacing w:after="0"/>
              <w:jc w:val="center"/>
            </w:pPr>
            <w:r/>
            <w:r>
              <w:rPr>
                <w:color w:val="1A1A1A"/>
                <w:sz w:val="14"/>
              </w:rPr>
              <w:t>9</w:t>
            </w:r>
          </w:p>
        </w:tc>
        <w:tc>
          <w:tcPr>
            <w:tcW w:type="dxa" w:w="860"/>
          </w:tcPr>
          <w:p>
            <w:pPr>
              <w:spacing w:after="0"/>
              <w:jc w:val="center"/>
            </w:pPr>
            <w:r/>
            <w:r>
              <w:rPr>
                <w:color w:val="1A1A1A"/>
                <w:sz w:val="14"/>
              </w:rPr>
              <w:t>1.9</w:t>
            </w:r>
          </w:p>
        </w:tc>
        <w:tc>
          <w:tcPr>
            <w:tcW w:type="dxa" w:w="860"/>
          </w:tcPr>
          <w:p>
            <w:pPr>
              <w:spacing w:after="0"/>
              <w:jc w:val="center"/>
            </w:pPr>
            <w:r/>
            <w:r>
              <w:rPr>
                <w:color w:val="1A1A1A"/>
                <w:sz w:val="14"/>
              </w:rPr>
              <w:t>7.1</w:t>
            </w:r>
          </w:p>
        </w:tc>
        <w:tc>
          <w:tcPr>
            <w:tcW w:type="dxa" w:w="860"/>
          </w:tcPr>
          <w:p>
            <w:pPr>
              <w:spacing w:after="0"/>
              <w:jc w:val="center"/>
            </w:pPr>
            <w:r/>
            <w:r>
              <w:rPr>
                <w:color w:val="1A1A1A"/>
                <w:sz w:val="14"/>
              </w:rPr>
              <w:t>94.5</w:t>
            </w:r>
          </w:p>
        </w:tc>
        <w:tc>
          <w:tcPr>
            <w:tcW w:type="dxa" w:w="737"/>
          </w:tcPr>
          <w:p>
            <w:pPr>
              <w:spacing w:after="0"/>
              <w:jc w:val="center"/>
            </w:pPr>
            <w:r/>
            <w:r>
              <w:rPr>
                <w:color w:val="1A1A1A"/>
                <w:sz w:val="14"/>
              </w:rPr>
            </w:r>
          </w:p>
        </w:tc>
      </w:tr>
      <w:tr>
        <w:tc>
          <w:tcPr>
            <w:tcW w:type="dxa" w:w="3742"/>
          </w:tcPr>
          <w:p>
            <w:pPr>
              <w:spacing w:after="0"/>
              <w:jc w:val="left"/>
            </w:pPr>
            <w:r/>
            <w:r>
              <w:rPr>
                <w:color w:val="1A1A1A"/>
                <w:sz w:val="14"/>
              </w:rPr>
              <w:t>Under 50 + Non-municipal (rural) + Universal Coverage</w:t>
            </w:r>
          </w:p>
        </w:tc>
        <w:tc>
          <w:tcPr>
            <w:tcW w:type="dxa" w:w="860"/>
          </w:tcPr>
          <w:p>
            <w:pPr>
              <w:spacing w:after="0"/>
              <w:jc w:val="center"/>
            </w:pPr>
            <w:r/>
            <w:r>
              <w:rPr>
                <w:color w:val="1A1A1A"/>
                <w:sz w:val="14"/>
              </w:rPr>
              <w:t>11</w:t>
            </w:r>
          </w:p>
        </w:tc>
        <w:tc>
          <w:tcPr>
            <w:tcW w:type="dxa" w:w="860"/>
          </w:tcPr>
          <w:p>
            <w:pPr>
              <w:spacing w:after="0"/>
              <w:jc w:val="center"/>
            </w:pPr>
            <w:r/>
            <w:r>
              <w:rPr>
                <w:color w:val="1A1A1A"/>
                <w:sz w:val="14"/>
              </w:rPr>
              <w:t>398</w:t>
            </w:r>
          </w:p>
        </w:tc>
        <w:tc>
          <w:tcPr>
            <w:tcW w:type="dxa" w:w="860"/>
          </w:tcPr>
          <w:p>
            <w:pPr>
              <w:spacing w:after="0"/>
              <w:jc w:val="center"/>
            </w:pPr>
            <w:r/>
            <w:r>
              <w:rPr>
                <w:color w:val="1A1A1A"/>
                <w:sz w:val="14"/>
              </w:rPr>
              <w:t>7</w:t>
            </w:r>
          </w:p>
        </w:tc>
        <w:tc>
          <w:tcPr>
            <w:tcW w:type="dxa" w:w="860"/>
          </w:tcPr>
          <w:p>
            <w:pPr>
              <w:spacing w:after="0"/>
              <w:jc w:val="center"/>
            </w:pPr>
            <w:r/>
            <w:r>
              <w:rPr>
                <w:color w:val="1A1A1A"/>
                <w:sz w:val="14"/>
              </w:rPr>
              <w:t>1.8</w:t>
            </w:r>
          </w:p>
        </w:tc>
        <w:tc>
          <w:tcPr>
            <w:tcW w:type="dxa" w:w="860"/>
          </w:tcPr>
          <w:p>
            <w:pPr>
              <w:spacing w:after="0"/>
              <w:jc w:val="center"/>
            </w:pPr>
            <w:r/>
            <w:r>
              <w:rPr>
                <w:color w:val="1A1A1A"/>
                <w:sz w:val="14"/>
              </w:rPr>
              <w:t>5.5</w:t>
            </w:r>
          </w:p>
        </w:tc>
        <w:tc>
          <w:tcPr>
            <w:tcW w:type="dxa" w:w="860"/>
          </w:tcPr>
          <w:p>
            <w:pPr>
              <w:spacing w:after="0"/>
              <w:jc w:val="center"/>
            </w:pPr>
            <w:r/>
            <w:r>
              <w:rPr>
                <w:color w:val="1A1A1A"/>
                <w:sz w:val="14"/>
              </w:rPr>
              <w:t>100.0</w:t>
            </w:r>
          </w:p>
        </w:tc>
        <w:tc>
          <w:tcPr>
            <w:tcW w:type="dxa" w:w="737"/>
          </w:tcPr>
          <w:p>
            <w:pPr>
              <w:spacing w:after="0"/>
              <w:jc w:val="center"/>
            </w:pPr>
            <w:r/>
            <w:r>
              <w:rPr>
                <w:color w:val="1A1A1A"/>
                <w:sz w:val="14"/>
              </w:rPr>
            </w:r>
          </w:p>
        </w:tc>
      </w:tr>
      <w:tr>
        <w:tc>
          <w:tcPr>
            <w:tcW w:type="dxa" w:w="3742"/>
          </w:tcPr>
          <w:p>
            <w:pPr>
              <w:spacing w:after="0"/>
              <w:jc w:val="left"/>
            </w:pPr>
            <w:r/>
            <w:r>
              <w:rPr>
                <w:color w:val="1A1A1A"/>
                <w:sz w:val="14"/>
              </w:rPr>
              <w:t>Under 50 + Non-municipal (rural) + Civil servant</w:t>
            </w:r>
          </w:p>
        </w:tc>
        <w:tc>
          <w:tcPr>
            <w:tcW w:type="dxa" w:w="860"/>
          </w:tcPr>
          <w:p>
            <w:pPr>
              <w:spacing w:after="0"/>
              <w:jc w:val="center"/>
            </w:pPr>
            <w:r/>
            <w:r>
              <w:rPr>
                <w:color w:val="1A1A1A"/>
                <w:sz w:val="14"/>
              </w:rPr>
              <w:t>12</w:t>
            </w:r>
          </w:p>
        </w:tc>
        <w:tc>
          <w:tcPr>
            <w:tcW w:type="dxa" w:w="860"/>
          </w:tcPr>
          <w:p>
            <w:pPr>
              <w:spacing w:after="0"/>
              <w:jc w:val="center"/>
            </w:pPr>
            <w:r/>
            <w:r>
              <w:rPr>
                <w:color w:val="1A1A1A"/>
                <w:sz w:val="14"/>
              </w:rPr>
              <w:t>66</w:t>
            </w:r>
          </w:p>
        </w:tc>
        <w:tc>
          <w:tcPr>
            <w:tcW w:type="dxa" w:w="860"/>
          </w:tcPr>
          <w:p>
            <w:pPr>
              <w:spacing w:after="0"/>
              <w:jc w:val="center"/>
            </w:pPr>
            <w:r/>
            <w:r>
              <w:rPr>
                <w:color w:val="1A1A1A"/>
                <w:sz w:val="14"/>
              </w:rPr>
              <w:t>0</w:t>
            </w:r>
          </w:p>
        </w:tc>
        <w:tc>
          <w:tcPr>
            <w:tcW w:type="dxa" w:w="860"/>
          </w:tcPr>
          <w:p>
            <w:pPr>
              <w:spacing w:after="0"/>
              <w:jc w:val="center"/>
            </w:pPr>
            <w:r/>
            <w:r>
              <w:rPr>
                <w:color w:val="1A1A1A"/>
                <w:sz w:val="14"/>
              </w:rPr>
              <w:t>0.0</w:t>
            </w:r>
          </w:p>
        </w:tc>
        <w:tc>
          <w:tcPr>
            <w:tcW w:type="dxa" w:w="860"/>
          </w:tcPr>
          <w:p>
            <w:pPr>
              <w:spacing w:after="0"/>
              <w:jc w:val="center"/>
            </w:pPr>
            <w:r/>
            <w:r>
              <w:rPr>
                <w:color w:val="1A1A1A"/>
                <w:sz w:val="14"/>
              </w:rPr>
              <w:t>0.0</w:t>
            </w:r>
          </w:p>
        </w:tc>
        <w:tc>
          <w:tcPr>
            <w:tcW w:type="dxa" w:w="860"/>
          </w:tcPr>
          <w:p>
            <w:pPr>
              <w:spacing w:after="0"/>
              <w:jc w:val="center"/>
            </w:pPr>
            <w:r/>
            <w:r>
              <w:rPr>
                <w:color w:val="1A1A1A"/>
                <w:sz w:val="14"/>
              </w:rPr>
              <w:t>100.0</w:t>
            </w:r>
          </w:p>
        </w:tc>
        <w:tc>
          <w:tcPr>
            <w:tcW w:type="dxa" w:w="737"/>
          </w:tcPr>
          <w:p>
            <w:pPr>
              <w:spacing w:after="0"/>
              <w:jc w:val="center"/>
            </w:pPr>
            <w:r/>
            <w:r>
              <w:rPr>
                <w:color w:val="1A1A1A"/>
                <w:sz w:val="14"/>
              </w:rPr>
            </w:r>
          </w:p>
        </w:tc>
      </w:tr>
      <w:tr>
        <w:tc>
          <w:tcPr>
            <w:tcW w:type="dxa" w:w="3742"/>
          </w:tcPr>
          <w:p>
            <w:pPr>
              <w:spacing w:after="0"/>
              <w:jc w:val="left"/>
            </w:pPr>
            <w:r/>
            <w:r>
              <w:rPr>
                <w:color w:val="1A1A1A"/>
                <w:sz w:val="14"/>
              </w:rPr>
              <w:t>50 and over + Non-municipal (rural) + Civil servant</w:t>
            </w:r>
          </w:p>
        </w:tc>
        <w:tc>
          <w:tcPr>
            <w:tcW w:type="dxa" w:w="860"/>
          </w:tcPr>
          <w:p>
            <w:pPr>
              <w:spacing w:after="0"/>
              <w:jc w:val="center"/>
            </w:pPr>
            <w:r/>
            <w:r>
              <w:rPr>
                <w:color w:val="1A1A1A"/>
                <w:sz w:val="14"/>
              </w:rPr>
              <w:t>13</w:t>
            </w:r>
          </w:p>
        </w:tc>
        <w:tc>
          <w:tcPr>
            <w:tcW w:type="dxa" w:w="860"/>
          </w:tcPr>
          <w:p>
            <w:pPr>
              <w:spacing w:after="0"/>
              <w:jc w:val="center"/>
            </w:pPr>
            <w:r/>
            <w:r>
              <w:rPr>
                <w:color w:val="1A1A1A"/>
                <w:sz w:val="14"/>
              </w:rPr>
              <w:t>71</w:t>
            </w:r>
          </w:p>
        </w:tc>
        <w:tc>
          <w:tcPr>
            <w:tcW w:type="dxa" w:w="860"/>
          </w:tcPr>
          <w:p>
            <w:pPr>
              <w:spacing w:after="0"/>
              <w:jc w:val="center"/>
            </w:pPr>
            <w:r/>
            <w:r>
              <w:rPr>
                <w:color w:val="1A1A1A"/>
                <w:sz w:val="14"/>
              </w:rPr>
              <w:t>0</w:t>
            </w:r>
          </w:p>
        </w:tc>
        <w:tc>
          <w:tcPr>
            <w:tcW w:type="dxa" w:w="860"/>
          </w:tcPr>
          <w:p>
            <w:pPr>
              <w:spacing w:after="0"/>
              <w:jc w:val="center"/>
            </w:pPr>
            <w:r/>
            <w:r>
              <w:rPr>
                <w:color w:val="1A1A1A"/>
                <w:sz w:val="14"/>
              </w:rPr>
              <w:t>0.0</w:t>
            </w:r>
          </w:p>
        </w:tc>
        <w:tc>
          <w:tcPr>
            <w:tcW w:type="dxa" w:w="860"/>
          </w:tcPr>
          <w:p>
            <w:pPr>
              <w:spacing w:after="0"/>
              <w:jc w:val="center"/>
            </w:pPr>
            <w:r/>
            <w:r>
              <w:rPr>
                <w:color w:val="1A1A1A"/>
                <w:sz w:val="14"/>
              </w:rPr>
              <w:t>0.0</w:t>
            </w:r>
          </w:p>
        </w:tc>
        <w:tc>
          <w:tcPr>
            <w:tcW w:type="dxa" w:w="860"/>
          </w:tcPr>
          <w:p>
            <w:pPr>
              <w:spacing w:after="0"/>
              <w:jc w:val="center"/>
            </w:pPr>
            <w:r/>
            <w:r>
              <w:rPr>
                <w:color w:val="1A1A1A"/>
                <w:sz w:val="14"/>
              </w:rPr>
              <w:t>100.0</w:t>
            </w:r>
          </w:p>
        </w:tc>
        <w:tc>
          <w:tcPr>
            <w:tcW w:type="dxa" w:w="737"/>
          </w:tcPr>
          <w:p>
            <w:pPr>
              <w:spacing w:after="0"/>
              <w:jc w:val="center"/>
            </w:pPr>
            <w:r/>
            <w:r>
              <w:rPr>
                <w:color w:val="1A1A1A"/>
                <w:sz w:val="14"/>
              </w:rPr>
            </w:r>
          </w:p>
        </w:tc>
      </w:tr>
      <w:tr>
        <w:tc>
          <w:tcPr>
            <w:tcW w:type="dxa" w:w="3742"/>
          </w:tcPr>
          <w:p>
            <w:pPr>
              <w:spacing w:after="0"/>
              <w:jc w:val="left"/>
            </w:pPr>
            <w:r/>
            <w:r>
              <w:rPr>
                <w:color w:val="1A1A1A"/>
                <w:sz w:val="14"/>
              </w:rPr>
              <w:t>Under 50 + Non-municipal (rural) + Other / don't know</w:t>
            </w:r>
          </w:p>
        </w:tc>
        <w:tc>
          <w:tcPr>
            <w:tcW w:type="dxa" w:w="860"/>
          </w:tcPr>
          <w:p>
            <w:pPr>
              <w:spacing w:after="0"/>
              <w:jc w:val="center"/>
            </w:pPr>
            <w:r/>
            <w:r>
              <w:rPr>
                <w:color w:val="1A1A1A"/>
                <w:sz w:val="14"/>
              </w:rPr>
              <w:t>14</w:t>
            </w:r>
          </w:p>
        </w:tc>
        <w:tc>
          <w:tcPr>
            <w:tcW w:type="dxa" w:w="860"/>
          </w:tcPr>
          <w:p>
            <w:pPr>
              <w:spacing w:after="0"/>
              <w:jc w:val="center"/>
            </w:pPr>
            <w:r/>
            <w:r>
              <w:rPr>
                <w:color w:val="1A1A1A"/>
                <w:sz w:val="14"/>
              </w:rPr>
              <w:t>10</w:t>
            </w:r>
          </w:p>
        </w:tc>
        <w:tc>
          <w:tcPr>
            <w:tcW w:type="dxa" w:w="860"/>
          </w:tcPr>
          <w:p>
            <w:pPr>
              <w:spacing w:after="0"/>
              <w:jc w:val="center"/>
            </w:pPr>
            <w:r/>
            <w:r>
              <w:rPr>
                <w:color w:val="1A1A1A"/>
                <w:sz w:val="14"/>
              </w:rPr>
              <w:t>0</w:t>
            </w:r>
          </w:p>
        </w:tc>
        <w:tc>
          <w:tcPr>
            <w:tcW w:type="dxa" w:w="860"/>
          </w:tcPr>
          <w:p>
            <w:pPr>
              <w:spacing w:after="0"/>
              <w:jc w:val="center"/>
            </w:pPr>
            <w:r/>
            <w:r>
              <w:rPr>
                <w:color w:val="1A1A1A"/>
                <w:sz w:val="14"/>
              </w:rPr>
              <w:t>0.0</w:t>
            </w:r>
          </w:p>
        </w:tc>
        <w:tc>
          <w:tcPr>
            <w:tcW w:type="dxa" w:w="860"/>
          </w:tcPr>
          <w:p>
            <w:pPr>
              <w:spacing w:after="0"/>
              <w:jc w:val="center"/>
            </w:pPr>
            <w:r/>
            <w:r>
              <w:rPr>
                <w:color w:val="1A1A1A"/>
                <w:sz w:val="14"/>
              </w:rPr>
              <w:t>0.0</w:t>
            </w:r>
          </w:p>
        </w:tc>
        <w:tc>
          <w:tcPr>
            <w:tcW w:type="dxa" w:w="860"/>
          </w:tcPr>
          <w:p>
            <w:pPr>
              <w:spacing w:after="0"/>
              <w:jc w:val="center"/>
            </w:pPr>
            <w:r/>
            <w:r>
              <w:rPr>
                <w:color w:val="1A1A1A"/>
                <w:sz w:val="14"/>
              </w:rPr>
              <w:t>100.0</w:t>
            </w:r>
          </w:p>
        </w:tc>
        <w:tc>
          <w:tcPr>
            <w:tcW w:type="dxa" w:w="737"/>
          </w:tcPr>
          <w:p>
            <w:pPr>
              <w:spacing w:after="0"/>
              <w:jc w:val="center"/>
            </w:pPr>
            <w:r/>
            <w:r>
              <w:rPr>
                <w:color w:val="1A1A1A"/>
                <w:sz w:val="14"/>
              </w:rPr>
              <w:t>yes</w:t>
            </w:r>
          </w:p>
        </w:tc>
      </w:tr>
      <w:tr>
        <w:tc>
          <w:tcPr>
            <w:tcW w:type="dxa" w:w="3742"/>
          </w:tcPr>
          <w:p>
            <w:pPr>
              <w:spacing w:after="0"/>
              <w:jc w:val="left"/>
            </w:pPr>
            <w:r/>
            <w:r>
              <w:rPr>
                <w:color w:val="1A1A1A"/>
                <w:sz w:val="14"/>
              </w:rPr>
              <w:t>Under 50 + Municipal (urban) + Other / don't know</w:t>
            </w:r>
          </w:p>
        </w:tc>
        <w:tc>
          <w:tcPr>
            <w:tcW w:type="dxa" w:w="860"/>
          </w:tcPr>
          <w:p>
            <w:pPr>
              <w:spacing w:after="0"/>
              <w:jc w:val="center"/>
            </w:pPr>
            <w:r/>
            <w:r>
              <w:rPr>
                <w:color w:val="1A1A1A"/>
                <w:sz w:val="14"/>
              </w:rPr>
              <w:t>15</w:t>
            </w:r>
          </w:p>
        </w:tc>
        <w:tc>
          <w:tcPr>
            <w:tcW w:type="dxa" w:w="860"/>
          </w:tcPr>
          <w:p>
            <w:pPr>
              <w:spacing w:after="0"/>
              <w:jc w:val="center"/>
            </w:pPr>
            <w:r/>
            <w:r>
              <w:rPr>
                <w:color w:val="1A1A1A"/>
                <w:sz w:val="14"/>
              </w:rPr>
              <w:t>4</w:t>
            </w:r>
          </w:p>
        </w:tc>
        <w:tc>
          <w:tcPr>
            <w:tcW w:type="dxa" w:w="860"/>
          </w:tcPr>
          <w:p>
            <w:pPr>
              <w:spacing w:after="0"/>
              <w:jc w:val="center"/>
            </w:pPr>
            <w:r/>
            <w:r>
              <w:rPr>
                <w:color w:val="1A1A1A"/>
                <w:sz w:val="14"/>
              </w:rPr>
              <w:t>0</w:t>
            </w:r>
          </w:p>
        </w:tc>
        <w:tc>
          <w:tcPr>
            <w:tcW w:type="dxa" w:w="860"/>
          </w:tcPr>
          <w:p>
            <w:pPr>
              <w:spacing w:after="0"/>
              <w:jc w:val="center"/>
            </w:pPr>
            <w:r/>
            <w:r>
              <w:rPr>
                <w:color w:val="1A1A1A"/>
                <w:sz w:val="14"/>
              </w:rPr>
              <w:t>0.0</w:t>
            </w:r>
          </w:p>
        </w:tc>
        <w:tc>
          <w:tcPr>
            <w:tcW w:type="dxa" w:w="860"/>
          </w:tcPr>
          <w:p>
            <w:pPr>
              <w:spacing w:after="0"/>
              <w:jc w:val="center"/>
            </w:pPr>
            <w:r/>
            <w:r>
              <w:rPr>
                <w:color w:val="1A1A1A"/>
                <w:sz w:val="14"/>
              </w:rPr>
              <w:t>0.0</w:t>
            </w:r>
          </w:p>
        </w:tc>
        <w:tc>
          <w:tcPr>
            <w:tcW w:type="dxa" w:w="860"/>
          </w:tcPr>
          <w:p>
            <w:pPr>
              <w:spacing w:after="0"/>
              <w:jc w:val="center"/>
            </w:pPr>
            <w:r/>
            <w:r>
              <w:rPr>
                <w:color w:val="1A1A1A"/>
                <w:sz w:val="14"/>
              </w:rPr>
              <w:t>100.0</w:t>
            </w:r>
          </w:p>
        </w:tc>
        <w:tc>
          <w:tcPr>
            <w:tcW w:type="dxa" w:w="737"/>
          </w:tcPr>
          <w:p>
            <w:pPr>
              <w:spacing w:after="0"/>
              <w:jc w:val="center"/>
            </w:pPr>
            <w:r/>
            <w:r>
              <w:rPr>
                <w:color w:val="1A1A1A"/>
                <w:sz w:val="14"/>
              </w:rPr>
              <w:t>yes</w:t>
            </w:r>
          </w:p>
        </w:tc>
      </w:tr>
      <w:tr>
        <w:tc>
          <w:tcPr>
            <w:tcW w:type="dxa" w:w="3742"/>
          </w:tcPr>
          <w:p>
            <w:pPr>
              <w:spacing w:after="0"/>
              <w:jc w:val="left"/>
            </w:pPr>
            <w:r/>
            <w:r>
              <w:rPr>
                <w:color w:val="1A1A1A"/>
                <w:sz w:val="14"/>
              </w:rPr>
              <w:t>50 and over + Municipal (urban) + Other / don't know</w:t>
            </w:r>
          </w:p>
        </w:tc>
        <w:tc>
          <w:tcPr>
            <w:tcW w:type="dxa" w:w="860"/>
          </w:tcPr>
          <w:p>
            <w:pPr>
              <w:spacing w:after="0"/>
              <w:jc w:val="center"/>
            </w:pPr>
            <w:r/>
            <w:r>
              <w:rPr>
                <w:color w:val="1A1A1A"/>
                <w:sz w:val="14"/>
              </w:rPr>
              <w:t>16</w:t>
            </w:r>
          </w:p>
        </w:tc>
        <w:tc>
          <w:tcPr>
            <w:tcW w:type="dxa" w:w="860"/>
          </w:tcPr>
          <w:p>
            <w:pPr>
              <w:spacing w:after="0"/>
              <w:jc w:val="center"/>
            </w:pPr>
            <w:r/>
            <w:r>
              <w:rPr>
                <w:color w:val="1A1A1A"/>
                <w:sz w:val="14"/>
              </w:rPr>
              <w:t>3</w:t>
            </w:r>
          </w:p>
        </w:tc>
        <w:tc>
          <w:tcPr>
            <w:tcW w:type="dxa" w:w="860"/>
          </w:tcPr>
          <w:p>
            <w:pPr>
              <w:spacing w:after="0"/>
              <w:jc w:val="center"/>
            </w:pPr>
            <w:r/>
            <w:r>
              <w:rPr>
                <w:color w:val="1A1A1A"/>
                <w:sz w:val="14"/>
              </w:rPr>
              <w:t>0</w:t>
            </w:r>
          </w:p>
        </w:tc>
        <w:tc>
          <w:tcPr>
            <w:tcW w:type="dxa" w:w="860"/>
          </w:tcPr>
          <w:p>
            <w:pPr>
              <w:spacing w:after="0"/>
              <w:jc w:val="center"/>
            </w:pPr>
            <w:r/>
            <w:r>
              <w:rPr>
                <w:color w:val="1A1A1A"/>
                <w:sz w:val="14"/>
              </w:rPr>
              <w:t>0.0</w:t>
            </w:r>
          </w:p>
        </w:tc>
        <w:tc>
          <w:tcPr>
            <w:tcW w:type="dxa" w:w="860"/>
          </w:tcPr>
          <w:p>
            <w:pPr>
              <w:spacing w:after="0"/>
              <w:jc w:val="center"/>
            </w:pPr>
            <w:r/>
            <w:r>
              <w:rPr>
                <w:color w:val="1A1A1A"/>
                <w:sz w:val="14"/>
              </w:rPr>
              <w:t>0.0</w:t>
            </w:r>
          </w:p>
        </w:tc>
        <w:tc>
          <w:tcPr>
            <w:tcW w:type="dxa" w:w="860"/>
          </w:tcPr>
          <w:p>
            <w:pPr>
              <w:spacing w:after="0"/>
              <w:jc w:val="center"/>
            </w:pPr>
            <w:r/>
            <w:r>
              <w:rPr>
                <w:color w:val="1A1A1A"/>
                <w:sz w:val="14"/>
              </w:rPr>
              <w:t>100.0</w:t>
            </w:r>
          </w:p>
        </w:tc>
        <w:tc>
          <w:tcPr>
            <w:tcW w:type="dxa" w:w="737"/>
          </w:tcPr>
          <w:p>
            <w:pPr>
              <w:spacing w:after="0"/>
              <w:jc w:val="center"/>
            </w:pPr>
            <w:r/>
            <w:r>
              <w:rPr>
                <w:color w:val="1A1A1A"/>
                <w:sz w:val="14"/>
              </w:rPr>
              <w:t>yes</w:t>
            </w:r>
          </w:p>
        </w:tc>
      </w:tr>
    </w:tbl>
    <w:p>
      <w:pPr>
        <w:spacing w:after="140"/>
        <w:jc w:val="both"/>
      </w:pPr>
      <w:r>
        <w:rPr>
          <w:b w:val="0"/>
          <w:i w:val="0"/>
          <w:color w:val="1A1A1A"/>
          <w:sz w:val="21"/>
        </w:rPr>
        <w:t>The practical answer is therefore that the main users of private hospitals are Social Security members, best sharpened by household income rather than by age or area. The largest single pool by volume — under-50 Social Security members living outside municipalities, 29.9% of all users — would be missed entirely by a target defined as urban. As throughout, holding a scheme does not show that the respondent is registered with or paid by it at the private hospital.</w:t>
      </w:r>
    </w:p>
    <w:p>
      <w:r>
        <w:br w:type="page"/>
      </w:r>
    </w:p>
    <w:p>
      <w:pPr>
        <w:pStyle w:val="Heading1"/>
        <w:spacing w:before="280" w:after="100"/>
      </w:pPr>
      <w:r>
        <w:rPr>
          <w:rFonts w:ascii="Calibri" w:hAnsi="Calibri"/>
          <w:b/>
          <w:color w:val="1A1A1A"/>
          <w:sz w:val="30"/>
        </w:rPr>
        <w:t>2. Why they go there, and how they get in</w:t>
      </w:r>
    </w:p>
    <w:p>
      <w:pPr>
        <w:spacing w:after="140"/>
        <w:jc w:val="both"/>
      </w:pPr>
      <w:r>
        <w:rPr>
          <w:b w:val="0"/>
          <w:i w:val="0"/>
          <w:color w:val="1A1A1A"/>
          <w:sz w:val="21"/>
        </w:rPr>
        <w:t>Asked for the single main reason they use their regular facility, private-hospital users name insurance coverage most often (33.9%) — the same answer, at almost exactly the same rate, as public hospital users (33.3%). Short waiting time comes second (25.2%), a reason cited by only 1.5% of public hospital users. Proximity, the dominant consideration in public primary care (56.5%), matters least to them (18.9%). Low cost is effectively absent as a motive (1.6%).</w:t>
      </w:r>
    </w:p>
    <w:p>
      <w:pPr>
        <w:spacing w:after="140"/>
        <w:jc w:val="both"/>
      </w:pPr>
      <w:r>
        <w:rPr>
          <w:b w:val="0"/>
          <w:i w:val="0"/>
          <w:color w:val="1A1A1A"/>
          <w:sz w:val="21"/>
        </w:rPr>
        <w:t>Private clinic and pharmacy users look different again: 47.9% cite short waiting time and only 6.3% cite insurance, which fits a pattern of convenience-driven, largely self-financed episodic care. The two private groups are not one market.</w:t>
      </w:r>
    </w:p>
    <w:p>
      <w:pPr>
        <w:spacing w:after="140"/>
        <w:jc w:val="both"/>
      </w:pPr>
      <w:r>
        <w:rPr>
          <w:b w:val="0"/>
          <w:i w:val="0"/>
          <w:color w:val="1A1A1A"/>
          <w:sz w:val="21"/>
        </w:rPr>
        <w:t>A stated reason together with a scheme distribution is consistent with insurance routing, and in Thailand Social Security members register with a contracted main hospital that may be public or private. But this survey cannot confirm the mechanism: it does not ask where anyone is registered, who paid for any visit, or whether the respondent is currently in salaried employment.</w:t>
      </w:r>
    </w:p>
    <w:p>
      <w:pPr>
        <w:spacing w:before="160" w:after="60"/>
        <w:jc w:val="center"/>
      </w:pPr>
      <w:r>
        <w:drawing>
          <wp:inline xmlns:a="http://schemas.openxmlformats.org/drawingml/2006/main" xmlns:pic="http://schemas.openxmlformats.org/drawingml/2006/picture">
            <wp:extent cx="5976000" cy="4083203"/>
            <wp:docPr id="2" name="Picture 2"/>
            <wp:cNvGraphicFramePr>
              <a:graphicFrameLocks noChangeAspect="1"/>
            </wp:cNvGraphicFramePr>
            <a:graphic>
              <a:graphicData uri="http://schemas.openxmlformats.org/drawingml/2006/picture">
                <pic:pic>
                  <pic:nvPicPr>
                    <pic:cNvPr id="0" name="Figure 2 - Reason for choosing provider.png"/>
                    <pic:cNvPicPr/>
                  </pic:nvPicPr>
                  <pic:blipFill>
                    <a:blip r:embed="rId10"/>
                    <a:stretch>
                      <a:fillRect/>
                    </a:stretch>
                  </pic:blipFill>
                  <pic:spPr>
                    <a:xfrm>
                      <a:off x="0" y="0"/>
                      <a:ext cx="5976000" cy="4083203"/>
                    </a:xfrm>
                    <a:prstGeom prst="rect"/>
                  </pic:spPr>
                </pic:pic>
              </a:graphicData>
            </a:graphic>
          </wp:inline>
        </w:drawing>
      </w:r>
    </w:p>
    <w:p>
      <w:pPr>
        <w:spacing w:before="200" w:after="60"/>
      </w:pPr>
      <w:r>
        <w:rPr>
          <w:b/>
          <w:color w:val="1A1A1A"/>
          <w:sz w:val="19"/>
        </w:rPr>
        <w:t xml:space="preserve">Figure 2.  </w:t>
      </w:r>
      <w:r>
        <w:rPr>
          <w:color w:val="1A1A1A"/>
          <w:sz w:val="19"/>
        </w:rPr>
        <w:t>Main reason for choosing the usual source of care (single response, Q16).</w:t>
      </w:r>
    </w:p>
    <w:p>
      <w:pPr>
        <w:spacing w:before="40" w:after="220"/>
      </w:pPr>
      <w:r>
        <w:rPr>
          <w:i/>
          <w:color w:val="606060"/>
          <w:sz w:val="16"/>
        </w:rPr>
        <w:t>Asked only of respondents with a usual source of care. Categories below 3% in every group are omitted from the figure and retained in Table 3.</w:t>
      </w:r>
    </w:p>
    <w:p>
      <w:pPr>
        <w:spacing w:after="140"/>
        <w:jc w:val="both"/>
      </w:pPr>
      <w:r>
        <w:rPr>
          <w:b w:val="0"/>
          <w:i w:val="0"/>
          <w:color w:val="1A1A1A"/>
          <w:sz w:val="21"/>
        </w:rPr>
        <w:t>Access differs sharply in one direction and not in another. Private-hospital users are seen faster at the facility: 55.9% within half an hour against 27.0% of public hospital users, and 25.2% wait an hour or more against 44.1%. No respondent in either private group reported waiting four hours or more, a wait 2.4% of public hospital users described. They are also more likely to walk in without an appointment (65.4% against 50.4%).</w:t>
      </w:r>
    </w:p>
    <w:p>
      <w:pPr>
        <w:spacing w:after="140"/>
        <w:jc w:val="both"/>
      </w:pPr>
      <w:r>
        <w:rPr>
          <w:b w:val="0"/>
          <w:i w:val="0"/>
          <w:color w:val="1A1A1A"/>
          <w:sz w:val="21"/>
        </w:rPr>
        <w:t>But among the minority who booked ahead — 44 respondents in the private-hospital group — 65.9% still waited a month or more between booking and being seen, and a quarter waited three to six months. The comparable public hospital figure is 72.8%. Scheduled care queues in both sectors; the private advantage is concentrated in walk-in, same-day service. Both waiting items are recorded as ordered categories, not as measured durations.</w:t>
      </w:r>
    </w:p>
    <w:p>
      <w:pPr>
        <w:spacing w:before="160" w:after="60"/>
        <w:jc w:val="center"/>
      </w:pPr>
      <w:r>
        <w:drawing>
          <wp:inline xmlns:a="http://schemas.openxmlformats.org/drawingml/2006/main" xmlns:pic="http://schemas.openxmlformats.org/drawingml/2006/picture">
            <wp:extent cx="5976000" cy="2196528"/>
            <wp:docPr id="3" name="Picture 3"/>
            <wp:cNvGraphicFramePr>
              <a:graphicFrameLocks noChangeAspect="1"/>
            </wp:cNvGraphicFramePr>
            <a:graphic>
              <a:graphicData uri="http://schemas.openxmlformats.org/drawingml/2006/picture">
                <pic:pic>
                  <pic:nvPicPr>
                    <pic:cNvPr id="0" name="Figure 3 - Access and utilisation.png"/>
                    <pic:cNvPicPr/>
                  </pic:nvPicPr>
                  <pic:blipFill>
                    <a:blip r:embed="rId11"/>
                    <a:stretch>
                      <a:fillRect/>
                    </a:stretch>
                  </pic:blipFill>
                  <pic:spPr>
                    <a:xfrm>
                      <a:off x="0" y="0"/>
                      <a:ext cx="5976000" cy="2196528"/>
                    </a:xfrm>
                    <a:prstGeom prst="rect"/>
                  </pic:spPr>
                </pic:pic>
              </a:graphicData>
            </a:graphic>
          </wp:inline>
        </w:drawing>
      </w:r>
    </w:p>
    <w:p>
      <w:pPr>
        <w:spacing w:before="200" w:after="60"/>
      </w:pPr>
      <w:r>
        <w:rPr>
          <w:b/>
          <w:color w:val="1A1A1A"/>
          <w:sz w:val="19"/>
        </w:rPr>
        <w:t xml:space="preserve">Figure 3.  </w:t>
      </w:r>
      <w:r>
        <w:rPr>
          <w:color w:val="1A1A1A"/>
          <w:sz w:val="19"/>
        </w:rPr>
        <w:t>Waiting time at the facility and pattern of service use.</w:t>
      </w:r>
    </w:p>
    <w:p>
      <w:pPr>
        <w:spacing w:before="40" w:after="220"/>
      </w:pPr>
      <w:r>
        <w:rPr>
          <w:i/>
          <w:color w:val="606060"/>
          <w:sz w:val="16"/>
        </w:rPr>
        <w:t>Panel A: distribution of reported waiting time before being seen at the most recent visit (Q37); segments below 7% are unlabelled. Panel B: selected indicators, % of each group.</w:t>
      </w:r>
    </w:p>
    <w:p>
      <w:pPr>
        <w:spacing w:before="200" w:after="60"/>
      </w:pPr>
      <w:r>
        <w:rPr>
          <w:b/>
          <w:color w:val="1A1A1A"/>
          <w:sz w:val="19"/>
        </w:rPr>
        <w:t xml:space="preserve">Table 3.  </w:t>
      </w:r>
      <w:r>
        <w:rPr>
          <w:color w:val="1A1A1A"/>
          <w:sz w:val="19"/>
        </w:rPr>
        <w:t>Reason for choosing the usual source of care, appointments and waiting.</w:t>
      </w:r>
    </w:p>
    <w:p>
      <w:pPr>
        <w:spacing w:before="40" w:after="220"/>
      </w:pPr>
      <w:r>
        <w:rPr>
          <w:i/>
          <w:color w:val="606060"/>
          <w:sz w:val="16"/>
        </w:rPr>
        <w:t>Q36 (booking-to-appointment wait) is a structural skip asked only of appointment-holders: n = 265, 305, 32 and 44 respectively. Q36 and Q37 are ordered categories; no duration was measured.</w:t>
      </w:r>
    </w:p>
    <w:tbl>
      <w:tblPr>
        <w:tblW w:type="auto" w:w="0"/>
        <w:jc w:val="center"/>
        <w:tblLayout w:type="fixed"/>
        <w:tblLook w:firstColumn="1" w:firstRow="1" w:lastColumn="0" w:lastRow="0" w:noHBand="0" w:noVBand="1" w:val="04A0"/>
        <w:tblBorders>
          <w:top w:val="single" w:sz="8" w:color="808080"/>
          <w:bottom w:val="single" w:sz="8" w:color="808080"/>
          <w:insideH w:val="single" w:sz="4" w:color="D8D8D8"/>
          <w:left w:val="none"/>
          <w:right w:val="none"/>
          <w:insideV w:val="none"/>
        </w:tblBorders>
        <w:tblLayout w:type="fixed"/>
      </w:tblPr>
      <w:tblGrid>
        <w:gridCol w:w="1377"/>
        <w:gridCol w:w="1377"/>
        <w:gridCol w:w="1377"/>
        <w:gridCol w:w="1377"/>
        <w:gridCol w:w="1377"/>
        <w:gridCol w:w="1377"/>
        <w:gridCol w:w="1377"/>
      </w:tblGrid>
      <w:tr>
        <w:tc>
          <w:tcPr>
            <w:tcW w:type="dxa" w:w="2608"/>
            <w:shd w:val="clear" w:fill="F2F2F0"/>
          </w:tcPr>
          <w:p>
            <w:pPr>
              <w:spacing w:after="0"/>
              <w:jc w:val="left"/>
            </w:pPr>
            <w:r/>
            <w:r>
              <w:rPr>
                <w:b/>
                <w:color w:val="1A1A1A"/>
                <w:sz w:val="15"/>
              </w:rPr>
              <w:t>Measure</w:t>
            </w:r>
          </w:p>
        </w:tc>
        <w:tc>
          <w:tcPr>
            <w:tcW w:type="dxa" w:w="1236"/>
            <w:shd w:val="clear" w:fill="F2F2F0"/>
          </w:tcPr>
          <w:p>
            <w:pPr>
              <w:spacing w:after="0"/>
              <w:jc w:val="center"/>
            </w:pPr>
            <w:r/>
            <w:r>
              <w:rPr>
                <w:b/>
                <w:color w:val="1A1A1A"/>
                <w:sz w:val="15"/>
              </w:rPr>
              <w:t>Public</w:t>
            </w:r>
          </w:p>
          <w:p>
            <w:pPr>
              <w:spacing w:after="0"/>
              <w:jc w:val="center"/>
            </w:pPr>
            <w:r>
              <w:rPr>
                <w:b/>
                <w:color w:val="1A1A1A"/>
                <w:sz w:val="15"/>
              </w:rPr>
              <w:t>primary care</w:t>
            </w:r>
          </w:p>
        </w:tc>
        <w:tc>
          <w:tcPr>
            <w:tcW w:type="dxa" w:w="1236"/>
            <w:shd w:val="clear" w:fill="F2F2F0"/>
          </w:tcPr>
          <w:p>
            <w:pPr>
              <w:spacing w:after="0"/>
              <w:jc w:val="center"/>
            </w:pPr>
            <w:r/>
            <w:r>
              <w:rPr>
                <w:b/>
                <w:color w:val="1A1A1A"/>
                <w:sz w:val="15"/>
              </w:rPr>
              <w:t>Public</w:t>
            </w:r>
          </w:p>
          <w:p>
            <w:pPr>
              <w:spacing w:after="0"/>
              <w:jc w:val="center"/>
            </w:pPr>
            <w:r>
              <w:rPr>
                <w:b/>
                <w:color w:val="1A1A1A"/>
                <w:sz w:val="15"/>
              </w:rPr>
              <w:t>hospital OPD/ER</w:t>
            </w:r>
          </w:p>
        </w:tc>
        <w:tc>
          <w:tcPr>
            <w:tcW w:type="dxa" w:w="1236"/>
            <w:shd w:val="clear" w:fill="F2F2F0"/>
          </w:tcPr>
          <w:p>
            <w:pPr>
              <w:spacing w:after="0"/>
              <w:jc w:val="center"/>
            </w:pPr>
            <w:r/>
            <w:r>
              <w:rPr>
                <w:b/>
                <w:color w:val="1A1A1A"/>
                <w:sz w:val="15"/>
              </w:rPr>
              <w:t>Private</w:t>
            </w:r>
          </w:p>
          <w:p>
            <w:pPr>
              <w:spacing w:after="0"/>
              <w:jc w:val="center"/>
            </w:pPr>
            <w:r>
              <w:rPr>
                <w:b/>
                <w:color w:val="1A1A1A"/>
                <w:sz w:val="15"/>
              </w:rPr>
              <w:t>clinic/pharmacy</w:t>
            </w:r>
          </w:p>
        </w:tc>
        <w:tc>
          <w:tcPr>
            <w:tcW w:type="dxa" w:w="1236"/>
            <w:shd w:val="clear" w:fill="F2F2F0"/>
          </w:tcPr>
          <w:p>
            <w:pPr>
              <w:spacing w:after="0"/>
              <w:jc w:val="center"/>
            </w:pPr>
            <w:r/>
            <w:r>
              <w:rPr>
                <w:b/>
                <w:color w:val="1A1A1A"/>
                <w:sz w:val="15"/>
              </w:rPr>
              <w:t>Private</w:t>
            </w:r>
          </w:p>
          <w:p>
            <w:pPr>
              <w:spacing w:after="0"/>
              <w:jc w:val="center"/>
            </w:pPr>
            <w:r>
              <w:rPr>
                <w:b/>
                <w:color w:val="1A1A1A"/>
                <w:sz w:val="15"/>
              </w:rPr>
              <w:t>hospital OPD/ER</w:t>
            </w:r>
          </w:p>
        </w:tc>
        <w:tc>
          <w:tcPr>
            <w:tcW w:type="dxa" w:w="1236"/>
            <w:shd w:val="clear" w:fill="F2F2F0"/>
          </w:tcPr>
          <w:p>
            <w:pPr>
              <w:spacing w:after="0"/>
              <w:jc w:val="center"/>
            </w:pPr>
            <w:r/>
            <w:r>
              <w:rPr>
                <w:b/>
                <w:color w:val="1A1A1A"/>
                <w:sz w:val="15"/>
              </w:rPr>
              <w:t>p</w:t>
            </w:r>
          </w:p>
        </w:tc>
        <w:tc>
          <w:tcPr>
            <w:tcW w:type="dxa" w:w="850"/>
            <w:shd w:val="clear" w:fill="F2F2F0"/>
          </w:tcPr>
          <w:p>
            <w:pPr>
              <w:spacing w:after="0"/>
              <w:jc w:val="center"/>
            </w:pPr>
            <w:r/>
            <w:r>
              <w:rPr>
                <w:b/>
                <w:color w:val="1A1A1A"/>
                <w:sz w:val="15"/>
              </w:rPr>
              <w:t>Denominator</w:t>
            </w:r>
          </w:p>
        </w:tc>
      </w:tr>
      <w:tr>
        <w:tc>
          <w:tcPr>
            <w:tcW w:type="dxa" w:w="2608"/>
          </w:tcPr>
          <w:p>
            <w:pPr>
              <w:spacing w:after="0"/>
              <w:jc w:val="left"/>
            </w:pPr>
            <w:r/>
            <w:r>
              <w:rPr>
                <w:color w:val="1A1A1A"/>
                <w:sz w:val="15"/>
              </w:rPr>
              <w:t>Main reason for choosing usual source (Q16)</w:t>
            </w:r>
          </w:p>
        </w:tc>
        <w:tc>
          <w:tcPr>
            <w:tcW w:type="dxa" w:w="1236"/>
          </w:tcPr>
          <w:p>
            <w:pPr>
              <w:spacing w:after="0"/>
              <w:jc w:val="center"/>
            </w:pPr>
            <w:r/>
            <w:r>
              <w:rPr>
                <w:color w:val="1A1A1A"/>
                <w:sz w:val="15"/>
              </w:rPr>
            </w:r>
          </w:p>
        </w:tc>
        <w:tc>
          <w:tcPr>
            <w:tcW w:type="dxa" w:w="1236"/>
          </w:tcPr>
          <w:p>
            <w:pPr>
              <w:spacing w:after="0"/>
              <w:jc w:val="center"/>
            </w:pPr>
            <w:r/>
            <w:r>
              <w:rPr>
                <w:color w:val="1A1A1A"/>
                <w:sz w:val="15"/>
              </w:rPr>
            </w:r>
          </w:p>
        </w:tc>
        <w:tc>
          <w:tcPr>
            <w:tcW w:type="dxa" w:w="1236"/>
          </w:tcPr>
          <w:p>
            <w:pPr>
              <w:spacing w:after="0"/>
              <w:jc w:val="center"/>
            </w:pPr>
            <w:r/>
            <w:r>
              <w:rPr>
                <w:color w:val="1A1A1A"/>
                <w:sz w:val="15"/>
              </w:rPr>
            </w:r>
          </w:p>
        </w:tc>
        <w:tc>
          <w:tcPr>
            <w:tcW w:type="dxa" w:w="1236"/>
          </w:tcPr>
          <w:p>
            <w:pPr>
              <w:spacing w:after="0"/>
              <w:jc w:val="center"/>
            </w:pPr>
            <w:r/>
            <w:r>
              <w:rPr>
                <w:color w:val="1A1A1A"/>
                <w:sz w:val="15"/>
              </w:rPr>
            </w:r>
          </w:p>
        </w:tc>
        <w:tc>
          <w:tcPr>
            <w:tcW w:type="dxa" w:w="1236"/>
          </w:tcPr>
          <w:p>
            <w:pPr>
              <w:spacing w:after="0"/>
              <w:jc w:val="center"/>
            </w:pPr>
            <w:r/>
            <w:r>
              <w:rPr>
                <w:color w:val="1A1A1A"/>
                <w:sz w:val="15"/>
              </w:rPr>
              <w:t>&lt;0.001</w:t>
            </w:r>
          </w:p>
        </w:tc>
        <w:tc>
          <w:tcPr>
            <w:tcW w:type="dxa" w:w="850"/>
          </w:tcPr>
          <w:p>
            <w:pPr>
              <w:spacing w:after="0"/>
              <w:jc w:val="center"/>
            </w:pPr>
            <w:r/>
            <w:r>
              <w:rPr>
                <w:color w:val="1A1A1A"/>
                <w:sz w:val="15"/>
              </w:rPr>
              <w:t>see rows below</w:t>
            </w:r>
          </w:p>
        </w:tc>
      </w:tr>
      <w:tr>
        <w:tc>
          <w:tcPr>
            <w:tcW w:type="dxa" w:w="2608"/>
          </w:tcPr>
          <w:p>
            <w:pPr>
              <w:spacing w:after="0"/>
              <w:ind w:left="198"/>
              <w:jc w:val="left"/>
            </w:pPr>
            <w:r/>
            <w:r>
              <w:rPr>
                <w:color w:val="1A1A1A"/>
                <w:sz w:val="15"/>
              </w:rPr>
              <w:t>close to home</w:t>
            </w:r>
          </w:p>
        </w:tc>
        <w:tc>
          <w:tcPr>
            <w:tcW w:type="dxa" w:w="1236"/>
          </w:tcPr>
          <w:p>
            <w:pPr>
              <w:spacing w:after="0"/>
              <w:jc w:val="center"/>
            </w:pPr>
            <w:r/>
            <w:r>
              <w:rPr>
                <w:color w:val="1A1A1A"/>
                <w:sz w:val="15"/>
              </w:rPr>
              <w:t>358/634 (56.5)</w:t>
            </w:r>
          </w:p>
        </w:tc>
        <w:tc>
          <w:tcPr>
            <w:tcW w:type="dxa" w:w="1236"/>
          </w:tcPr>
          <w:p>
            <w:pPr>
              <w:spacing w:after="0"/>
              <w:jc w:val="center"/>
            </w:pPr>
            <w:r/>
            <w:r>
              <w:rPr>
                <w:color w:val="1A1A1A"/>
                <w:sz w:val="15"/>
              </w:rPr>
              <w:t>159/615 (25.9)</w:t>
            </w:r>
          </w:p>
        </w:tc>
        <w:tc>
          <w:tcPr>
            <w:tcW w:type="dxa" w:w="1236"/>
          </w:tcPr>
          <w:p>
            <w:pPr>
              <w:spacing w:after="0"/>
              <w:jc w:val="center"/>
            </w:pPr>
            <w:r/>
            <w:r>
              <w:rPr>
                <w:color w:val="1A1A1A"/>
                <w:sz w:val="15"/>
              </w:rPr>
              <w:t>40/142 (28.2)</w:t>
            </w:r>
          </w:p>
        </w:tc>
        <w:tc>
          <w:tcPr>
            <w:tcW w:type="dxa" w:w="1236"/>
          </w:tcPr>
          <w:p>
            <w:pPr>
              <w:spacing w:after="0"/>
              <w:jc w:val="center"/>
            </w:pPr>
            <w:r/>
            <w:r>
              <w:rPr>
                <w:color w:val="1A1A1A"/>
                <w:sz w:val="15"/>
              </w:rPr>
              <w:t>24/127 (18.9)</w:t>
            </w:r>
          </w:p>
        </w:tc>
        <w:tc>
          <w:tcPr>
            <w:tcW w:type="dxa" w:w="1236"/>
          </w:tcPr>
          <w:p>
            <w:pPr>
              <w:spacing w:after="0"/>
              <w:jc w:val="center"/>
            </w:pPr>
            <w:r/>
            <w:r>
              <w:rPr>
                <w:color w:val="1A1A1A"/>
                <w:sz w:val="15"/>
              </w:rPr>
            </w:r>
          </w:p>
        </w:tc>
        <w:tc>
          <w:tcPr>
            <w:tcW w:type="dxa" w:w="850"/>
          </w:tcPr>
          <w:p>
            <w:pPr>
              <w:spacing w:after="0"/>
              <w:jc w:val="center"/>
            </w:pPr>
            <w:r/>
            <w:r>
              <w:rPr>
                <w:color w:val="1A1A1A"/>
                <w:sz w:val="15"/>
              </w:rPr>
            </w:r>
          </w:p>
        </w:tc>
      </w:tr>
      <w:tr>
        <w:tc>
          <w:tcPr>
            <w:tcW w:type="dxa" w:w="2608"/>
          </w:tcPr>
          <w:p>
            <w:pPr>
              <w:spacing w:after="0"/>
              <w:ind w:left="198"/>
              <w:jc w:val="left"/>
            </w:pPr>
            <w:r/>
            <w:r>
              <w:rPr>
                <w:color w:val="1A1A1A"/>
                <w:sz w:val="15"/>
              </w:rPr>
              <w:t>covered by my insurance scheme</w:t>
            </w:r>
          </w:p>
        </w:tc>
        <w:tc>
          <w:tcPr>
            <w:tcW w:type="dxa" w:w="1236"/>
          </w:tcPr>
          <w:p>
            <w:pPr>
              <w:spacing w:after="0"/>
              <w:jc w:val="center"/>
            </w:pPr>
            <w:r/>
            <w:r>
              <w:rPr>
                <w:color w:val="1A1A1A"/>
                <w:sz w:val="15"/>
              </w:rPr>
              <w:t>62/634 (9.8)</w:t>
            </w:r>
          </w:p>
        </w:tc>
        <w:tc>
          <w:tcPr>
            <w:tcW w:type="dxa" w:w="1236"/>
          </w:tcPr>
          <w:p>
            <w:pPr>
              <w:spacing w:after="0"/>
              <w:jc w:val="center"/>
            </w:pPr>
            <w:r/>
            <w:r>
              <w:rPr>
                <w:color w:val="1A1A1A"/>
                <w:sz w:val="15"/>
              </w:rPr>
              <w:t>205/615 (33.3)</w:t>
            </w:r>
          </w:p>
        </w:tc>
        <w:tc>
          <w:tcPr>
            <w:tcW w:type="dxa" w:w="1236"/>
          </w:tcPr>
          <w:p>
            <w:pPr>
              <w:spacing w:after="0"/>
              <w:jc w:val="center"/>
            </w:pPr>
            <w:r/>
            <w:r>
              <w:rPr>
                <w:color w:val="1A1A1A"/>
                <w:sz w:val="15"/>
              </w:rPr>
              <w:t>9/142 (6.3)</w:t>
            </w:r>
          </w:p>
        </w:tc>
        <w:tc>
          <w:tcPr>
            <w:tcW w:type="dxa" w:w="1236"/>
          </w:tcPr>
          <w:p>
            <w:pPr>
              <w:spacing w:after="0"/>
              <w:jc w:val="center"/>
            </w:pPr>
            <w:r/>
            <w:r>
              <w:rPr>
                <w:color w:val="1A1A1A"/>
                <w:sz w:val="15"/>
              </w:rPr>
              <w:t>43/127 (33.9)</w:t>
            </w:r>
          </w:p>
        </w:tc>
        <w:tc>
          <w:tcPr>
            <w:tcW w:type="dxa" w:w="1236"/>
          </w:tcPr>
          <w:p>
            <w:pPr>
              <w:spacing w:after="0"/>
              <w:jc w:val="center"/>
            </w:pPr>
            <w:r/>
            <w:r>
              <w:rPr>
                <w:color w:val="1A1A1A"/>
                <w:sz w:val="15"/>
              </w:rPr>
            </w:r>
          </w:p>
        </w:tc>
        <w:tc>
          <w:tcPr>
            <w:tcW w:type="dxa" w:w="850"/>
          </w:tcPr>
          <w:p>
            <w:pPr>
              <w:spacing w:after="0"/>
              <w:jc w:val="center"/>
            </w:pPr>
            <w:r/>
            <w:r>
              <w:rPr>
                <w:color w:val="1A1A1A"/>
                <w:sz w:val="15"/>
              </w:rPr>
            </w:r>
          </w:p>
        </w:tc>
      </w:tr>
      <w:tr>
        <w:tc>
          <w:tcPr>
            <w:tcW w:type="dxa" w:w="2608"/>
          </w:tcPr>
          <w:p>
            <w:pPr>
              <w:spacing w:after="0"/>
              <w:ind w:left="198"/>
              <w:jc w:val="left"/>
            </w:pPr>
            <w:r/>
            <w:r>
              <w:rPr>
                <w:color w:val="1A1A1A"/>
                <w:sz w:val="15"/>
              </w:rPr>
              <w:t>low cost</w:t>
            </w:r>
          </w:p>
        </w:tc>
        <w:tc>
          <w:tcPr>
            <w:tcW w:type="dxa" w:w="1236"/>
          </w:tcPr>
          <w:p>
            <w:pPr>
              <w:spacing w:after="0"/>
              <w:jc w:val="center"/>
            </w:pPr>
            <w:r/>
            <w:r>
              <w:rPr>
                <w:color w:val="1A1A1A"/>
                <w:sz w:val="15"/>
              </w:rPr>
              <w:t>94/634 (14.8)</w:t>
            </w:r>
          </w:p>
        </w:tc>
        <w:tc>
          <w:tcPr>
            <w:tcW w:type="dxa" w:w="1236"/>
          </w:tcPr>
          <w:p>
            <w:pPr>
              <w:spacing w:after="0"/>
              <w:jc w:val="center"/>
            </w:pPr>
            <w:r/>
            <w:r>
              <w:rPr>
                <w:color w:val="1A1A1A"/>
                <w:sz w:val="15"/>
              </w:rPr>
              <w:t>135/615 (22.0)</w:t>
            </w:r>
          </w:p>
        </w:tc>
        <w:tc>
          <w:tcPr>
            <w:tcW w:type="dxa" w:w="1236"/>
          </w:tcPr>
          <w:p>
            <w:pPr>
              <w:spacing w:after="0"/>
              <w:jc w:val="center"/>
            </w:pPr>
            <w:r/>
            <w:r>
              <w:rPr>
                <w:color w:val="1A1A1A"/>
                <w:sz w:val="15"/>
              </w:rPr>
              <w:t>4/142 (2.8)</w:t>
            </w:r>
          </w:p>
        </w:tc>
        <w:tc>
          <w:tcPr>
            <w:tcW w:type="dxa" w:w="1236"/>
          </w:tcPr>
          <w:p>
            <w:pPr>
              <w:spacing w:after="0"/>
              <w:jc w:val="center"/>
            </w:pPr>
            <w:r/>
            <w:r>
              <w:rPr>
                <w:color w:val="1A1A1A"/>
                <w:sz w:val="15"/>
              </w:rPr>
              <w:t>2/127 (1.6)</w:t>
            </w:r>
          </w:p>
        </w:tc>
        <w:tc>
          <w:tcPr>
            <w:tcW w:type="dxa" w:w="1236"/>
          </w:tcPr>
          <w:p>
            <w:pPr>
              <w:spacing w:after="0"/>
              <w:jc w:val="center"/>
            </w:pPr>
            <w:r/>
            <w:r>
              <w:rPr>
                <w:color w:val="1A1A1A"/>
                <w:sz w:val="15"/>
              </w:rPr>
            </w:r>
          </w:p>
        </w:tc>
        <w:tc>
          <w:tcPr>
            <w:tcW w:type="dxa" w:w="850"/>
          </w:tcPr>
          <w:p>
            <w:pPr>
              <w:spacing w:after="0"/>
              <w:jc w:val="center"/>
            </w:pPr>
            <w:r/>
            <w:r>
              <w:rPr>
                <w:color w:val="1A1A1A"/>
                <w:sz w:val="15"/>
              </w:rPr>
            </w:r>
          </w:p>
        </w:tc>
      </w:tr>
      <w:tr>
        <w:tc>
          <w:tcPr>
            <w:tcW w:type="dxa" w:w="2608"/>
          </w:tcPr>
          <w:p>
            <w:pPr>
              <w:spacing w:after="0"/>
              <w:ind w:left="198"/>
              <w:jc w:val="left"/>
            </w:pPr>
            <w:r/>
            <w:r>
              <w:rPr>
                <w:color w:val="1A1A1A"/>
                <w:sz w:val="15"/>
              </w:rPr>
              <w:t>medicines &amp; equipment</w:t>
            </w:r>
          </w:p>
        </w:tc>
        <w:tc>
          <w:tcPr>
            <w:tcW w:type="dxa" w:w="1236"/>
          </w:tcPr>
          <w:p>
            <w:pPr>
              <w:spacing w:after="0"/>
              <w:jc w:val="center"/>
            </w:pPr>
            <w:r/>
            <w:r>
              <w:rPr>
                <w:color w:val="1A1A1A"/>
                <w:sz w:val="15"/>
              </w:rPr>
              <w:t>30/634 (4.7)</w:t>
            </w:r>
          </w:p>
        </w:tc>
        <w:tc>
          <w:tcPr>
            <w:tcW w:type="dxa" w:w="1236"/>
          </w:tcPr>
          <w:p>
            <w:pPr>
              <w:spacing w:after="0"/>
              <w:jc w:val="center"/>
            </w:pPr>
            <w:r/>
            <w:r>
              <w:rPr>
                <w:color w:val="1A1A1A"/>
                <w:sz w:val="15"/>
              </w:rPr>
              <w:t>83/615 (13.5)</w:t>
            </w:r>
          </w:p>
        </w:tc>
        <w:tc>
          <w:tcPr>
            <w:tcW w:type="dxa" w:w="1236"/>
          </w:tcPr>
          <w:p>
            <w:pPr>
              <w:spacing w:after="0"/>
              <w:jc w:val="center"/>
            </w:pPr>
            <w:r/>
            <w:r>
              <w:rPr>
                <w:color w:val="1A1A1A"/>
                <w:sz w:val="15"/>
              </w:rPr>
              <w:t>8/142 (5.6)</w:t>
            </w:r>
          </w:p>
        </w:tc>
        <w:tc>
          <w:tcPr>
            <w:tcW w:type="dxa" w:w="1236"/>
          </w:tcPr>
          <w:p>
            <w:pPr>
              <w:spacing w:after="0"/>
              <w:jc w:val="center"/>
            </w:pPr>
            <w:r/>
            <w:r>
              <w:rPr>
                <w:color w:val="1A1A1A"/>
                <w:sz w:val="15"/>
              </w:rPr>
              <w:t>13/127 (10.2)</w:t>
            </w:r>
          </w:p>
        </w:tc>
        <w:tc>
          <w:tcPr>
            <w:tcW w:type="dxa" w:w="1236"/>
          </w:tcPr>
          <w:p>
            <w:pPr>
              <w:spacing w:after="0"/>
              <w:jc w:val="center"/>
            </w:pPr>
            <w:r/>
            <w:r>
              <w:rPr>
                <w:color w:val="1A1A1A"/>
                <w:sz w:val="15"/>
              </w:rPr>
            </w:r>
          </w:p>
        </w:tc>
        <w:tc>
          <w:tcPr>
            <w:tcW w:type="dxa" w:w="850"/>
          </w:tcPr>
          <w:p>
            <w:pPr>
              <w:spacing w:after="0"/>
              <w:jc w:val="center"/>
            </w:pPr>
            <w:r/>
            <w:r>
              <w:rPr>
                <w:color w:val="1A1A1A"/>
                <w:sz w:val="15"/>
              </w:rPr>
            </w:r>
          </w:p>
        </w:tc>
      </w:tr>
      <w:tr>
        <w:tc>
          <w:tcPr>
            <w:tcW w:type="dxa" w:w="2608"/>
          </w:tcPr>
          <w:p>
            <w:pPr>
              <w:spacing w:after="0"/>
              <w:ind w:left="198"/>
              <w:jc w:val="left"/>
            </w:pPr>
            <w:r/>
            <w:r>
              <w:rPr>
                <w:color w:val="1A1A1A"/>
                <w:sz w:val="15"/>
              </w:rPr>
              <w:t>only facility in area</w:t>
            </w:r>
          </w:p>
        </w:tc>
        <w:tc>
          <w:tcPr>
            <w:tcW w:type="dxa" w:w="1236"/>
          </w:tcPr>
          <w:p>
            <w:pPr>
              <w:spacing w:after="0"/>
              <w:jc w:val="center"/>
            </w:pPr>
            <w:r/>
            <w:r>
              <w:rPr>
                <w:color w:val="1A1A1A"/>
                <w:sz w:val="15"/>
              </w:rPr>
              <w:t>11/634 (1.7)</w:t>
            </w:r>
          </w:p>
        </w:tc>
        <w:tc>
          <w:tcPr>
            <w:tcW w:type="dxa" w:w="1236"/>
          </w:tcPr>
          <w:p>
            <w:pPr>
              <w:spacing w:after="0"/>
              <w:jc w:val="center"/>
            </w:pPr>
            <w:r/>
            <w:r>
              <w:rPr>
                <w:color w:val="1A1A1A"/>
                <w:sz w:val="15"/>
              </w:rPr>
              <w:t>10/615 (1.6)</w:t>
            </w:r>
          </w:p>
        </w:tc>
        <w:tc>
          <w:tcPr>
            <w:tcW w:type="dxa" w:w="1236"/>
          </w:tcPr>
          <w:p>
            <w:pPr>
              <w:spacing w:after="0"/>
              <w:jc w:val="center"/>
            </w:pPr>
            <w:r/>
            <w:r>
              <w:rPr>
                <w:color w:val="1A1A1A"/>
                <w:sz w:val="15"/>
              </w:rPr>
              <w:t>2/142 (1.4)</w:t>
            </w:r>
          </w:p>
        </w:tc>
        <w:tc>
          <w:tcPr>
            <w:tcW w:type="dxa" w:w="1236"/>
          </w:tcPr>
          <w:p>
            <w:pPr>
              <w:spacing w:after="0"/>
              <w:jc w:val="center"/>
            </w:pPr>
            <w:r/>
            <w:r>
              <w:rPr>
                <w:color w:val="1A1A1A"/>
                <w:sz w:val="15"/>
              </w:rPr>
              <w:t>1/127 (0.8)</w:t>
            </w:r>
          </w:p>
        </w:tc>
        <w:tc>
          <w:tcPr>
            <w:tcW w:type="dxa" w:w="1236"/>
          </w:tcPr>
          <w:p>
            <w:pPr>
              <w:spacing w:after="0"/>
              <w:jc w:val="center"/>
            </w:pPr>
            <w:r/>
            <w:r>
              <w:rPr>
                <w:color w:val="1A1A1A"/>
                <w:sz w:val="15"/>
              </w:rPr>
            </w:r>
          </w:p>
        </w:tc>
        <w:tc>
          <w:tcPr>
            <w:tcW w:type="dxa" w:w="850"/>
          </w:tcPr>
          <w:p>
            <w:pPr>
              <w:spacing w:after="0"/>
              <w:jc w:val="center"/>
            </w:pPr>
            <w:r/>
            <w:r>
              <w:rPr>
                <w:color w:val="1A1A1A"/>
                <w:sz w:val="15"/>
              </w:rPr>
            </w:r>
          </w:p>
        </w:tc>
      </w:tr>
      <w:tr>
        <w:tc>
          <w:tcPr>
            <w:tcW w:type="dxa" w:w="2608"/>
          </w:tcPr>
          <w:p>
            <w:pPr>
              <w:spacing w:after="0"/>
              <w:ind w:left="198"/>
              <w:jc w:val="left"/>
            </w:pPr>
            <w:r/>
            <w:r>
              <w:rPr>
                <w:color w:val="1A1A1A"/>
                <w:sz w:val="15"/>
              </w:rPr>
              <w:t>other</w:t>
            </w:r>
          </w:p>
        </w:tc>
        <w:tc>
          <w:tcPr>
            <w:tcW w:type="dxa" w:w="1236"/>
          </w:tcPr>
          <w:p>
            <w:pPr>
              <w:spacing w:after="0"/>
              <w:jc w:val="center"/>
            </w:pPr>
            <w:r/>
            <w:r>
              <w:rPr>
                <w:color w:val="1A1A1A"/>
                <w:sz w:val="15"/>
              </w:rPr>
              <w:t>0/634 (0.0)</w:t>
            </w:r>
          </w:p>
        </w:tc>
        <w:tc>
          <w:tcPr>
            <w:tcW w:type="dxa" w:w="1236"/>
          </w:tcPr>
          <w:p>
            <w:pPr>
              <w:spacing w:after="0"/>
              <w:jc w:val="center"/>
            </w:pPr>
            <w:r/>
            <w:r>
              <w:rPr>
                <w:color w:val="1A1A1A"/>
                <w:sz w:val="15"/>
              </w:rPr>
              <w:t>0/615 (0.0)</w:t>
            </w:r>
          </w:p>
        </w:tc>
        <w:tc>
          <w:tcPr>
            <w:tcW w:type="dxa" w:w="1236"/>
          </w:tcPr>
          <w:p>
            <w:pPr>
              <w:spacing w:after="0"/>
              <w:jc w:val="center"/>
            </w:pPr>
            <w:r/>
            <w:r>
              <w:rPr>
                <w:color w:val="1A1A1A"/>
                <w:sz w:val="15"/>
              </w:rPr>
              <w:t>0/142 (0.0)</w:t>
            </w:r>
          </w:p>
        </w:tc>
        <w:tc>
          <w:tcPr>
            <w:tcW w:type="dxa" w:w="1236"/>
          </w:tcPr>
          <w:p>
            <w:pPr>
              <w:spacing w:after="0"/>
              <w:jc w:val="center"/>
            </w:pPr>
            <w:r/>
            <w:r>
              <w:rPr>
                <w:color w:val="1A1A1A"/>
                <w:sz w:val="15"/>
              </w:rPr>
              <w:t>1/127 (0.8)</w:t>
            </w:r>
          </w:p>
        </w:tc>
        <w:tc>
          <w:tcPr>
            <w:tcW w:type="dxa" w:w="1236"/>
          </w:tcPr>
          <w:p>
            <w:pPr>
              <w:spacing w:after="0"/>
              <w:jc w:val="center"/>
            </w:pPr>
            <w:r/>
            <w:r>
              <w:rPr>
                <w:color w:val="1A1A1A"/>
                <w:sz w:val="15"/>
              </w:rPr>
            </w:r>
          </w:p>
        </w:tc>
        <w:tc>
          <w:tcPr>
            <w:tcW w:type="dxa" w:w="850"/>
          </w:tcPr>
          <w:p>
            <w:pPr>
              <w:spacing w:after="0"/>
              <w:jc w:val="center"/>
            </w:pPr>
            <w:r/>
            <w:r>
              <w:rPr>
                <w:color w:val="1A1A1A"/>
                <w:sz w:val="15"/>
              </w:rPr>
            </w:r>
          </w:p>
        </w:tc>
      </w:tr>
      <w:tr>
        <w:tc>
          <w:tcPr>
            <w:tcW w:type="dxa" w:w="2608"/>
          </w:tcPr>
          <w:p>
            <w:pPr>
              <w:spacing w:after="0"/>
              <w:ind w:left="198"/>
              <w:jc w:val="left"/>
            </w:pPr>
            <w:r/>
            <w:r>
              <w:rPr>
                <w:color w:val="1A1A1A"/>
                <w:sz w:val="15"/>
              </w:rPr>
              <w:t>provider skill</w:t>
            </w:r>
          </w:p>
        </w:tc>
        <w:tc>
          <w:tcPr>
            <w:tcW w:type="dxa" w:w="1236"/>
          </w:tcPr>
          <w:p>
            <w:pPr>
              <w:spacing w:after="0"/>
              <w:jc w:val="center"/>
            </w:pPr>
            <w:r/>
            <w:r>
              <w:rPr>
                <w:color w:val="1A1A1A"/>
                <w:sz w:val="15"/>
              </w:rPr>
              <w:t>18/634 (2.8)</w:t>
            </w:r>
          </w:p>
        </w:tc>
        <w:tc>
          <w:tcPr>
            <w:tcW w:type="dxa" w:w="1236"/>
          </w:tcPr>
          <w:p>
            <w:pPr>
              <w:spacing w:after="0"/>
              <w:jc w:val="center"/>
            </w:pPr>
            <w:r/>
            <w:r>
              <w:rPr>
                <w:color w:val="1A1A1A"/>
                <w:sz w:val="15"/>
              </w:rPr>
              <w:t>13/615 (2.1)</w:t>
            </w:r>
          </w:p>
        </w:tc>
        <w:tc>
          <w:tcPr>
            <w:tcW w:type="dxa" w:w="1236"/>
          </w:tcPr>
          <w:p>
            <w:pPr>
              <w:spacing w:after="0"/>
              <w:jc w:val="center"/>
            </w:pPr>
            <w:r/>
            <w:r>
              <w:rPr>
                <w:color w:val="1A1A1A"/>
                <w:sz w:val="15"/>
              </w:rPr>
              <w:t>10/142 (7.0)</w:t>
            </w:r>
          </w:p>
        </w:tc>
        <w:tc>
          <w:tcPr>
            <w:tcW w:type="dxa" w:w="1236"/>
          </w:tcPr>
          <w:p>
            <w:pPr>
              <w:spacing w:after="0"/>
              <w:jc w:val="center"/>
            </w:pPr>
            <w:r/>
            <w:r>
              <w:rPr>
                <w:color w:val="1A1A1A"/>
                <w:sz w:val="15"/>
              </w:rPr>
              <w:t>10/127 (7.9)</w:t>
            </w:r>
          </w:p>
        </w:tc>
        <w:tc>
          <w:tcPr>
            <w:tcW w:type="dxa" w:w="1236"/>
          </w:tcPr>
          <w:p>
            <w:pPr>
              <w:spacing w:after="0"/>
              <w:jc w:val="center"/>
            </w:pPr>
            <w:r/>
            <w:r>
              <w:rPr>
                <w:color w:val="1A1A1A"/>
                <w:sz w:val="15"/>
              </w:rPr>
            </w:r>
          </w:p>
        </w:tc>
        <w:tc>
          <w:tcPr>
            <w:tcW w:type="dxa" w:w="850"/>
          </w:tcPr>
          <w:p>
            <w:pPr>
              <w:spacing w:after="0"/>
              <w:jc w:val="center"/>
            </w:pPr>
            <w:r/>
            <w:r>
              <w:rPr>
                <w:color w:val="1A1A1A"/>
                <w:sz w:val="15"/>
              </w:rPr>
            </w:r>
          </w:p>
        </w:tc>
      </w:tr>
      <w:tr>
        <w:tc>
          <w:tcPr>
            <w:tcW w:type="dxa" w:w="2608"/>
          </w:tcPr>
          <w:p>
            <w:pPr>
              <w:spacing w:after="0"/>
              <w:ind w:left="198"/>
              <w:jc w:val="left"/>
            </w:pPr>
            <w:r/>
            <w:r>
              <w:rPr>
                <w:color w:val="1A1A1A"/>
                <w:sz w:val="15"/>
              </w:rPr>
              <w:t>short waiting time</w:t>
            </w:r>
          </w:p>
        </w:tc>
        <w:tc>
          <w:tcPr>
            <w:tcW w:type="dxa" w:w="1236"/>
          </w:tcPr>
          <w:p>
            <w:pPr>
              <w:spacing w:after="0"/>
              <w:jc w:val="center"/>
            </w:pPr>
            <w:r/>
            <w:r>
              <w:rPr>
                <w:color w:val="1A1A1A"/>
                <w:sz w:val="15"/>
              </w:rPr>
              <w:t>56/634 (8.8)</w:t>
            </w:r>
          </w:p>
        </w:tc>
        <w:tc>
          <w:tcPr>
            <w:tcW w:type="dxa" w:w="1236"/>
          </w:tcPr>
          <w:p>
            <w:pPr>
              <w:spacing w:after="0"/>
              <w:jc w:val="center"/>
            </w:pPr>
            <w:r/>
            <w:r>
              <w:rPr>
                <w:color w:val="1A1A1A"/>
                <w:sz w:val="15"/>
              </w:rPr>
              <w:t>9/615 (1.5)</w:t>
            </w:r>
          </w:p>
        </w:tc>
        <w:tc>
          <w:tcPr>
            <w:tcW w:type="dxa" w:w="1236"/>
          </w:tcPr>
          <w:p>
            <w:pPr>
              <w:spacing w:after="0"/>
              <w:jc w:val="center"/>
            </w:pPr>
            <w:r/>
            <w:r>
              <w:rPr>
                <w:color w:val="1A1A1A"/>
                <w:sz w:val="15"/>
              </w:rPr>
              <w:t>68/142 (47.9)</w:t>
            </w:r>
          </w:p>
        </w:tc>
        <w:tc>
          <w:tcPr>
            <w:tcW w:type="dxa" w:w="1236"/>
          </w:tcPr>
          <w:p>
            <w:pPr>
              <w:spacing w:after="0"/>
              <w:jc w:val="center"/>
            </w:pPr>
            <w:r/>
            <w:r>
              <w:rPr>
                <w:color w:val="1A1A1A"/>
                <w:sz w:val="15"/>
              </w:rPr>
              <w:t>32/127 (25.2)</w:t>
            </w:r>
          </w:p>
        </w:tc>
        <w:tc>
          <w:tcPr>
            <w:tcW w:type="dxa" w:w="1236"/>
          </w:tcPr>
          <w:p>
            <w:pPr>
              <w:spacing w:after="0"/>
              <w:jc w:val="center"/>
            </w:pPr>
            <w:r/>
            <w:r>
              <w:rPr>
                <w:color w:val="1A1A1A"/>
                <w:sz w:val="15"/>
              </w:rPr>
            </w:r>
          </w:p>
        </w:tc>
        <w:tc>
          <w:tcPr>
            <w:tcW w:type="dxa" w:w="850"/>
          </w:tcPr>
          <w:p>
            <w:pPr>
              <w:spacing w:after="0"/>
              <w:jc w:val="center"/>
            </w:pPr>
            <w:r/>
            <w:r>
              <w:rPr>
                <w:color w:val="1A1A1A"/>
                <w:sz w:val="15"/>
              </w:rPr>
            </w:r>
          </w:p>
        </w:tc>
      </w:tr>
      <w:tr>
        <w:tc>
          <w:tcPr>
            <w:tcW w:type="dxa" w:w="2608"/>
          </w:tcPr>
          <w:p>
            <w:pPr>
              <w:spacing w:after="0"/>
              <w:ind w:left="198"/>
              <w:jc w:val="left"/>
            </w:pPr>
            <w:r/>
            <w:r>
              <w:rPr>
                <w:color w:val="1A1A1A"/>
                <w:sz w:val="15"/>
              </w:rPr>
              <w:t>staff respect</w:t>
            </w:r>
          </w:p>
        </w:tc>
        <w:tc>
          <w:tcPr>
            <w:tcW w:type="dxa" w:w="1236"/>
          </w:tcPr>
          <w:p>
            <w:pPr>
              <w:spacing w:after="0"/>
              <w:jc w:val="center"/>
            </w:pPr>
            <w:r/>
            <w:r>
              <w:rPr>
                <w:color w:val="1A1A1A"/>
                <w:sz w:val="15"/>
              </w:rPr>
              <w:t>5/634 (0.8)</w:t>
            </w:r>
          </w:p>
        </w:tc>
        <w:tc>
          <w:tcPr>
            <w:tcW w:type="dxa" w:w="1236"/>
          </w:tcPr>
          <w:p>
            <w:pPr>
              <w:spacing w:after="0"/>
              <w:jc w:val="center"/>
            </w:pPr>
            <w:r/>
            <w:r>
              <w:rPr>
                <w:color w:val="1A1A1A"/>
                <w:sz w:val="15"/>
              </w:rPr>
              <w:t>1/615 (0.2)</w:t>
            </w:r>
          </w:p>
        </w:tc>
        <w:tc>
          <w:tcPr>
            <w:tcW w:type="dxa" w:w="1236"/>
          </w:tcPr>
          <w:p>
            <w:pPr>
              <w:spacing w:after="0"/>
              <w:jc w:val="center"/>
            </w:pPr>
            <w:r/>
            <w:r>
              <w:rPr>
                <w:color w:val="1A1A1A"/>
                <w:sz w:val="15"/>
              </w:rPr>
              <w:t>1/142 (0.7)</w:t>
            </w:r>
          </w:p>
        </w:tc>
        <w:tc>
          <w:tcPr>
            <w:tcW w:type="dxa" w:w="1236"/>
          </w:tcPr>
          <w:p>
            <w:pPr>
              <w:spacing w:after="0"/>
              <w:jc w:val="center"/>
            </w:pPr>
            <w:r/>
            <w:r>
              <w:rPr>
                <w:color w:val="1A1A1A"/>
                <w:sz w:val="15"/>
              </w:rPr>
              <w:t>1/127 (0.8)</w:t>
            </w:r>
          </w:p>
        </w:tc>
        <w:tc>
          <w:tcPr>
            <w:tcW w:type="dxa" w:w="1236"/>
          </w:tcPr>
          <w:p>
            <w:pPr>
              <w:spacing w:after="0"/>
              <w:jc w:val="center"/>
            </w:pPr>
            <w:r/>
            <w:r>
              <w:rPr>
                <w:color w:val="1A1A1A"/>
                <w:sz w:val="15"/>
              </w:rPr>
            </w:r>
          </w:p>
        </w:tc>
        <w:tc>
          <w:tcPr>
            <w:tcW w:type="dxa" w:w="850"/>
          </w:tcPr>
          <w:p>
            <w:pPr>
              <w:spacing w:after="0"/>
              <w:jc w:val="center"/>
            </w:pPr>
            <w:r/>
            <w:r>
              <w:rPr>
                <w:color w:val="1A1A1A"/>
                <w:sz w:val="15"/>
              </w:rPr>
            </w:r>
          </w:p>
        </w:tc>
      </w:tr>
      <w:tr>
        <w:tc>
          <w:tcPr>
            <w:tcW w:type="dxa" w:w="2608"/>
          </w:tcPr>
          <w:p>
            <w:pPr>
              <w:spacing w:after="0"/>
              <w:jc w:val="left"/>
            </w:pPr>
            <w:r/>
            <w:r>
              <w:rPr>
                <w:color w:val="1A1A1A"/>
                <w:sz w:val="15"/>
              </w:rPr>
              <w:t>Most recent visit by appointment (Q35)</w:t>
            </w:r>
          </w:p>
        </w:tc>
        <w:tc>
          <w:tcPr>
            <w:tcW w:type="dxa" w:w="1236"/>
          </w:tcPr>
          <w:p>
            <w:pPr>
              <w:spacing w:after="0"/>
              <w:jc w:val="center"/>
            </w:pPr>
            <w:r/>
            <w:r>
              <w:rPr>
                <w:color w:val="1A1A1A"/>
                <w:sz w:val="15"/>
              </w:rPr>
              <w:t>265/634 (41.8; 38.0-45.7)</w:t>
            </w:r>
          </w:p>
        </w:tc>
        <w:tc>
          <w:tcPr>
            <w:tcW w:type="dxa" w:w="1236"/>
          </w:tcPr>
          <w:p>
            <w:pPr>
              <w:spacing w:after="0"/>
              <w:jc w:val="center"/>
            </w:pPr>
            <w:r/>
            <w:r>
              <w:rPr>
                <w:color w:val="1A1A1A"/>
                <w:sz w:val="15"/>
              </w:rPr>
              <w:t>305/615 (49.6; 45.7-53.5)</w:t>
            </w:r>
          </w:p>
        </w:tc>
        <w:tc>
          <w:tcPr>
            <w:tcW w:type="dxa" w:w="1236"/>
          </w:tcPr>
          <w:p>
            <w:pPr>
              <w:spacing w:after="0"/>
              <w:jc w:val="center"/>
            </w:pPr>
            <w:r/>
            <w:r>
              <w:rPr>
                <w:color w:val="1A1A1A"/>
                <w:sz w:val="15"/>
              </w:rPr>
              <w:t>32/142 (22.5; 16.4-30.1)</w:t>
            </w:r>
          </w:p>
        </w:tc>
        <w:tc>
          <w:tcPr>
            <w:tcW w:type="dxa" w:w="1236"/>
          </w:tcPr>
          <w:p>
            <w:pPr>
              <w:spacing w:after="0"/>
              <w:jc w:val="center"/>
            </w:pPr>
            <w:r/>
            <w:r>
              <w:rPr>
                <w:color w:val="1A1A1A"/>
                <w:sz w:val="15"/>
              </w:rPr>
              <w:t>44/127 (34.6; 26.9-43.3)</w:t>
            </w:r>
          </w:p>
        </w:tc>
        <w:tc>
          <w:tcPr>
            <w:tcW w:type="dxa" w:w="1236"/>
          </w:tcPr>
          <w:p>
            <w:pPr>
              <w:spacing w:after="0"/>
              <w:jc w:val="center"/>
            </w:pPr>
            <w:r/>
            <w:r>
              <w:rPr>
                <w:color w:val="1A1A1A"/>
                <w:sz w:val="15"/>
              </w:rPr>
              <w:t>&lt;0.001</w:t>
            </w:r>
          </w:p>
        </w:tc>
        <w:tc>
          <w:tcPr>
            <w:tcW w:type="dxa" w:w="850"/>
          </w:tcPr>
          <w:p>
            <w:pPr>
              <w:spacing w:after="0"/>
              <w:jc w:val="center"/>
            </w:pPr>
            <w:r/>
            <w:r>
              <w:rPr>
                <w:color w:val="1A1A1A"/>
                <w:sz w:val="15"/>
              </w:rPr>
              <w:t>all in group</w:t>
            </w:r>
          </w:p>
        </w:tc>
      </w:tr>
      <w:tr>
        <w:tc>
          <w:tcPr>
            <w:tcW w:type="dxa" w:w="2608"/>
          </w:tcPr>
          <w:p>
            <w:pPr>
              <w:spacing w:after="0"/>
              <w:jc w:val="left"/>
            </w:pPr>
            <w:r/>
            <w:r>
              <w:rPr>
                <w:color w:val="1A1A1A"/>
                <w:sz w:val="15"/>
              </w:rPr>
              <w:t>Waiting time at facility (Q37)</w:t>
            </w:r>
          </w:p>
        </w:tc>
        <w:tc>
          <w:tcPr>
            <w:tcW w:type="dxa" w:w="1236"/>
          </w:tcPr>
          <w:p>
            <w:pPr>
              <w:spacing w:after="0"/>
              <w:jc w:val="center"/>
            </w:pPr>
            <w:r/>
            <w:r>
              <w:rPr>
                <w:color w:val="1A1A1A"/>
                <w:sz w:val="15"/>
              </w:rPr>
            </w:r>
          </w:p>
        </w:tc>
        <w:tc>
          <w:tcPr>
            <w:tcW w:type="dxa" w:w="1236"/>
          </w:tcPr>
          <w:p>
            <w:pPr>
              <w:spacing w:after="0"/>
              <w:jc w:val="center"/>
            </w:pPr>
            <w:r/>
            <w:r>
              <w:rPr>
                <w:color w:val="1A1A1A"/>
                <w:sz w:val="15"/>
              </w:rPr>
            </w:r>
          </w:p>
        </w:tc>
        <w:tc>
          <w:tcPr>
            <w:tcW w:type="dxa" w:w="1236"/>
          </w:tcPr>
          <w:p>
            <w:pPr>
              <w:spacing w:after="0"/>
              <w:jc w:val="center"/>
            </w:pPr>
            <w:r/>
            <w:r>
              <w:rPr>
                <w:color w:val="1A1A1A"/>
                <w:sz w:val="15"/>
              </w:rPr>
            </w:r>
          </w:p>
        </w:tc>
        <w:tc>
          <w:tcPr>
            <w:tcW w:type="dxa" w:w="1236"/>
          </w:tcPr>
          <w:p>
            <w:pPr>
              <w:spacing w:after="0"/>
              <w:jc w:val="center"/>
            </w:pPr>
            <w:r/>
            <w:r>
              <w:rPr>
                <w:color w:val="1A1A1A"/>
                <w:sz w:val="15"/>
              </w:rPr>
            </w:r>
          </w:p>
        </w:tc>
        <w:tc>
          <w:tcPr>
            <w:tcW w:type="dxa" w:w="1236"/>
          </w:tcPr>
          <w:p>
            <w:pPr>
              <w:spacing w:after="0"/>
              <w:jc w:val="center"/>
            </w:pPr>
            <w:r/>
            <w:r>
              <w:rPr>
                <w:color w:val="1A1A1A"/>
                <w:sz w:val="15"/>
              </w:rPr>
              <w:t>&lt;0.001</w:t>
            </w:r>
          </w:p>
        </w:tc>
        <w:tc>
          <w:tcPr>
            <w:tcW w:type="dxa" w:w="850"/>
          </w:tcPr>
          <w:p>
            <w:pPr>
              <w:spacing w:after="0"/>
              <w:jc w:val="center"/>
            </w:pPr>
            <w:r/>
            <w:r>
              <w:rPr>
                <w:color w:val="1A1A1A"/>
                <w:sz w:val="15"/>
              </w:rPr>
              <w:t>see rows below</w:t>
            </w:r>
          </w:p>
        </w:tc>
      </w:tr>
      <w:tr>
        <w:tc>
          <w:tcPr>
            <w:tcW w:type="dxa" w:w="2608"/>
          </w:tcPr>
          <w:p>
            <w:pPr>
              <w:spacing w:after="0"/>
              <w:ind w:left="198"/>
              <w:jc w:val="left"/>
            </w:pPr>
            <w:r/>
            <w:r>
              <w:rPr>
                <w:color w:val="1A1A1A"/>
                <w:sz w:val="15"/>
              </w:rPr>
              <w:t>&lt;15 min</w:t>
            </w:r>
          </w:p>
        </w:tc>
        <w:tc>
          <w:tcPr>
            <w:tcW w:type="dxa" w:w="1236"/>
          </w:tcPr>
          <w:p>
            <w:pPr>
              <w:spacing w:after="0"/>
              <w:jc w:val="center"/>
            </w:pPr>
            <w:r/>
            <w:r>
              <w:rPr>
                <w:color w:val="1A1A1A"/>
                <w:sz w:val="15"/>
              </w:rPr>
              <w:t>34/634 (5.4)</w:t>
            </w:r>
          </w:p>
        </w:tc>
        <w:tc>
          <w:tcPr>
            <w:tcW w:type="dxa" w:w="1236"/>
          </w:tcPr>
          <w:p>
            <w:pPr>
              <w:spacing w:after="0"/>
              <w:jc w:val="center"/>
            </w:pPr>
            <w:r/>
            <w:r>
              <w:rPr>
                <w:color w:val="1A1A1A"/>
                <w:sz w:val="15"/>
              </w:rPr>
              <w:t>29/615 (4.7)</w:t>
            </w:r>
          </w:p>
        </w:tc>
        <w:tc>
          <w:tcPr>
            <w:tcW w:type="dxa" w:w="1236"/>
          </w:tcPr>
          <w:p>
            <w:pPr>
              <w:spacing w:after="0"/>
              <w:jc w:val="center"/>
            </w:pPr>
            <w:r/>
            <w:r>
              <w:rPr>
                <w:color w:val="1A1A1A"/>
                <w:sz w:val="15"/>
              </w:rPr>
              <w:t>43/142 (30.3)</w:t>
            </w:r>
          </w:p>
        </w:tc>
        <w:tc>
          <w:tcPr>
            <w:tcW w:type="dxa" w:w="1236"/>
          </w:tcPr>
          <w:p>
            <w:pPr>
              <w:spacing w:after="0"/>
              <w:jc w:val="center"/>
            </w:pPr>
            <w:r/>
            <w:r>
              <w:rPr>
                <w:color w:val="1A1A1A"/>
                <w:sz w:val="15"/>
              </w:rPr>
              <w:t>14/127 (11.0)</w:t>
            </w:r>
          </w:p>
        </w:tc>
        <w:tc>
          <w:tcPr>
            <w:tcW w:type="dxa" w:w="1236"/>
          </w:tcPr>
          <w:p>
            <w:pPr>
              <w:spacing w:after="0"/>
              <w:jc w:val="center"/>
            </w:pPr>
            <w:r/>
            <w:r>
              <w:rPr>
                <w:color w:val="1A1A1A"/>
                <w:sz w:val="15"/>
              </w:rPr>
            </w:r>
          </w:p>
        </w:tc>
        <w:tc>
          <w:tcPr>
            <w:tcW w:type="dxa" w:w="850"/>
          </w:tcPr>
          <w:p>
            <w:pPr>
              <w:spacing w:after="0"/>
              <w:jc w:val="center"/>
            </w:pPr>
            <w:r/>
            <w:r>
              <w:rPr>
                <w:color w:val="1A1A1A"/>
                <w:sz w:val="15"/>
              </w:rPr>
            </w:r>
          </w:p>
        </w:tc>
      </w:tr>
      <w:tr>
        <w:tc>
          <w:tcPr>
            <w:tcW w:type="dxa" w:w="2608"/>
          </w:tcPr>
          <w:p>
            <w:pPr>
              <w:spacing w:after="0"/>
              <w:ind w:left="198"/>
              <w:jc w:val="left"/>
            </w:pPr>
            <w:r/>
            <w:r>
              <w:rPr>
                <w:color w:val="1A1A1A"/>
                <w:sz w:val="15"/>
              </w:rPr>
              <w:t>15-29 min</w:t>
            </w:r>
          </w:p>
        </w:tc>
        <w:tc>
          <w:tcPr>
            <w:tcW w:type="dxa" w:w="1236"/>
          </w:tcPr>
          <w:p>
            <w:pPr>
              <w:spacing w:after="0"/>
              <w:jc w:val="center"/>
            </w:pPr>
            <w:r/>
            <w:r>
              <w:rPr>
                <w:color w:val="1A1A1A"/>
                <w:sz w:val="15"/>
              </w:rPr>
              <w:t>146/634 (23.0)</w:t>
            </w:r>
          </w:p>
        </w:tc>
        <w:tc>
          <w:tcPr>
            <w:tcW w:type="dxa" w:w="1236"/>
          </w:tcPr>
          <w:p>
            <w:pPr>
              <w:spacing w:after="0"/>
              <w:jc w:val="center"/>
            </w:pPr>
            <w:r/>
            <w:r>
              <w:rPr>
                <w:color w:val="1A1A1A"/>
                <w:sz w:val="15"/>
              </w:rPr>
              <w:t>137/615 (22.3)</w:t>
            </w:r>
          </w:p>
        </w:tc>
        <w:tc>
          <w:tcPr>
            <w:tcW w:type="dxa" w:w="1236"/>
          </w:tcPr>
          <w:p>
            <w:pPr>
              <w:spacing w:after="0"/>
              <w:jc w:val="center"/>
            </w:pPr>
            <w:r/>
            <w:r>
              <w:rPr>
                <w:color w:val="1A1A1A"/>
                <w:sz w:val="15"/>
              </w:rPr>
              <w:t>42/142 (29.6)</w:t>
            </w:r>
          </w:p>
        </w:tc>
        <w:tc>
          <w:tcPr>
            <w:tcW w:type="dxa" w:w="1236"/>
          </w:tcPr>
          <w:p>
            <w:pPr>
              <w:spacing w:after="0"/>
              <w:jc w:val="center"/>
            </w:pPr>
            <w:r/>
            <w:r>
              <w:rPr>
                <w:color w:val="1A1A1A"/>
                <w:sz w:val="15"/>
              </w:rPr>
              <w:t>57/127 (44.9)</w:t>
            </w:r>
          </w:p>
        </w:tc>
        <w:tc>
          <w:tcPr>
            <w:tcW w:type="dxa" w:w="1236"/>
          </w:tcPr>
          <w:p>
            <w:pPr>
              <w:spacing w:after="0"/>
              <w:jc w:val="center"/>
            </w:pPr>
            <w:r/>
            <w:r>
              <w:rPr>
                <w:color w:val="1A1A1A"/>
                <w:sz w:val="15"/>
              </w:rPr>
            </w:r>
          </w:p>
        </w:tc>
        <w:tc>
          <w:tcPr>
            <w:tcW w:type="dxa" w:w="850"/>
          </w:tcPr>
          <w:p>
            <w:pPr>
              <w:spacing w:after="0"/>
              <w:jc w:val="center"/>
            </w:pPr>
            <w:r/>
            <w:r>
              <w:rPr>
                <w:color w:val="1A1A1A"/>
                <w:sz w:val="15"/>
              </w:rPr>
            </w:r>
          </w:p>
        </w:tc>
      </w:tr>
      <w:tr>
        <w:tc>
          <w:tcPr>
            <w:tcW w:type="dxa" w:w="2608"/>
          </w:tcPr>
          <w:p>
            <w:pPr>
              <w:spacing w:after="0"/>
              <w:ind w:left="198"/>
              <w:jc w:val="left"/>
            </w:pPr>
            <w:r/>
            <w:r>
              <w:rPr>
                <w:color w:val="1A1A1A"/>
                <w:sz w:val="15"/>
              </w:rPr>
              <w:t>30-59 min</w:t>
            </w:r>
          </w:p>
        </w:tc>
        <w:tc>
          <w:tcPr>
            <w:tcW w:type="dxa" w:w="1236"/>
          </w:tcPr>
          <w:p>
            <w:pPr>
              <w:spacing w:after="0"/>
              <w:jc w:val="center"/>
            </w:pPr>
            <w:r/>
            <w:r>
              <w:rPr>
                <w:color w:val="1A1A1A"/>
                <w:sz w:val="15"/>
              </w:rPr>
              <w:t>199/634 (31.4)</w:t>
            </w:r>
          </w:p>
        </w:tc>
        <w:tc>
          <w:tcPr>
            <w:tcW w:type="dxa" w:w="1236"/>
          </w:tcPr>
          <w:p>
            <w:pPr>
              <w:spacing w:after="0"/>
              <w:jc w:val="center"/>
            </w:pPr>
            <w:r/>
            <w:r>
              <w:rPr>
                <w:color w:val="1A1A1A"/>
                <w:sz w:val="15"/>
              </w:rPr>
              <w:t>178/615 (28.9)</w:t>
            </w:r>
          </w:p>
        </w:tc>
        <w:tc>
          <w:tcPr>
            <w:tcW w:type="dxa" w:w="1236"/>
          </w:tcPr>
          <w:p>
            <w:pPr>
              <w:spacing w:after="0"/>
              <w:jc w:val="center"/>
            </w:pPr>
            <w:r/>
            <w:r>
              <w:rPr>
                <w:color w:val="1A1A1A"/>
                <w:sz w:val="15"/>
              </w:rPr>
              <w:t>47/142 (33.1)</w:t>
            </w:r>
          </w:p>
        </w:tc>
        <w:tc>
          <w:tcPr>
            <w:tcW w:type="dxa" w:w="1236"/>
          </w:tcPr>
          <w:p>
            <w:pPr>
              <w:spacing w:after="0"/>
              <w:jc w:val="center"/>
            </w:pPr>
            <w:r/>
            <w:r>
              <w:rPr>
                <w:color w:val="1A1A1A"/>
                <w:sz w:val="15"/>
              </w:rPr>
              <w:t>24/127 (18.9)</w:t>
            </w:r>
          </w:p>
        </w:tc>
        <w:tc>
          <w:tcPr>
            <w:tcW w:type="dxa" w:w="1236"/>
          </w:tcPr>
          <w:p>
            <w:pPr>
              <w:spacing w:after="0"/>
              <w:jc w:val="center"/>
            </w:pPr>
            <w:r/>
            <w:r>
              <w:rPr>
                <w:color w:val="1A1A1A"/>
                <w:sz w:val="15"/>
              </w:rPr>
            </w:r>
          </w:p>
        </w:tc>
        <w:tc>
          <w:tcPr>
            <w:tcW w:type="dxa" w:w="850"/>
          </w:tcPr>
          <w:p>
            <w:pPr>
              <w:spacing w:after="0"/>
              <w:jc w:val="center"/>
            </w:pPr>
            <w:r/>
            <w:r>
              <w:rPr>
                <w:color w:val="1A1A1A"/>
                <w:sz w:val="15"/>
              </w:rPr>
            </w:r>
          </w:p>
        </w:tc>
      </w:tr>
      <w:tr>
        <w:tc>
          <w:tcPr>
            <w:tcW w:type="dxa" w:w="2608"/>
          </w:tcPr>
          <w:p>
            <w:pPr>
              <w:spacing w:after="0"/>
              <w:ind w:left="198"/>
              <w:jc w:val="left"/>
            </w:pPr>
            <w:r/>
            <w:r>
              <w:rPr>
                <w:color w:val="1A1A1A"/>
                <w:sz w:val="15"/>
              </w:rPr>
              <w:t>1-2 h</w:t>
            </w:r>
          </w:p>
        </w:tc>
        <w:tc>
          <w:tcPr>
            <w:tcW w:type="dxa" w:w="1236"/>
          </w:tcPr>
          <w:p>
            <w:pPr>
              <w:spacing w:after="0"/>
              <w:jc w:val="center"/>
            </w:pPr>
            <w:r/>
            <w:r>
              <w:rPr>
                <w:color w:val="1A1A1A"/>
                <w:sz w:val="15"/>
              </w:rPr>
              <w:t>135/634 (21.3)</w:t>
            </w:r>
          </w:p>
        </w:tc>
        <w:tc>
          <w:tcPr>
            <w:tcW w:type="dxa" w:w="1236"/>
          </w:tcPr>
          <w:p>
            <w:pPr>
              <w:spacing w:after="0"/>
              <w:jc w:val="center"/>
            </w:pPr>
            <w:r/>
            <w:r>
              <w:rPr>
                <w:color w:val="1A1A1A"/>
                <w:sz w:val="15"/>
              </w:rPr>
              <w:t>152/615 (24.7)</w:t>
            </w:r>
          </w:p>
        </w:tc>
        <w:tc>
          <w:tcPr>
            <w:tcW w:type="dxa" w:w="1236"/>
          </w:tcPr>
          <w:p>
            <w:pPr>
              <w:spacing w:after="0"/>
              <w:jc w:val="center"/>
            </w:pPr>
            <w:r/>
            <w:r>
              <w:rPr>
                <w:color w:val="1A1A1A"/>
                <w:sz w:val="15"/>
              </w:rPr>
              <w:t>7/142 (4.9)</w:t>
            </w:r>
          </w:p>
        </w:tc>
        <w:tc>
          <w:tcPr>
            <w:tcW w:type="dxa" w:w="1236"/>
          </w:tcPr>
          <w:p>
            <w:pPr>
              <w:spacing w:after="0"/>
              <w:jc w:val="center"/>
            </w:pPr>
            <w:r/>
            <w:r>
              <w:rPr>
                <w:color w:val="1A1A1A"/>
                <w:sz w:val="15"/>
              </w:rPr>
              <w:t>21/127 (16.5)</w:t>
            </w:r>
          </w:p>
        </w:tc>
        <w:tc>
          <w:tcPr>
            <w:tcW w:type="dxa" w:w="1236"/>
          </w:tcPr>
          <w:p>
            <w:pPr>
              <w:spacing w:after="0"/>
              <w:jc w:val="center"/>
            </w:pPr>
            <w:r/>
            <w:r>
              <w:rPr>
                <w:color w:val="1A1A1A"/>
                <w:sz w:val="15"/>
              </w:rPr>
            </w:r>
          </w:p>
        </w:tc>
        <w:tc>
          <w:tcPr>
            <w:tcW w:type="dxa" w:w="850"/>
          </w:tcPr>
          <w:p>
            <w:pPr>
              <w:spacing w:after="0"/>
              <w:jc w:val="center"/>
            </w:pPr>
            <w:r/>
            <w:r>
              <w:rPr>
                <w:color w:val="1A1A1A"/>
                <w:sz w:val="15"/>
              </w:rPr>
            </w:r>
          </w:p>
        </w:tc>
      </w:tr>
      <w:tr>
        <w:tc>
          <w:tcPr>
            <w:tcW w:type="dxa" w:w="2608"/>
          </w:tcPr>
          <w:p>
            <w:pPr>
              <w:spacing w:after="0"/>
              <w:ind w:left="198"/>
              <w:jc w:val="left"/>
            </w:pPr>
            <w:r/>
            <w:r>
              <w:rPr>
                <w:color w:val="1A1A1A"/>
                <w:sz w:val="15"/>
              </w:rPr>
              <w:t>2-3 h</w:t>
            </w:r>
          </w:p>
        </w:tc>
        <w:tc>
          <w:tcPr>
            <w:tcW w:type="dxa" w:w="1236"/>
          </w:tcPr>
          <w:p>
            <w:pPr>
              <w:spacing w:after="0"/>
              <w:jc w:val="center"/>
            </w:pPr>
            <w:r/>
            <w:r>
              <w:rPr>
                <w:color w:val="1A1A1A"/>
                <w:sz w:val="15"/>
              </w:rPr>
              <w:t>75/634 (11.8)</w:t>
            </w:r>
          </w:p>
        </w:tc>
        <w:tc>
          <w:tcPr>
            <w:tcW w:type="dxa" w:w="1236"/>
          </w:tcPr>
          <w:p>
            <w:pPr>
              <w:spacing w:after="0"/>
              <w:jc w:val="center"/>
            </w:pPr>
            <w:r/>
            <w:r>
              <w:rPr>
                <w:color w:val="1A1A1A"/>
                <w:sz w:val="15"/>
              </w:rPr>
              <w:t>60/615 (9.8)</w:t>
            </w:r>
          </w:p>
        </w:tc>
        <w:tc>
          <w:tcPr>
            <w:tcW w:type="dxa" w:w="1236"/>
          </w:tcPr>
          <w:p>
            <w:pPr>
              <w:spacing w:after="0"/>
              <w:jc w:val="center"/>
            </w:pPr>
            <w:r/>
            <w:r>
              <w:rPr>
                <w:color w:val="1A1A1A"/>
                <w:sz w:val="15"/>
              </w:rPr>
              <w:t>2/142 (1.4)</w:t>
            </w:r>
          </w:p>
        </w:tc>
        <w:tc>
          <w:tcPr>
            <w:tcW w:type="dxa" w:w="1236"/>
          </w:tcPr>
          <w:p>
            <w:pPr>
              <w:spacing w:after="0"/>
              <w:jc w:val="center"/>
            </w:pPr>
            <w:r/>
            <w:r>
              <w:rPr>
                <w:color w:val="1A1A1A"/>
                <w:sz w:val="15"/>
              </w:rPr>
              <w:t>9/127 (7.1)</w:t>
            </w:r>
          </w:p>
        </w:tc>
        <w:tc>
          <w:tcPr>
            <w:tcW w:type="dxa" w:w="1236"/>
          </w:tcPr>
          <w:p>
            <w:pPr>
              <w:spacing w:after="0"/>
              <w:jc w:val="center"/>
            </w:pPr>
            <w:r/>
            <w:r>
              <w:rPr>
                <w:color w:val="1A1A1A"/>
                <w:sz w:val="15"/>
              </w:rPr>
            </w:r>
          </w:p>
        </w:tc>
        <w:tc>
          <w:tcPr>
            <w:tcW w:type="dxa" w:w="850"/>
          </w:tcPr>
          <w:p>
            <w:pPr>
              <w:spacing w:after="0"/>
              <w:jc w:val="center"/>
            </w:pPr>
            <w:r/>
            <w:r>
              <w:rPr>
                <w:color w:val="1A1A1A"/>
                <w:sz w:val="15"/>
              </w:rPr>
            </w:r>
          </w:p>
        </w:tc>
      </w:tr>
      <w:tr>
        <w:tc>
          <w:tcPr>
            <w:tcW w:type="dxa" w:w="2608"/>
          </w:tcPr>
          <w:p>
            <w:pPr>
              <w:spacing w:after="0"/>
              <w:ind w:left="198"/>
              <w:jc w:val="left"/>
            </w:pPr>
            <w:r/>
            <w:r>
              <w:rPr>
                <w:color w:val="1A1A1A"/>
                <w:sz w:val="15"/>
              </w:rPr>
              <w:t>3-4 h</w:t>
            </w:r>
          </w:p>
        </w:tc>
        <w:tc>
          <w:tcPr>
            <w:tcW w:type="dxa" w:w="1236"/>
          </w:tcPr>
          <w:p>
            <w:pPr>
              <w:spacing w:after="0"/>
              <w:jc w:val="center"/>
            </w:pPr>
            <w:r/>
            <w:r>
              <w:rPr>
                <w:color w:val="1A1A1A"/>
                <w:sz w:val="15"/>
              </w:rPr>
              <w:t>26/634 (4.1)</w:t>
            </w:r>
          </w:p>
        </w:tc>
        <w:tc>
          <w:tcPr>
            <w:tcW w:type="dxa" w:w="1236"/>
          </w:tcPr>
          <w:p>
            <w:pPr>
              <w:spacing w:after="0"/>
              <w:jc w:val="center"/>
            </w:pPr>
            <w:r/>
            <w:r>
              <w:rPr>
                <w:color w:val="1A1A1A"/>
                <w:sz w:val="15"/>
              </w:rPr>
              <w:t>44/615 (7.2)</w:t>
            </w:r>
          </w:p>
        </w:tc>
        <w:tc>
          <w:tcPr>
            <w:tcW w:type="dxa" w:w="1236"/>
          </w:tcPr>
          <w:p>
            <w:pPr>
              <w:spacing w:after="0"/>
              <w:jc w:val="center"/>
            </w:pPr>
            <w:r/>
            <w:r>
              <w:rPr>
                <w:color w:val="1A1A1A"/>
                <w:sz w:val="15"/>
              </w:rPr>
              <w:t>1/142 (0.7)</w:t>
            </w:r>
          </w:p>
        </w:tc>
        <w:tc>
          <w:tcPr>
            <w:tcW w:type="dxa" w:w="1236"/>
          </w:tcPr>
          <w:p>
            <w:pPr>
              <w:spacing w:after="0"/>
              <w:jc w:val="center"/>
            </w:pPr>
            <w:r/>
            <w:r>
              <w:rPr>
                <w:color w:val="1A1A1A"/>
                <w:sz w:val="15"/>
              </w:rPr>
              <w:t>2/127 (1.6)</w:t>
            </w:r>
          </w:p>
        </w:tc>
        <w:tc>
          <w:tcPr>
            <w:tcW w:type="dxa" w:w="1236"/>
          </w:tcPr>
          <w:p>
            <w:pPr>
              <w:spacing w:after="0"/>
              <w:jc w:val="center"/>
            </w:pPr>
            <w:r/>
            <w:r>
              <w:rPr>
                <w:color w:val="1A1A1A"/>
                <w:sz w:val="15"/>
              </w:rPr>
            </w:r>
          </w:p>
        </w:tc>
        <w:tc>
          <w:tcPr>
            <w:tcW w:type="dxa" w:w="850"/>
          </w:tcPr>
          <w:p>
            <w:pPr>
              <w:spacing w:after="0"/>
              <w:jc w:val="center"/>
            </w:pPr>
            <w:r/>
            <w:r>
              <w:rPr>
                <w:color w:val="1A1A1A"/>
                <w:sz w:val="15"/>
              </w:rPr>
            </w:r>
          </w:p>
        </w:tc>
      </w:tr>
      <w:tr>
        <w:tc>
          <w:tcPr>
            <w:tcW w:type="dxa" w:w="2608"/>
          </w:tcPr>
          <w:p>
            <w:pPr>
              <w:spacing w:after="0"/>
              <w:ind w:left="198"/>
              <w:jc w:val="left"/>
            </w:pPr>
            <w:r/>
            <w:r>
              <w:rPr>
                <w:color w:val="1A1A1A"/>
                <w:sz w:val="15"/>
              </w:rPr>
              <w:t>4 h+</w:t>
            </w:r>
          </w:p>
        </w:tc>
        <w:tc>
          <w:tcPr>
            <w:tcW w:type="dxa" w:w="1236"/>
          </w:tcPr>
          <w:p>
            <w:pPr>
              <w:spacing w:after="0"/>
              <w:jc w:val="center"/>
            </w:pPr>
            <w:r/>
            <w:r>
              <w:rPr>
                <w:color w:val="1A1A1A"/>
                <w:sz w:val="15"/>
              </w:rPr>
              <w:t>19/634 (3.0)</w:t>
            </w:r>
          </w:p>
        </w:tc>
        <w:tc>
          <w:tcPr>
            <w:tcW w:type="dxa" w:w="1236"/>
          </w:tcPr>
          <w:p>
            <w:pPr>
              <w:spacing w:after="0"/>
              <w:jc w:val="center"/>
            </w:pPr>
            <w:r/>
            <w:r>
              <w:rPr>
                <w:color w:val="1A1A1A"/>
                <w:sz w:val="15"/>
              </w:rPr>
              <w:t>15/615 (2.4)</w:t>
            </w:r>
          </w:p>
        </w:tc>
        <w:tc>
          <w:tcPr>
            <w:tcW w:type="dxa" w:w="1236"/>
          </w:tcPr>
          <w:p>
            <w:pPr>
              <w:spacing w:after="0"/>
              <w:jc w:val="center"/>
            </w:pPr>
            <w:r/>
            <w:r>
              <w:rPr>
                <w:color w:val="1A1A1A"/>
                <w:sz w:val="15"/>
              </w:rPr>
              <w:t>0/142 (0.0)</w:t>
            </w:r>
          </w:p>
        </w:tc>
        <w:tc>
          <w:tcPr>
            <w:tcW w:type="dxa" w:w="1236"/>
          </w:tcPr>
          <w:p>
            <w:pPr>
              <w:spacing w:after="0"/>
              <w:jc w:val="center"/>
            </w:pPr>
            <w:r/>
            <w:r>
              <w:rPr>
                <w:color w:val="1A1A1A"/>
                <w:sz w:val="15"/>
              </w:rPr>
              <w:t>0/127 (0.0)</w:t>
            </w:r>
          </w:p>
        </w:tc>
        <w:tc>
          <w:tcPr>
            <w:tcW w:type="dxa" w:w="1236"/>
          </w:tcPr>
          <w:p>
            <w:pPr>
              <w:spacing w:after="0"/>
              <w:jc w:val="center"/>
            </w:pPr>
            <w:r/>
            <w:r>
              <w:rPr>
                <w:color w:val="1A1A1A"/>
                <w:sz w:val="15"/>
              </w:rPr>
            </w:r>
          </w:p>
        </w:tc>
        <w:tc>
          <w:tcPr>
            <w:tcW w:type="dxa" w:w="850"/>
          </w:tcPr>
          <w:p>
            <w:pPr>
              <w:spacing w:after="0"/>
              <w:jc w:val="center"/>
            </w:pPr>
            <w:r/>
            <w:r>
              <w:rPr>
                <w:color w:val="1A1A1A"/>
                <w:sz w:val="15"/>
              </w:rPr>
            </w:r>
          </w:p>
        </w:tc>
      </w:tr>
      <w:tr>
        <w:tc>
          <w:tcPr>
            <w:tcW w:type="dxa" w:w="2608"/>
          </w:tcPr>
          <w:p>
            <w:pPr>
              <w:spacing w:after="0"/>
              <w:jc w:val="left"/>
            </w:pPr>
            <w:r/>
            <w:r>
              <w:rPr>
                <w:color w:val="1A1A1A"/>
                <w:sz w:val="15"/>
              </w:rPr>
              <w:t>Waited 1 hour or more (Q37)</w:t>
            </w:r>
          </w:p>
        </w:tc>
        <w:tc>
          <w:tcPr>
            <w:tcW w:type="dxa" w:w="1236"/>
          </w:tcPr>
          <w:p>
            <w:pPr>
              <w:spacing w:after="0"/>
              <w:jc w:val="center"/>
            </w:pPr>
            <w:r/>
            <w:r>
              <w:rPr>
                <w:color w:val="1A1A1A"/>
                <w:sz w:val="15"/>
              </w:rPr>
              <w:t>255/634 (40.2; 36.5-44.1)</w:t>
            </w:r>
          </w:p>
        </w:tc>
        <w:tc>
          <w:tcPr>
            <w:tcW w:type="dxa" w:w="1236"/>
          </w:tcPr>
          <w:p>
            <w:pPr>
              <w:spacing w:after="0"/>
              <w:jc w:val="center"/>
            </w:pPr>
            <w:r/>
            <w:r>
              <w:rPr>
                <w:color w:val="1A1A1A"/>
                <w:sz w:val="15"/>
              </w:rPr>
              <w:t>271/615 (44.1; 40.2-48.0)</w:t>
            </w:r>
          </w:p>
        </w:tc>
        <w:tc>
          <w:tcPr>
            <w:tcW w:type="dxa" w:w="1236"/>
          </w:tcPr>
          <w:p>
            <w:pPr>
              <w:spacing w:after="0"/>
              <w:jc w:val="center"/>
            </w:pPr>
            <w:r/>
            <w:r>
              <w:rPr>
                <w:color w:val="1A1A1A"/>
                <w:sz w:val="15"/>
              </w:rPr>
              <w:t>10/142 (7.0; 3.9-12.5)</w:t>
            </w:r>
          </w:p>
        </w:tc>
        <w:tc>
          <w:tcPr>
            <w:tcW w:type="dxa" w:w="1236"/>
          </w:tcPr>
          <w:p>
            <w:pPr>
              <w:spacing w:after="0"/>
              <w:jc w:val="center"/>
            </w:pPr>
            <w:r/>
            <w:r>
              <w:rPr>
                <w:color w:val="1A1A1A"/>
                <w:sz w:val="15"/>
              </w:rPr>
              <w:t>32/127 (25.2; 18.5-33.4)</w:t>
            </w:r>
          </w:p>
        </w:tc>
        <w:tc>
          <w:tcPr>
            <w:tcW w:type="dxa" w:w="1236"/>
          </w:tcPr>
          <w:p>
            <w:pPr>
              <w:spacing w:after="0"/>
              <w:jc w:val="center"/>
            </w:pPr>
            <w:r/>
            <w:r>
              <w:rPr>
                <w:color w:val="1A1A1A"/>
                <w:sz w:val="15"/>
              </w:rPr>
              <w:t>&lt;0.001</w:t>
            </w:r>
          </w:p>
        </w:tc>
        <w:tc>
          <w:tcPr>
            <w:tcW w:type="dxa" w:w="850"/>
          </w:tcPr>
          <w:p>
            <w:pPr>
              <w:spacing w:after="0"/>
              <w:jc w:val="center"/>
            </w:pPr>
            <w:r/>
            <w:r>
              <w:rPr>
                <w:color w:val="1A1A1A"/>
                <w:sz w:val="15"/>
              </w:rPr>
              <w:t>all in group</w:t>
            </w:r>
          </w:p>
        </w:tc>
      </w:tr>
      <w:tr>
        <w:tc>
          <w:tcPr>
            <w:tcW w:type="dxa" w:w="2608"/>
          </w:tcPr>
          <w:p>
            <w:pPr>
              <w:spacing w:after="0"/>
              <w:jc w:val="left"/>
            </w:pPr>
            <w:r/>
            <w:r>
              <w:rPr>
                <w:color w:val="1A1A1A"/>
                <w:sz w:val="15"/>
              </w:rPr>
              <w:t>Booking-to-appointment wait (Q36, appointment-holders only)</w:t>
            </w:r>
          </w:p>
        </w:tc>
        <w:tc>
          <w:tcPr>
            <w:tcW w:type="dxa" w:w="1236"/>
          </w:tcPr>
          <w:p>
            <w:pPr>
              <w:spacing w:after="0"/>
              <w:jc w:val="center"/>
            </w:pPr>
            <w:r/>
            <w:r>
              <w:rPr>
                <w:color w:val="1A1A1A"/>
                <w:sz w:val="15"/>
              </w:rPr>
            </w:r>
          </w:p>
        </w:tc>
        <w:tc>
          <w:tcPr>
            <w:tcW w:type="dxa" w:w="1236"/>
          </w:tcPr>
          <w:p>
            <w:pPr>
              <w:spacing w:after="0"/>
              <w:jc w:val="center"/>
            </w:pPr>
            <w:r/>
            <w:r>
              <w:rPr>
                <w:color w:val="1A1A1A"/>
                <w:sz w:val="15"/>
              </w:rPr>
            </w:r>
          </w:p>
        </w:tc>
        <w:tc>
          <w:tcPr>
            <w:tcW w:type="dxa" w:w="1236"/>
          </w:tcPr>
          <w:p>
            <w:pPr>
              <w:spacing w:after="0"/>
              <w:jc w:val="center"/>
            </w:pPr>
            <w:r/>
            <w:r>
              <w:rPr>
                <w:color w:val="1A1A1A"/>
                <w:sz w:val="15"/>
              </w:rPr>
            </w:r>
          </w:p>
        </w:tc>
        <w:tc>
          <w:tcPr>
            <w:tcW w:type="dxa" w:w="1236"/>
          </w:tcPr>
          <w:p>
            <w:pPr>
              <w:spacing w:after="0"/>
              <w:jc w:val="center"/>
            </w:pPr>
            <w:r/>
            <w:r>
              <w:rPr>
                <w:color w:val="1A1A1A"/>
                <w:sz w:val="15"/>
              </w:rPr>
            </w:r>
          </w:p>
        </w:tc>
        <w:tc>
          <w:tcPr>
            <w:tcW w:type="dxa" w:w="1236"/>
          </w:tcPr>
          <w:p>
            <w:pPr>
              <w:spacing w:after="0"/>
              <w:jc w:val="center"/>
            </w:pPr>
            <w:r/>
            <w:r>
              <w:rPr>
                <w:color w:val="1A1A1A"/>
                <w:sz w:val="15"/>
              </w:rPr>
              <w:t>&lt;0.001</w:t>
            </w:r>
          </w:p>
        </w:tc>
        <w:tc>
          <w:tcPr>
            <w:tcW w:type="dxa" w:w="850"/>
          </w:tcPr>
          <w:p>
            <w:pPr>
              <w:spacing w:after="0"/>
              <w:jc w:val="center"/>
            </w:pPr>
            <w:r/>
            <w:r>
              <w:rPr>
                <w:color w:val="1A1A1A"/>
                <w:sz w:val="15"/>
              </w:rPr>
              <w:t>see rows below</w:t>
            </w:r>
          </w:p>
        </w:tc>
      </w:tr>
      <w:tr>
        <w:tc>
          <w:tcPr>
            <w:tcW w:type="dxa" w:w="2608"/>
          </w:tcPr>
          <w:p>
            <w:pPr>
              <w:spacing w:after="0"/>
              <w:ind w:left="198"/>
              <w:jc w:val="left"/>
            </w:pPr>
            <w:r/>
            <w:r>
              <w:rPr>
                <w:color w:val="1A1A1A"/>
                <w:sz w:val="15"/>
              </w:rPr>
              <w:t>same/next day</w:t>
            </w:r>
          </w:p>
        </w:tc>
        <w:tc>
          <w:tcPr>
            <w:tcW w:type="dxa" w:w="1236"/>
          </w:tcPr>
          <w:p>
            <w:pPr>
              <w:spacing w:after="0"/>
              <w:jc w:val="center"/>
            </w:pPr>
            <w:r/>
            <w:r>
              <w:rPr>
                <w:color w:val="1A1A1A"/>
                <w:sz w:val="15"/>
              </w:rPr>
              <w:t>8/265 (3.0)</w:t>
            </w:r>
          </w:p>
        </w:tc>
        <w:tc>
          <w:tcPr>
            <w:tcW w:type="dxa" w:w="1236"/>
          </w:tcPr>
          <w:p>
            <w:pPr>
              <w:spacing w:after="0"/>
              <w:jc w:val="center"/>
            </w:pPr>
            <w:r/>
            <w:r>
              <w:rPr>
                <w:color w:val="1A1A1A"/>
                <w:sz w:val="15"/>
              </w:rPr>
              <w:t>10/305 (3.3)</w:t>
            </w:r>
          </w:p>
        </w:tc>
        <w:tc>
          <w:tcPr>
            <w:tcW w:type="dxa" w:w="1236"/>
          </w:tcPr>
          <w:p>
            <w:pPr>
              <w:spacing w:after="0"/>
              <w:jc w:val="center"/>
            </w:pPr>
            <w:r/>
            <w:r>
              <w:rPr>
                <w:color w:val="1A1A1A"/>
                <w:sz w:val="15"/>
              </w:rPr>
              <w:t>4/32 (12.5)</w:t>
            </w:r>
          </w:p>
        </w:tc>
        <w:tc>
          <w:tcPr>
            <w:tcW w:type="dxa" w:w="1236"/>
          </w:tcPr>
          <w:p>
            <w:pPr>
              <w:spacing w:after="0"/>
              <w:jc w:val="center"/>
            </w:pPr>
            <w:r/>
            <w:r>
              <w:rPr>
                <w:color w:val="1A1A1A"/>
                <w:sz w:val="15"/>
              </w:rPr>
              <w:t>5/44 (11.4)</w:t>
            </w:r>
          </w:p>
        </w:tc>
        <w:tc>
          <w:tcPr>
            <w:tcW w:type="dxa" w:w="1236"/>
          </w:tcPr>
          <w:p>
            <w:pPr>
              <w:spacing w:after="0"/>
              <w:jc w:val="center"/>
            </w:pPr>
            <w:r/>
            <w:r>
              <w:rPr>
                <w:color w:val="1A1A1A"/>
                <w:sz w:val="15"/>
              </w:rPr>
            </w:r>
          </w:p>
        </w:tc>
        <w:tc>
          <w:tcPr>
            <w:tcW w:type="dxa" w:w="850"/>
          </w:tcPr>
          <w:p>
            <w:pPr>
              <w:spacing w:after="0"/>
              <w:jc w:val="center"/>
            </w:pPr>
            <w:r/>
            <w:r>
              <w:rPr>
                <w:color w:val="1A1A1A"/>
                <w:sz w:val="15"/>
              </w:rPr>
            </w:r>
          </w:p>
        </w:tc>
      </w:tr>
      <w:tr>
        <w:tc>
          <w:tcPr>
            <w:tcW w:type="dxa" w:w="2608"/>
          </w:tcPr>
          <w:p>
            <w:pPr>
              <w:spacing w:after="0"/>
              <w:ind w:left="198"/>
              <w:jc w:val="left"/>
            </w:pPr>
            <w:r/>
            <w:r>
              <w:rPr>
                <w:color w:val="1A1A1A"/>
                <w:sz w:val="15"/>
              </w:rPr>
              <w:t>2d-&lt;1wk</w:t>
            </w:r>
          </w:p>
        </w:tc>
        <w:tc>
          <w:tcPr>
            <w:tcW w:type="dxa" w:w="1236"/>
          </w:tcPr>
          <w:p>
            <w:pPr>
              <w:spacing w:after="0"/>
              <w:jc w:val="center"/>
            </w:pPr>
            <w:r/>
            <w:r>
              <w:rPr>
                <w:color w:val="1A1A1A"/>
                <w:sz w:val="15"/>
              </w:rPr>
              <w:t>14/265 (5.3)</w:t>
            </w:r>
          </w:p>
        </w:tc>
        <w:tc>
          <w:tcPr>
            <w:tcW w:type="dxa" w:w="1236"/>
          </w:tcPr>
          <w:p>
            <w:pPr>
              <w:spacing w:after="0"/>
              <w:jc w:val="center"/>
            </w:pPr>
            <w:r/>
            <w:r>
              <w:rPr>
                <w:color w:val="1A1A1A"/>
                <w:sz w:val="15"/>
              </w:rPr>
              <w:t>21/305 (6.9)</w:t>
            </w:r>
          </w:p>
        </w:tc>
        <w:tc>
          <w:tcPr>
            <w:tcW w:type="dxa" w:w="1236"/>
          </w:tcPr>
          <w:p>
            <w:pPr>
              <w:spacing w:after="0"/>
              <w:jc w:val="center"/>
            </w:pPr>
            <w:r/>
            <w:r>
              <w:rPr>
                <w:color w:val="1A1A1A"/>
                <w:sz w:val="15"/>
              </w:rPr>
              <w:t>12/32 (37.5)</w:t>
            </w:r>
          </w:p>
        </w:tc>
        <w:tc>
          <w:tcPr>
            <w:tcW w:type="dxa" w:w="1236"/>
          </w:tcPr>
          <w:p>
            <w:pPr>
              <w:spacing w:after="0"/>
              <w:jc w:val="center"/>
            </w:pPr>
            <w:r/>
            <w:r>
              <w:rPr>
                <w:color w:val="1A1A1A"/>
                <w:sz w:val="15"/>
              </w:rPr>
              <w:t>2/44 (4.5)</w:t>
            </w:r>
          </w:p>
        </w:tc>
        <w:tc>
          <w:tcPr>
            <w:tcW w:type="dxa" w:w="1236"/>
          </w:tcPr>
          <w:p>
            <w:pPr>
              <w:spacing w:after="0"/>
              <w:jc w:val="center"/>
            </w:pPr>
            <w:r/>
            <w:r>
              <w:rPr>
                <w:color w:val="1A1A1A"/>
                <w:sz w:val="15"/>
              </w:rPr>
            </w:r>
          </w:p>
        </w:tc>
        <w:tc>
          <w:tcPr>
            <w:tcW w:type="dxa" w:w="850"/>
          </w:tcPr>
          <w:p>
            <w:pPr>
              <w:spacing w:after="0"/>
              <w:jc w:val="center"/>
            </w:pPr>
            <w:r/>
            <w:r>
              <w:rPr>
                <w:color w:val="1A1A1A"/>
                <w:sz w:val="15"/>
              </w:rPr>
            </w:r>
          </w:p>
        </w:tc>
      </w:tr>
      <w:tr>
        <w:tc>
          <w:tcPr>
            <w:tcW w:type="dxa" w:w="2608"/>
          </w:tcPr>
          <w:p>
            <w:pPr>
              <w:spacing w:after="0"/>
              <w:ind w:left="198"/>
              <w:jc w:val="left"/>
            </w:pPr>
            <w:r/>
            <w:r>
              <w:rPr>
                <w:color w:val="1A1A1A"/>
                <w:sz w:val="15"/>
              </w:rPr>
              <w:t>1-&lt;2wk</w:t>
            </w:r>
          </w:p>
        </w:tc>
        <w:tc>
          <w:tcPr>
            <w:tcW w:type="dxa" w:w="1236"/>
          </w:tcPr>
          <w:p>
            <w:pPr>
              <w:spacing w:after="0"/>
              <w:jc w:val="center"/>
            </w:pPr>
            <w:r/>
            <w:r>
              <w:rPr>
                <w:color w:val="1A1A1A"/>
                <w:sz w:val="15"/>
              </w:rPr>
              <w:t>23/265 (8.7)</w:t>
            </w:r>
          </w:p>
        </w:tc>
        <w:tc>
          <w:tcPr>
            <w:tcW w:type="dxa" w:w="1236"/>
          </w:tcPr>
          <w:p>
            <w:pPr>
              <w:spacing w:after="0"/>
              <w:jc w:val="center"/>
            </w:pPr>
            <w:r/>
            <w:r>
              <w:rPr>
                <w:color w:val="1A1A1A"/>
                <w:sz w:val="15"/>
              </w:rPr>
              <w:t>25/305 (8.2)</w:t>
            </w:r>
          </w:p>
        </w:tc>
        <w:tc>
          <w:tcPr>
            <w:tcW w:type="dxa" w:w="1236"/>
          </w:tcPr>
          <w:p>
            <w:pPr>
              <w:spacing w:after="0"/>
              <w:jc w:val="center"/>
            </w:pPr>
            <w:r/>
            <w:r>
              <w:rPr>
                <w:color w:val="1A1A1A"/>
                <w:sz w:val="15"/>
              </w:rPr>
              <w:t>3/32 (9.4)</w:t>
            </w:r>
          </w:p>
        </w:tc>
        <w:tc>
          <w:tcPr>
            <w:tcW w:type="dxa" w:w="1236"/>
          </w:tcPr>
          <w:p>
            <w:pPr>
              <w:spacing w:after="0"/>
              <w:jc w:val="center"/>
            </w:pPr>
            <w:r/>
            <w:r>
              <w:rPr>
                <w:color w:val="1A1A1A"/>
                <w:sz w:val="15"/>
              </w:rPr>
              <w:t>4/44 (9.1)</w:t>
            </w:r>
          </w:p>
        </w:tc>
        <w:tc>
          <w:tcPr>
            <w:tcW w:type="dxa" w:w="1236"/>
          </w:tcPr>
          <w:p>
            <w:pPr>
              <w:spacing w:after="0"/>
              <w:jc w:val="center"/>
            </w:pPr>
            <w:r/>
            <w:r>
              <w:rPr>
                <w:color w:val="1A1A1A"/>
                <w:sz w:val="15"/>
              </w:rPr>
            </w:r>
          </w:p>
        </w:tc>
        <w:tc>
          <w:tcPr>
            <w:tcW w:type="dxa" w:w="850"/>
          </w:tcPr>
          <w:p>
            <w:pPr>
              <w:spacing w:after="0"/>
              <w:jc w:val="center"/>
            </w:pPr>
            <w:r/>
            <w:r>
              <w:rPr>
                <w:color w:val="1A1A1A"/>
                <w:sz w:val="15"/>
              </w:rPr>
            </w:r>
          </w:p>
        </w:tc>
      </w:tr>
      <w:tr>
        <w:tc>
          <w:tcPr>
            <w:tcW w:type="dxa" w:w="2608"/>
          </w:tcPr>
          <w:p>
            <w:pPr>
              <w:spacing w:after="0"/>
              <w:ind w:left="198"/>
              <w:jc w:val="left"/>
            </w:pPr>
            <w:r/>
            <w:r>
              <w:rPr>
                <w:color w:val="1A1A1A"/>
                <w:sz w:val="15"/>
              </w:rPr>
              <w:t>2wk-&lt;1mo</w:t>
            </w:r>
          </w:p>
        </w:tc>
        <w:tc>
          <w:tcPr>
            <w:tcW w:type="dxa" w:w="1236"/>
          </w:tcPr>
          <w:p>
            <w:pPr>
              <w:spacing w:after="0"/>
              <w:jc w:val="center"/>
            </w:pPr>
            <w:r/>
            <w:r>
              <w:rPr>
                <w:color w:val="1A1A1A"/>
                <w:sz w:val="15"/>
              </w:rPr>
              <w:t>21/265 (7.9)</w:t>
            </w:r>
          </w:p>
        </w:tc>
        <w:tc>
          <w:tcPr>
            <w:tcW w:type="dxa" w:w="1236"/>
          </w:tcPr>
          <w:p>
            <w:pPr>
              <w:spacing w:after="0"/>
              <w:jc w:val="center"/>
            </w:pPr>
            <w:r/>
            <w:r>
              <w:rPr>
                <w:color w:val="1A1A1A"/>
                <w:sz w:val="15"/>
              </w:rPr>
              <w:t>27/305 (8.9)</w:t>
            </w:r>
          </w:p>
        </w:tc>
        <w:tc>
          <w:tcPr>
            <w:tcW w:type="dxa" w:w="1236"/>
          </w:tcPr>
          <w:p>
            <w:pPr>
              <w:spacing w:after="0"/>
              <w:jc w:val="center"/>
            </w:pPr>
            <w:r/>
            <w:r>
              <w:rPr>
                <w:color w:val="1A1A1A"/>
                <w:sz w:val="15"/>
              </w:rPr>
              <w:t>4/32 (12.5)</w:t>
            </w:r>
          </w:p>
        </w:tc>
        <w:tc>
          <w:tcPr>
            <w:tcW w:type="dxa" w:w="1236"/>
          </w:tcPr>
          <w:p>
            <w:pPr>
              <w:spacing w:after="0"/>
              <w:jc w:val="center"/>
            </w:pPr>
            <w:r/>
            <w:r>
              <w:rPr>
                <w:color w:val="1A1A1A"/>
                <w:sz w:val="15"/>
              </w:rPr>
              <w:t>4/44 (9.1)</w:t>
            </w:r>
          </w:p>
        </w:tc>
        <w:tc>
          <w:tcPr>
            <w:tcW w:type="dxa" w:w="1236"/>
          </w:tcPr>
          <w:p>
            <w:pPr>
              <w:spacing w:after="0"/>
              <w:jc w:val="center"/>
            </w:pPr>
            <w:r/>
            <w:r>
              <w:rPr>
                <w:color w:val="1A1A1A"/>
                <w:sz w:val="15"/>
              </w:rPr>
            </w:r>
          </w:p>
        </w:tc>
        <w:tc>
          <w:tcPr>
            <w:tcW w:type="dxa" w:w="850"/>
          </w:tcPr>
          <w:p>
            <w:pPr>
              <w:spacing w:after="0"/>
              <w:jc w:val="center"/>
            </w:pPr>
            <w:r/>
            <w:r>
              <w:rPr>
                <w:color w:val="1A1A1A"/>
                <w:sz w:val="15"/>
              </w:rPr>
            </w:r>
          </w:p>
        </w:tc>
      </w:tr>
      <w:tr>
        <w:tc>
          <w:tcPr>
            <w:tcW w:type="dxa" w:w="2608"/>
          </w:tcPr>
          <w:p>
            <w:pPr>
              <w:spacing w:after="0"/>
              <w:ind w:left="198"/>
              <w:jc w:val="left"/>
            </w:pPr>
            <w:r/>
            <w:r>
              <w:rPr>
                <w:color w:val="1A1A1A"/>
                <w:sz w:val="15"/>
              </w:rPr>
              <w:t>1-&lt;2mo</w:t>
            </w:r>
          </w:p>
        </w:tc>
        <w:tc>
          <w:tcPr>
            <w:tcW w:type="dxa" w:w="1236"/>
          </w:tcPr>
          <w:p>
            <w:pPr>
              <w:spacing w:after="0"/>
              <w:jc w:val="center"/>
            </w:pPr>
            <w:r/>
            <w:r>
              <w:rPr>
                <w:color w:val="1A1A1A"/>
                <w:sz w:val="15"/>
              </w:rPr>
              <w:t>32/265 (12.1)</w:t>
            </w:r>
          </w:p>
        </w:tc>
        <w:tc>
          <w:tcPr>
            <w:tcW w:type="dxa" w:w="1236"/>
          </w:tcPr>
          <w:p>
            <w:pPr>
              <w:spacing w:after="0"/>
              <w:jc w:val="center"/>
            </w:pPr>
            <w:r/>
            <w:r>
              <w:rPr>
                <w:color w:val="1A1A1A"/>
                <w:sz w:val="15"/>
              </w:rPr>
              <w:t>46/305 (15.1)</w:t>
            </w:r>
          </w:p>
        </w:tc>
        <w:tc>
          <w:tcPr>
            <w:tcW w:type="dxa" w:w="1236"/>
          </w:tcPr>
          <w:p>
            <w:pPr>
              <w:spacing w:after="0"/>
              <w:jc w:val="center"/>
            </w:pPr>
            <w:r/>
            <w:r>
              <w:rPr>
                <w:color w:val="1A1A1A"/>
                <w:sz w:val="15"/>
              </w:rPr>
              <w:t>4/32 (12.5)</w:t>
            </w:r>
          </w:p>
        </w:tc>
        <w:tc>
          <w:tcPr>
            <w:tcW w:type="dxa" w:w="1236"/>
          </w:tcPr>
          <w:p>
            <w:pPr>
              <w:spacing w:after="0"/>
              <w:jc w:val="center"/>
            </w:pPr>
            <w:r/>
            <w:r>
              <w:rPr>
                <w:color w:val="1A1A1A"/>
                <w:sz w:val="15"/>
              </w:rPr>
              <w:t>14/44 (31.8)</w:t>
            </w:r>
          </w:p>
        </w:tc>
        <w:tc>
          <w:tcPr>
            <w:tcW w:type="dxa" w:w="1236"/>
          </w:tcPr>
          <w:p>
            <w:pPr>
              <w:spacing w:after="0"/>
              <w:jc w:val="center"/>
            </w:pPr>
            <w:r/>
            <w:r>
              <w:rPr>
                <w:color w:val="1A1A1A"/>
                <w:sz w:val="15"/>
              </w:rPr>
            </w:r>
          </w:p>
        </w:tc>
        <w:tc>
          <w:tcPr>
            <w:tcW w:type="dxa" w:w="850"/>
          </w:tcPr>
          <w:p>
            <w:pPr>
              <w:spacing w:after="0"/>
              <w:jc w:val="center"/>
            </w:pPr>
            <w:r/>
            <w:r>
              <w:rPr>
                <w:color w:val="1A1A1A"/>
                <w:sz w:val="15"/>
              </w:rPr>
            </w:r>
          </w:p>
        </w:tc>
      </w:tr>
      <w:tr>
        <w:tc>
          <w:tcPr>
            <w:tcW w:type="dxa" w:w="2608"/>
          </w:tcPr>
          <w:p>
            <w:pPr>
              <w:spacing w:after="0"/>
              <w:ind w:left="198"/>
              <w:jc w:val="left"/>
            </w:pPr>
            <w:r/>
            <w:r>
              <w:rPr>
                <w:color w:val="1A1A1A"/>
                <w:sz w:val="15"/>
              </w:rPr>
              <w:t>2-&lt;3mo</w:t>
            </w:r>
          </w:p>
        </w:tc>
        <w:tc>
          <w:tcPr>
            <w:tcW w:type="dxa" w:w="1236"/>
          </w:tcPr>
          <w:p>
            <w:pPr>
              <w:spacing w:after="0"/>
              <w:jc w:val="center"/>
            </w:pPr>
            <w:r/>
            <w:r>
              <w:rPr>
                <w:color w:val="1A1A1A"/>
                <w:sz w:val="15"/>
              </w:rPr>
              <w:t>60/265 (22.6)</w:t>
            </w:r>
          </w:p>
        </w:tc>
        <w:tc>
          <w:tcPr>
            <w:tcW w:type="dxa" w:w="1236"/>
          </w:tcPr>
          <w:p>
            <w:pPr>
              <w:spacing w:after="0"/>
              <w:jc w:val="center"/>
            </w:pPr>
            <w:r/>
            <w:r>
              <w:rPr>
                <w:color w:val="1A1A1A"/>
                <w:sz w:val="15"/>
              </w:rPr>
              <w:t>73/305 (23.9)</w:t>
            </w:r>
          </w:p>
        </w:tc>
        <w:tc>
          <w:tcPr>
            <w:tcW w:type="dxa" w:w="1236"/>
          </w:tcPr>
          <w:p>
            <w:pPr>
              <w:spacing w:after="0"/>
              <w:jc w:val="center"/>
            </w:pPr>
            <w:r/>
            <w:r>
              <w:rPr>
                <w:color w:val="1A1A1A"/>
                <w:sz w:val="15"/>
              </w:rPr>
              <w:t>2/32 (6.2)</w:t>
            </w:r>
          </w:p>
        </w:tc>
        <w:tc>
          <w:tcPr>
            <w:tcW w:type="dxa" w:w="1236"/>
          </w:tcPr>
          <w:p>
            <w:pPr>
              <w:spacing w:after="0"/>
              <w:jc w:val="center"/>
            </w:pPr>
            <w:r/>
            <w:r>
              <w:rPr>
                <w:color w:val="1A1A1A"/>
                <w:sz w:val="15"/>
              </w:rPr>
              <w:t>2/44 (4.5)</w:t>
            </w:r>
          </w:p>
        </w:tc>
        <w:tc>
          <w:tcPr>
            <w:tcW w:type="dxa" w:w="1236"/>
          </w:tcPr>
          <w:p>
            <w:pPr>
              <w:spacing w:after="0"/>
              <w:jc w:val="center"/>
            </w:pPr>
            <w:r/>
            <w:r>
              <w:rPr>
                <w:color w:val="1A1A1A"/>
                <w:sz w:val="15"/>
              </w:rPr>
            </w:r>
          </w:p>
        </w:tc>
        <w:tc>
          <w:tcPr>
            <w:tcW w:type="dxa" w:w="850"/>
          </w:tcPr>
          <w:p>
            <w:pPr>
              <w:spacing w:after="0"/>
              <w:jc w:val="center"/>
            </w:pPr>
            <w:r/>
            <w:r>
              <w:rPr>
                <w:color w:val="1A1A1A"/>
                <w:sz w:val="15"/>
              </w:rPr>
            </w:r>
          </w:p>
        </w:tc>
      </w:tr>
      <w:tr>
        <w:tc>
          <w:tcPr>
            <w:tcW w:type="dxa" w:w="2608"/>
          </w:tcPr>
          <w:p>
            <w:pPr>
              <w:spacing w:after="0"/>
              <w:ind w:left="198"/>
              <w:jc w:val="left"/>
            </w:pPr>
            <w:r/>
            <w:r>
              <w:rPr>
                <w:color w:val="1A1A1A"/>
                <w:sz w:val="15"/>
              </w:rPr>
              <w:t>3-&lt;6mo</w:t>
            </w:r>
          </w:p>
        </w:tc>
        <w:tc>
          <w:tcPr>
            <w:tcW w:type="dxa" w:w="1236"/>
          </w:tcPr>
          <w:p>
            <w:pPr>
              <w:spacing w:after="0"/>
              <w:jc w:val="center"/>
            </w:pPr>
            <w:r/>
            <w:r>
              <w:rPr>
                <w:color w:val="1A1A1A"/>
                <w:sz w:val="15"/>
              </w:rPr>
              <w:t>92/265 (34.7)</w:t>
            </w:r>
          </w:p>
        </w:tc>
        <w:tc>
          <w:tcPr>
            <w:tcW w:type="dxa" w:w="1236"/>
          </w:tcPr>
          <w:p>
            <w:pPr>
              <w:spacing w:after="0"/>
              <w:jc w:val="center"/>
            </w:pPr>
            <w:r/>
            <w:r>
              <w:rPr>
                <w:color w:val="1A1A1A"/>
                <w:sz w:val="15"/>
              </w:rPr>
              <w:t>79/305 (25.9)</w:t>
            </w:r>
          </w:p>
        </w:tc>
        <w:tc>
          <w:tcPr>
            <w:tcW w:type="dxa" w:w="1236"/>
          </w:tcPr>
          <w:p>
            <w:pPr>
              <w:spacing w:after="0"/>
              <w:jc w:val="center"/>
            </w:pPr>
            <w:r/>
            <w:r>
              <w:rPr>
                <w:color w:val="1A1A1A"/>
                <w:sz w:val="15"/>
              </w:rPr>
              <w:t>1/32 (3.1)</w:t>
            </w:r>
          </w:p>
        </w:tc>
        <w:tc>
          <w:tcPr>
            <w:tcW w:type="dxa" w:w="1236"/>
          </w:tcPr>
          <w:p>
            <w:pPr>
              <w:spacing w:after="0"/>
              <w:jc w:val="center"/>
            </w:pPr>
            <w:r/>
            <w:r>
              <w:rPr>
                <w:color w:val="1A1A1A"/>
                <w:sz w:val="15"/>
              </w:rPr>
              <w:t>11/44 (25.0)</w:t>
            </w:r>
          </w:p>
        </w:tc>
        <w:tc>
          <w:tcPr>
            <w:tcW w:type="dxa" w:w="1236"/>
          </w:tcPr>
          <w:p>
            <w:pPr>
              <w:spacing w:after="0"/>
              <w:jc w:val="center"/>
            </w:pPr>
            <w:r/>
            <w:r>
              <w:rPr>
                <w:color w:val="1A1A1A"/>
                <w:sz w:val="15"/>
              </w:rPr>
            </w:r>
          </w:p>
        </w:tc>
        <w:tc>
          <w:tcPr>
            <w:tcW w:type="dxa" w:w="850"/>
          </w:tcPr>
          <w:p>
            <w:pPr>
              <w:spacing w:after="0"/>
              <w:jc w:val="center"/>
            </w:pPr>
            <w:r/>
            <w:r>
              <w:rPr>
                <w:color w:val="1A1A1A"/>
                <w:sz w:val="15"/>
              </w:rPr>
            </w:r>
          </w:p>
        </w:tc>
      </w:tr>
      <w:tr>
        <w:tc>
          <w:tcPr>
            <w:tcW w:type="dxa" w:w="2608"/>
          </w:tcPr>
          <w:p>
            <w:pPr>
              <w:spacing w:after="0"/>
              <w:ind w:left="198"/>
              <w:jc w:val="left"/>
            </w:pPr>
            <w:r/>
            <w:r>
              <w:rPr>
                <w:color w:val="1A1A1A"/>
                <w:sz w:val="15"/>
              </w:rPr>
              <w:t>6mo+</w:t>
            </w:r>
          </w:p>
        </w:tc>
        <w:tc>
          <w:tcPr>
            <w:tcW w:type="dxa" w:w="1236"/>
          </w:tcPr>
          <w:p>
            <w:pPr>
              <w:spacing w:after="0"/>
              <w:jc w:val="center"/>
            </w:pPr>
            <w:r/>
            <w:r>
              <w:rPr>
                <w:color w:val="1A1A1A"/>
                <w:sz w:val="15"/>
              </w:rPr>
              <w:t>15/265 (5.7)</w:t>
            </w:r>
          </w:p>
        </w:tc>
        <w:tc>
          <w:tcPr>
            <w:tcW w:type="dxa" w:w="1236"/>
          </w:tcPr>
          <w:p>
            <w:pPr>
              <w:spacing w:after="0"/>
              <w:jc w:val="center"/>
            </w:pPr>
            <w:r/>
            <w:r>
              <w:rPr>
                <w:color w:val="1A1A1A"/>
                <w:sz w:val="15"/>
              </w:rPr>
              <w:t>24/305 (7.9)</w:t>
            </w:r>
          </w:p>
        </w:tc>
        <w:tc>
          <w:tcPr>
            <w:tcW w:type="dxa" w:w="1236"/>
          </w:tcPr>
          <w:p>
            <w:pPr>
              <w:spacing w:after="0"/>
              <w:jc w:val="center"/>
            </w:pPr>
            <w:r/>
            <w:r>
              <w:rPr>
                <w:color w:val="1A1A1A"/>
                <w:sz w:val="15"/>
              </w:rPr>
              <w:t>2/32 (6.2)</w:t>
            </w:r>
          </w:p>
        </w:tc>
        <w:tc>
          <w:tcPr>
            <w:tcW w:type="dxa" w:w="1236"/>
          </w:tcPr>
          <w:p>
            <w:pPr>
              <w:spacing w:after="0"/>
              <w:jc w:val="center"/>
            </w:pPr>
            <w:r/>
            <w:r>
              <w:rPr>
                <w:color w:val="1A1A1A"/>
                <w:sz w:val="15"/>
              </w:rPr>
              <w:t>2/44 (4.5)</w:t>
            </w:r>
          </w:p>
        </w:tc>
        <w:tc>
          <w:tcPr>
            <w:tcW w:type="dxa" w:w="1236"/>
          </w:tcPr>
          <w:p>
            <w:pPr>
              <w:spacing w:after="0"/>
              <w:jc w:val="center"/>
            </w:pPr>
            <w:r/>
            <w:r>
              <w:rPr>
                <w:color w:val="1A1A1A"/>
                <w:sz w:val="15"/>
              </w:rPr>
            </w:r>
          </w:p>
        </w:tc>
        <w:tc>
          <w:tcPr>
            <w:tcW w:type="dxa" w:w="850"/>
          </w:tcPr>
          <w:p>
            <w:pPr>
              <w:spacing w:after="0"/>
              <w:jc w:val="center"/>
            </w:pPr>
            <w:r/>
            <w:r>
              <w:rPr>
                <w:color w:val="1A1A1A"/>
                <w:sz w:val="15"/>
              </w:rPr>
            </w:r>
          </w:p>
        </w:tc>
      </w:tr>
      <w:tr>
        <w:tc>
          <w:tcPr>
            <w:tcW w:type="dxa" w:w="2608"/>
          </w:tcPr>
          <w:p>
            <w:pPr>
              <w:spacing w:after="0"/>
              <w:jc w:val="left"/>
            </w:pPr>
            <w:r/>
            <w:r>
              <w:rPr>
                <w:color w:val="1A1A1A"/>
                <w:sz w:val="15"/>
              </w:rPr>
              <w:t>Waited 1 month or more for the appointment (Q36)</w:t>
            </w:r>
          </w:p>
        </w:tc>
        <w:tc>
          <w:tcPr>
            <w:tcW w:type="dxa" w:w="1236"/>
          </w:tcPr>
          <w:p>
            <w:pPr>
              <w:spacing w:after="0"/>
              <w:jc w:val="center"/>
            </w:pPr>
            <w:r/>
            <w:r>
              <w:rPr>
                <w:color w:val="1A1A1A"/>
                <w:sz w:val="15"/>
              </w:rPr>
              <w:t>199/265 (75.1; 69.6-79.9)</w:t>
            </w:r>
          </w:p>
        </w:tc>
        <w:tc>
          <w:tcPr>
            <w:tcW w:type="dxa" w:w="1236"/>
          </w:tcPr>
          <w:p>
            <w:pPr>
              <w:spacing w:after="0"/>
              <w:jc w:val="center"/>
            </w:pPr>
            <w:r/>
            <w:r>
              <w:rPr>
                <w:color w:val="1A1A1A"/>
                <w:sz w:val="15"/>
              </w:rPr>
              <w:t>222/305 (72.8; 67.5-77.5)</w:t>
            </w:r>
          </w:p>
        </w:tc>
        <w:tc>
          <w:tcPr>
            <w:tcW w:type="dxa" w:w="1236"/>
          </w:tcPr>
          <w:p>
            <w:pPr>
              <w:spacing w:after="0"/>
              <w:jc w:val="center"/>
            </w:pPr>
            <w:r/>
            <w:r>
              <w:rPr>
                <w:color w:val="1A1A1A"/>
                <w:sz w:val="15"/>
              </w:rPr>
              <w:t>9/32 (28.1; 15.6-45.4)</w:t>
            </w:r>
          </w:p>
        </w:tc>
        <w:tc>
          <w:tcPr>
            <w:tcW w:type="dxa" w:w="1236"/>
          </w:tcPr>
          <w:p>
            <w:pPr>
              <w:spacing w:after="0"/>
              <w:jc w:val="center"/>
            </w:pPr>
            <w:r/>
            <w:r>
              <w:rPr>
                <w:color w:val="1A1A1A"/>
                <w:sz w:val="15"/>
              </w:rPr>
              <w:t>29/44 (65.9; 51.1-78.1)</w:t>
            </w:r>
          </w:p>
        </w:tc>
        <w:tc>
          <w:tcPr>
            <w:tcW w:type="dxa" w:w="1236"/>
          </w:tcPr>
          <w:p>
            <w:pPr>
              <w:spacing w:after="0"/>
              <w:jc w:val="center"/>
            </w:pPr>
            <w:r/>
            <w:r>
              <w:rPr>
                <w:color w:val="1A1A1A"/>
                <w:sz w:val="15"/>
              </w:rPr>
              <w:t>&lt;0.001</w:t>
            </w:r>
          </w:p>
        </w:tc>
        <w:tc>
          <w:tcPr>
            <w:tcW w:type="dxa" w:w="850"/>
          </w:tcPr>
          <w:p>
            <w:pPr>
              <w:spacing w:after="0"/>
              <w:jc w:val="center"/>
            </w:pPr>
            <w:r/>
            <w:r>
              <w:rPr>
                <w:color w:val="1A1A1A"/>
                <w:sz w:val="15"/>
              </w:rPr>
              <w:t>all in group</w:t>
            </w:r>
          </w:p>
        </w:tc>
      </w:tr>
    </w:tbl>
    <w:p>
      <w:r>
        <w:br w:type="page"/>
      </w:r>
    </w:p>
    <w:p>
      <w:pPr>
        <w:pStyle w:val="Heading1"/>
        <w:spacing w:before="280" w:after="100"/>
      </w:pPr>
      <w:r>
        <w:rPr>
          <w:rFonts w:ascii="Calibri" w:hAnsi="Calibri"/>
          <w:b/>
          <w:color w:val="1A1A1A"/>
          <w:sz w:val="30"/>
        </w:rPr>
        <w:t>3. How they use services</w:t>
      </w:r>
    </w:p>
    <w:p>
      <w:pPr>
        <w:spacing w:after="140"/>
        <w:jc w:val="both"/>
      </w:pPr>
      <w:r>
        <w:rPr>
          <w:b w:val="0"/>
          <w:i w:val="0"/>
          <w:color w:val="1A1A1A"/>
          <w:sz w:val="21"/>
        </w:rPr>
        <w:t>Private-hospital users make a median of two outpatient visits a year and concentrate that contact. Among respondents with more than one visit in the past twelve months — the only group for whom the question is informative, since a single visit is one facility by arithmetic — 80.0% used just one facility, the highest of the four groups, against 71.1% of public hospital users, 63.6% in public primary care and 46.8% among private clinic and pharmacy users. 92.9% made their most recent visit in the sector of their usual source. This is a settled relationship rather than occasional private use.</w:t>
      </w:r>
    </w:p>
    <w:p>
      <w:pPr>
        <w:spacing w:after="140"/>
        <w:jc w:val="both"/>
      </w:pPr>
      <w:r>
        <w:rPr>
          <w:b w:val="0"/>
          <w:i w:val="0"/>
          <w:color w:val="1A1A1A"/>
          <w:sz w:val="21"/>
        </w:rPr>
        <w:t>Community-facing services run the other way. Only 3.9% received a home visit, against 24.4% in public primary care — a reminder that the outreach arm of the Thai system is a public primary care function that private hospital registration does not replace. Unmet need is reported by 17.3%, and is not significantly different from public hospital users after adjustment. Financial distress is rare across the board and lowest in the two private groups.</w:t>
      </w:r>
    </w:p>
    <w:p>
      <w:pPr>
        <w:spacing w:before="200" w:after="60"/>
      </w:pPr>
      <w:r>
        <w:rPr>
          <w:b/>
          <w:color w:val="1A1A1A"/>
          <w:sz w:val="19"/>
        </w:rPr>
        <w:t xml:space="preserve">Table 4.  </w:t>
      </w:r>
      <w:r>
        <w:rPr>
          <w:color w:val="1A1A1A"/>
          <w:sz w:val="19"/>
        </w:rPr>
        <w:t>Service utilisation, unmet need and adverse experience.</w:t>
      </w:r>
    </w:p>
    <w:p>
      <w:pPr>
        <w:spacing w:before="40" w:after="220"/>
      </w:pPr>
      <w:r>
        <w:rPr>
          <w:i/>
          <w:color w:val="606060"/>
          <w:sz w:val="16"/>
        </w:rPr>
        <w:t>Perceived medical error (Q28a) and felt discrimination (Q28b) are lifetime reports with no facility attribution; they cannot be assigned to any provider. Q20 (one facility) was fielded to everyone with at least one visit; the figure quoted in the text restricts to respondents with more than one visit (n = 1,238), because a single visit is one facility by arithmetic.</w:t>
      </w:r>
    </w:p>
    <w:tbl>
      <w:tblPr>
        <w:tblW w:type="auto" w:w="0"/>
        <w:jc w:val="center"/>
        <w:tblLayout w:type="fixed"/>
        <w:tblLook w:firstColumn="1" w:firstRow="1" w:lastColumn="0" w:lastRow="0" w:noHBand="0" w:noVBand="1" w:val="04A0"/>
        <w:tblBorders>
          <w:top w:val="single" w:sz="8" w:color="808080"/>
          <w:bottom w:val="single" w:sz="8" w:color="808080"/>
          <w:insideH w:val="single" w:sz="4" w:color="D8D8D8"/>
          <w:left w:val="none"/>
          <w:right w:val="none"/>
          <w:insideV w:val="none"/>
        </w:tblBorders>
        <w:tblLayout w:type="fixed"/>
      </w:tblPr>
      <w:tblGrid>
        <w:gridCol w:w="1377"/>
        <w:gridCol w:w="1377"/>
        <w:gridCol w:w="1377"/>
        <w:gridCol w:w="1377"/>
        <w:gridCol w:w="1377"/>
        <w:gridCol w:w="1377"/>
        <w:gridCol w:w="1377"/>
      </w:tblGrid>
      <w:tr>
        <w:tc>
          <w:tcPr>
            <w:tcW w:type="dxa" w:w="2608"/>
            <w:shd w:val="clear" w:fill="F2F2F0"/>
          </w:tcPr>
          <w:p>
            <w:pPr>
              <w:spacing w:after="0"/>
              <w:jc w:val="left"/>
            </w:pPr>
            <w:r/>
            <w:r>
              <w:rPr>
                <w:b/>
                <w:color w:val="1A1A1A"/>
                <w:sz w:val="15"/>
              </w:rPr>
              <w:t>Measure</w:t>
            </w:r>
          </w:p>
        </w:tc>
        <w:tc>
          <w:tcPr>
            <w:tcW w:type="dxa" w:w="1236"/>
            <w:shd w:val="clear" w:fill="F2F2F0"/>
          </w:tcPr>
          <w:p>
            <w:pPr>
              <w:spacing w:after="0"/>
              <w:jc w:val="center"/>
            </w:pPr>
            <w:r/>
            <w:r>
              <w:rPr>
                <w:b/>
                <w:color w:val="1A1A1A"/>
                <w:sz w:val="15"/>
              </w:rPr>
              <w:t>Public</w:t>
            </w:r>
          </w:p>
          <w:p>
            <w:pPr>
              <w:spacing w:after="0"/>
              <w:jc w:val="center"/>
            </w:pPr>
            <w:r>
              <w:rPr>
                <w:b/>
                <w:color w:val="1A1A1A"/>
                <w:sz w:val="15"/>
              </w:rPr>
              <w:t>primary care</w:t>
            </w:r>
          </w:p>
        </w:tc>
        <w:tc>
          <w:tcPr>
            <w:tcW w:type="dxa" w:w="1236"/>
            <w:shd w:val="clear" w:fill="F2F2F0"/>
          </w:tcPr>
          <w:p>
            <w:pPr>
              <w:spacing w:after="0"/>
              <w:jc w:val="center"/>
            </w:pPr>
            <w:r/>
            <w:r>
              <w:rPr>
                <w:b/>
                <w:color w:val="1A1A1A"/>
                <w:sz w:val="15"/>
              </w:rPr>
              <w:t>Public</w:t>
            </w:r>
          </w:p>
          <w:p>
            <w:pPr>
              <w:spacing w:after="0"/>
              <w:jc w:val="center"/>
            </w:pPr>
            <w:r>
              <w:rPr>
                <w:b/>
                <w:color w:val="1A1A1A"/>
                <w:sz w:val="15"/>
              </w:rPr>
              <w:t>hospital OPD/ER</w:t>
            </w:r>
          </w:p>
        </w:tc>
        <w:tc>
          <w:tcPr>
            <w:tcW w:type="dxa" w:w="1236"/>
            <w:shd w:val="clear" w:fill="F2F2F0"/>
          </w:tcPr>
          <w:p>
            <w:pPr>
              <w:spacing w:after="0"/>
              <w:jc w:val="center"/>
            </w:pPr>
            <w:r/>
            <w:r>
              <w:rPr>
                <w:b/>
                <w:color w:val="1A1A1A"/>
                <w:sz w:val="15"/>
              </w:rPr>
              <w:t>Private</w:t>
            </w:r>
          </w:p>
          <w:p>
            <w:pPr>
              <w:spacing w:after="0"/>
              <w:jc w:val="center"/>
            </w:pPr>
            <w:r>
              <w:rPr>
                <w:b/>
                <w:color w:val="1A1A1A"/>
                <w:sz w:val="15"/>
              </w:rPr>
              <w:t>clinic/pharmacy</w:t>
            </w:r>
          </w:p>
        </w:tc>
        <w:tc>
          <w:tcPr>
            <w:tcW w:type="dxa" w:w="1236"/>
            <w:shd w:val="clear" w:fill="F2F2F0"/>
          </w:tcPr>
          <w:p>
            <w:pPr>
              <w:spacing w:after="0"/>
              <w:jc w:val="center"/>
            </w:pPr>
            <w:r/>
            <w:r>
              <w:rPr>
                <w:b/>
                <w:color w:val="1A1A1A"/>
                <w:sz w:val="15"/>
              </w:rPr>
              <w:t>Private</w:t>
            </w:r>
          </w:p>
          <w:p>
            <w:pPr>
              <w:spacing w:after="0"/>
              <w:jc w:val="center"/>
            </w:pPr>
            <w:r>
              <w:rPr>
                <w:b/>
                <w:color w:val="1A1A1A"/>
                <w:sz w:val="15"/>
              </w:rPr>
              <w:t>hospital OPD/ER</w:t>
            </w:r>
          </w:p>
        </w:tc>
        <w:tc>
          <w:tcPr>
            <w:tcW w:type="dxa" w:w="1236"/>
            <w:shd w:val="clear" w:fill="F2F2F0"/>
          </w:tcPr>
          <w:p>
            <w:pPr>
              <w:spacing w:after="0"/>
              <w:jc w:val="center"/>
            </w:pPr>
            <w:r/>
            <w:r>
              <w:rPr>
                <w:b/>
                <w:color w:val="1A1A1A"/>
                <w:sz w:val="15"/>
              </w:rPr>
              <w:t>p</w:t>
            </w:r>
          </w:p>
        </w:tc>
        <w:tc>
          <w:tcPr>
            <w:tcW w:type="dxa" w:w="850"/>
            <w:shd w:val="clear" w:fill="F2F2F0"/>
          </w:tcPr>
          <w:p>
            <w:pPr>
              <w:spacing w:after="0"/>
              <w:jc w:val="center"/>
            </w:pPr>
            <w:r/>
            <w:r>
              <w:rPr>
                <w:b/>
                <w:color w:val="1A1A1A"/>
                <w:sz w:val="15"/>
              </w:rPr>
              <w:t>Denominator</w:t>
            </w:r>
          </w:p>
        </w:tc>
      </w:tr>
      <w:tr>
        <w:tc>
          <w:tcPr>
            <w:tcW w:type="dxa" w:w="2608"/>
          </w:tcPr>
          <w:p>
            <w:pPr>
              <w:spacing w:after="0"/>
              <w:jc w:val="left"/>
            </w:pPr>
            <w:r/>
            <w:r>
              <w:rPr>
                <w:color w:val="1A1A1A"/>
                <w:sz w:val="15"/>
              </w:rPr>
              <w:t>Outpatient visits, past 12 months (Q18)</w:t>
            </w:r>
          </w:p>
        </w:tc>
        <w:tc>
          <w:tcPr>
            <w:tcW w:type="dxa" w:w="1236"/>
          </w:tcPr>
          <w:p>
            <w:pPr>
              <w:spacing w:after="0"/>
              <w:jc w:val="center"/>
            </w:pPr>
            <w:r/>
            <w:r>
              <w:rPr>
                <w:color w:val="1A1A1A"/>
                <w:sz w:val="15"/>
              </w:rPr>
            </w:r>
          </w:p>
        </w:tc>
        <w:tc>
          <w:tcPr>
            <w:tcW w:type="dxa" w:w="1236"/>
          </w:tcPr>
          <w:p>
            <w:pPr>
              <w:spacing w:after="0"/>
              <w:jc w:val="center"/>
            </w:pPr>
            <w:r/>
            <w:r>
              <w:rPr>
                <w:color w:val="1A1A1A"/>
                <w:sz w:val="15"/>
              </w:rPr>
            </w:r>
          </w:p>
        </w:tc>
        <w:tc>
          <w:tcPr>
            <w:tcW w:type="dxa" w:w="1236"/>
          </w:tcPr>
          <w:p>
            <w:pPr>
              <w:spacing w:after="0"/>
              <w:jc w:val="center"/>
            </w:pPr>
            <w:r/>
            <w:r>
              <w:rPr>
                <w:color w:val="1A1A1A"/>
                <w:sz w:val="15"/>
              </w:rPr>
            </w:r>
          </w:p>
        </w:tc>
        <w:tc>
          <w:tcPr>
            <w:tcW w:type="dxa" w:w="1236"/>
          </w:tcPr>
          <w:p>
            <w:pPr>
              <w:spacing w:after="0"/>
              <w:jc w:val="center"/>
            </w:pPr>
            <w:r/>
            <w:r>
              <w:rPr>
                <w:color w:val="1A1A1A"/>
                <w:sz w:val="15"/>
              </w:rPr>
            </w:r>
          </w:p>
        </w:tc>
        <w:tc>
          <w:tcPr>
            <w:tcW w:type="dxa" w:w="1236"/>
          </w:tcPr>
          <w:p>
            <w:pPr>
              <w:spacing w:after="0"/>
              <w:jc w:val="center"/>
            </w:pPr>
            <w:r/>
            <w:r>
              <w:rPr>
                <w:color w:val="1A1A1A"/>
                <w:sz w:val="15"/>
              </w:rPr>
              <w:t>&lt;0.001</w:t>
            </w:r>
          </w:p>
        </w:tc>
        <w:tc>
          <w:tcPr>
            <w:tcW w:type="dxa" w:w="850"/>
          </w:tcPr>
          <w:p>
            <w:pPr>
              <w:spacing w:after="0"/>
              <w:jc w:val="center"/>
            </w:pPr>
            <w:r/>
            <w:r>
              <w:rPr>
                <w:color w:val="1A1A1A"/>
                <w:sz w:val="15"/>
              </w:rPr>
              <w:t>see rows below</w:t>
            </w:r>
          </w:p>
        </w:tc>
      </w:tr>
      <w:tr>
        <w:tc>
          <w:tcPr>
            <w:tcW w:type="dxa" w:w="2608"/>
          </w:tcPr>
          <w:p>
            <w:pPr>
              <w:spacing w:after="0"/>
              <w:ind w:left="198"/>
              <w:jc w:val="left"/>
            </w:pPr>
            <w:r/>
            <w:r>
              <w:rPr>
                <w:color w:val="1A1A1A"/>
                <w:sz w:val="15"/>
              </w:rPr>
              <w:t>0</w:t>
            </w:r>
          </w:p>
        </w:tc>
        <w:tc>
          <w:tcPr>
            <w:tcW w:type="dxa" w:w="1236"/>
          </w:tcPr>
          <w:p>
            <w:pPr>
              <w:spacing w:after="0"/>
              <w:jc w:val="center"/>
            </w:pPr>
            <w:r/>
            <w:r>
              <w:rPr>
                <w:color w:val="1A1A1A"/>
                <w:sz w:val="15"/>
              </w:rPr>
              <w:t>50/634 (7.9)</w:t>
            </w:r>
          </w:p>
        </w:tc>
        <w:tc>
          <w:tcPr>
            <w:tcW w:type="dxa" w:w="1236"/>
          </w:tcPr>
          <w:p>
            <w:pPr>
              <w:spacing w:after="0"/>
              <w:jc w:val="center"/>
            </w:pPr>
            <w:r/>
            <w:r>
              <w:rPr>
                <w:color w:val="1A1A1A"/>
                <w:sz w:val="15"/>
              </w:rPr>
              <w:t>22/615 (3.6)</w:t>
            </w:r>
          </w:p>
        </w:tc>
        <w:tc>
          <w:tcPr>
            <w:tcW w:type="dxa" w:w="1236"/>
          </w:tcPr>
          <w:p>
            <w:pPr>
              <w:spacing w:after="0"/>
              <w:jc w:val="center"/>
            </w:pPr>
            <w:r/>
            <w:r>
              <w:rPr>
                <w:color w:val="1A1A1A"/>
                <w:sz w:val="15"/>
              </w:rPr>
              <w:t>33/142 (23.2)</w:t>
            </w:r>
          </w:p>
        </w:tc>
        <w:tc>
          <w:tcPr>
            <w:tcW w:type="dxa" w:w="1236"/>
          </w:tcPr>
          <w:p>
            <w:pPr>
              <w:spacing w:after="0"/>
              <w:jc w:val="center"/>
            </w:pPr>
            <w:r/>
            <w:r>
              <w:rPr>
                <w:color w:val="1A1A1A"/>
                <w:sz w:val="15"/>
              </w:rPr>
              <w:t>14/127 (11.0)</w:t>
            </w:r>
          </w:p>
        </w:tc>
        <w:tc>
          <w:tcPr>
            <w:tcW w:type="dxa" w:w="1236"/>
          </w:tcPr>
          <w:p>
            <w:pPr>
              <w:spacing w:after="0"/>
              <w:jc w:val="center"/>
            </w:pPr>
            <w:r/>
            <w:r>
              <w:rPr>
                <w:color w:val="1A1A1A"/>
                <w:sz w:val="15"/>
              </w:rPr>
            </w:r>
          </w:p>
        </w:tc>
        <w:tc>
          <w:tcPr>
            <w:tcW w:type="dxa" w:w="850"/>
          </w:tcPr>
          <w:p>
            <w:pPr>
              <w:spacing w:after="0"/>
              <w:jc w:val="center"/>
            </w:pPr>
            <w:r/>
            <w:r>
              <w:rPr>
                <w:color w:val="1A1A1A"/>
                <w:sz w:val="15"/>
              </w:rPr>
            </w:r>
          </w:p>
        </w:tc>
      </w:tr>
      <w:tr>
        <w:tc>
          <w:tcPr>
            <w:tcW w:type="dxa" w:w="2608"/>
          </w:tcPr>
          <w:p>
            <w:pPr>
              <w:spacing w:after="0"/>
              <w:ind w:left="198"/>
              <w:jc w:val="left"/>
            </w:pPr>
            <w:r/>
            <w:r>
              <w:rPr>
                <w:color w:val="1A1A1A"/>
                <w:sz w:val="15"/>
              </w:rPr>
              <w:t>1-2</w:t>
            </w:r>
          </w:p>
        </w:tc>
        <w:tc>
          <w:tcPr>
            <w:tcW w:type="dxa" w:w="1236"/>
          </w:tcPr>
          <w:p>
            <w:pPr>
              <w:spacing w:after="0"/>
              <w:jc w:val="center"/>
            </w:pPr>
            <w:r/>
            <w:r>
              <w:rPr>
                <w:color w:val="1A1A1A"/>
                <w:sz w:val="15"/>
              </w:rPr>
              <w:t>216/634 (34.1)</w:t>
            </w:r>
          </w:p>
        </w:tc>
        <w:tc>
          <w:tcPr>
            <w:tcW w:type="dxa" w:w="1236"/>
          </w:tcPr>
          <w:p>
            <w:pPr>
              <w:spacing w:after="0"/>
              <w:jc w:val="center"/>
            </w:pPr>
            <w:r/>
            <w:r>
              <w:rPr>
                <w:color w:val="1A1A1A"/>
                <w:sz w:val="15"/>
              </w:rPr>
              <w:t>240/615 (39.0)</w:t>
            </w:r>
          </w:p>
        </w:tc>
        <w:tc>
          <w:tcPr>
            <w:tcW w:type="dxa" w:w="1236"/>
          </w:tcPr>
          <w:p>
            <w:pPr>
              <w:spacing w:after="0"/>
              <w:jc w:val="center"/>
            </w:pPr>
            <w:r/>
            <w:r>
              <w:rPr>
                <w:color w:val="1A1A1A"/>
                <w:sz w:val="15"/>
              </w:rPr>
              <w:t>47/142 (33.1)</w:t>
            </w:r>
          </w:p>
        </w:tc>
        <w:tc>
          <w:tcPr>
            <w:tcW w:type="dxa" w:w="1236"/>
          </w:tcPr>
          <w:p>
            <w:pPr>
              <w:spacing w:after="0"/>
              <w:jc w:val="center"/>
            </w:pPr>
            <w:r/>
            <w:r>
              <w:rPr>
                <w:color w:val="1A1A1A"/>
                <w:sz w:val="15"/>
              </w:rPr>
              <w:t>53/127 (41.7)</w:t>
            </w:r>
          </w:p>
        </w:tc>
        <w:tc>
          <w:tcPr>
            <w:tcW w:type="dxa" w:w="1236"/>
          </w:tcPr>
          <w:p>
            <w:pPr>
              <w:spacing w:after="0"/>
              <w:jc w:val="center"/>
            </w:pPr>
            <w:r/>
            <w:r>
              <w:rPr>
                <w:color w:val="1A1A1A"/>
                <w:sz w:val="15"/>
              </w:rPr>
            </w:r>
          </w:p>
        </w:tc>
        <w:tc>
          <w:tcPr>
            <w:tcW w:type="dxa" w:w="850"/>
          </w:tcPr>
          <w:p>
            <w:pPr>
              <w:spacing w:after="0"/>
              <w:jc w:val="center"/>
            </w:pPr>
            <w:r/>
            <w:r>
              <w:rPr>
                <w:color w:val="1A1A1A"/>
                <w:sz w:val="15"/>
              </w:rPr>
            </w:r>
          </w:p>
        </w:tc>
      </w:tr>
      <w:tr>
        <w:tc>
          <w:tcPr>
            <w:tcW w:type="dxa" w:w="2608"/>
          </w:tcPr>
          <w:p>
            <w:pPr>
              <w:spacing w:after="0"/>
              <w:ind w:left="198"/>
              <w:jc w:val="left"/>
            </w:pPr>
            <w:r/>
            <w:r>
              <w:rPr>
                <w:color w:val="1A1A1A"/>
                <w:sz w:val="15"/>
              </w:rPr>
              <w:t>3-5</w:t>
            </w:r>
          </w:p>
        </w:tc>
        <w:tc>
          <w:tcPr>
            <w:tcW w:type="dxa" w:w="1236"/>
          </w:tcPr>
          <w:p>
            <w:pPr>
              <w:spacing w:after="0"/>
              <w:jc w:val="center"/>
            </w:pPr>
            <w:r/>
            <w:r>
              <w:rPr>
                <w:color w:val="1A1A1A"/>
                <w:sz w:val="15"/>
              </w:rPr>
              <w:t>257/634 (40.5)</w:t>
            </w:r>
          </w:p>
        </w:tc>
        <w:tc>
          <w:tcPr>
            <w:tcW w:type="dxa" w:w="1236"/>
          </w:tcPr>
          <w:p>
            <w:pPr>
              <w:spacing w:after="0"/>
              <w:jc w:val="center"/>
            </w:pPr>
            <w:r/>
            <w:r>
              <w:rPr>
                <w:color w:val="1A1A1A"/>
                <w:sz w:val="15"/>
              </w:rPr>
              <w:t>238/615 (38.7)</w:t>
            </w:r>
          </w:p>
        </w:tc>
        <w:tc>
          <w:tcPr>
            <w:tcW w:type="dxa" w:w="1236"/>
          </w:tcPr>
          <w:p>
            <w:pPr>
              <w:spacing w:after="0"/>
              <w:jc w:val="center"/>
            </w:pPr>
            <w:r/>
            <w:r>
              <w:rPr>
                <w:color w:val="1A1A1A"/>
                <w:sz w:val="15"/>
              </w:rPr>
              <w:t>48/142 (33.8)</w:t>
            </w:r>
          </w:p>
        </w:tc>
        <w:tc>
          <w:tcPr>
            <w:tcW w:type="dxa" w:w="1236"/>
          </w:tcPr>
          <w:p>
            <w:pPr>
              <w:spacing w:after="0"/>
              <w:jc w:val="center"/>
            </w:pPr>
            <w:r/>
            <w:r>
              <w:rPr>
                <w:color w:val="1A1A1A"/>
                <w:sz w:val="15"/>
              </w:rPr>
              <w:t>37/127 (29.1)</w:t>
            </w:r>
          </w:p>
        </w:tc>
        <w:tc>
          <w:tcPr>
            <w:tcW w:type="dxa" w:w="1236"/>
          </w:tcPr>
          <w:p>
            <w:pPr>
              <w:spacing w:after="0"/>
              <w:jc w:val="center"/>
            </w:pPr>
            <w:r/>
            <w:r>
              <w:rPr>
                <w:color w:val="1A1A1A"/>
                <w:sz w:val="15"/>
              </w:rPr>
            </w:r>
          </w:p>
        </w:tc>
        <w:tc>
          <w:tcPr>
            <w:tcW w:type="dxa" w:w="850"/>
          </w:tcPr>
          <w:p>
            <w:pPr>
              <w:spacing w:after="0"/>
              <w:jc w:val="center"/>
            </w:pPr>
            <w:r/>
            <w:r>
              <w:rPr>
                <w:color w:val="1A1A1A"/>
                <w:sz w:val="15"/>
              </w:rPr>
            </w:r>
          </w:p>
        </w:tc>
      </w:tr>
      <w:tr>
        <w:tc>
          <w:tcPr>
            <w:tcW w:type="dxa" w:w="2608"/>
          </w:tcPr>
          <w:p>
            <w:pPr>
              <w:spacing w:after="0"/>
              <w:ind w:left="198"/>
              <w:jc w:val="left"/>
            </w:pPr>
            <w:r/>
            <w:r>
              <w:rPr>
                <w:color w:val="1A1A1A"/>
                <w:sz w:val="15"/>
              </w:rPr>
              <w:t>6+</w:t>
            </w:r>
          </w:p>
        </w:tc>
        <w:tc>
          <w:tcPr>
            <w:tcW w:type="dxa" w:w="1236"/>
          </w:tcPr>
          <w:p>
            <w:pPr>
              <w:spacing w:after="0"/>
              <w:jc w:val="center"/>
            </w:pPr>
            <w:r/>
            <w:r>
              <w:rPr>
                <w:color w:val="1A1A1A"/>
                <w:sz w:val="15"/>
              </w:rPr>
              <w:t>111/634 (17.5)</w:t>
            </w:r>
          </w:p>
        </w:tc>
        <w:tc>
          <w:tcPr>
            <w:tcW w:type="dxa" w:w="1236"/>
          </w:tcPr>
          <w:p>
            <w:pPr>
              <w:spacing w:after="0"/>
              <w:jc w:val="center"/>
            </w:pPr>
            <w:r/>
            <w:r>
              <w:rPr>
                <w:color w:val="1A1A1A"/>
                <w:sz w:val="15"/>
              </w:rPr>
              <w:t>115/615 (18.7)</w:t>
            </w:r>
          </w:p>
        </w:tc>
        <w:tc>
          <w:tcPr>
            <w:tcW w:type="dxa" w:w="1236"/>
          </w:tcPr>
          <w:p>
            <w:pPr>
              <w:spacing w:after="0"/>
              <w:jc w:val="center"/>
            </w:pPr>
            <w:r/>
            <w:r>
              <w:rPr>
                <w:color w:val="1A1A1A"/>
                <w:sz w:val="15"/>
              </w:rPr>
              <w:t>14/142 (9.9)</w:t>
            </w:r>
          </w:p>
        </w:tc>
        <w:tc>
          <w:tcPr>
            <w:tcW w:type="dxa" w:w="1236"/>
          </w:tcPr>
          <w:p>
            <w:pPr>
              <w:spacing w:after="0"/>
              <w:jc w:val="center"/>
            </w:pPr>
            <w:r/>
            <w:r>
              <w:rPr>
                <w:color w:val="1A1A1A"/>
                <w:sz w:val="15"/>
              </w:rPr>
              <w:t>23/127 (18.1)</w:t>
            </w:r>
          </w:p>
        </w:tc>
        <w:tc>
          <w:tcPr>
            <w:tcW w:type="dxa" w:w="1236"/>
          </w:tcPr>
          <w:p>
            <w:pPr>
              <w:spacing w:after="0"/>
              <w:jc w:val="center"/>
            </w:pPr>
            <w:r/>
            <w:r>
              <w:rPr>
                <w:color w:val="1A1A1A"/>
                <w:sz w:val="15"/>
              </w:rPr>
            </w:r>
          </w:p>
        </w:tc>
        <w:tc>
          <w:tcPr>
            <w:tcW w:type="dxa" w:w="850"/>
          </w:tcPr>
          <w:p>
            <w:pPr>
              <w:spacing w:after="0"/>
              <w:jc w:val="center"/>
            </w:pPr>
            <w:r/>
            <w:r>
              <w:rPr>
                <w:color w:val="1A1A1A"/>
                <w:sz w:val="15"/>
              </w:rPr>
            </w:r>
          </w:p>
        </w:tc>
      </w:tr>
      <w:tr>
        <w:tc>
          <w:tcPr>
            <w:tcW w:type="dxa" w:w="2608"/>
          </w:tcPr>
          <w:p>
            <w:pPr>
              <w:spacing w:after="0"/>
              <w:jc w:val="left"/>
            </w:pPr>
            <w:r/>
            <w:r>
              <w:rPr>
                <w:color w:val="1A1A1A"/>
                <w:sz w:val="15"/>
              </w:rPr>
              <w:t>All visits at one facility (Q20; respondents with &gt;1 visit)</w:t>
            </w:r>
          </w:p>
        </w:tc>
        <w:tc>
          <w:tcPr>
            <w:tcW w:type="dxa" w:w="1236"/>
          </w:tcPr>
          <w:p>
            <w:pPr>
              <w:spacing w:after="0"/>
              <w:jc w:val="center"/>
            </w:pPr>
            <w:r/>
            <w:r>
              <w:rPr>
                <w:color w:val="1A1A1A"/>
                <w:sz w:val="15"/>
              </w:rPr>
              <w:t>329/517 (63.6; 59.4-67.7)</w:t>
            </w:r>
          </w:p>
        </w:tc>
        <w:tc>
          <w:tcPr>
            <w:tcW w:type="dxa" w:w="1236"/>
          </w:tcPr>
          <w:p>
            <w:pPr>
              <w:spacing w:after="0"/>
              <w:jc w:val="center"/>
            </w:pPr>
            <w:r/>
            <w:r>
              <w:rPr>
                <w:color w:val="1A1A1A"/>
                <w:sz w:val="15"/>
              </w:rPr>
              <w:t>382/537 (71.1; 67.2-74.8)</w:t>
            </w:r>
          </w:p>
        </w:tc>
        <w:tc>
          <w:tcPr>
            <w:tcW w:type="dxa" w:w="1236"/>
          </w:tcPr>
          <w:p>
            <w:pPr>
              <w:spacing w:after="0"/>
              <w:jc w:val="center"/>
            </w:pPr>
            <w:r/>
            <w:r>
              <w:rPr>
                <w:color w:val="1A1A1A"/>
                <w:sz w:val="15"/>
              </w:rPr>
              <w:t>44/94 (46.8; 37.0-56.8)</w:t>
            </w:r>
          </w:p>
        </w:tc>
        <w:tc>
          <w:tcPr>
            <w:tcW w:type="dxa" w:w="1236"/>
          </w:tcPr>
          <w:p>
            <w:pPr>
              <w:spacing w:after="0"/>
              <w:jc w:val="center"/>
            </w:pPr>
            <w:r/>
            <w:r>
              <w:rPr>
                <w:color w:val="1A1A1A"/>
                <w:sz w:val="15"/>
              </w:rPr>
              <w:t>72/90 (80.0; 70.6-87.0)</w:t>
            </w:r>
          </w:p>
        </w:tc>
        <w:tc>
          <w:tcPr>
            <w:tcW w:type="dxa" w:w="1236"/>
          </w:tcPr>
          <w:p>
            <w:pPr>
              <w:spacing w:after="0"/>
              <w:jc w:val="center"/>
            </w:pPr>
            <w:r/>
            <w:r>
              <w:rPr>
                <w:color w:val="1A1A1A"/>
                <w:sz w:val="15"/>
              </w:rPr>
              <w:t>&lt;0.001</w:t>
            </w:r>
          </w:p>
        </w:tc>
        <w:tc>
          <w:tcPr>
            <w:tcW w:type="dxa" w:w="850"/>
          </w:tcPr>
          <w:p>
            <w:pPr>
              <w:spacing w:after="0"/>
              <w:jc w:val="center"/>
            </w:pPr>
            <w:r/>
            <w:r>
              <w:rPr>
                <w:color w:val="1A1A1A"/>
                <w:sz w:val="15"/>
              </w:rPr>
              <w:t>all in group</w:t>
            </w:r>
          </w:p>
        </w:tc>
      </w:tr>
      <w:tr>
        <w:tc>
          <w:tcPr>
            <w:tcW w:type="dxa" w:w="2608"/>
          </w:tcPr>
          <w:p>
            <w:pPr>
              <w:spacing w:after="0"/>
              <w:jc w:val="left"/>
            </w:pPr>
            <w:r/>
            <w:r>
              <w:rPr>
                <w:color w:val="1A1A1A"/>
                <w:sz w:val="15"/>
              </w:rPr>
              <w:t>Admitted overnight, past 12 months (Q26)</w:t>
            </w:r>
          </w:p>
        </w:tc>
        <w:tc>
          <w:tcPr>
            <w:tcW w:type="dxa" w:w="1236"/>
          </w:tcPr>
          <w:p>
            <w:pPr>
              <w:spacing w:after="0"/>
              <w:jc w:val="center"/>
            </w:pPr>
            <w:r/>
            <w:r>
              <w:rPr>
                <w:color w:val="1A1A1A"/>
                <w:sz w:val="15"/>
              </w:rPr>
              <w:t>107/634 (16.9; 14.2-20.0)</w:t>
            </w:r>
          </w:p>
        </w:tc>
        <w:tc>
          <w:tcPr>
            <w:tcW w:type="dxa" w:w="1236"/>
          </w:tcPr>
          <w:p>
            <w:pPr>
              <w:spacing w:after="0"/>
              <w:jc w:val="center"/>
            </w:pPr>
            <w:r/>
            <w:r>
              <w:rPr>
                <w:color w:val="1A1A1A"/>
                <w:sz w:val="15"/>
              </w:rPr>
              <w:t>136/615 (22.1; 19.0-25.6)</w:t>
            </w:r>
          </w:p>
        </w:tc>
        <w:tc>
          <w:tcPr>
            <w:tcW w:type="dxa" w:w="1236"/>
          </w:tcPr>
          <w:p>
            <w:pPr>
              <w:spacing w:after="0"/>
              <w:jc w:val="center"/>
            </w:pPr>
            <w:r/>
            <w:r>
              <w:rPr>
                <w:color w:val="1A1A1A"/>
                <w:sz w:val="15"/>
              </w:rPr>
              <w:t>19/142 (13.4; 8.7-20.0)</w:t>
            </w:r>
          </w:p>
        </w:tc>
        <w:tc>
          <w:tcPr>
            <w:tcW w:type="dxa" w:w="1236"/>
          </w:tcPr>
          <w:p>
            <w:pPr>
              <w:spacing w:after="0"/>
              <w:jc w:val="center"/>
            </w:pPr>
            <w:r/>
            <w:r>
              <w:rPr>
                <w:color w:val="1A1A1A"/>
                <w:sz w:val="15"/>
              </w:rPr>
              <w:t>37/127 (29.1; 21.9-37.6)</w:t>
            </w:r>
          </w:p>
        </w:tc>
        <w:tc>
          <w:tcPr>
            <w:tcW w:type="dxa" w:w="1236"/>
          </w:tcPr>
          <w:p>
            <w:pPr>
              <w:spacing w:after="0"/>
              <w:jc w:val="center"/>
            </w:pPr>
            <w:r/>
            <w:r>
              <w:rPr>
                <w:color w:val="1A1A1A"/>
                <w:sz w:val="15"/>
              </w:rPr>
              <w:t>0.001</w:t>
            </w:r>
          </w:p>
        </w:tc>
        <w:tc>
          <w:tcPr>
            <w:tcW w:type="dxa" w:w="850"/>
          </w:tcPr>
          <w:p>
            <w:pPr>
              <w:spacing w:after="0"/>
              <w:jc w:val="center"/>
            </w:pPr>
            <w:r/>
            <w:r>
              <w:rPr>
                <w:color w:val="1A1A1A"/>
                <w:sz w:val="15"/>
              </w:rPr>
              <w:t>all respondents</w:t>
            </w:r>
          </w:p>
        </w:tc>
      </w:tr>
      <w:tr>
        <w:tc>
          <w:tcPr>
            <w:tcW w:type="dxa" w:w="2608"/>
          </w:tcPr>
          <w:p>
            <w:pPr>
              <w:spacing w:after="0"/>
              <w:jc w:val="left"/>
            </w:pPr>
            <w:r/>
            <w:r>
              <w:rPr>
                <w:color w:val="1A1A1A"/>
                <w:sz w:val="15"/>
              </w:rPr>
              <w:t>Any home visit (Q22)</w:t>
            </w:r>
          </w:p>
        </w:tc>
        <w:tc>
          <w:tcPr>
            <w:tcW w:type="dxa" w:w="1236"/>
          </w:tcPr>
          <w:p>
            <w:pPr>
              <w:spacing w:after="0"/>
              <w:jc w:val="center"/>
            </w:pPr>
            <w:r/>
            <w:r>
              <w:rPr>
                <w:color w:val="1A1A1A"/>
                <w:sz w:val="15"/>
              </w:rPr>
              <w:t>155/634 (24.4; 21.3-27.9)</w:t>
            </w:r>
          </w:p>
        </w:tc>
        <w:tc>
          <w:tcPr>
            <w:tcW w:type="dxa" w:w="1236"/>
          </w:tcPr>
          <w:p>
            <w:pPr>
              <w:spacing w:after="0"/>
              <w:jc w:val="center"/>
            </w:pPr>
            <w:r/>
            <w:r>
              <w:rPr>
                <w:color w:val="1A1A1A"/>
                <w:sz w:val="15"/>
              </w:rPr>
              <w:t>124/615 (20.2; 17.2-23.5)</w:t>
            </w:r>
          </w:p>
        </w:tc>
        <w:tc>
          <w:tcPr>
            <w:tcW w:type="dxa" w:w="1236"/>
          </w:tcPr>
          <w:p>
            <w:pPr>
              <w:spacing w:after="0"/>
              <w:jc w:val="center"/>
            </w:pPr>
            <w:r/>
            <w:r>
              <w:rPr>
                <w:color w:val="1A1A1A"/>
                <w:sz w:val="15"/>
              </w:rPr>
              <w:t>13/142 (9.2; 5.4-15.0)</w:t>
            </w:r>
          </w:p>
        </w:tc>
        <w:tc>
          <w:tcPr>
            <w:tcW w:type="dxa" w:w="1236"/>
          </w:tcPr>
          <w:p>
            <w:pPr>
              <w:spacing w:after="0"/>
              <w:jc w:val="center"/>
            </w:pPr>
            <w:r/>
            <w:r>
              <w:rPr>
                <w:color w:val="1A1A1A"/>
                <w:sz w:val="15"/>
              </w:rPr>
              <w:t>5/127 (3.9; 1.7-8.9)</w:t>
            </w:r>
          </w:p>
        </w:tc>
        <w:tc>
          <w:tcPr>
            <w:tcW w:type="dxa" w:w="1236"/>
          </w:tcPr>
          <w:p>
            <w:pPr>
              <w:spacing w:after="0"/>
              <w:jc w:val="center"/>
            </w:pPr>
            <w:r/>
            <w:r>
              <w:rPr>
                <w:color w:val="1A1A1A"/>
                <w:sz w:val="15"/>
              </w:rPr>
              <w:t>&lt;0.001</w:t>
            </w:r>
          </w:p>
        </w:tc>
        <w:tc>
          <w:tcPr>
            <w:tcW w:type="dxa" w:w="850"/>
          </w:tcPr>
          <w:p>
            <w:pPr>
              <w:spacing w:after="0"/>
              <w:jc w:val="center"/>
            </w:pPr>
            <w:r/>
            <w:r>
              <w:rPr>
                <w:color w:val="1A1A1A"/>
                <w:sz w:val="15"/>
              </w:rPr>
              <w:t>all in group</w:t>
            </w:r>
          </w:p>
        </w:tc>
      </w:tr>
      <w:tr>
        <w:tc>
          <w:tcPr>
            <w:tcW w:type="dxa" w:w="2608"/>
          </w:tcPr>
          <w:p>
            <w:pPr>
              <w:spacing w:after="0"/>
              <w:jc w:val="left"/>
            </w:pPr>
            <w:r/>
            <w:r>
              <w:rPr>
                <w:color w:val="1A1A1A"/>
                <w:sz w:val="15"/>
              </w:rPr>
              <w:t>Any telemedicine (Q23)</w:t>
            </w:r>
          </w:p>
        </w:tc>
        <w:tc>
          <w:tcPr>
            <w:tcW w:type="dxa" w:w="1236"/>
          </w:tcPr>
          <w:p>
            <w:pPr>
              <w:spacing w:after="0"/>
              <w:jc w:val="center"/>
            </w:pPr>
            <w:r/>
            <w:r>
              <w:rPr>
                <w:color w:val="1A1A1A"/>
                <w:sz w:val="15"/>
              </w:rPr>
              <w:t>57/634 (9.0; 7.0-11.5)</w:t>
            </w:r>
          </w:p>
        </w:tc>
        <w:tc>
          <w:tcPr>
            <w:tcW w:type="dxa" w:w="1236"/>
          </w:tcPr>
          <w:p>
            <w:pPr>
              <w:spacing w:after="0"/>
              <w:jc w:val="center"/>
            </w:pPr>
            <w:r/>
            <w:r>
              <w:rPr>
                <w:color w:val="1A1A1A"/>
                <w:sz w:val="15"/>
              </w:rPr>
              <w:t>36/615 (5.9; 4.3-8.0)</w:t>
            </w:r>
          </w:p>
        </w:tc>
        <w:tc>
          <w:tcPr>
            <w:tcW w:type="dxa" w:w="1236"/>
          </w:tcPr>
          <w:p>
            <w:pPr>
              <w:spacing w:after="0"/>
              <w:jc w:val="center"/>
            </w:pPr>
            <w:r/>
            <w:r>
              <w:rPr>
                <w:color w:val="1A1A1A"/>
                <w:sz w:val="15"/>
              </w:rPr>
              <w:t>12/142 (8.5; 4.9-14.2)</w:t>
            </w:r>
          </w:p>
        </w:tc>
        <w:tc>
          <w:tcPr>
            <w:tcW w:type="dxa" w:w="1236"/>
          </w:tcPr>
          <w:p>
            <w:pPr>
              <w:spacing w:after="0"/>
              <w:jc w:val="center"/>
            </w:pPr>
            <w:r/>
            <w:r>
              <w:rPr>
                <w:color w:val="1A1A1A"/>
                <w:sz w:val="15"/>
              </w:rPr>
              <w:t>10/127 (7.9; 4.3-13.9)</w:t>
            </w:r>
          </w:p>
        </w:tc>
        <w:tc>
          <w:tcPr>
            <w:tcW w:type="dxa" w:w="1236"/>
          </w:tcPr>
          <w:p>
            <w:pPr>
              <w:spacing w:after="0"/>
              <w:jc w:val="center"/>
            </w:pPr>
            <w:r/>
            <w:r>
              <w:rPr>
                <w:color w:val="1A1A1A"/>
                <w:sz w:val="15"/>
              </w:rPr>
              <w:t>0.205</w:t>
            </w:r>
          </w:p>
        </w:tc>
        <w:tc>
          <w:tcPr>
            <w:tcW w:type="dxa" w:w="850"/>
          </w:tcPr>
          <w:p>
            <w:pPr>
              <w:spacing w:after="0"/>
              <w:jc w:val="center"/>
            </w:pPr>
            <w:r/>
            <w:r>
              <w:rPr>
                <w:color w:val="1A1A1A"/>
                <w:sz w:val="15"/>
              </w:rPr>
              <w:t>all in group</w:t>
            </w:r>
          </w:p>
        </w:tc>
      </w:tr>
      <w:tr>
        <w:tc>
          <w:tcPr>
            <w:tcW w:type="dxa" w:w="2608"/>
          </w:tcPr>
          <w:p>
            <w:pPr>
              <w:spacing w:after="0"/>
              <w:jc w:val="left"/>
            </w:pPr>
            <w:r/>
            <w:r>
              <w:rPr>
                <w:color w:val="1A1A1A"/>
                <w:sz w:val="15"/>
              </w:rPr>
              <w:t>Unmet health-care need (Q29)</w:t>
            </w:r>
          </w:p>
        </w:tc>
        <w:tc>
          <w:tcPr>
            <w:tcW w:type="dxa" w:w="1236"/>
          </w:tcPr>
          <w:p>
            <w:pPr>
              <w:spacing w:after="0"/>
              <w:jc w:val="center"/>
            </w:pPr>
            <w:r/>
            <w:r>
              <w:rPr>
                <w:color w:val="1A1A1A"/>
                <w:sz w:val="15"/>
              </w:rPr>
              <w:t>89/634 (14.0; 11.5-17.0)</w:t>
            </w:r>
          </w:p>
        </w:tc>
        <w:tc>
          <w:tcPr>
            <w:tcW w:type="dxa" w:w="1236"/>
          </w:tcPr>
          <w:p>
            <w:pPr>
              <w:spacing w:after="0"/>
              <w:jc w:val="center"/>
            </w:pPr>
            <w:r/>
            <w:r>
              <w:rPr>
                <w:color w:val="1A1A1A"/>
                <w:sz w:val="15"/>
              </w:rPr>
              <w:t>122/615 (19.8; 16.9-23.2)</w:t>
            </w:r>
          </w:p>
        </w:tc>
        <w:tc>
          <w:tcPr>
            <w:tcW w:type="dxa" w:w="1236"/>
          </w:tcPr>
          <w:p>
            <w:pPr>
              <w:spacing w:after="0"/>
              <w:jc w:val="center"/>
            </w:pPr>
            <w:r/>
            <w:r>
              <w:rPr>
                <w:color w:val="1A1A1A"/>
                <w:sz w:val="15"/>
              </w:rPr>
              <w:t>42/142 (29.6; 22.7-37.5)</w:t>
            </w:r>
          </w:p>
        </w:tc>
        <w:tc>
          <w:tcPr>
            <w:tcW w:type="dxa" w:w="1236"/>
          </w:tcPr>
          <w:p>
            <w:pPr>
              <w:spacing w:after="0"/>
              <w:jc w:val="center"/>
            </w:pPr>
            <w:r/>
            <w:r>
              <w:rPr>
                <w:color w:val="1A1A1A"/>
                <w:sz w:val="15"/>
              </w:rPr>
              <w:t>22/127 (17.3; 11.7-24.8)</w:t>
            </w:r>
          </w:p>
        </w:tc>
        <w:tc>
          <w:tcPr>
            <w:tcW w:type="dxa" w:w="1236"/>
          </w:tcPr>
          <w:p>
            <w:pPr>
              <w:spacing w:after="0"/>
              <w:jc w:val="center"/>
            </w:pPr>
            <w:r/>
            <w:r>
              <w:rPr>
                <w:color w:val="1A1A1A"/>
                <w:sz w:val="15"/>
              </w:rPr>
              <w:t>&lt;0.001</w:t>
            </w:r>
          </w:p>
        </w:tc>
        <w:tc>
          <w:tcPr>
            <w:tcW w:type="dxa" w:w="850"/>
          </w:tcPr>
          <w:p>
            <w:pPr>
              <w:spacing w:after="0"/>
              <w:jc w:val="center"/>
            </w:pPr>
            <w:r/>
            <w:r>
              <w:rPr>
                <w:color w:val="1A1A1A"/>
                <w:sz w:val="15"/>
              </w:rPr>
              <w:t>all in group</w:t>
            </w:r>
          </w:p>
        </w:tc>
      </w:tr>
      <w:tr>
        <w:tc>
          <w:tcPr>
            <w:tcW w:type="dxa" w:w="2608"/>
          </w:tcPr>
          <w:p>
            <w:pPr>
              <w:spacing w:after="0"/>
              <w:jc w:val="left"/>
            </w:pPr>
            <w:r/>
            <w:r>
              <w:rPr>
                <w:color w:val="1A1A1A"/>
                <w:sz w:val="15"/>
              </w:rPr>
              <w:t>Main reason for unmet need (Q30)</w:t>
            </w:r>
          </w:p>
        </w:tc>
        <w:tc>
          <w:tcPr>
            <w:tcW w:type="dxa" w:w="1236"/>
          </w:tcPr>
          <w:p>
            <w:pPr>
              <w:spacing w:after="0"/>
              <w:jc w:val="center"/>
            </w:pPr>
            <w:r/>
            <w:r>
              <w:rPr>
                <w:color w:val="1A1A1A"/>
                <w:sz w:val="15"/>
              </w:rPr>
            </w:r>
          </w:p>
        </w:tc>
        <w:tc>
          <w:tcPr>
            <w:tcW w:type="dxa" w:w="1236"/>
          </w:tcPr>
          <w:p>
            <w:pPr>
              <w:spacing w:after="0"/>
              <w:jc w:val="center"/>
            </w:pPr>
            <w:r/>
            <w:r>
              <w:rPr>
                <w:color w:val="1A1A1A"/>
                <w:sz w:val="15"/>
              </w:rPr>
            </w:r>
          </w:p>
        </w:tc>
        <w:tc>
          <w:tcPr>
            <w:tcW w:type="dxa" w:w="1236"/>
          </w:tcPr>
          <w:p>
            <w:pPr>
              <w:spacing w:after="0"/>
              <w:jc w:val="center"/>
            </w:pPr>
            <w:r/>
            <w:r>
              <w:rPr>
                <w:color w:val="1A1A1A"/>
                <w:sz w:val="15"/>
              </w:rPr>
            </w:r>
          </w:p>
        </w:tc>
        <w:tc>
          <w:tcPr>
            <w:tcW w:type="dxa" w:w="1236"/>
          </w:tcPr>
          <w:p>
            <w:pPr>
              <w:spacing w:after="0"/>
              <w:jc w:val="center"/>
            </w:pPr>
            <w:r/>
            <w:r>
              <w:rPr>
                <w:color w:val="1A1A1A"/>
                <w:sz w:val="15"/>
              </w:rPr>
            </w:r>
          </w:p>
        </w:tc>
        <w:tc>
          <w:tcPr>
            <w:tcW w:type="dxa" w:w="1236"/>
          </w:tcPr>
          <w:p>
            <w:pPr>
              <w:spacing w:after="0"/>
              <w:jc w:val="center"/>
            </w:pPr>
            <w:r/>
            <w:r>
              <w:rPr>
                <w:color w:val="1A1A1A"/>
                <w:sz w:val="15"/>
              </w:rPr>
              <w:t>&lt;0.001</w:t>
            </w:r>
          </w:p>
        </w:tc>
        <w:tc>
          <w:tcPr>
            <w:tcW w:type="dxa" w:w="850"/>
          </w:tcPr>
          <w:p>
            <w:pPr>
              <w:spacing w:after="0"/>
              <w:jc w:val="center"/>
            </w:pPr>
            <w:r/>
            <w:r>
              <w:rPr>
                <w:color w:val="1A1A1A"/>
                <w:sz w:val="15"/>
              </w:rPr>
              <w:t>see rows below</w:t>
            </w:r>
          </w:p>
        </w:tc>
      </w:tr>
      <w:tr>
        <w:tc>
          <w:tcPr>
            <w:tcW w:type="dxa" w:w="2608"/>
          </w:tcPr>
          <w:p>
            <w:pPr>
              <w:spacing w:after="0"/>
              <w:ind w:left="198"/>
              <w:jc w:val="left"/>
            </w:pPr>
            <w:r/>
            <w:r>
              <w:rPr>
                <w:color w:val="1A1A1A"/>
                <w:sz w:val="15"/>
              </w:rPr>
              <w:t>cost</w:t>
            </w:r>
          </w:p>
        </w:tc>
        <w:tc>
          <w:tcPr>
            <w:tcW w:type="dxa" w:w="1236"/>
          </w:tcPr>
          <w:p>
            <w:pPr>
              <w:spacing w:after="0"/>
              <w:jc w:val="center"/>
            </w:pPr>
            <w:r/>
            <w:r>
              <w:rPr>
                <w:color w:val="1A1A1A"/>
                <w:sz w:val="15"/>
              </w:rPr>
              <w:t>21/634 (3.3)</w:t>
            </w:r>
          </w:p>
        </w:tc>
        <w:tc>
          <w:tcPr>
            <w:tcW w:type="dxa" w:w="1236"/>
          </w:tcPr>
          <w:p>
            <w:pPr>
              <w:spacing w:after="0"/>
              <w:jc w:val="center"/>
            </w:pPr>
            <w:r/>
            <w:r>
              <w:rPr>
                <w:color w:val="1A1A1A"/>
                <w:sz w:val="15"/>
              </w:rPr>
              <w:t>18/615 (2.9)</w:t>
            </w:r>
          </w:p>
        </w:tc>
        <w:tc>
          <w:tcPr>
            <w:tcW w:type="dxa" w:w="1236"/>
          </w:tcPr>
          <w:p>
            <w:pPr>
              <w:spacing w:after="0"/>
              <w:jc w:val="center"/>
            </w:pPr>
            <w:r/>
            <w:r>
              <w:rPr>
                <w:color w:val="1A1A1A"/>
                <w:sz w:val="15"/>
              </w:rPr>
              <w:t>4/142 (2.8)</w:t>
            </w:r>
          </w:p>
        </w:tc>
        <w:tc>
          <w:tcPr>
            <w:tcW w:type="dxa" w:w="1236"/>
          </w:tcPr>
          <w:p>
            <w:pPr>
              <w:spacing w:after="0"/>
              <w:jc w:val="center"/>
            </w:pPr>
            <w:r/>
            <w:r>
              <w:rPr>
                <w:color w:val="1A1A1A"/>
                <w:sz w:val="15"/>
              </w:rPr>
              <w:t>9/127 (7.1)</w:t>
            </w:r>
          </w:p>
        </w:tc>
        <w:tc>
          <w:tcPr>
            <w:tcW w:type="dxa" w:w="1236"/>
          </w:tcPr>
          <w:p>
            <w:pPr>
              <w:spacing w:after="0"/>
              <w:jc w:val="center"/>
            </w:pPr>
            <w:r/>
            <w:r>
              <w:rPr>
                <w:color w:val="1A1A1A"/>
                <w:sz w:val="15"/>
              </w:rPr>
            </w:r>
          </w:p>
        </w:tc>
        <w:tc>
          <w:tcPr>
            <w:tcW w:type="dxa" w:w="850"/>
          </w:tcPr>
          <w:p>
            <w:pPr>
              <w:spacing w:after="0"/>
              <w:jc w:val="center"/>
            </w:pPr>
            <w:r/>
            <w:r>
              <w:rPr>
                <w:color w:val="1A1A1A"/>
                <w:sz w:val="15"/>
              </w:rPr>
            </w:r>
          </w:p>
        </w:tc>
      </w:tr>
      <w:tr>
        <w:tc>
          <w:tcPr>
            <w:tcW w:type="dxa" w:w="2608"/>
          </w:tcPr>
          <w:p>
            <w:pPr>
              <w:spacing w:after="0"/>
              <w:ind w:left="198"/>
              <w:jc w:val="left"/>
            </w:pPr>
            <w:r/>
            <w:r>
              <w:rPr>
                <w:color w:val="1A1A1A"/>
                <w:sz w:val="15"/>
              </w:rPr>
              <w:t>distance</w:t>
            </w:r>
          </w:p>
        </w:tc>
        <w:tc>
          <w:tcPr>
            <w:tcW w:type="dxa" w:w="1236"/>
          </w:tcPr>
          <w:p>
            <w:pPr>
              <w:spacing w:after="0"/>
              <w:jc w:val="center"/>
            </w:pPr>
            <w:r/>
            <w:r>
              <w:rPr>
                <w:color w:val="1A1A1A"/>
                <w:sz w:val="15"/>
              </w:rPr>
              <w:t>50/634 (7.9)</w:t>
            </w:r>
          </w:p>
        </w:tc>
        <w:tc>
          <w:tcPr>
            <w:tcW w:type="dxa" w:w="1236"/>
          </w:tcPr>
          <w:p>
            <w:pPr>
              <w:spacing w:after="0"/>
              <w:jc w:val="center"/>
            </w:pPr>
            <w:r/>
            <w:r>
              <w:rPr>
                <w:color w:val="1A1A1A"/>
                <w:sz w:val="15"/>
              </w:rPr>
              <w:t>16/615 (2.6)</w:t>
            </w:r>
          </w:p>
        </w:tc>
        <w:tc>
          <w:tcPr>
            <w:tcW w:type="dxa" w:w="1236"/>
          </w:tcPr>
          <w:p>
            <w:pPr>
              <w:spacing w:after="0"/>
              <w:jc w:val="center"/>
            </w:pPr>
            <w:r/>
            <w:r>
              <w:rPr>
                <w:color w:val="1A1A1A"/>
                <w:sz w:val="15"/>
              </w:rPr>
              <w:t>5/142 (3.5)</w:t>
            </w:r>
          </w:p>
        </w:tc>
        <w:tc>
          <w:tcPr>
            <w:tcW w:type="dxa" w:w="1236"/>
          </w:tcPr>
          <w:p>
            <w:pPr>
              <w:spacing w:after="0"/>
              <w:jc w:val="center"/>
            </w:pPr>
            <w:r/>
            <w:r>
              <w:rPr>
                <w:color w:val="1A1A1A"/>
                <w:sz w:val="15"/>
              </w:rPr>
              <w:t>3/127 (2.4)</w:t>
            </w:r>
          </w:p>
        </w:tc>
        <w:tc>
          <w:tcPr>
            <w:tcW w:type="dxa" w:w="1236"/>
          </w:tcPr>
          <w:p>
            <w:pPr>
              <w:spacing w:after="0"/>
              <w:jc w:val="center"/>
            </w:pPr>
            <w:r/>
            <w:r>
              <w:rPr>
                <w:color w:val="1A1A1A"/>
                <w:sz w:val="15"/>
              </w:rPr>
            </w:r>
          </w:p>
        </w:tc>
        <w:tc>
          <w:tcPr>
            <w:tcW w:type="dxa" w:w="850"/>
          </w:tcPr>
          <w:p>
            <w:pPr>
              <w:spacing w:after="0"/>
              <w:jc w:val="center"/>
            </w:pPr>
            <w:r/>
            <w:r>
              <w:rPr>
                <w:color w:val="1A1A1A"/>
                <w:sz w:val="15"/>
              </w:rPr>
            </w:r>
          </w:p>
        </w:tc>
      </w:tr>
      <w:tr>
        <w:tc>
          <w:tcPr>
            <w:tcW w:type="dxa" w:w="2608"/>
          </w:tcPr>
          <w:p>
            <w:pPr>
              <w:spacing w:after="0"/>
              <w:ind w:left="198"/>
              <w:jc w:val="left"/>
            </w:pPr>
            <w:r/>
            <w:r>
              <w:rPr>
                <w:color w:val="1A1A1A"/>
                <w:sz w:val="15"/>
              </w:rPr>
              <w:t>no medicines/equipment</w:t>
            </w:r>
          </w:p>
        </w:tc>
        <w:tc>
          <w:tcPr>
            <w:tcW w:type="dxa" w:w="1236"/>
          </w:tcPr>
          <w:p>
            <w:pPr>
              <w:spacing w:after="0"/>
              <w:jc w:val="center"/>
            </w:pPr>
            <w:r/>
            <w:r>
              <w:rPr>
                <w:color w:val="1A1A1A"/>
                <w:sz w:val="15"/>
              </w:rPr>
              <w:t>2/634 (0.3)</w:t>
            </w:r>
          </w:p>
        </w:tc>
        <w:tc>
          <w:tcPr>
            <w:tcW w:type="dxa" w:w="1236"/>
          </w:tcPr>
          <w:p>
            <w:pPr>
              <w:spacing w:after="0"/>
              <w:jc w:val="center"/>
            </w:pPr>
            <w:r/>
            <w:r>
              <w:rPr>
                <w:color w:val="1A1A1A"/>
                <w:sz w:val="15"/>
              </w:rPr>
              <w:t>5/615 (0.8)</w:t>
            </w:r>
          </w:p>
        </w:tc>
        <w:tc>
          <w:tcPr>
            <w:tcW w:type="dxa" w:w="1236"/>
          </w:tcPr>
          <w:p>
            <w:pPr>
              <w:spacing w:after="0"/>
              <w:jc w:val="center"/>
            </w:pPr>
            <w:r/>
            <w:r>
              <w:rPr>
                <w:color w:val="1A1A1A"/>
                <w:sz w:val="15"/>
              </w:rPr>
              <w:t>2/142 (1.4)</w:t>
            </w:r>
          </w:p>
        </w:tc>
        <w:tc>
          <w:tcPr>
            <w:tcW w:type="dxa" w:w="1236"/>
          </w:tcPr>
          <w:p>
            <w:pPr>
              <w:spacing w:after="0"/>
              <w:jc w:val="center"/>
            </w:pPr>
            <w:r/>
            <w:r>
              <w:rPr>
                <w:color w:val="1A1A1A"/>
                <w:sz w:val="15"/>
              </w:rPr>
              <w:t>0/127 (0.0)</w:t>
            </w:r>
          </w:p>
        </w:tc>
        <w:tc>
          <w:tcPr>
            <w:tcW w:type="dxa" w:w="1236"/>
          </w:tcPr>
          <w:p>
            <w:pPr>
              <w:spacing w:after="0"/>
              <w:jc w:val="center"/>
            </w:pPr>
            <w:r/>
            <w:r>
              <w:rPr>
                <w:color w:val="1A1A1A"/>
                <w:sz w:val="15"/>
              </w:rPr>
            </w:r>
          </w:p>
        </w:tc>
        <w:tc>
          <w:tcPr>
            <w:tcW w:type="dxa" w:w="850"/>
          </w:tcPr>
          <w:p>
            <w:pPr>
              <w:spacing w:after="0"/>
              <w:jc w:val="center"/>
            </w:pPr>
            <w:r/>
            <w:r>
              <w:rPr>
                <w:color w:val="1A1A1A"/>
                <w:sz w:val="15"/>
              </w:rPr>
            </w:r>
          </w:p>
        </w:tc>
      </w:tr>
      <w:tr>
        <w:tc>
          <w:tcPr>
            <w:tcW w:type="dxa" w:w="2608"/>
          </w:tcPr>
          <w:p>
            <w:pPr>
              <w:spacing w:after="0"/>
              <w:ind w:left="198"/>
              <w:jc w:val="left"/>
            </w:pPr>
            <w:r/>
            <w:r>
              <w:rPr>
                <w:color w:val="1A1A1A"/>
                <w:sz w:val="15"/>
              </w:rPr>
              <w:t>other</w:t>
            </w:r>
          </w:p>
        </w:tc>
        <w:tc>
          <w:tcPr>
            <w:tcW w:type="dxa" w:w="1236"/>
          </w:tcPr>
          <w:p>
            <w:pPr>
              <w:spacing w:after="0"/>
              <w:jc w:val="center"/>
            </w:pPr>
            <w:r/>
            <w:r>
              <w:rPr>
                <w:color w:val="1A1A1A"/>
                <w:sz w:val="15"/>
              </w:rPr>
              <w:t>395/634 (62.3)</w:t>
            </w:r>
          </w:p>
        </w:tc>
        <w:tc>
          <w:tcPr>
            <w:tcW w:type="dxa" w:w="1236"/>
          </w:tcPr>
          <w:p>
            <w:pPr>
              <w:spacing w:after="0"/>
              <w:jc w:val="center"/>
            </w:pPr>
            <w:r/>
            <w:r>
              <w:rPr>
                <w:color w:val="1A1A1A"/>
                <w:sz w:val="15"/>
              </w:rPr>
              <w:t>381/615 (62.0)</w:t>
            </w:r>
          </w:p>
        </w:tc>
        <w:tc>
          <w:tcPr>
            <w:tcW w:type="dxa" w:w="1236"/>
          </w:tcPr>
          <w:p>
            <w:pPr>
              <w:spacing w:after="0"/>
              <w:jc w:val="center"/>
            </w:pPr>
            <w:r/>
            <w:r>
              <w:rPr>
                <w:color w:val="1A1A1A"/>
                <w:sz w:val="15"/>
              </w:rPr>
              <w:t>73/142 (51.4)</w:t>
            </w:r>
          </w:p>
        </w:tc>
        <w:tc>
          <w:tcPr>
            <w:tcW w:type="dxa" w:w="1236"/>
          </w:tcPr>
          <w:p>
            <w:pPr>
              <w:spacing w:after="0"/>
              <w:jc w:val="center"/>
            </w:pPr>
            <w:r/>
            <w:r>
              <w:rPr>
                <w:color w:val="1A1A1A"/>
                <w:sz w:val="15"/>
              </w:rPr>
              <w:t>66/127 (52.0)</w:t>
            </w:r>
          </w:p>
        </w:tc>
        <w:tc>
          <w:tcPr>
            <w:tcW w:type="dxa" w:w="1236"/>
          </w:tcPr>
          <w:p>
            <w:pPr>
              <w:spacing w:after="0"/>
              <w:jc w:val="center"/>
            </w:pPr>
            <w:r/>
            <w:r>
              <w:rPr>
                <w:color w:val="1A1A1A"/>
                <w:sz w:val="15"/>
              </w:rPr>
            </w:r>
          </w:p>
        </w:tc>
        <w:tc>
          <w:tcPr>
            <w:tcW w:type="dxa" w:w="850"/>
          </w:tcPr>
          <w:p>
            <w:pPr>
              <w:spacing w:after="0"/>
              <w:jc w:val="center"/>
            </w:pPr>
            <w:r/>
            <w:r>
              <w:rPr>
                <w:color w:val="1A1A1A"/>
                <w:sz w:val="15"/>
              </w:rPr>
            </w:r>
          </w:p>
        </w:tc>
      </w:tr>
      <w:tr>
        <w:tc>
          <w:tcPr>
            <w:tcW w:type="dxa" w:w="2608"/>
          </w:tcPr>
          <w:p>
            <w:pPr>
              <w:spacing w:after="0"/>
              <w:ind w:left="198"/>
              <w:jc w:val="left"/>
            </w:pPr>
            <w:r/>
            <w:r>
              <w:rPr>
                <w:color w:val="1A1A1A"/>
                <w:sz w:val="15"/>
              </w:rPr>
              <w:t>provider skill</w:t>
            </w:r>
          </w:p>
        </w:tc>
        <w:tc>
          <w:tcPr>
            <w:tcW w:type="dxa" w:w="1236"/>
          </w:tcPr>
          <w:p>
            <w:pPr>
              <w:spacing w:after="0"/>
              <w:jc w:val="center"/>
            </w:pPr>
            <w:r/>
            <w:r>
              <w:rPr>
                <w:color w:val="1A1A1A"/>
                <w:sz w:val="15"/>
              </w:rPr>
              <w:t>0/634 (0.0)</w:t>
            </w:r>
          </w:p>
        </w:tc>
        <w:tc>
          <w:tcPr>
            <w:tcW w:type="dxa" w:w="1236"/>
          </w:tcPr>
          <w:p>
            <w:pPr>
              <w:spacing w:after="0"/>
              <w:jc w:val="center"/>
            </w:pPr>
            <w:r/>
            <w:r>
              <w:rPr>
                <w:color w:val="1A1A1A"/>
                <w:sz w:val="15"/>
              </w:rPr>
              <w:t>5/615 (0.8)</w:t>
            </w:r>
          </w:p>
        </w:tc>
        <w:tc>
          <w:tcPr>
            <w:tcW w:type="dxa" w:w="1236"/>
          </w:tcPr>
          <w:p>
            <w:pPr>
              <w:spacing w:after="0"/>
              <w:jc w:val="center"/>
            </w:pPr>
            <w:r/>
            <w:r>
              <w:rPr>
                <w:color w:val="1A1A1A"/>
                <w:sz w:val="15"/>
              </w:rPr>
              <w:t>0/142 (0.0)</w:t>
            </w:r>
          </w:p>
        </w:tc>
        <w:tc>
          <w:tcPr>
            <w:tcW w:type="dxa" w:w="1236"/>
          </w:tcPr>
          <w:p>
            <w:pPr>
              <w:spacing w:after="0"/>
              <w:jc w:val="center"/>
            </w:pPr>
            <w:r/>
            <w:r>
              <w:rPr>
                <w:color w:val="1A1A1A"/>
                <w:sz w:val="15"/>
              </w:rPr>
              <w:t>0/127 (0.0)</w:t>
            </w:r>
          </w:p>
        </w:tc>
        <w:tc>
          <w:tcPr>
            <w:tcW w:type="dxa" w:w="1236"/>
          </w:tcPr>
          <w:p>
            <w:pPr>
              <w:spacing w:after="0"/>
              <w:jc w:val="center"/>
            </w:pPr>
            <w:r/>
            <w:r>
              <w:rPr>
                <w:color w:val="1A1A1A"/>
                <w:sz w:val="15"/>
              </w:rPr>
            </w:r>
          </w:p>
        </w:tc>
        <w:tc>
          <w:tcPr>
            <w:tcW w:type="dxa" w:w="850"/>
          </w:tcPr>
          <w:p>
            <w:pPr>
              <w:spacing w:after="0"/>
              <w:jc w:val="center"/>
            </w:pPr>
            <w:r/>
            <w:r>
              <w:rPr>
                <w:color w:val="1A1A1A"/>
                <w:sz w:val="15"/>
              </w:rPr>
            </w:r>
          </w:p>
        </w:tc>
      </w:tr>
      <w:tr>
        <w:tc>
          <w:tcPr>
            <w:tcW w:type="dxa" w:w="2608"/>
          </w:tcPr>
          <w:p>
            <w:pPr>
              <w:spacing w:after="0"/>
              <w:ind w:left="198"/>
              <w:jc w:val="left"/>
            </w:pPr>
            <w:r/>
            <w:r>
              <w:rPr>
                <w:color w:val="1A1A1A"/>
                <w:sz w:val="15"/>
              </w:rPr>
              <w:t>staff disrespect</w:t>
            </w:r>
          </w:p>
        </w:tc>
        <w:tc>
          <w:tcPr>
            <w:tcW w:type="dxa" w:w="1236"/>
          </w:tcPr>
          <w:p>
            <w:pPr>
              <w:spacing w:after="0"/>
              <w:jc w:val="center"/>
            </w:pPr>
            <w:r/>
            <w:r>
              <w:rPr>
                <w:color w:val="1A1A1A"/>
                <w:sz w:val="15"/>
              </w:rPr>
              <w:t>2/634 (0.3)</w:t>
            </w:r>
          </w:p>
        </w:tc>
        <w:tc>
          <w:tcPr>
            <w:tcW w:type="dxa" w:w="1236"/>
          </w:tcPr>
          <w:p>
            <w:pPr>
              <w:spacing w:after="0"/>
              <w:jc w:val="center"/>
            </w:pPr>
            <w:r/>
            <w:r>
              <w:rPr>
                <w:color w:val="1A1A1A"/>
                <w:sz w:val="15"/>
              </w:rPr>
              <w:t>2/615 (0.3)</w:t>
            </w:r>
          </w:p>
        </w:tc>
        <w:tc>
          <w:tcPr>
            <w:tcW w:type="dxa" w:w="1236"/>
          </w:tcPr>
          <w:p>
            <w:pPr>
              <w:spacing w:after="0"/>
              <w:jc w:val="center"/>
            </w:pPr>
            <w:r/>
            <w:r>
              <w:rPr>
                <w:color w:val="1A1A1A"/>
                <w:sz w:val="15"/>
              </w:rPr>
              <w:t>1/142 (0.7)</w:t>
            </w:r>
          </w:p>
        </w:tc>
        <w:tc>
          <w:tcPr>
            <w:tcW w:type="dxa" w:w="1236"/>
          </w:tcPr>
          <w:p>
            <w:pPr>
              <w:spacing w:after="0"/>
              <w:jc w:val="center"/>
            </w:pPr>
            <w:r/>
            <w:r>
              <w:rPr>
                <w:color w:val="1A1A1A"/>
                <w:sz w:val="15"/>
              </w:rPr>
              <w:t>0/127 (0.0)</w:t>
            </w:r>
          </w:p>
        </w:tc>
        <w:tc>
          <w:tcPr>
            <w:tcW w:type="dxa" w:w="1236"/>
          </w:tcPr>
          <w:p>
            <w:pPr>
              <w:spacing w:after="0"/>
              <w:jc w:val="center"/>
            </w:pPr>
            <w:r/>
            <w:r>
              <w:rPr>
                <w:color w:val="1A1A1A"/>
                <w:sz w:val="15"/>
              </w:rPr>
            </w:r>
          </w:p>
        </w:tc>
        <w:tc>
          <w:tcPr>
            <w:tcW w:type="dxa" w:w="850"/>
          </w:tcPr>
          <w:p>
            <w:pPr>
              <w:spacing w:after="0"/>
              <w:jc w:val="center"/>
            </w:pPr>
            <w:r/>
            <w:r>
              <w:rPr>
                <w:color w:val="1A1A1A"/>
                <w:sz w:val="15"/>
              </w:rPr>
            </w:r>
          </w:p>
        </w:tc>
      </w:tr>
      <w:tr>
        <w:tc>
          <w:tcPr>
            <w:tcW w:type="dxa" w:w="2608"/>
          </w:tcPr>
          <w:p>
            <w:pPr>
              <w:spacing w:after="0"/>
              <w:ind w:left="198"/>
              <w:jc w:val="left"/>
            </w:pPr>
            <w:r/>
            <w:r>
              <w:rPr>
                <w:color w:val="1A1A1A"/>
                <w:sz w:val="15"/>
              </w:rPr>
              <w:t>symptoms mild</w:t>
            </w:r>
          </w:p>
        </w:tc>
        <w:tc>
          <w:tcPr>
            <w:tcW w:type="dxa" w:w="1236"/>
          </w:tcPr>
          <w:p>
            <w:pPr>
              <w:spacing w:after="0"/>
              <w:jc w:val="center"/>
            </w:pPr>
            <w:r/>
            <w:r>
              <w:rPr>
                <w:color w:val="1A1A1A"/>
                <w:sz w:val="15"/>
              </w:rPr>
              <w:t>116/634 (18.3)</w:t>
            </w:r>
          </w:p>
        </w:tc>
        <w:tc>
          <w:tcPr>
            <w:tcW w:type="dxa" w:w="1236"/>
          </w:tcPr>
          <w:p>
            <w:pPr>
              <w:spacing w:after="0"/>
              <w:jc w:val="center"/>
            </w:pPr>
            <w:r/>
            <w:r>
              <w:rPr>
                <w:color w:val="1A1A1A"/>
                <w:sz w:val="15"/>
              </w:rPr>
              <w:t>112/615 (18.2)</w:t>
            </w:r>
          </w:p>
        </w:tc>
        <w:tc>
          <w:tcPr>
            <w:tcW w:type="dxa" w:w="1236"/>
          </w:tcPr>
          <w:p>
            <w:pPr>
              <w:spacing w:after="0"/>
              <w:jc w:val="center"/>
            </w:pPr>
            <w:r/>
            <w:r>
              <w:rPr>
                <w:color w:val="1A1A1A"/>
                <w:sz w:val="15"/>
              </w:rPr>
              <w:t>46/142 (32.4)</w:t>
            </w:r>
          </w:p>
        </w:tc>
        <w:tc>
          <w:tcPr>
            <w:tcW w:type="dxa" w:w="1236"/>
          </w:tcPr>
          <w:p>
            <w:pPr>
              <w:spacing w:after="0"/>
              <w:jc w:val="center"/>
            </w:pPr>
            <w:r/>
            <w:r>
              <w:rPr>
                <w:color w:val="1A1A1A"/>
                <w:sz w:val="15"/>
              </w:rPr>
              <w:t>42/127 (33.1)</w:t>
            </w:r>
          </w:p>
        </w:tc>
        <w:tc>
          <w:tcPr>
            <w:tcW w:type="dxa" w:w="1236"/>
          </w:tcPr>
          <w:p>
            <w:pPr>
              <w:spacing w:after="0"/>
              <w:jc w:val="center"/>
            </w:pPr>
            <w:r/>
            <w:r>
              <w:rPr>
                <w:color w:val="1A1A1A"/>
                <w:sz w:val="15"/>
              </w:rPr>
            </w:r>
          </w:p>
        </w:tc>
        <w:tc>
          <w:tcPr>
            <w:tcW w:type="dxa" w:w="850"/>
          </w:tcPr>
          <w:p>
            <w:pPr>
              <w:spacing w:after="0"/>
              <w:jc w:val="center"/>
            </w:pPr>
            <w:r/>
            <w:r>
              <w:rPr>
                <w:color w:val="1A1A1A"/>
                <w:sz w:val="15"/>
              </w:rPr>
            </w:r>
          </w:p>
        </w:tc>
      </w:tr>
      <w:tr>
        <w:tc>
          <w:tcPr>
            <w:tcW w:type="dxa" w:w="2608"/>
          </w:tcPr>
          <w:p>
            <w:pPr>
              <w:spacing w:after="0"/>
              <w:ind w:left="198"/>
              <w:jc w:val="left"/>
            </w:pPr>
            <w:r/>
            <w:r>
              <w:rPr>
                <w:color w:val="1A1A1A"/>
                <w:sz w:val="15"/>
              </w:rPr>
              <w:t>waiting time</w:t>
            </w:r>
          </w:p>
        </w:tc>
        <w:tc>
          <w:tcPr>
            <w:tcW w:type="dxa" w:w="1236"/>
          </w:tcPr>
          <w:p>
            <w:pPr>
              <w:spacing w:after="0"/>
              <w:jc w:val="center"/>
            </w:pPr>
            <w:r/>
            <w:r>
              <w:rPr>
                <w:color w:val="1A1A1A"/>
                <w:sz w:val="15"/>
              </w:rPr>
              <w:t>48/634 (7.6)</w:t>
            </w:r>
          </w:p>
        </w:tc>
        <w:tc>
          <w:tcPr>
            <w:tcW w:type="dxa" w:w="1236"/>
          </w:tcPr>
          <w:p>
            <w:pPr>
              <w:spacing w:after="0"/>
              <w:jc w:val="center"/>
            </w:pPr>
            <w:r/>
            <w:r>
              <w:rPr>
                <w:color w:val="1A1A1A"/>
                <w:sz w:val="15"/>
              </w:rPr>
              <w:t>76/615 (12.4)</w:t>
            </w:r>
          </w:p>
        </w:tc>
        <w:tc>
          <w:tcPr>
            <w:tcW w:type="dxa" w:w="1236"/>
          </w:tcPr>
          <w:p>
            <w:pPr>
              <w:spacing w:after="0"/>
              <w:jc w:val="center"/>
            </w:pPr>
            <w:r/>
            <w:r>
              <w:rPr>
                <w:color w:val="1A1A1A"/>
                <w:sz w:val="15"/>
              </w:rPr>
              <w:t>11/142 (7.7)</w:t>
            </w:r>
          </w:p>
        </w:tc>
        <w:tc>
          <w:tcPr>
            <w:tcW w:type="dxa" w:w="1236"/>
          </w:tcPr>
          <w:p>
            <w:pPr>
              <w:spacing w:after="0"/>
              <w:jc w:val="center"/>
            </w:pPr>
            <w:r/>
            <w:r>
              <w:rPr>
                <w:color w:val="1A1A1A"/>
                <w:sz w:val="15"/>
              </w:rPr>
              <w:t>7/127 (5.5)</w:t>
            </w:r>
          </w:p>
        </w:tc>
        <w:tc>
          <w:tcPr>
            <w:tcW w:type="dxa" w:w="1236"/>
          </w:tcPr>
          <w:p>
            <w:pPr>
              <w:spacing w:after="0"/>
              <w:jc w:val="center"/>
            </w:pPr>
            <w:r/>
            <w:r>
              <w:rPr>
                <w:color w:val="1A1A1A"/>
                <w:sz w:val="15"/>
              </w:rPr>
            </w:r>
          </w:p>
        </w:tc>
        <w:tc>
          <w:tcPr>
            <w:tcW w:type="dxa" w:w="850"/>
          </w:tcPr>
          <w:p>
            <w:pPr>
              <w:spacing w:after="0"/>
              <w:jc w:val="center"/>
            </w:pPr>
            <w:r/>
            <w:r>
              <w:rPr>
                <w:color w:val="1A1A1A"/>
                <w:sz w:val="15"/>
              </w:rPr>
            </w:r>
          </w:p>
        </w:tc>
      </w:tr>
      <w:tr>
        <w:tc>
          <w:tcPr>
            <w:tcW w:type="dxa" w:w="2608"/>
          </w:tcPr>
          <w:p>
            <w:pPr>
              <w:spacing w:after="0"/>
              <w:jc w:val="left"/>
            </w:pPr>
            <w:r/>
            <w:r>
              <w:rPr>
                <w:color w:val="1A1A1A"/>
                <w:sz w:val="15"/>
              </w:rPr>
              <w:t>Borrowed/sold assets for care, ever (Q31)</w:t>
            </w:r>
          </w:p>
        </w:tc>
        <w:tc>
          <w:tcPr>
            <w:tcW w:type="dxa" w:w="1236"/>
          </w:tcPr>
          <w:p>
            <w:pPr>
              <w:spacing w:after="0"/>
              <w:jc w:val="center"/>
            </w:pPr>
            <w:r/>
            <w:r>
              <w:rPr>
                <w:color w:val="1A1A1A"/>
                <w:sz w:val="15"/>
              </w:rPr>
              <w:t>35/634 (5.5; 4.0-7.6)</w:t>
            </w:r>
          </w:p>
        </w:tc>
        <w:tc>
          <w:tcPr>
            <w:tcW w:type="dxa" w:w="1236"/>
          </w:tcPr>
          <w:p>
            <w:pPr>
              <w:spacing w:after="0"/>
              <w:jc w:val="center"/>
            </w:pPr>
            <w:r/>
            <w:r>
              <w:rPr>
                <w:color w:val="1A1A1A"/>
                <w:sz w:val="15"/>
              </w:rPr>
              <w:t>48/615 (7.8; 5.9-10.2)</w:t>
            </w:r>
          </w:p>
        </w:tc>
        <w:tc>
          <w:tcPr>
            <w:tcW w:type="dxa" w:w="1236"/>
          </w:tcPr>
          <w:p>
            <w:pPr>
              <w:spacing w:after="0"/>
              <w:jc w:val="center"/>
            </w:pPr>
            <w:r/>
            <w:r>
              <w:rPr>
                <w:color w:val="1A1A1A"/>
                <w:sz w:val="15"/>
              </w:rPr>
              <w:t>6/142 (4.2; 2.0-8.9)</w:t>
            </w:r>
          </w:p>
        </w:tc>
        <w:tc>
          <w:tcPr>
            <w:tcW w:type="dxa" w:w="1236"/>
          </w:tcPr>
          <w:p>
            <w:pPr>
              <w:spacing w:after="0"/>
              <w:jc w:val="center"/>
            </w:pPr>
            <w:r/>
            <w:r>
              <w:rPr>
                <w:color w:val="1A1A1A"/>
                <w:sz w:val="15"/>
              </w:rPr>
              <w:t>5/127 (3.9; 1.7-8.9)</w:t>
            </w:r>
          </w:p>
        </w:tc>
        <w:tc>
          <w:tcPr>
            <w:tcW w:type="dxa" w:w="1236"/>
          </w:tcPr>
          <w:p>
            <w:pPr>
              <w:spacing w:after="0"/>
              <w:jc w:val="center"/>
            </w:pPr>
            <w:r/>
            <w:r>
              <w:rPr>
                <w:color w:val="1A1A1A"/>
                <w:sz w:val="15"/>
              </w:rPr>
              <w:t>0.151</w:t>
            </w:r>
          </w:p>
        </w:tc>
        <w:tc>
          <w:tcPr>
            <w:tcW w:type="dxa" w:w="850"/>
          </w:tcPr>
          <w:p>
            <w:pPr>
              <w:spacing w:after="0"/>
              <w:jc w:val="center"/>
            </w:pPr>
            <w:r/>
            <w:r>
              <w:rPr>
                <w:color w:val="1A1A1A"/>
                <w:sz w:val="15"/>
              </w:rPr>
              <w:t>all in group</w:t>
            </w:r>
          </w:p>
        </w:tc>
      </w:tr>
      <w:tr>
        <w:tc>
          <w:tcPr>
            <w:tcW w:type="dxa" w:w="2608"/>
          </w:tcPr>
          <w:p>
            <w:pPr>
              <w:spacing w:after="0"/>
              <w:jc w:val="left"/>
            </w:pPr>
            <w:r/>
            <w:r>
              <w:rPr>
                <w:color w:val="1A1A1A"/>
                <w:sz w:val="15"/>
              </w:rPr>
              <w:t>Perceived medical error, ever (Q28a)</w:t>
            </w:r>
          </w:p>
        </w:tc>
        <w:tc>
          <w:tcPr>
            <w:tcW w:type="dxa" w:w="1236"/>
          </w:tcPr>
          <w:p>
            <w:pPr>
              <w:spacing w:after="0"/>
              <w:jc w:val="center"/>
            </w:pPr>
            <w:r/>
            <w:r>
              <w:rPr>
                <w:color w:val="1A1A1A"/>
                <w:sz w:val="15"/>
              </w:rPr>
              <w:t>39/634 (6.2; 4.5-8.3)</w:t>
            </w:r>
          </w:p>
        </w:tc>
        <w:tc>
          <w:tcPr>
            <w:tcW w:type="dxa" w:w="1236"/>
          </w:tcPr>
          <w:p>
            <w:pPr>
              <w:spacing w:after="0"/>
              <w:jc w:val="center"/>
            </w:pPr>
            <w:r/>
            <w:r>
              <w:rPr>
                <w:color w:val="1A1A1A"/>
                <w:sz w:val="15"/>
              </w:rPr>
              <w:t>25/615 (4.1; 2.8-5.9)</w:t>
            </w:r>
          </w:p>
        </w:tc>
        <w:tc>
          <w:tcPr>
            <w:tcW w:type="dxa" w:w="1236"/>
          </w:tcPr>
          <w:p>
            <w:pPr>
              <w:spacing w:after="0"/>
              <w:jc w:val="center"/>
            </w:pPr>
            <w:r/>
            <w:r>
              <w:rPr>
                <w:color w:val="1A1A1A"/>
                <w:sz w:val="15"/>
              </w:rPr>
              <w:t>7/142 (4.9; 2.4-9.8)</w:t>
            </w:r>
          </w:p>
        </w:tc>
        <w:tc>
          <w:tcPr>
            <w:tcW w:type="dxa" w:w="1236"/>
          </w:tcPr>
          <w:p>
            <w:pPr>
              <w:spacing w:after="0"/>
              <w:jc w:val="center"/>
            </w:pPr>
            <w:r/>
            <w:r>
              <w:rPr>
                <w:color w:val="1A1A1A"/>
                <w:sz w:val="15"/>
              </w:rPr>
              <w:t>5/127 (3.9; 1.7-8.9)</w:t>
            </w:r>
          </w:p>
        </w:tc>
        <w:tc>
          <w:tcPr>
            <w:tcW w:type="dxa" w:w="1236"/>
          </w:tcPr>
          <w:p>
            <w:pPr>
              <w:spacing w:after="0"/>
              <w:jc w:val="center"/>
            </w:pPr>
            <w:r/>
            <w:r>
              <w:rPr>
                <w:color w:val="1A1A1A"/>
                <w:sz w:val="15"/>
              </w:rPr>
              <w:t>0.362</w:t>
            </w:r>
          </w:p>
        </w:tc>
        <w:tc>
          <w:tcPr>
            <w:tcW w:type="dxa" w:w="850"/>
          </w:tcPr>
          <w:p>
            <w:pPr>
              <w:spacing w:after="0"/>
              <w:jc w:val="center"/>
            </w:pPr>
            <w:r/>
            <w:r>
              <w:rPr>
                <w:color w:val="1A1A1A"/>
                <w:sz w:val="15"/>
              </w:rPr>
              <w:t>all in group</w:t>
            </w:r>
          </w:p>
        </w:tc>
      </w:tr>
      <w:tr>
        <w:tc>
          <w:tcPr>
            <w:tcW w:type="dxa" w:w="2608"/>
          </w:tcPr>
          <w:p>
            <w:pPr>
              <w:spacing w:after="0"/>
              <w:jc w:val="left"/>
            </w:pPr>
            <w:r/>
            <w:r>
              <w:rPr>
                <w:color w:val="1A1A1A"/>
                <w:sz w:val="15"/>
              </w:rPr>
              <w:t>Felt discriminated against, ever (Q28b)</w:t>
            </w:r>
          </w:p>
        </w:tc>
        <w:tc>
          <w:tcPr>
            <w:tcW w:type="dxa" w:w="1236"/>
          </w:tcPr>
          <w:p>
            <w:pPr>
              <w:spacing w:after="0"/>
              <w:jc w:val="center"/>
            </w:pPr>
            <w:r/>
            <w:r>
              <w:rPr>
                <w:color w:val="1A1A1A"/>
                <w:sz w:val="15"/>
              </w:rPr>
              <w:t>64/634 (10.1; 8.0-12.7)</w:t>
            </w:r>
          </w:p>
        </w:tc>
        <w:tc>
          <w:tcPr>
            <w:tcW w:type="dxa" w:w="1236"/>
          </w:tcPr>
          <w:p>
            <w:pPr>
              <w:spacing w:after="0"/>
              <w:jc w:val="center"/>
            </w:pPr>
            <w:r/>
            <w:r>
              <w:rPr>
                <w:color w:val="1A1A1A"/>
                <w:sz w:val="15"/>
              </w:rPr>
              <w:t>67/615 (10.9; 8.7-13.6)</w:t>
            </w:r>
          </w:p>
        </w:tc>
        <w:tc>
          <w:tcPr>
            <w:tcW w:type="dxa" w:w="1236"/>
          </w:tcPr>
          <w:p>
            <w:pPr>
              <w:spacing w:after="0"/>
              <w:jc w:val="center"/>
            </w:pPr>
            <w:r/>
            <w:r>
              <w:rPr>
                <w:color w:val="1A1A1A"/>
                <w:sz w:val="15"/>
              </w:rPr>
              <w:t>13/142 (9.2; 5.4-15.0)</w:t>
            </w:r>
          </w:p>
        </w:tc>
        <w:tc>
          <w:tcPr>
            <w:tcW w:type="dxa" w:w="1236"/>
          </w:tcPr>
          <w:p>
            <w:pPr>
              <w:spacing w:after="0"/>
              <w:jc w:val="center"/>
            </w:pPr>
            <w:r/>
            <w:r>
              <w:rPr>
                <w:color w:val="1A1A1A"/>
                <w:sz w:val="15"/>
              </w:rPr>
              <w:t>5/127 (3.9; 1.7-8.9)</w:t>
            </w:r>
          </w:p>
        </w:tc>
        <w:tc>
          <w:tcPr>
            <w:tcW w:type="dxa" w:w="1236"/>
          </w:tcPr>
          <w:p>
            <w:pPr>
              <w:spacing w:after="0"/>
              <w:jc w:val="center"/>
            </w:pPr>
            <w:r/>
            <w:r>
              <w:rPr>
                <w:color w:val="1A1A1A"/>
                <w:sz w:val="15"/>
              </w:rPr>
              <w:t>0.117</w:t>
            </w:r>
          </w:p>
        </w:tc>
        <w:tc>
          <w:tcPr>
            <w:tcW w:type="dxa" w:w="850"/>
          </w:tcPr>
          <w:p>
            <w:pPr>
              <w:spacing w:after="0"/>
              <w:jc w:val="center"/>
            </w:pPr>
            <w:r/>
            <w:r>
              <w:rPr>
                <w:color w:val="1A1A1A"/>
                <w:sz w:val="15"/>
              </w:rPr>
              <w:t>all in group</w:t>
            </w:r>
          </w:p>
        </w:tc>
      </w:tr>
      <w:tr>
        <w:tc>
          <w:tcPr>
            <w:tcW w:type="dxa" w:w="2608"/>
          </w:tcPr>
          <w:p>
            <w:pPr>
              <w:spacing w:after="0"/>
              <w:jc w:val="left"/>
            </w:pPr>
            <w:r/>
            <w:r>
              <w:rPr>
                <w:color w:val="1A1A1A"/>
                <w:sz w:val="15"/>
              </w:rPr>
              <w:t>Provider group at most recent visit (Q32/Q33)</w:t>
            </w:r>
          </w:p>
        </w:tc>
        <w:tc>
          <w:tcPr>
            <w:tcW w:type="dxa" w:w="1236"/>
          </w:tcPr>
          <w:p>
            <w:pPr>
              <w:spacing w:after="0"/>
              <w:jc w:val="center"/>
            </w:pPr>
            <w:r/>
            <w:r>
              <w:rPr>
                <w:color w:val="1A1A1A"/>
                <w:sz w:val="15"/>
              </w:rPr>
            </w:r>
          </w:p>
        </w:tc>
        <w:tc>
          <w:tcPr>
            <w:tcW w:type="dxa" w:w="1236"/>
          </w:tcPr>
          <w:p>
            <w:pPr>
              <w:spacing w:after="0"/>
              <w:jc w:val="center"/>
            </w:pPr>
            <w:r/>
            <w:r>
              <w:rPr>
                <w:color w:val="1A1A1A"/>
                <w:sz w:val="15"/>
              </w:rPr>
            </w:r>
          </w:p>
        </w:tc>
        <w:tc>
          <w:tcPr>
            <w:tcW w:type="dxa" w:w="1236"/>
          </w:tcPr>
          <w:p>
            <w:pPr>
              <w:spacing w:after="0"/>
              <w:jc w:val="center"/>
            </w:pPr>
            <w:r/>
            <w:r>
              <w:rPr>
                <w:color w:val="1A1A1A"/>
                <w:sz w:val="15"/>
              </w:rPr>
            </w:r>
          </w:p>
        </w:tc>
        <w:tc>
          <w:tcPr>
            <w:tcW w:type="dxa" w:w="1236"/>
          </w:tcPr>
          <w:p>
            <w:pPr>
              <w:spacing w:after="0"/>
              <w:jc w:val="center"/>
            </w:pPr>
            <w:r/>
            <w:r>
              <w:rPr>
                <w:color w:val="1A1A1A"/>
                <w:sz w:val="15"/>
              </w:rPr>
            </w:r>
          </w:p>
        </w:tc>
        <w:tc>
          <w:tcPr>
            <w:tcW w:type="dxa" w:w="1236"/>
          </w:tcPr>
          <w:p>
            <w:pPr>
              <w:spacing w:after="0"/>
              <w:jc w:val="center"/>
            </w:pPr>
            <w:r/>
            <w:r>
              <w:rPr>
                <w:color w:val="1A1A1A"/>
                <w:sz w:val="15"/>
              </w:rPr>
              <w:t>&lt;0.001</w:t>
            </w:r>
          </w:p>
        </w:tc>
        <w:tc>
          <w:tcPr>
            <w:tcW w:type="dxa" w:w="850"/>
          </w:tcPr>
          <w:p>
            <w:pPr>
              <w:spacing w:after="0"/>
              <w:jc w:val="center"/>
            </w:pPr>
            <w:r/>
            <w:r>
              <w:rPr>
                <w:color w:val="1A1A1A"/>
                <w:sz w:val="15"/>
              </w:rPr>
              <w:t>see rows below</w:t>
            </w:r>
          </w:p>
        </w:tc>
      </w:tr>
      <w:tr>
        <w:tc>
          <w:tcPr>
            <w:tcW w:type="dxa" w:w="2608"/>
          </w:tcPr>
          <w:p>
            <w:pPr>
              <w:spacing w:after="0"/>
              <w:ind w:left="198"/>
              <w:jc w:val="left"/>
            </w:pPr>
            <w:r/>
            <w:r>
              <w:rPr>
                <w:color w:val="1A1A1A"/>
                <w:sz w:val="15"/>
              </w:rPr>
              <w:t>public primary care</w:t>
            </w:r>
          </w:p>
        </w:tc>
        <w:tc>
          <w:tcPr>
            <w:tcW w:type="dxa" w:w="1236"/>
          </w:tcPr>
          <w:p>
            <w:pPr>
              <w:spacing w:after="0"/>
              <w:jc w:val="center"/>
            </w:pPr>
            <w:r/>
            <w:r>
              <w:rPr>
                <w:color w:val="1A1A1A"/>
                <w:sz w:val="15"/>
              </w:rPr>
              <w:t>470/627 (75.0)</w:t>
            </w:r>
          </w:p>
        </w:tc>
        <w:tc>
          <w:tcPr>
            <w:tcW w:type="dxa" w:w="1236"/>
          </w:tcPr>
          <w:p>
            <w:pPr>
              <w:spacing w:after="0"/>
              <w:jc w:val="center"/>
            </w:pPr>
            <w:r/>
            <w:r>
              <w:rPr>
                <w:color w:val="1A1A1A"/>
                <w:sz w:val="15"/>
              </w:rPr>
              <w:t>66/614 (10.7)</w:t>
            </w:r>
          </w:p>
        </w:tc>
        <w:tc>
          <w:tcPr>
            <w:tcW w:type="dxa" w:w="1236"/>
          </w:tcPr>
          <w:p>
            <w:pPr>
              <w:spacing w:after="0"/>
              <w:jc w:val="center"/>
            </w:pPr>
            <w:r/>
            <w:r>
              <w:rPr>
                <w:color w:val="1A1A1A"/>
                <w:sz w:val="15"/>
              </w:rPr>
              <w:t>19/141 (13.5)</w:t>
            </w:r>
          </w:p>
        </w:tc>
        <w:tc>
          <w:tcPr>
            <w:tcW w:type="dxa" w:w="1236"/>
          </w:tcPr>
          <w:p>
            <w:pPr>
              <w:spacing w:after="0"/>
              <w:jc w:val="center"/>
            </w:pPr>
            <w:r/>
            <w:r>
              <w:rPr>
                <w:color w:val="1A1A1A"/>
                <w:sz w:val="15"/>
              </w:rPr>
              <w:t>4/127 (3.1)</w:t>
            </w:r>
          </w:p>
        </w:tc>
        <w:tc>
          <w:tcPr>
            <w:tcW w:type="dxa" w:w="1236"/>
          </w:tcPr>
          <w:p>
            <w:pPr>
              <w:spacing w:after="0"/>
              <w:jc w:val="center"/>
            </w:pPr>
            <w:r/>
            <w:r>
              <w:rPr>
                <w:color w:val="1A1A1A"/>
                <w:sz w:val="15"/>
              </w:rPr>
            </w:r>
          </w:p>
        </w:tc>
        <w:tc>
          <w:tcPr>
            <w:tcW w:type="dxa" w:w="850"/>
          </w:tcPr>
          <w:p>
            <w:pPr>
              <w:spacing w:after="0"/>
              <w:jc w:val="center"/>
            </w:pPr>
            <w:r/>
            <w:r>
              <w:rPr>
                <w:color w:val="1A1A1A"/>
                <w:sz w:val="15"/>
              </w:rPr>
            </w:r>
          </w:p>
        </w:tc>
      </w:tr>
      <w:tr>
        <w:tc>
          <w:tcPr>
            <w:tcW w:type="dxa" w:w="2608"/>
          </w:tcPr>
          <w:p>
            <w:pPr>
              <w:spacing w:after="0"/>
              <w:ind w:left="198"/>
              <w:jc w:val="left"/>
            </w:pPr>
            <w:r/>
            <w:r>
              <w:rPr>
                <w:color w:val="1A1A1A"/>
                <w:sz w:val="15"/>
              </w:rPr>
              <w:t>public hospital OPD/ER</w:t>
            </w:r>
          </w:p>
        </w:tc>
        <w:tc>
          <w:tcPr>
            <w:tcW w:type="dxa" w:w="1236"/>
          </w:tcPr>
          <w:p>
            <w:pPr>
              <w:spacing w:after="0"/>
              <w:jc w:val="center"/>
            </w:pPr>
            <w:r/>
            <w:r>
              <w:rPr>
                <w:color w:val="1A1A1A"/>
                <w:sz w:val="15"/>
              </w:rPr>
              <w:t>108/627 (17.2)</w:t>
            </w:r>
          </w:p>
        </w:tc>
        <w:tc>
          <w:tcPr>
            <w:tcW w:type="dxa" w:w="1236"/>
          </w:tcPr>
          <w:p>
            <w:pPr>
              <w:spacing w:after="0"/>
              <w:jc w:val="center"/>
            </w:pPr>
            <w:r/>
            <w:r>
              <w:rPr>
                <w:color w:val="1A1A1A"/>
                <w:sz w:val="15"/>
              </w:rPr>
              <w:t>516/614 (84.0)</w:t>
            </w:r>
          </w:p>
        </w:tc>
        <w:tc>
          <w:tcPr>
            <w:tcW w:type="dxa" w:w="1236"/>
          </w:tcPr>
          <w:p>
            <w:pPr>
              <w:spacing w:after="0"/>
              <w:jc w:val="center"/>
            </w:pPr>
            <w:r/>
            <w:r>
              <w:rPr>
                <w:color w:val="1A1A1A"/>
                <w:sz w:val="15"/>
              </w:rPr>
              <w:t>10/141 (7.1)</w:t>
            </w:r>
          </w:p>
        </w:tc>
        <w:tc>
          <w:tcPr>
            <w:tcW w:type="dxa" w:w="1236"/>
          </w:tcPr>
          <w:p>
            <w:pPr>
              <w:spacing w:after="0"/>
              <w:jc w:val="center"/>
            </w:pPr>
            <w:r/>
            <w:r>
              <w:rPr>
                <w:color w:val="1A1A1A"/>
                <w:sz w:val="15"/>
              </w:rPr>
              <w:t>5/127 (3.9)</w:t>
            </w:r>
          </w:p>
        </w:tc>
        <w:tc>
          <w:tcPr>
            <w:tcW w:type="dxa" w:w="1236"/>
          </w:tcPr>
          <w:p>
            <w:pPr>
              <w:spacing w:after="0"/>
              <w:jc w:val="center"/>
            </w:pPr>
            <w:r/>
            <w:r>
              <w:rPr>
                <w:color w:val="1A1A1A"/>
                <w:sz w:val="15"/>
              </w:rPr>
            </w:r>
          </w:p>
        </w:tc>
        <w:tc>
          <w:tcPr>
            <w:tcW w:type="dxa" w:w="850"/>
          </w:tcPr>
          <w:p>
            <w:pPr>
              <w:spacing w:after="0"/>
              <w:jc w:val="center"/>
            </w:pPr>
            <w:r/>
            <w:r>
              <w:rPr>
                <w:color w:val="1A1A1A"/>
                <w:sz w:val="15"/>
              </w:rPr>
            </w:r>
          </w:p>
        </w:tc>
      </w:tr>
      <w:tr>
        <w:tc>
          <w:tcPr>
            <w:tcW w:type="dxa" w:w="2608"/>
          </w:tcPr>
          <w:p>
            <w:pPr>
              <w:spacing w:after="0"/>
              <w:ind w:left="198"/>
              <w:jc w:val="left"/>
            </w:pPr>
            <w:r/>
            <w:r>
              <w:rPr>
                <w:color w:val="1A1A1A"/>
                <w:sz w:val="15"/>
              </w:rPr>
              <w:t>private clinic/pharmacy</w:t>
            </w:r>
          </w:p>
        </w:tc>
        <w:tc>
          <w:tcPr>
            <w:tcW w:type="dxa" w:w="1236"/>
          </w:tcPr>
          <w:p>
            <w:pPr>
              <w:spacing w:after="0"/>
              <w:jc w:val="center"/>
            </w:pPr>
            <w:r/>
            <w:r>
              <w:rPr>
                <w:color w:val="1A1A1A"/>
                <w:sz w:val="15"/>
              </w:rPr>
              <w:t>38/627 (6.1)</w:t>
            </w:r>
          </w:p>
        </w:tc>
        <w:tc>
          <w:tcPr>
            <w:tcW w:type="dxa" w:w="1236"/>
          </w:tcPr>
          <w:p>
            <w:pPr>
              <w:spacing w:after="0"/>
              <w:jc w:val="center"/>
            </w:pPr>
            <w:r/>
            <w:r>
              <w:rPr>
                <w:color w:val="1A1A1A"/>
                <w:sz w:val="15"/>
              </w:rPr>
              <w:t>15/614 (2.4)</w:t>
            </w:r>
          </w:p>
        </w:tc>
        <w:tc>
          <w:tcPr>
            <w:tcW w:type="dxa" w:w="1236"/>
          </w:tcPr>
          <w:p>
            <w:pPr>
              <w:spacing w:after="0"/>
              <w:jc w:val="center"/>
            </w:pPr>
            <w:r/>
            <w:r>
              <w:rPr>
                <w:color w:val="1A1A1A"/>
                <w:sz w:val="15"/>
              </w:rPr>
              <w:t>91/141 (64.5)</w:t>
            </w:r>
          </w:p>
        </w:tc>
        <w:tc>
          <w:tcPr>
            <w:tcW w:type="dxa" w:w="1236"/>
          </w:tcPr>
          <w:p>
            <w:pPr>
              <w:spacing w:after="0"/>
              <w:jc w:val="center"/>
            </w:pPr>
            <w:r/>
            <w:r>
              <w:rPr>
                <w:color w:val="1A1A1A"/>
                <w:sz w:val="15"/>
              </w:rPr>
              <w:t>11/127 (8.7)</w:t>
            </w:r>
          </w:p>
        </w:tc>
        <w:tc>
          <w:tcPr>
            <w:tcW w:type="dxa" w:w="1236"/>
          </w:tcPr>
          <w:p>
            <w:pPr>
              <w:spacing w:after="0"/>
              <w:jc w:val="center"/>
            </w:pPr>
            <w:r/>
            <w:r>
              <w:rPr>
                <w:color w:val="1A1A1A"/>
                <w:sz w:val="15"/>
              </w:rPr>
            </w:r>
          </w:p>
        </w:tc>
        <w:tc>
          <w:tcPr>
            <w:tcW w:type="dxa" w:w="850"/>
          </w:tcPr>
          <w:p>
            <w:pPr>
              <w:spacing w:after="0"/>
              <w:jc w:val="center"/>
            </w:pPr>
            <w:r/>
            <w:r>
              <w:rPr>
                <w:color w:val="1A1A1A"/>
                <w:sz w:val="15"/>
              </w:rPr>
            </w:r>
          </w:p>
        </w:tc>
      </w:tr>
      <w:tr>
        <w:tc>
          <w:tcPr>
            <w:tcW w:type="dxa" w:w="2608"/>
          </w:tcPr>
          <w:p>
            <w:pPr>
              <w:spacing w:after="0"/>
              <w:ind w:left="198"/>
              <w:jc w:val="left"/>
            </w:pPr>
            <w:r/>
            <w:r>
              <w:rPr>
                <w:color w:val="1A1A1A"/>
                <w:sz w:val="15"/>
              </w:rPr>
              <w:t>private hospital OPD/ER</w:t>
            </w:r>
          </w:p>
        </w:tc>
        <w:tc>
          <w:tcPr>
            <w:tcW w:type="dxa" w:w="1236"/>
          </w:tcPr>
          <w:p>
            <w:pPr>
              <w:spacing w:after="0"/>
              <w:jc w:val="center"/>
            </w:pPr>
            <w:r/>
            <w:r>
              <w:rPr>
                <w:color w:val="1A1A1A"/>
                <w:sz w:val="15"/>
              </w:rPr>
              <w:t>11/627 (1.8)</w:t>
            </w:r>
          </w:p>
        </w:tc>
        <w:tc>
          <w:tcPr>
            <w:tcW w:type="dxa" w:w="1236"/>
          </w:tcPr>
          <w:p>
            <w:pPr>
              <w:spacing w:after="0"/>
              <w:jc w:val="center"/>
            </w:pPr>
            <w:r/>
            <w:r>
              <w:rPr>
                <w:color w:val="1A1A1A"/>
                <w:sz w:val="15"/>
              </w:rPr>
              <w:t>17/614 (2.8)</w:t>
            </w:r>
          </w:p>
        </w:tc>
        <w:tc>
          <w:tcPr>
            <w:tcW w:type="dxa" w:w="1236"/>
          </w:tcPr>
          <w:p>
            <w:pPr>
              <w:spacing w:after="0"/>
              <w:jc w:val="center"/>
            </w:pPr>
            <w:r/>
            <w:r>
              <w:rPr>
                <w:color w:val="1A1A1A"/>
                <w:sz w:val="15"/>
              </w:rPr>
              <w:t>21/141 (14.9)</w:t>
            </w:r>
          </w:p>
        </w:tc>
        <w:tc>
          <w:tcPr>
            <w:tcW w:type="dxa" w:w="1236"/>
          </w:tcPr>
          <w:p>
            <w:pPr>
              <w:spacing w:after="0"/>
              <w:jc w:val="center"/>
            </w:pPr>
            <w:r/>
            <w:r>
              <w:rPr>
                <w:color w:val="1A1A1A"/>
                <w:sz w:val="15"/>
              </w:rPr>
              <w:t>107/127 (84.3)</w:t>
            </w:r>
          </w:p>
        </w:tc>
        <w:tc>
          <w:tcPr>
            <w:tcW w:type="dxa" w:w="1236"/>
          </w:tcPr>
          <w:p>
            <w:pPr>
              <w:spacing w:after="0"/>
              <w:jc w:val="center"/>
            </w:pPr>
            <w:r/>
            <w:r>
              <w:rPr>
                <w:color w:val="1A1A1A"/>
                <w:sz w:val="15"/>
              </w:rPr>
            </w:r>
          </w:p>
        </w:tc>
        <w:tc>
          <w:tcPr>
            <w:tcW w:type="dxa" w:w="850"/>
          </w:tcPr>
          <w:p>
            <w:pPr>
              <w:spacing w:after="0"/>
              <w:jc w:val="center"/>
            </w:pPr>
            <w:r/>
            <w:r>
              <w:rPr>
                <w:color w:val="1A1A1A"/>
                <w:sz w:val="15"/>
              </w:rPr>
            </w:r>
          </w:p>
        </w:tc>
      </w:tr>
      <w:tr>
        <w:tc>
          <w:tcPr>
            <w:tcW w:type="dxa" w:w="2608"/>
          </w:tcPr>
          <w:p>
            <w:pPr>
              <w:spacing w:after="0"/>
              <w:jc w:val="left"/>
            </w:pPr>
            <w:r/>
            <w:r>
              <w:rPr>
                <w:color w:val="1A1A1A"/>
                <w:sz w:val="15"/>
              </w:rPr>
              <w:t>Reason for most recent visit (Q34)</w:t>
            </w:r>
          </w:p>
        </w:tc>
        <w:tc>
          <w:tcPr>
            <w:tcW w:type="dxa" w:w="1236"/>
          </w:tcPr>
          <w:p>
            <w:pPr>
              <w:spacing w:after="0"/>
              <w:jc w:val="center"/>
            </w:pPr>
            <w:r/>
            <w:r>
              <w:rPr>
                <w:color w:val="1A1A1A"/>
                <w:sz w:val="15"/>
              </w:rPr>
            </w:r>
          </w:p>
        </w:tc>
        <w:tc>
          <w:tcPr>
            <w:tcW w:type="dxa" w:w="1236"/>
          </w:tcPr>
          <w:p>
            <w:pPr>
              <w:spacing w:after="0"/>
              <w:jc w:val="center"/>
            </w:pPr>
            <w:r/>
            <w:r>
              <w:rPr>
                <w:color w:val="1A1A1A"/>
                <w:sz w:val="15"/>
              </w:rPr>
            </w:r>
          </w:p>
        </w:tc>
        <w:tc>
          <w:tcPr>
            <w:tcW w:type="dxa" w:w="1236"/>
          </w:tcPr>
          <w:p>
            <w:pPr>
              <w:spacing w:after="0"/>
              <w:jc w:val="center"/>
            </w:pPr>
            <w:r/>
            <w:r>
              <w:rPr>
                <w:color w:val="1A1A1A"/>
                <w:sz w:val="15"/>
              </w:rPr>
            </w:r>
          </w:p>
        </w:tc>
        <w:tc>
          <w:tcPr>
            <w:tcW w:type="dxa" w:w="1236"/>
          </w:tcPr>
          <w:p>
            <w:pPr>
              <w:spacing w:after="0"/>
              <w:jc w:val="center"/>
            </w:pPr>
            <w:r/>
            <w:r>
              <w:rPr>
                <w:color w:val="1A1A1A"/>
                <w:sz w:val="15"/>
              </w:rPr>
            </w:r>
          </w:p>
        </w:tc>
        <w:tc>
          <w:tcPr>
            <w:tcW w:type="dxa" w:w="1236"/>
          </w:tcPr>
          <w:p>
            <w:pPr>
              <w:spacing w:after="0"/>
              <w:jc w:val="center"/>
            </w:pPr>
            <w:r/>
            <w:r>
              <w:rPr>
                <w:color w:val="1A1A1A"/>
                <w:sz w:val="15"/>
              </w:rPr>
              <w:t>&lt;0.001</w:t>
            </w:r>
          </w:p>
        </w:tc>
        <w:tc>
          <w:tcPr>
            <w:tcW w:type="dxa" w:w="850"/>
          </w:tcPr>
          <w:p>
            <w:pPr>
              <w:spacing w:after="0"/>
              <w:jc w:val="center"/>
            </w:pPr>
            <w:r/>
            <w:r>
              <w:rPr>
                <w:color w:val="1A1A1A"/>
                <w:sz w:val="15"/>
              </w:rPr>
              <w:t>see rows below</w:t>
            </w:r>
          </w:p>
        </w:tc>
      </w:tr>
      <w:tr>
        <w:tc>
          <w:tcPr>
            <w:tcW w:type="dxa" w:w="2608"/>
          </w:tcPr>
          <w:p>
            <w:pPr>
              <w:spacing w:after="0"/>
              <w:ind w:left="198"/>
              <w:jc w:val="left"/>
            </w:pPr>
            <w:r/>
            <w:r>
              <w:rPr>
                <w:color w:val="1A1A1A"/>
                <w:sz w:val="15"/>
              </w:rPr>
              <w:t>check-up/prevention</w:t>
            </w:r>
          </w:p>
        </w:tc>
        <w:tc>
          <w:tcPr>
            <w:tcW w:type="dxa" w:w="1236"/>
          </w:tcPr>
          <w:p>
            <w:pPr>
              <w:spacing w:after="0"/>
              <w:jc w:val="center"/>
            </w:pPr>
            <w:r/>
            <w:r>
              <w:rPr>
                <w:color w:val="1A1A1A"/>
                <w:sz w:val="15"/>
              </w:rPr>
              <w:t>85/634 (13.4)</w:t>
            </w:r>
          </w:p>
        </w:tc>
        <w:tc>
          <w:tcPr>
            <w:tcW w:type="dxa" w:w="1236"/>
          </w:tcPr>
          <w:p>
            <w:pPr>
              <w:spacing w:after="0"/>
              <w:jc w:val="center"/>
            </w:pPr>
            <w:r/>
            <w:r>
              <w:rPr>
                <w:color w:val="1A1A1A"/>
                <w:sz w:val="15"/>
              </w:rPr>
              <w:t>57/615 (9.3)</w:t>
            </w:r>
          </w:p>
        </w:tc>
        <w:tc>
          <w:tcPr>
            <w:tcW w:type="dxa" w:w="1236"/>
          </w:tcPr>
          <w:p>
            <w:pPr>
              <w:spacing w:after="0"/>
              <w:jc w:val="center"/>
            </w:pPr>
            <w:r/>
            <w:r>
              <w:rPr>
                <w:color w:val="1A1A1A"/>
                <w:sz w:val="15"/>
              </w:rPr>
              <w:t>11/142 (7.7)</w:t>
            </w:r>
          </w:p>
        </w:tc>
        <w:tc>
          <w:tcPr>
            <w:tcW w:type="dxa" w:w="1236"/>
          </w:tcPr>
          <w:p>
            <w:pPr>
              <w:spacing w:after="0"/>
              <w:jc w:val="center"/>
            </w:pPr>
            <w:r/>
            <w:r>
              <w:rPr>
                <w:color w:val="1A1A1A"/>
                <w:sz w:val="15"/>
              </w:rPr>
              <w:t>17/127 (13.4)</w:t>
            </w:r>
          </w:p>
        </w:tc>
        <w:tc>
          <w:tcPr>
            <w:tcW w:type="dxa" w:w="1236"/>
          </w:tcPr>
          <w:p>
            <w:pPr>
              <w:spacing w:after="0"/>
              <w:jc w:val="center"/>
            </w:pPr>
            <w:r/>
            <w:r>
              <w:rPr>
                <w:color w:val="1A1A1A"/>
                <w:sz w:val="15"/>
              </w:rPr>
            </w:r>
          </w:p>
        </w:tc>
        <w:tc>
          <w:tcPr>
            <w:tcW w:type="dxa" w:w="850"/>
          </w:tcPr>
          <w:p>
            <w:pPr>
              <w:spacing w:after="0"/>
              <w:jc w:val="center"/>
            </w:pPr>
            <w:r/>
            <w:r>
              <w:rPr>
                <w:color w:val="1A1A1A"/>
                <w:sz w:val="15"/>
              </w:rPr>
            </w:r>
          </w:p>
        </w:tc>
      </w:tr>
      <w:tr>
        <w:tc>
          <w:tcPr>
            <w:tcW w:type="dxa" w:w="2608"/>
          </w:tcPr>
          <w:p>
            <w:pPr>
              <w:spacing w:after="0"/>
              <w:ind w:left="198"/>
              <w:jc w:val="left"/>
            </w:pPr>
            <w:r/>
            <w:r>
              <w:rPr>
                <w:color w:val="1A1A1A"/>
                <w:sz w:val="15"/>
              </w:rPr>
              <w:t>chronic follow-up</w:t>
            </w:r>
          </w:p>
        </w:tc>
        <w:tc>
          <w:tcPr>
            <w:tcW w:type="dxa" w:w="1236"/>
          </w:tcPr>
          <w:p>
            <w:pPr>
              <w:spacing w:after="0"/>
              <w:jc w:val="center"/>
            </w:pPr>
            <w:r/>
            <w:r>
              <w:rPr>
                <w:color w:val="1A1A1A"/>
                <w:sz w:val="15"/>
              </w:rPr>
              <w:t>193/634 (30.4)</w:t>
            </w:r>
          </w:p>
        </w:tc>
        <w:tc>
          <w:tcPr>
            <w:tcW w:type="dxa" w:w="1236"/>
          </w:tcPr>
          <w:p>
            <w:pPr>
              <w:spacing w:after="0"/>
              <w:jc w:val="center"/>
            </w:pPr>
            <w:r/>
            <w:r>
              <w:rPr>
                <w:color w:val="1A1A1A"/>
                <w:sz w:val="15"/>
              </w:rPr>
              <w:t>244/615 (39.7)</w:t>
            </w:r>
          </w:p>
        </w:tc>
        <w:tc>
          <w:tcPr>
            <w:tcW w:type="dxa" w:w="1236"/>
          </w:tcPr>
          <w:p>
            <w:pPr>
              <w:spacing w:after="0"/>
              <w:jc w:val="center"/>
            </w:pPr>
            <w:r/>
            <w:r>
              <w:rPr>
                <w:color w:val="1A1A1A"/>
                <w:sz w:val="15"/>
              </w:rPr>
              <w:t>18/142 (12.7)</w:t>
            </w:r>
          </w:p>
        </w:tc>
        <w:tc>
          <w:tcPr>
            <w:tcW w:type="dxa" w:w="1236"/>
          </w:tcPr>
          <w:p>
            <w:pPr>
              <w:spacing w:after="0"/>
              <w:jc w:val="center"/>
            </w:pPr>
            <w:r/>
            <w:r>
              <w:rPr>
                <w:color w:val="1A1A1A"/>
                <w:sz w:val="15"/>
              </w:rPr>
              <w:t>34/127 (26.8)</w:t>
            </w:r>
          </w:p>
        </w:tc>
        <w:tc>
          <w:tcPr>
            <w:tcW w:type="dxa" w:w="1236"/>
          </w:tcPr>
          <w:p>
            <w:pPr>
              <w:spacing w:after="0"/>
              <w:jc w:val="center"/>
            </w:pPr>
            <w:r/>
            <w:r>
              <w:rPr>
                <w:color w:val="1A1A1A"/>
                <w:sz w:val="15"/>
              </w:rPr>
            </w:r>
          </w:p>
        </w:tc>
        <w:tc>
          <w:tcPr>
            <w:tcW w:type="dxa" w:w="850"/>
          </w:tcPr>
          <w:p>
            <w:pPr>
              <w:spacing w:after="0"/>
              <w:jc w:val="center"/>
            </w:pPr>
            <w:r/>
            <w:r>
              <w:rPr>
                <w:color w:val="1A1A1A"/>
                <w:sz w:val="15"/>
              </w:rPr>
            </w:r>
          </w:p>
        </w:tc>
      </w:tr>
      <w:tr>
        <w:tc>
          <w:tcPr>
            <w:tcW w:type="dxa" w:w="2608"/>
          </w:tcPr>
          <w:p>
            <w:pPr>
              <w:spacing w:after="0"/>
              <w:ind w:left="198"/>
              <w:jc w:val="left"/>
            </w:pPr>
            <w:r/>
            <w:r>
              <w:rPr>
                <w:color w:val="1A1A1A"/>
                <w:sz w:val="15"/>
              </w:rPr>
              <w:t>new/urgent problem</w:t>
            </w:r>
          </w:p>
        </w:tc>
        <w:tc>
          <w:tcPr>
            <w:tcW w:type="dxa" w:w="1236"/>
          </w:tcPr>
          <w:p>
            <w:pPr>
              <w:spacing w:after="0"/>
              <w:jc w:val="center"/>
            </w:pPr>
            <w:r/>
            <w:r>
              <w:rPr>
                <w:color w:val="1A1A1A"/>
                <w:sz w:val="15"/>
              </w:rPr>
              <w:t>335/634 (52.8)</w:t>
            </w:r>
          </w:p>
        </w:tc>
        <w:tc>
          <w:tcPr>
            <w:tcW w:type="dxa" w:w="1236"/>
          </w:tcPr>
          <w:p>
            <w:pPr>
              <w:spacing w:after="0"/>
              <w:jc w:val="center"/>
            </w:pPr>
            <w:r/>
            <w:r>
              <w:rPr>
                <w:color w:val="1A1A1A"/>
                <w:sz w:val="15"/>
              </w:rPr>
              <w:t>290/615 (47.2)</w:t>
            </w:r>
          </w:p>
        </w:tc>
        <w:tc>
          <w:tcPr>
            <w:tcW w:type="dxa" w:w="1236"/>
          </w:tcPr>
          <w:p>
            <w:pPr>
              <w:spacing w:after="0"/>
              <w:jc w:val="center"/>
            </w:pPr>
            <w:r/>
            <w:r>
              <w:rPr>
                <w:color w:val="1A1A1A"/>
                <w:sz w:val="15"/>
              </w:rPr>
              <w:t>102/142 (71.8)</w:t>
            </w:r>
          </w:p>
        </w:tc>
        <w:tc>
          <w:tcPr>
            <w:tcW w:type="dxa" w:w="1236"/>
          </w:tcPr>
          <w:p>
            <w:pPr>
              <w:spacing w:after="0"/>
              <w:jc w:val="center"/>
            </w:pPr>
            <w:r/>
            <w:r>
              <w:rPr>
                <w:color w:val="1A1A1A"/>
                <w:sz w:val="15"/>
              </w:rPr>
              <w:t>75/127 (59.1)</w:t>
            </w:r>
          </w:p>
        </w:tc>
        <w:tc>
          <w:tcPr>
            <w:tcW w:type="dxa" w:w="1236"/>
          </w:tcPr>
          <w:p>
            <w:pPr>
              <w:spacing w:after="0"/>
              <w:jc w:val="center"/>
            </w:pPr>
            <w:r/>
            <w:r>
              <w:rPr>
                <w:color w:val="1A1A1A"/>
                <w:sz w:val="15"/>
              </w:rPr>
            </w:r>
          </w:p>
        </w:tc>
        <w:tc>
          <w:tcPr>
            <w:tcW w:type="dxa" w:w="850"/>
          </w:tcPr>
          <w:p>
            <w:pPr>
              <w:spacing w:after="0"/>
              <w:jc w:val="center"/>
            </w:pPr>
            <w:r/>
            <w:r>
              <w:rPr>
                <w:color w:val="1A1A1A"/>
                <w:sz w:val="15"/>
              </w:rPr>
            </w:r>
          </w:p>
        </w:tc>
      </w:tr>
      <w:tr>
        <w:tc>
          <w:tcPr>
            <w:tcW w:type="dxa" w:w="2608"/>
          </w:tcPr>
          <w:p>
            <w:pPr>
              <w:spacing w:after="0"/>
              <w:ind w:left="198"/>
              <w:jc w:val="left"/>
            </w:pPr>
            <w:r/>
            <w:r>
              <w:rPr>
                <w:color w:val="1A1A1A"/>
                <w:sz w:val="15"/>
              </w:rPr>
              <w:t>other</w:t>
            </w:r>
          </w:p>
        </w:tc>
        <w:tc>
          <w:tcPr>
            <w:tcW w:type="dxa" w:w="1236"/>
          </w:tcPr>
          <w:p>
            <w:pPr>
              <w:spacing w:after="0"/>
              <w:jc w:val="center"/>
            </w:pPr>
            <w:r/>
            <w:r>
              <w:rPr>
                <w:color w:val="1A1A1A"/>
                <w:sz w:val="15"/>
              </w:rPr>
              <w:t>21/634 (3.3)</w:t>
            </w:r>
          </w:p>
        </w:tc>
        <w:tc>
          <w:tcPr>
            <w:tcW w:type="dxa" w:w="1236"/>
          </w:tcPr>
          <w:p>
            <w:pPr>
              <w:spacing w:after="0"/>
              <w:jc w:val="center"/>
            </w:pPr>
            <w:r/>
            <w:r>
              <w:rPr>
                <w:color w:val="1A1A1A"/>
                <w:sz w:val="15"/>
              </w:rPr>
              <w:t>24/615 (3.9)</w:t>
            </w:r>
          </w:p>
        </w:tc>
        <w:tc>
          <w:tcPr>
            <w:tcW w:type="dxa" w:w="1236"/>
          </w:tcPr>
          <w:p>
            <w:pPr>
              <w:spacing w:after="0"/>
              <w:jc w:val="center"/>
            </w:pPr>
            <w:r/>
            <w:r>
              <w:rPr>
                <w:color w:val="1A1A1A"/>
                <w:sz w:val="15"/>
              </w:rPr>
              <w:t>11/142 (7.7)</w:t>
            </w:r>
          </w:p>
        </w:tc>
        <w:tc>
          <w:tcPr>
            <w:tcW w:type="dxa" w:w="1236"/>
          </w:tcPr>
          <w:p>
            <w:pPr>
              <w:spacing w:after="0"/>
              <w:jc w:val="center"/>
            </w:pPr>
            <w:r/>
            <w:r>
              <w:rPr>
                <w:color w:val="1A1A1A"/>
                <w:sz w:val="15"/>
              </w:rPr>
              <w:t>1/127 (0.8)</w:t>
            </w:r>
          </w:p>
        </w:tc>
        <w:tc>
          <w:tcPr>
            <w:tcW w:type="dxa" w:w="1236"/>
          </w:tcPr>
          <w:p>
            <w:pPr>
              <w:spacing w:after="0"/>
              <w:jc w:val="center"/>
            </w:pPr>
            <w:r/>
            <w:r>
              <w:rPr>
                <w:color w:val="1A1A1A"/>
                <w:sz w:val="15"/>
              </w:rPr>
            </w:r>
          </w:p>
        </w:tc>
        <w:tc>
          <w:tcPr>
            <w:tcW w:type="dxa" w:w="850"/>
          </w:tcPr>
          <w:p>
            <w:pPr>
              <w:spacing w:after="0"/>
              <w:jc w:val="center"/>
            </w:pPr>
            <w:r/>
            <w:r>
              <w:rPr>
                <w:color w:val="1A1A1A"/>
                <w:sz w:val="15"/>
              </w:rPr>
            </w:r>
          </w:p>
        </w:tc>
      </w:tr>
    </w:tbl>
    <w:p>
      <w:r>
        <w:br w:type="page"/>
      </w:r>
    </w:p>
    <w:p>
      <w:pPr>
        <w:pStyle w:val="Heading2"/>
        <w:spacing w:before="280" w:after="100"/>
      </w:pPr>
      <w:r>
        <w:rPr>
          <w:rFonts w:ascii="Calibri" w:hAnsi="Calibri"/>
          <w:b/>
          <w:color w:val="1A1A1A"/>
          <w:sz w:val="25"/>
        </w:rPr>
        <w:t>3.1 Preventive and screening services</w:t>
      </w:r>
    </w:p>
    <w:p>
      <w:pPr>
        <w:spacing w:after="140"/>
        <w:jc w:val="both"/>
      </w:pPr>
      <w:r>
        <w:rPr>
          <w:b w:val="0"/>
          <w:i w:val="0"/>
          <w:color w:val="1A1A1A"/>
          <w:sz w:val="21"/>
        </w:rPr>
        <w:t>This comparison was missing from the earlier analysis, which compared respondents who have a usual source of care with those who do not — a different question. Asked directly, the answer is a null result that matters.</w:t>
      </w:r>
    </w:p>
    <w:p>
      <w:pPr>
        <w:spacing w:after="140"/>
        <w:jc w:val="both"/>
      </w:pPr>
      <w:r>
        <w:rPr>
          <w:b w:val="0"/>
          <w:i w:val="0"/>
          <w:color w:val="1A1A1A"/>
          <w:sz w:val="21"/>
        </w:rPr>
        <w:t>After adjustment and multiplicity control, private-hospital users do not differ from public hospital users on any of the eight items: every Benjamini–Hochberg adjusted p-value exceeds 0.4. Blood pressure, blood sugar, lipids, dental, vision, mental-health service receipt, breast examination and cervical screening are all statistically indistinguishable between the two hospital-based groups.</w:t>
      </w:r>
    </w:p>
    <w:p>
      <w:pPr>
        <w:spacing w:after="140"/>
        <w:jc w:val="both"/>
      </w:pPr>
      <w:r>
        <w:rPr>
          <w:b w:val="0"/>
          <w:i w:val="0"/>
          <w:color w:val="1A1A1A"/>
          <w:sz w:val="21"/>
        </w:rPr>
        <w:t>The one robust difference sits elsewhere. Private clinic and pharmacy users report less blood-pressure measurement (aOR 0.15, 0.04–0.48; −11.2 pp), and splitting that group shows the deficit is entirely a pharmacy phenomenon: 70.0% among pharmacy users against 97.6% among private-clinic users and 96.9% among private-hospital users. The same pattern appears for blood sugar (30.0% against 59.8%) and lipids (28.3% against 53.7%). Combining clinics with pharmacies into one "private primary" category obscures this, and the two should be reported separately.</w:t>
      </w:r>
    </w:p>
    <w:p>
      <w:pPr>
        <w:spacing w:after="140"/>
        <w:jc w:val="both"/>
      </w:pPr>
      <w:r>
        <w:rPr>
          <w:b w:val="0"/>
          <w:i w:val="0"/>
          <w:color w:val="1A1A1A"/>
          <w:sz w:val="21"/>
        </w:rPr>
        <w:t>Respondents with no usual source of care at all sit below every group — blood pressure 66.4%, blood sugar 43.6%, lipids 39.3% — which is the contrast the Thai report’s existing analysis captures.</w:t>
      </w:r>
    </w:p>
    <w:p>
      <w:pPr>
        <w:spacing w:after="140"/>
        <w:jc w:val="both"/>
      </w:pPr>
      <w:r>
        <w:rPr>
          <w:b w:val="0"/>
          <w:i/>
          <w:color w:val="606060"/>
          <w:sz w:val="20"/>
        </w:rPr>
        <w:t>Two constraints govern how far this can be read. Q27 carries no recall period in the fielded instrument, so these are lifetime reports rather than 12-month rates; and the questionnaire never records where a service was delivered. Every row should be read as "respondents with this usual source reported higher or lower receipt" — not that the provider delivered it, and not that private provision caused uptake. Blood-pressure measurement is near-universal in three of four groups and the full model did not converge; a simplified specification is reported and labelled rather than forcing an estimate.</w:t>
      </w:r>
    </w:p>
    <w:p>
      <w:pPr>
        <w:spacing w:before="160" w:after="60"/>
        <w:jc w:val="center"/>
      </w:pPr>
      <w:r>
        <w:drawing>
          <wp:inline xmlns:a="http://schemas.openxmlformats.org/drawingml/2006/main" xmlns:pic="http://schemas.openxmlformats.org/drawingml/2006/picture">
            <wp:extent cx="5976000" cy="3964735"/>
            <wp:docPr id="4" name="Picture 4"/>
            <wp:cNvGraphicFramePr>
              <a:graphicFrameLocks noChangeAspect="1"/>
            </wp:cNvGraphicFramePr>
            <a:graphic>
              <a:graphicData uri="http://schemas.openxmlformats.org/drawingml/2006/picture">
                <pic:pic>
                  <pic:nvPicPr>
                    <pic:cNvPr id="0" name="Figure 4 - Preventive services by provider group.png"/>
                    <pic:cNvPicPr/>
                  </pic:nvPicPr>
                  <pic:blipFill>
                    <a:blip r:embed="rId12"/>
                    <a:stretch>
                      <a:fillRect/>
                    </a:stretch>
                  </pic:blipFill>
                  <pic:spPr>
                    <a:xfrm>
                      <a:off x="0" y="0"/>
                      <a:ext cx="5976000" cy="3964735"/>
                    </a:xfrm>
                    <a:prstGeom prst="rect"/>
                  </pic:spPr>
                </pic:pic>
              </a:graphicData>
            </a:graphic>
          </wp:inline>
        </w:drawing>
      </w:r>
    </w:p>
    <w:p>
      <w:pPr>
        <w:spacing w:before="200" w:after="60"/>
      </w:pPr>
      <w:r>
        <w:rPr>
          <w:b/>
          <w:color w:val="1A1A1A"/>
          <w:sz w:val="19"/>
        </w:rPr>
        <w:t xml:space="preserve">Figure 4.  </w:t>
      </w:r>
      <w:r>
        <w:rPr>
          <w:color w:val="1A1A1A"/>
          <w:sz w:val="19"/>
        </w:rPr>
        <w:t>Preventive and screening services received, by usual source of care.</w:t>
      </w:r>
    </w:p>
    <w:p>
      <w:pPr>
        <w:spacing w:before="40" w:after="220"/>
      </w:pPr>
      <w:r>
        <w:rPr>
          <w:i/>
          <w:color w:val="606060"/>
          <w:sz w:val="16"/>
        </w:rPr>
        <w:t>Bars show the percentage with a 95% Wilson interval. Breast examination and cervical screening are reported over women only and appear in Table 5 rather than here.</w:t>
      </w:r>
    </w:p>
    <w:p>
      <w:pPr>
        <w:spacing w:before="200" w:after="60"/>
      </w:pPr>
      <w:r>
        <w:rPr>
          <w:b/>
          <w:color w:val="1A1A1A"/>
          <w:sz w:val="19"/>
        </w:rPr>
        <w:t xml:space="preserve">Table 5.  </w:t>
      </w:r>
      <w:r>
        <w:rPr>
          <w:color w:val="1A1A1A"/>
          <w:sz w:val="19"/>
        </w:rPr>
        <w:t>Adjusted odds of receiving each service, reference public hospital OPD/ER.</w:t>
      </w:r>
    </w:p>
    <w:p>
      <w:pPr>
        <w:spacing w:before="40" w:after="220"/>
      </w:pPr>
      <w:r>
        <w:rPr>
          <w:i/>
          <w:color w:val="606060"/>
          <w:sz w:val="16"/>
        </w:rPr>
        <w:t>Adjusted for age band, sex, education, income, municipality, coverage scheme, self-rated health and chronic illness, with cluster-robust standard errors. Breast and cervical screening are restricted to women and drop sex from the covariate set. "Diff (pp)" is the difference in average predicted probability — the quantity to read for magnitude. Bold marks BH-adjusted p &lt; 0.05.</w:t>
      </w:r>
    </w:p>
    <w:tbl>
      <w:tblPr>
        <w:tblW w:type="auto" w:w="0"/>
        <w:jc w:val="center"/>
        <w:tblLayout w:type="fixed"/>
        <w:tblLook w:firstColumn="1" w:firstRow="1" w:lastColumn="0" w:lastRow="0" w:noHBand="0" w:noVBand="1" w:val="04A0"/>
        <w:tblBorders>
          <w:top w:val="single" w:sz="8" w:color="808080"/>
          <w:bottom w:val="single" w:sz="8" w:color="808080"/>
          <w:insideH w:val="single" w:sz="4" w:color="D8D8D8"/>
          <w:left w:val="none"/>
          <w:right w:val="none"/>
          <w:insideV w:val="none"/>
        </w:tblBorders>
        <w:tblLayout w:type="fixed"/>
      </w:tblPr>
      <w:tblGrid>
        <w:gridCol w:w="1205"/>
        <w:gridCol w:w="1205"/>
        <w:gridCol w:w="1205"/>
        <w:gridCol w:w="1205"/>
        <w:gridCol w:w="1205"/>
        <w:gridCol w:w="1205"/>
        <w:gridCol w:w="1205"/>
        <w:gridCol w:w="1205"/>
      </w:tblGrid>
      <w:tr>
        <w:tc>
          <w:tcPr>
            <w:tcW w:type="dxa" w:w="2381"/>
            <w:shd w:val="clear" w:fill="F2F2F0"/>
          </w:tcPr>
          <w:p>
            <w:pPr>
              <w:spacing w:after="0"/>
              <w:jc w:val="left"/>
            </w:pPr>
            <w:r/>
            <w:r>
              <w:rPr>
                <w:b/>
                <w:color w:val="1A1A1A"/>
                <w:sz w:val="14"/>
              </w:rPr>
              <w:t>Outcome</w:t>
            </w:r>
          </w:p>
        </w:tc>
        <w:tc>
          <w:tcPr>
            <w:tcW w:type="dxa" w:w="1087"/>
            <w:shd w:val="clear" w:fill="F2F2F0"/>
          </w:tcPr>
          <w:p>
            <w:pPr>
              <w:spacing w:after="0"/>
              <w:jc w:val="center"/>
            </w:pPr>
            <w:r/>
            <w:r>
              <w:rPr>
                <w:b/>
                <w:color w:val="1A1A1A"/>
                <w:sz w:val="14"/>
              </w:rPr>
              <w:t>Group</w:t>
            </w:r>
          </w:p>
        </w:tc>
        <w:tc>
          <w:tcPr>
            <w:tcW w:type="dxa" w:w="1087"/>
            <w:shd w:val="clear" w:fill="F2F2F0"/>
          </w:tcPr>
          <w:p>
            <w:pPr>
              <w:spacing w:after="0"/>
              <w:jc w:val="center"/>
            </w:pPr>
            <w:r/>
            <w:r>
              <w:rPr>
                <w:b/>
                <w:color w:val="1A1A1A"/>
                <w:sz w:val="14"/>
              </w:rPr>
              <w:t>aOR (95% CI)</w:t>
            </w:r>
          </w:p>
        </w:tc>
        <w:tc>
          <w:tcPr>
            <w:tcW w:type="dxa" w:w="1087"/>
            <w:shd w:val="clear" w:fill="F2F2F0"/>
          </w:tcPr>
          <w:p>
            <w:pPr>
              <w:spacing w:after="0"/>
              <w:jc w:val="center"/>
            </w:pPr>
            <w:r/>
            <w:r>
              <w:rPr>
                <w:b/>
                <w:color w:val="1A1A1A"/>
                <w:sz w:val="14"/>
              </w:rPr>
              <w:t>p</w:t>
            </w:r>
          </w:p>
        </w:tc>
        <w:tc>
          <w:tcPr>
            <w:tcW w:type="dxa" w:w="1087"/>
            <w:shd w:val="clear" w:fill="F2F2F0"/>
          </w:tcPr>
          <w:p>
            <w:pPr>
              <w:spacing w:after="0"/>
              <w:jc w:val="center"/>
            </w:pPr>
            <w:r/>
            <w:r>
              <w:rPr>
                <w:b/>
                <w:color w:val="1A1A1A"/>
                <w:sz w:val="14"/>
              </w:rPr>
              <w:t>p (BH within family)</w:t>
            </w:r>
          </w:p>
        </w:tc>
        <w:tc>
          <w:tcPr>
            <w:tcW w:type="dxa" w:w="1087"/>
            <w:shd w:val="clear" w:fill="F2F2F0"/>
          </w:tcPr>
          <w:p>
            <w:pPr>
              <w:spacing w:after="0"/>
              <w:jc w:val="center"/>
            </w:pPr>
            <w:r/>
            <w:r>
              <w:rPr>
                <w:b/>
                <w:color w:val="1A1A1A"/>
                <w:sz w:val="14"/>
              </w:rPr>
              <w:t>Diff (pp)</w:t>
            </w:r>
          </w:p>
        </w:tc>
        <w:tc>
          <w:tcPr>
            <w:tcW w:type="dxa" w:w="1087"/>
            <w:shd w:val="clear" w:fill="F2F2F0"/>
          </w:tcPr>
          <w:p>
            <w:pPr>
              <w:spacing w:after="0"/>
              <w:jc w:val="center"/>
            </w:pPr>
            <w:r/>
            <w:r>
              <w:rPr>
                <w:b/>
                <w:color w:val="1A1A1A"/>
                <w:sz w:val="14"/>
              </w:rPr>
              <w:t>events</w:t>
            </w:r>
          </w:p>
        </w:tc>
        <w:tc>
          <w:tcPr>
            <w:tcW w:type="dxa" w:w="737"/>
            <w:shd w:val="clear" w:fill="F2F2F0"/>
          </w:tcPr>
          <w:p>
            <w:pPr>
              <w:spacing w:after="0"/>
              <w:jc w:val="center"/>
            </w:pPr>
            <w:r/>
            <w:r>
              <w:rPr>
                <w:b/>
                <w:color w:val="1A1A1A"/>
                <w:sz w:val="14"/>
              </w:rPr>
              <w:t>group n</w:t>
            </w:r>
          </w:p>
        </w:tc>
      </w:tr>
      <w:tr>
        <w:tc>
          <w:tcPr>
            <w:tcW w:type="dxa" w:w="2381"/>
          </w:tcPr>
          <w:p>
            <w:pPr>
              <w:spacing w:after="0"/>
              <w:jc w:val="left"/>
            </w:pPr>
            <w:r/>
            <w:r>
              <w:rPr>
                <w:color w:val="1A1A1A"/>
                <w:sz w:val="14"/>
              </w:rPr>
              <w:t>Blood pressure measured (Q27A)</w:t>
            </w:r>
          </w:p>
        </w:tc>
        <w:tc>
          <w:tcPr>
            <w:tcW w:type="dxa" w:w="1087"/>
          </w:tcPr>
          <w:p>
            <w:pPr>
              <w:spacing w:after="0"/>
              <w:jc w:val="center"/>
            </w:pPr>
            <w:r/>
            <w:r>
              <w:rPr>
                <w:color w:val="1A1A1A"/>
                <w:sz w:val="14"/>
              </w:rPr>
              <w:t>public primary care</w:t>
            </w:r>
          </w:p>
        </w:tc>
        <w:tc>
          <w:tcPr>
            <w:tcW w:type="dxa" w:w="1087"/>
          </w:tcPr>
          <w:p>
            <w:pPr>
              <w:spacing w:after="0"/>
              <w:jc w:val="center"/>
            </w:pPr>
            <w:r/>
            <w:r>
              <w:rPr>
                <w:color w:val="1A1A1A"/>
                <w:sz w:val="14"/>
              </w:rPr>
              <w:t>1.66 (0.51–5.39)</w:t>
            </w:r>
          </w:p>
        </w:tc>
        <w:tc>
          <w:tcPr>
            <w:tcW w:type="dxa" w:w="1087"/>
          </w:tcPr>
          <w:p>
            <w:pPr>
              <w:spacing w:after="0"/>
              <w:jc w:val="center"/>
            </w:pPr>
            <w:r/>
            <w:r>
              <w:rPr>
                <w:color w:val="1A1A1A"/>
                <w:sz w:val="14"/>
              </w:rPr>
              <w:t>0.401</w:t>
            </w:r>
          </w:p>
        </w:tc>
        <w:tc>
          <w:tcPr>
            <w:tcW w:type="dxa" w:w="1087"/>
          </w:tcPr>
          <w:p>
            <w:pPr>
              <w:spacing w:after="0"/>
              <w:jc w:val="center"/>
            </w:pPr>
            <w:r/>
            <w:r>
              <w:rPr>
                <w:color w:val="1A1A1A"/>
                <w:sz w:val="14"/>
              </w:rPr>
              <w:t>0.743</w:t>
            </w:r>
          </w:p>
        </w:tc>
        <w:tc>
          <w:tcPr>
            <w:tcW w:type="dxa" w:w="1087"/>
          </w:tcPr>
          <w:p>
            <w:pPr>
              <w:spacing w:after="0"/>
              <w:jc w:val="center"/>
            </w:pPr>
            <w:r/>
            <w:r>
              <w:rPr>
                <w:color w:val="1A1A1A"/>
                <w:sz w:val="14"/>
              </w:rPr>
              <w:t>0.9</w:t>
            </w:r>
          </w:p>
        </w:tc>
        <w:tc>
          <w:tcPr>
            <w:tcW w:type="dxa" w:w="1087"/>
          </w:tcPr>
          <w:p>
            <w:pPr>
              <w:spacing w:after="0"/>
              <w:jc w:val="center"/>
            </w:pPr>
            <w:r/>
            <w:r>
              <w:rPr>
                <w:color w:val="1A1A1A"/>
                <w:sz w:val="14"/>
              </w:rPr>
              <w:t>616</w:t>
            </w:r>
          </w:p>
        </w:tc>
        <w:tc>
          <w:tcPr>
            <w:tcW w:type="dxa" w:w="737"/>
          </w:tcPr>
          <w:p>
            <w:pPr>
              <w:spacing w:after="0"/>
              <w:jc w:val="center"/>
            </w:pPr>
            <w:r/>
            <w:r>
              <w:rPr>
                <w:color w:val="1A1A1A"/>
                <w:sz w:val="14"/>
              </w:rPr>
              <w:t>625</w:t>
            </w:r>
          </w:p>
        </w:tc>
      </w:tr>
      <w:tr>
        <w:tc>
          <w:tcPr>
            <w:tcW w:type="dxa" w:w="2381"/>
          </w:tcPr>
          <w:p>
            <w:pPr>
              <w:spacing w:after="0"/>
              <w:jc w:val="left"/>
            </w:pPr>
            <w:r/>
            <w:r>
              <w:rPr>
                <w:color w:val="1A1A1A"/>
                <w:sz w:val="14"/>
              </w:rPr>
              <w:t>Blood pressure measured (Q27A)</w:t>
            </w:r>
          </w:p>
        </w:tc>
        <w:tc>
          <w:tcPr>
            <w:tcW w:type="dxa" w:w="1087"/>
          </w:tcPr>
          <w:p>
            <w:pPr>
              <w:spacing w:after="0"/>
              <w:jc w:val="center"/>
            </w:pPr>
            <w:r/>
            <w:r>
              <w:rPr>
                <w:b/>
                <w:color w:val="A8400C"/>
                <w:sz w:val="14"/>
              </w:rPr>
              <w:t>private clinic/pharmacy</w:t>
            </w:r>
          </w:p>
        </w:tc>
        <w:tc>
          <w:tcPr>
            <w:tcW w:type="dxa" w:w="1087"/>
          </w:tcPr>
          <w:p>
            <w:pPr>
              <w:spacing w:after="0"/>
              <w:jc w:val="center"/>
            </w:pPr>
            <w:r/>
            <w:r>
              <w:rPr>
                <w:b/>
                <w:color w:val="A8400C"/>
                <w:sz w:val="14"/>
              </w:rPr>
              <w:t>0.15 (0.04–0.48)</w:t>
            </w:r>
          </w:p>
        </w:tc>
        <w:tc>
          <w:tcPr>
            <w:tcW w:type="dxa" w:w="1087"/>
          </w:tcPr>
          <w:p>
            <w:pPr>
              <w:spacing w:after="0"/>
              <w:jc w:val="center"/>
            </w:pPr>
            <w:r/>
            <w:r>
              <w:rPr>
                <w:b/>
                <w:color w:val="A8400C"/>
                <w:sz w:val="14"/>
              </w:rPr>
              <w:t>0.002</w:t>
            </w:r>
          </w:p>
        </w:tc>
        <w:tc>
          <w:tcPr>
            <w:tcW w:type="dxa" w:w="1087"/>
          </w:tcPr>
          <w:p>
            <w:pPr>
              <w:spacing w:after="0"/>
              <w:jc w:val="center"/>
            </w:pPr>
            <w:r/>
            <w:r>
              <w:rPr>
                <w:b/>
                <w:color w:val="A8400C"/>
                <w:sz w:val="14"/>
              </w:rPr>
              <w:t>0.029</w:t>
            </w:r>
          </w:p>
        </w:tc>
        <w:tc>
          <w:tcPr>
            <w:tcW w:type="dxa" w:w="1087"/>
          </w:tcPr>
          <w:p>
            <w:pPr>
              <w:spacing w:after="0"/>
              <w:jc w:val="center"/>
            </w:pPr>
            <w:r/>
            <w:r>
              <w:rPr>
                <w:b/>
                <w:color w:val="A8400C"/>
                <w:sz w:val="14"/>
              </w:rPr>
              <w:t>-11.224</w:t>
            </w:r>
          </w:p>
        </w:tc>
        <w:tc>
          <w:tcPr>
            <w:tcW w:type="dxa" w:w="1087"/>
          </w:tcPr>
          <w:p>
            <w:pPr>
              <w:spacing w:after="0"/>
              <w:jc w:val="center"/>
            </w:pPr>
            <w:r/>
            <w:r>
              <w:rPr>
                <w:b/>
                <w:color w:val="A8400C"/>
                <w:sz w:val="14"/>
              </w:rPr>
              <w:t>121</w:t>
            </w:r>
          </w:p>
        </w:tc>
        <w:tc>
          <w:tcPr>
            <w:tcW w:type="dxa" w:w="737"/>
          </w:tcPr>
          <w:p>
            <w:pPr>
              <w:spacing w:after="0"/>
              <w:jc w:val="center"/>
            </w:pPr>
            <w:r/>
            <w:r>
              <w:rPr>
                <w:b/>
                <w:color w:val="A8400C"/>
                <w:sz w:val="14"/>
              </w:rPr>
              <w:t>141</w:t>
            </w:r>
          </w:p>
        </w:tc>
      </w:tr>
      <w:tr>
        <w:tc>
          <w:tcPr>
            <w:tcW w:type="dxa" w:w="2381"/>
          </w:tcPr>
          <w:p>
            <w:pPr>
              <w:spacing w:after="0"/>
              <w:jc w:val="left"/>
            </w:pPr>
            <w:r/>
            <w:r>
              <w:rPr>
                <w:color w:val="1A1A1A"/>
                <w:sz w:val="14"/>
              </w:rPr>
              <w:t>Blood pressure measured (Q27A)</w:t>
            </w:r>
          </w:p>
        </w:tc>
        <w:tc>
          <w:tcPr>
            <w:tcW w:type="dxa" w:w="1087"/>
          </w:tcPr>
          <w:p>
            <w:pPr>
              <w:spacing w:after="0"/>
              <w:jc w:val="center"/>
            </w:pPr>
            <w:r/>
            <w:r>
              <w:rPr>
                <w:color w:val="1A1A1A"/>
                <w:sz w:val="14"/>
              </w:rPr>
              <w:t>private hospital OPD/ER</w:t>
            </w:r>
          </w:p>
        </w:tc>
        <w:tc>
          <w:tcPr>
            <w:tcW w:type="dxa" w:w="1087"/>
          </w:tcPr>
          <w:p>
            <w:pPr>
              <w:spacing w:after="0"/>
              <w:jc w:val="center"/>
            </w:pPr>
            <w:r/>
            <w:r>
              <w:rPr>
                <w:color w:val="1A1A1A"/>
                <w:sz w:val="14"/>
              </w:rPr>
              <w:t>0.65 (0.21–1.99)</w:t>
            </w:r>
          </w:p>
        </w:tc>
        <w:tc>
          <w:tcPr>
            <w:tcW w:type="dxa" w:w="1087"/>
          </w:tcPr>
          <w:p>
            <w:pPr>
              <w:spacing w:after="0"/>
              <w:jc w:val="center"/>
            </w:pPr>
            <w:r/>
            <w:r>
              <w:rPr>
                <w:color w:val="1A1A1A"/>
                <w:sz w:val="14"/>
              </w:rPr>
              <w:t>0.454</w:t>
            </w:r>
          </w:p>
        </w:tc>
        <w:tc>
          <w:tcPr>
            <w:tcW w:type="dxa" w:w="1087"/>
          </w:tcPr>
          <w:p>
            <w:pPr>
              <w:spacing w:after="0"/>
              <w:jc w:val="center"/>
            </w:pPr>
            <w:r/>
            <w:r>
              <w:rPr>
                <w:color w:val="1A1A1A"/>
                <w:sz w:val="14"/>
              </w:rPr>
              <w:t>0.743</w:t>
            </w:r>
          </w:p>
        </w:tc>
        <w:tc>
          <w:tcPr>
            <w:tcW w:type="dxa" w:w="1087"/>
          </w:tcPr>
          <w:p>
            <w:pPr>
              <w:spacing w:after="0"/>
              <w:jc w:val="center"/>
            </w:pPr>
            <w:r/>
            <w:r>
              <w:rPr>
                <w:color w:val="1A1A1A"/>
                <w:sz w:val="14"/>
              </w:rPr>
              <w:t>-1.171</w:t>
            </w:r>
          </w:p>
        </w:tc>
        <w:tc>
          <w:tcPr>
            <w:tcW w:type="dxa" w:w="1087"/>
          </w:tcPr>
          <w:p>
            <w:pPr>
              <w:spacing w:after="0"/>
              <w:jc w:val="center"/>
            </w:pPr>
            <w:r/>
            <w:r>
              <w:rPr>
                <w:color w:val="1A1A1A"/>
                <w:sz w:val="14"/>
              </w:rPr>
              <w:t>122</w:t>
            </w:r>
          </w:p>
        </w:tc>
        <w:tc>
          <w:tcPr>
            <w:tcW w:type="dxa" w:w="737"/>
          </w:tcPr>
          <w:p>
            <w:pPr>
              <w:spacing w:after="0"/>
              <w:jc w:val="center"/>
            </w:pPr>
            <w:r/>
            <w:r>
              <w:rPr>
                <w:color w:val="1A1A1A"/>
                <w:sz w:val="14"/>
              </w:rPr>
              <w:t>126</w:t>
            </w:r>
          </w:p>
        </w:tc>
      </w:tr>
      <w:tr>
        <w:tc>
          <w:tcPr>
            <w:tcW w:type="dxa" w:w="2381"/>
          </w:tcPr>
          <w:p>
            <w:pPr>
              <w:spacing w:after="0"/>
              <w:jc w:val="left"/>
            </w:pPr>
            <w:r/>
            <w:r>
              <w:rPr>
                <w:color w:val="1A1A1A"/>
                <w:sz w:val="14"/>
              </w:rPr>
              <w:t>Blood sugar tested (Q27F)</w:t>
            </w:r>
          </w:p>
        </w:tc>
        <w:tc>
          <w:tcPr>
            <w:tcW w:type="dxa" w:w="1087"/>
          </w:tcPr>
          <w:p>
            <w:pPr>
              <w:spacing w:after="0"/>
              <w:jc w:val="center"/>
            </w:pPr>
            <w:r/>
            <w:r>
              <w:rPr>
                <w:color w:val="1A1A1A"/>
                <w:sz w:val="14"/>
              </w:rPr>
              <w:t>public primary care</w:t>
            </w:r>
          </w:p>
        </w:tc>
        <w:tc>
          <w:tcPr>
            <w:tcW w:type="dxa" w:w="1087"/>
          </w:tcPr>
          <w:p>
            <w:pPr>
              <w:spacing w:after="0"/>
              <w:jc w:val="center"/>
            </w:pPr>
            <w:r/>
            <w:r>
              <w:rPr>
                <w:color w:val="1A1A1A"/>
                <w:sz w:val="14"/>
              </w:rPr>
              <w:t>1.08 (0.79–1.48)</w:t>
            </w:r>
          </w:p>
        </w:tc>
        <w:tc>
          <w:tcPr>
            <w:tcW w:type="dxa" w:w="1087"/>
          </w:tcPr>
          <w:p>
            <w:pPr>
              <w:spacing w:after="0"/>
              <w:jc w:val="center"/>
            </w:pPr>
            <w:r/>
            <w:r>
              <w:rPr>
                <w:color w:val="1A1A1A"/>
                <w:sz w:val="14"/>
              </w:rPr>
              <w:t>0.613</w:t>
            </w:r>
          </w:p>
        </w:tc>
        <w:tc>
          <w:tcPr>
            <w:tcW w:type="dxa" w:w="1087"/>
          </w:tcPr>
          <w:p>
            <w:pPr>
              <w:spacing w:after="0"/>
              <w:jc w:val="center"/>
            </w:pPr>
            <w:r/>
            <w:r>
              <w:rPr>
                <w:color w:val="1A1A1A"/>
                <w:sz w:val="14"/>
              </w:rPr>
              <w:t>0.864</w:t>
            </w:r>
          </w:p>
        </w:tc>
        <w:tc>
          <w:tcPr>
            <w:tcW w:type="dxa" w:w="1087"/>
          </w:tcPr>
          <w:p>
            <w:pPr>
              <w:spacing w:after="0"/>
              <w:jc w:val="center"/>
            </w:pPr>
            <w:r/>
            <w:r>
              <w:rPr>
                <w:color w:val="1A1A1A"/>
                <w:sz w:val="14"/>
              </w:rPr>
              <w:t>1.435</w:t>
            </w:r>
          </w:p>
        </w:tc>
        <w:tc>
          <w:tcPr>
            <w:tcW w:type="dxa" w:w="1087"/>
          </w:tcPr>
          <w:p>
            <w:pPr>
              <w:spacing w:after="0"/>
              <w:jc w:val="center"/>
            </w:pPr>
            <w:r/>
            <w:r>
              <w:rPr>
                <w:color w:val="1A1A1A"/>
                <w:sz w:val="14"/>
              </w:rPr>
              <w:t>428</w:t>
            </w:r>
          </w:p>
        </w:tc>
        <w:tc>
          <w:tcPr>
            <w:tcW w:type="dxa" w:w="737"/>
          </w:tcPr>
          <w:p>
            <w:pPr>
              <w:spacing w:after="0"/>
              <w:jc w:val="center"/>
            </w:pPr>
            <w:r/>
            <w:r>
              <w:rPr>
                <w:color w:val="1A1A1A"/>
                <w:sz w:val="14"/>
              </w:rPr>
              <w:t>625</w:t>
            </w:r>
          </w:p>
        </w:tc>
      </w:tr>
      <w:tr>
        <w:tc>
          <w:tcPr>
            <w:tcW w:type="dxa" w:w="2381"/>
          </w:tcPr>
          <w:p>
            <w:pPr>
              <w:spacing w:after="0"/>
              <w:jc w:val="left"/>
            </w:pPr>
            <w:r/>
            <w:r>
              <w:rPr>
                <w:color w:val="1A1A1A"/>
                <w:sz w:val="14"/>
              </w:rPr>
              <w:t>Blood sugar tested (Q27F)</w:t>
            </w:r>
          </w:p>
        </w:tc>
        <w:tc>
          <w:tcPr>
            <w:tcW w:type="dxa" w:w="1087"/>
          </w:tcPr>
          <w:p>
            <w:pPr>
              <w:spacing w:after="0"/>
              <w:jc w:val="center"/>
            </w:pPr>
            <w:r/>
            <w:r>
              <w:rPr>
                <w:color w:val="1A1A1A"/>
                <w:sz w:val="14"/>
              </w:rPr>
              <w:t>private clinic/pharmacy</w:t>
            </w:r>
          </w:p>
        </w:tc>
        <w:tc>
          <w:tcPr>
            <w:tcW w:type="dxa" w:w="1087"/>
          </w:tcPr>
          <w:p>
            <w:pPr>
              <w:spacing w:after="0"/>
              <w:jc w:val="center"/>
            </w:pPr>
            <w:r/>
            <w:r>
              <w:rPr>
                <w:color w:val="1A1A1A"/>
                <w:sz w:val="14"/>
              </w:rPr>
              <w:t>0.58 (0.34–1.00)</w:t>
            </w:r>
          </w:p>
        </w:tc>
        <w:tc>
          <w:tcPr>
            <w:tcW w:type="dxa" w:w="1087"/>
          </w:tcPr>
          <w:p>
            <w:pPr>
              <w:spacing w:after="0"/>
              <w:jc w:val="center"/>
            </w:pPr>
            <w:r/>
            <w:r>
              <w:rPr>
                <w:color w:val="1A1A1A"/>
                <w:sz w:val="14"/>
              </w:rPr>
              <w:t>0.05</w:t>
            </w:r>
          </w:p>
        </w:tc>
        <w:tc>
          <w:tcPr>
            <w:tcW w:type="dxa" w:w="1087"/>
          </w:tcPr>
          <w:p>
            <w:pPr>
              <w:spacing w:after="0"/>
              <w:jc w:val="center"/>
            </w:pPr>
            <w:r/>
            <w:r>
              <w:rPr>
                <w:color w:val="1A1A1A"/>
                <w:sz w:val="14"/>
              </w:rPr>
              <w:t>0.324</w:t>
            </w:r>
          </w:p>
        </w:tc>
        <w:tc>
          <w:tcPr>
            <w:tcW w:type="dxa" w:w="1087"/>
          </w:tcPr>
          <w:p>
            <w:pPr>
              <w:spacing w:after="0"/>
              <w:jc w:val="center"/>
            </w:pPr>
            <w:r/>
            <w:r>
              <w:rPr>
                <w:color w:val="1A1A1A"/>
                <w:sz w:val="14"/>
              </w:rPr>
              <w:t>-10.193</w:t>
            </w:r>
          </w:p>
        </w:tc>
        <w:tc>
          <w:tcPr>
            <w:tcW w:type="dxa" w:w="1087"/>
          </w:tcPr>
          <w:p>
            <w:pPr>
              <w:spacing w:after="0"/>
              <w:jc w:val="center"/>
            </w:pPr>
            <w:r/>
            <w:r>
              <w:rPr>
                <w:color w:val="1A1A1A"/>
                <w:sz w:val="14"/>
              </w:rPr>
              <w:t>66</w:t>
            </w:r>
          </w:p>
        </w:tc>
        <w:tc>
          <w:tcPr>
            <w:tcW w:type="dxa" w:w="737"/>
          </w:tcPr>
          <w:p>
            <w:pPr>
              <w:spacing w:after="0"/>
              <w:jc w:val="center"/>
            </w:pPr>
            <w:r/>
            <w:r>
              <w:rPr>
                <w:color w:val="1A1A1A"/>
                <w:sz w:val="14"/>
              </w:rPr>
              <w:t>141</w:t>
            </w:r>
          </w:p>
        </w:tc>
      </w:tr>
      <w:tr>
        <w:tc>
          <w:tcPr>
            <w:tcW w:type="dxa" w:w="2381"/>
          </w:tcPr>
          <w:p>
            <w:pPr>
              <w:spacing w:after="0"/>
              <w:jc w:val="left"/>
            </w:pPr>
            <w:r/>
            <w:r>
              <w:rPr>
                <w:color w:val="1A1A1A"/>
                <w:sz w:val="14"/>
              </w:rPr>
              <w:t>Blood sugar tested (Q27F)</w:t>
            </w:r>
          </w:p>
        </w:tc>
        <w:tc>
          <w:tcPr>
            <w:tcW w:type="dxa" w:w="1087"/>
          </w:tcPr>
          <w:p>
            <w:pPr>
              <w:spacing w:after="0"/>
              <w:jc w:val="center"/>
            </w:pPr>
            <w:r/>
            <w:r>
              <w:rPr>
                <w:color w:val="1A1A1A"/>
                <w:sz w:val="14"/>
              </w:rPr>
              <w:t>private hospital OPD/ER</w:t>
            </w:r>
          </w:p>
        </w:tc>
        <w:tc>
          <w:tcPr>
            <w:tcW w:type="dxa" w:w="1087"/>
          </w:tcPr>
          <w:p>
            <w:pPr>
              <w:spacing w:after="0"/>
              <w:jc w:val="center"/>
            </w:pPr>
            <w:r/>
            <w:r>
              <w:rPr>
                <w:color w:val="1A1A1A"/>
                <w:sz w:val="14"/>
              </w:rPr>
              <w:t>1.12 (0.59–2.12)</w:t>
            </w:r>
          </w:p>
        </w:tc>
        <w:tc>
          <w:tcPr>
            <w:tcW w:type="dxa" w:w="1087"/>
          </w:tcPr>
          <w:p>
            <w:pPr>
              <w:spacing w:after="0"/>
              <w:jc w:val="center"/>
            </w:pPr>
            <w:r/>
            <w:r>
              <w:rPr>
                <w:color w:val="1A1A1A"/>
                <w:sz w:val="14"/>
              </w:rPr>
              <w:t>0.72</w:t>
            </w:r>
          </w:p>
        </w:tc>
        <w:tc>
          <w:tcPr>
            <w:tcW w:type="dxa" w:w="1087"/>
          </w:tcPr>
          <w:p>
            <w:pPr>
              <w:spacing w:after="0"/>
              <w:jc w:val="center"/>
            </w:pPr>
            <w:r/>
            <w:r>
              <w:rPr>
                <w:color w:val="1A1A1A"/>
                <w:sz w:val="14"/>
              </w:rPr>
              <w:t>0.864</w:t>
            </w:r>
          </w:p>
        </w:tc>
        <w:tc>
          <w:tcPr>
            <w:tcW w:type="dxa" w:w="1087"/>
          </w:tcPr>
          <w:p>
            <w:pPr>
              <w:spacing w:after="0"/>
              <w:jc w:val="center"/>
            </w:pPr>
            <w:r/>
            <w:r>
              <w:rPr>
                <w:color w:val="1A1A1A"/>
                <w:sz w:val="14"/>
              </w:rPr>
              <w:t>2.061</w:t>
            </w:r>
          </w:p>
        </w:tc>
        <w:tc>
          <w:tcPr>
            <w:tcW w:type="dxa" w:w="1087"/>
          </w:tcPr>
          <w:p>
            <w:pPr>
              <w:spacing w:after="0"/>
              <w:jc w:val="center"/>
            </w:pPr>
            <w:r/>
            <w:r>
              <w:rPr>
                <w:color w:val="1A1A1A"/>
                <w:sz w:val="14"/>
              </w:rPr>
              <w:t>89</w:t>
            </w:r>
          </w:p>
        </w:tc>
        <w:tc>
          <w:tcPr>
            <w:tcW w:type="dxa" w:w="737"/>
          </w:tcPr>
          <w:p>
            <w:pPr>
              <w:spacing w:after="0"/>
              <w:jc w:val="center"/>
            </w:pPr>
            <w:r/>
            <w:r>
              <w:rPr>
                <w:color w:val="1A1A1A"/>
                <w:sz w:val="14"/>
              </w:rPr>
              <w:t>126</w:t>
            </w:r>
          </w:p>
        </w:tc>
      </w:tr>
      <w:tr>
        <w:tc>
          <w:tcPr>
            <w:tcW w:type="dxa" w:w="2381"/>
          </w:tcPr>
          <w:p>
            <w:pPr>
              <w:spacing w:after="0"/>
              <w:jc w:val="left"/>
            </w:pPr>
            <w:r/>
            <w:r>
              <w:rPr>
                <w:color w:val="1A1A1A"/>
                <w:sz w:val="14"/>
              </w:rPr>
              <w:t>Blood lipids tested (Q27G)</w:t>
            </w:r>
          </w:p>
        </w:tc>
        <w:tc>
          <w:tcPr>
            <w:tcW w:type="dxa" w:w="1087"/>
          </w:tcPr>
          <w:p>
            <w:pPr>
              <w:spacing w:after="0"/>
              <w:jc w:val="center"/>
            </w:pPr>
            <w:r/>
            <w:r>
              <w:rPr>
                <w:color w:val="1A1A1A"/>
                <w:sz w:val="14"/>
              </w:rPr>
              <w:t>public primary care</w:t>
            </w:r>
          </w:p>
        </w:tc>
        <w:tc>
          <w:tcPr>
            <w:tcW w:type="dxa" w:w="1087"/>
          </w:tcPr>
          <w:p>
            <w:pPr>
              <w:spacing w:after="0"/>
              <w:jc w:val="center"/>
            </w:pPr>
            <w:r/>
            <w:r>
              <w:rPr>
                <w:color w:val="1A1A1A"/>
                <w:sz w:val="14"/>
              </w:rPr>
              <w:t>1.07 (0.78–1.47)</w:t>
            </w:r>
          </w:p>
        </w:tc>
        <w:tc>
          <w:tcPr>
            <w:tcW w:type="dxa" w:w="1087"/>
          </w:tcPr>
          <w:p>
            <w:pPr>
              <w:spacing w:after="0"/>
              <w:jc w:val="center"/>
            </w:pPr>
            <w:r/>
            <w:r>
              <w:rPr>
                <w:color w:val="1A1A1A"/>
                <w:sz w:val="14"/>
              </w:rPr>
              <w:t>0.695</w:t>
            </w:r>
          </w:p>
        </w:tc>
        <w:tc>
          <w:tcPr>
            <w:tcW w:type="dxa" w:w="1087"/>
          </w:tcPr>
          <w:p>
            <w:pPr>
              <w:spacing w:after="0"/>
              <w:jc w:val="center"/>
            </w:pPr>
            <w:r/>
            <w:r>
              <w:rPr>
                <w:color w:val="1A1A1A"/>
                <w:sz w:val="14"/>
              </w:rPr>
              <w:t>0.864</w:t>
            </w:r>
          </w:p>
        </w:tc>
        <w:tc>
          <w:tcPr>
            <w:tcW w:type="dxa" w:w="1087"/>
          </w:tcPr>
          <w:p>
            <w:pPr>
              <w:spacing w:after="0"/>
              <w:jc w:val="center"/>
            </w:pPr>
            <w:r/>
            <w:r>
              <w:rPr>
                <w:color w:val="1A1A1A"/>
                <w:sz w:val="14"/>
              </w:rPr>
              <w:t>1.169</w:t>
            </w:r>
          </w:p>
        </w:tc>
        <w:tc>
          <w:tcPr>
            <w:tcW w:type="dxa" w:w="1087"/>
          </w:tcPr>
          <w:p>
            <w:pPr>
              <w:spacing w:after="0"/>
              <w:jc w:val="center"/>
            </w:pPr>
            <w:r/>
            <w:r>
              <w:rPr>
                <w:color w:val="1A1A1A"/>
                <w:sz w:val="14"/>
              </w:rPr>
              <w:t>404</w:t>
            </w:r>
          </w:p>
        </w:tc>
        <w:tc>
          <w:tcPr>
            <w:tcW w:type="dxa" w:w="737"/>
          </w:tcPr>
          <w:p>
            <w:pPr>
              <w:spacing w:after="0"/>
              <w:jc w:val="center"/>
            </w:pPr>
            <w:r/>
            <w:r>
              <w:rPr>
                <w:color w:val="1A1A1A"/>
                <w:sz w:val="14"/>
              </w:rPr>
              <w:t>625</w:t>
            </w:r>
          </w:p>
        </w:tc>
      </w:tr>
      <w:tr>
        <w:tc>
          <w:tcPr>
            <w:tcW w:type="dxa" w:w="2381"/>
          </w:tcPr>
          <w:p>
            <w:pPr>
              <w:spacing w:after="0"/>
              <w:jc w:val="left"/>
            </w:pPr>
            <w:r/>
            <w:r>
              <w:rPr>
                <w:color w:val="1A1A1A"/>
                <w:sz w:val="14"/>
              </w:rPr>
              <w:t>Blood lipids tested (Q27G)</w:t>
            </w:r>
          </w:p>
        </w:tc>
        <w:tc>
          <w:tcPr>
            <w:tcW w:type="dxa" w:w="1087"/>
          </w:tcPr>
          <w:p>
            <w:pPr>
              <w:spacing w:after="0"/>
              <w:jc w:val="center"/>
            </w:pPr>
            <w:r/>
            <w:r>
              <w:rPr>
                <w:color w:val="1A1A1A"/>
                <w:sz w:val="14"/>
              </w:rPr>
              <w:t>private clinic/pharmacy</w:t>
            </w:r>
          </w:p>
        </w:tc>
        <w:tc>
          <w:tcPr>
            <w:tcW w:type="dxa" w:w="1087"/>
          </w:tcPr>
          <w:p>
            <w:pPr>
              <w:spacing w:after="0"/>
              <w:jc w:val="center"/>
            </w:pPr>
            <w:r/>
            <w:r>
              <w:rPr>
                <w:color w:val="1A1A1A"/>
                <w:sz w:val="14"/>
              </w:rPr>
              <w:t>0.62 (0.36–1.04)</w:t>
            </w:r>
          </w:p>
        </w:tc>
        <w:tc>
          <w:tcPr>
            <w:tcW w:type="dxa" w:w="1087"/>
          </w:tcPr>
          <w:p>
            <w:pPr>
              <w:spacing w:after="0"/>
              <w:jc w:val="center"/>
            </w:pPr>
            <w:r/>
            <w:r>
              <w:rPr>
                <w:color w:val="1A1A1A"/>
                <w:sz w:val="14"/>
              </w:rPr>
              <w:t>0.072</w:t>
            </w:r>
          </w:p>
        </w:tc>
        <w:tc>
          <w:tcPr>
            <w:tcW w:type="dxa" w:w="1087"/>
          </w:tcPr>
          <w:p>
            <w:pPr>
              <w:spacing w:after="0"/>
              <w:jc w:val="center"/>
            </w:pPr>
            <w:r/>
            <w:r>
              <w:rPr>
                <w:color w:val="1A1A1A"/>
                <w:sz w:val="14"/>
              </w:rPr>
              <w:t>0.324</w:t>
            </w:r>
          </w:p>
        </w:tc>
        <w:tc>
          <w:tcPr>
            <w:tcW w:type="dxa" w:w="1087"/>
          </w:tcPr>
          <w:p>
            <w:pPr>
              <w:spacing w:after="0"/>
              <w:jc w:val="center"/>
            </w:pPr>
            <w:r/>
            <w:r>
              <w:rPr>
                <w:color w:val="1A1A1A"/>
                <w:sz w:val="14"/>
              </w:rPr>
              <w:t>-9.214</w:t>
            </w:r>
          </w:p>
        </w:tc>
        <w:tc>
          <w:tcPr>
            <w:tcW w:type="dxa" w:w="1087"/>
          </w:tcPr>
          <w:p>
            <w:pPr>
              <w:spacing w:after="0"/>
              <w:jc w:val="center"/>
            </w:pPr>
            <w:r/>
            <w:r>
              <w:rPr>
                <w:color w:val="1A1A1A"/>
                <w:sz w:val="14"/>
              </w:rPr>
              <w:t>60</w:t>
            </w:r>
          </w:p>
        </w:tc>
        <w:tc>
          <w:tcPr>
            <w:tcW w:type="dxa" w:w="737"/>
          </w:tcPr>
          <w:p>
            <w:pPr>
              <w:spacing w:after="0"/>
              <w:jc w:val="center"/>
            </w:pPr>
            <w:r/>
            <w:r>
              <w:rPr>
                <w:color w:val="1A1A1A"/>
                <w:sz w:val="14"/>
              </w:rPr>
              <w:t>141</w:t>
            </w:r>
          </w:p>
        </w:tc>
      </w:tr>
      <w:tr>
        <w:tc>
          <w:tcPr>
            <w:tcW w:type="dxa" w:w="2381"/>
          </w:tcPr>
          <w:p>
            <w:pPr>
              <w:spacing w:after="0"/>
              <w:jc w:val="left"/>
            </w:pPr>
            <w:r/>
            <w:r>
              <w:rPr>
                <w:color w:val="1A1A1A"/>
                <w:sz w:val="14"/>
              </w:rPr>
              <w:t>Blood lipids tested (Q27G)</w:t>
            </w:r>
          </w:p>
        </w:tc>
        <w:tc>
          <w:tcPr>
            <w:tcW w:type="dxa" w:w="1087"/>
          </w:tcPr>
          <w:p>
            <w:pPr>
              <w:spacing w:after="0"/>
              <w:jc w:val="center"/>
            </w:pPr>
            <w:r/>
            <w:r>
              <w:rPr>
                <w:color w:val="1A1A1A"/>
                <w:sz w:val="14"/>
              </w:rPr>
              <w:t>private hospital OPD/ER</w:t>
            </w:r>
          </w:p>
        </w:tc>
        <w:tc>
          <w:tcPr>
            <w:tcW w:type="dxa" w:w="1087"/>
          </w:tcPr>
          <w:p>
            <w:pPr>
              <w:spacing w:after="0"/>
              <w:jc w:val="center"/>
            </w:pPr>
            <w:r/>
            <w:r>
              <w:rPr>
                <w:color w:val="1A1A1A"/>
                <w:sz w:val="14"/>
              </w:rPr>
              <w:t>1.32 (0.67–2.59)</w:t>
            </w:r>
          </w:p>
        </w:tc>
        <w:tc>
          <w:tcPr>
            <w:tcW w:type="dxa" w:w="1087"/>
          </w:tcPr>
          <w:p>
            <w:pPr>
              <w:spacing w:after="0"/>
              <w:jc w:val="center"/>
            </w:pPr>
            <w:r/>
            <w:r>
              <w:rPr>
                <w:color w:val="1A1A1A"/>
                <w:sz w:val="14"/>
              </w:rPr>
              <w:t>0.419</w:t>
            </w:r>
          </w:p>
        </w:tc>
        <w:tc>
          <w:tcPr>
            <w:tcW w:type="dxa" w:w="1087"/>
          </w:tcPr>
          <w:p>
            <w:pPr>
              <w:spacing w:after="0"/>
              <w:jc w:val="center"/>
            </w:pPr>
            <w:r/>
            <w:r>
              <w:rPr>
                <w:color w:val="1A1A1A"/>
                <w:sz w:val="14"/>
              </w:rPr>
              <w:t>0.743</w:t>
            </w:r>
          </w:p>
        </w:tc>
        <w:tc>
          <w:tcPr>
            <w:tcW w:type="dxa" w:w="1087"/>
          </w:tcPr>
          <w:p>
            <w:pPr>
              <w:spacing w:after="0"/>
              <w:jc w:val="center"/>
            </w:pPr>
            <w:r/>
            <w:r>
              <w:rPr>
                <w:color w:val="1A1A1A"/>
                <w:sz w:val="14"/>
              </w:rPr>
              <w:t>4.979</w:t>
            </w:r>
          </w:p>
        </w:tc>
        <w:tc>
          <w:tcPr>
            <w:tcW w:type="dxa" w:w="1087"/>
          </w:tcPr>
          <w:p>
            <w:pPr>
              <w:spacing w:after="0"/>
              <w:jc w:val="center"/>
            </w:pPr>
            <w:r/>
            <w:r>
              <w:rPr>
                <w:color w:val="1A1A1A"/>
                <w:sz w:val="14"/>
              </w:rPr>
              <w:t>87</w:t>
            </w:r>
          </w:p>
        </w:tc>
        <w:tc>
          <w:tcPr>
            <w:tcW w:type="dxa" w:w="737"/>
          </w:tcPr>
          <w:p>
            <w:pPr>
              <w:spacing w:after="0"/>
              <w:jc w:val="center"/>
            </w:pPr>
            <w:r/>
            <w:r>
              <w:rPr>
                <w:color w:val="1A1A1A"/>
                <w:sz w:val="14"/>
              </w:rPr>
              <w:t>126</w:t>
            </w:r>
          </w:p>
        </w:tc>
      </w:tr>
      <w:tr>
        <w:tc>
          <w:tcPr>
            <w:tcW w:type="dxa" w:w="2381"/>
          </w:tcPr>
          <w:p>
            <w:pPr>
              <w:spacing w:after="0"/>
              <w:jc w:val="left"/>
            </w:pPr>
            <w:r/>
            <w:r>
              <w:rPr>
                <w:color w:val="1A1A1A"/>
                <w:sz w:val="14"/>
              </w:rPr>
              <w:t>Dental examination (Q27E)</w:t>
            </w:r>
          </w:p>
        </w:tc>
        <w:tc>
          <w:tcPr>
            <w:tcW w:type="dxa" w:w="1087"/>
          </w:tcPr>
          <w:p>
            <w:pPr>
              <w:spacing w:after="0"/>
              <w:jc w:val="center"/>
            </w:pPr>
            <w:r/>
            <w:r>
              <w:rPr>
                <w:color w:val="1A1A1A"/>
                <w:sz w:val="14"/>
              </w:rPr>
              <w:t>public primary care</w:t>
            </w:r>
          </w:p>
        </w:tc>
        <w:tc>
          <w:tcPr>
            <w:tcW w:type="dxa" w:w="1087"/>
          </w:tcPr>
          <w:p>
            <w:pPr>
              <w:spacing w:after="0"/>
              <w:jc w:val="center"/>
            </w:pPr>
            <w:r/>
            <w:r>
              <w:rPr>
                <w:color w:val="1A1A1A"/>
                <w:sz w:val="14"/>
              </w:rPr>
              <w:t>1.00 (0.74–1.35)</w:t>
            </w:r>
          </w:p>
        </w:tc>
        <w:tc>
          <w:tcPr>
            <w:tcW w:type="dxa" w:w="1087"/>
          </w:tcPr>
          <w:p>
            <w:pPr>
              <w:spacing w:after="0"/>
              <w:jc w:val="center"/>
            </w:pPr>
            <w:r/>
            <w:r>
              <w:rPr>
                <w:color w:val="1A1A1A"/>
                <w:sz w:val="14"/>
              </w:rPr>
              <w:t>0.995</w:t>
            </w:r>
          </w:p>
        </w:tc>
        <w:tc>
          <w:tcPr>
            <w:tcW w:type="dxa" w:w="1087"/>
          </w:tcPr>
          <w:p>
            <w:pPr>
              <w:spacing w:after="0"/>
              <w:jc w:val="center"/>
            </w:pPr>
            <w:r/>
            <w:r>
              <w:rPr>
                <w:color w:val="1A1A1A"/>
                <w:sz w:val="14"/>
              </w:rPr>
              <w:t>0.995</w:t>
            </w:r>
          </w:p>
        </w:tc>
        <w:tc>
          <w:tcPr>
            <w:tcW w:type="dxa" w:w="1087"/>
          </w:tcPr>
          <w:p>
            <w:pPr>
              <w:spacing w:after="0"/>
              <w:jc w:val="center"/>
            </w:pPr>
            <w:r/>
            <w:r>
              <w:rPr>
                <w:color w:val="1A1A1A"/>
                <w:sz w:val="14"/>
              </w:rPr>
              <w:t>0.025</w:t>
            </w:r>
          </w:p>
        </w:tc>
        <w:tc>
          <w:tcPr>
            <w:tcW w:type="dxa" w:w="1087"/>
          </w:tcPr>
          <w:p>
            <w:pPr>
              <w:spacing w:after="0"/>
              <w:jc w:val="center"/>
            </w:pPr>
            <w:r/>
            <w:r>
              <w:rPr>
                <w:color w:val="1A1A1A"/>
                <w:sz w:val="14"/>
              </w:rPr>
              <w:t>314</w:t>
            </w:r>
          </w:p>
        </w:tc>
        <w:tc>
          <w:tcPr>
            <w:tcW w:type="dxa" w:w="737"/>
          </w:tcPr>
          <w:p>
            <w:pPr>
              <w:spacing w:after="0"/>
              <w:jc w:val="center"/>
            </w:pPr>
            <w:r/>
            <w:r>
              <w:rPr>
                <w:color w:val="1A1A1A"/>
                <w:sz w:val="14"/>
              </w:rPr>
              <w:t>625</w:t>
            </w:r>
          </w:p>
        </w:tc>
      </w:tr>
      <w:tr>
        <w:tc>
          <w:tcPr>
            <w:tcW w:type="dxa" w:w="2381"/>
          </w:tcPr>
          <w:p>
            <w:pPr>
              <w:spacing w:after="0"/>
              <w:jc w:val="left"/>
            </w:pPr>
            <w:r/>
            <w:r>
              <w:rPr>
                <w:color w:val="1A1A1A"/>
                <w:sz w:val="14"/>
              </w:rPr>
              <w:t>Dental examination (Q27E)</w:t>
            </w:r>
          </w:p>
        </w:tc>
        <w:tc>
          <w:tcPr>
            <w:tcW w:type="dxa" w:w="1087"/>
          </w:tcPr>
          <w:p>
            <w:pPr>
              <w:spacing w:after="0"/>
              <w:jc w:val="center"/>
            </w:pPr>
            <w:r/>
            <w:r>
              <w:rPr>
                <w:color w:val="1A1A1A"/>
                <w:sz w:val="14"/>
              </w:rPr>
              <w:t>private clinic/pharmacy</w:t>
            </w:r>
          </w:p>
        </w:tc>
        <w:tc>
          <w:tcPr>
            <w:tcW w:type="dxa" w:w="1087"/>
          </w:tcPr>
          <w:p>
            <w:pPr>
              <w:spacing w:after="0"/>
              <w:jc w:val="center"/>
            </w:pPr>
            <w:r/>
            <w:r>
              <w:rPr>
                <w:color w:val="1A1A1A"/>
                <w:sz w:val="14"/>
              </w:rPr>
              <w:t>0.72 (0.45–1.16)</w:t>
            </w:r>
          </w:p>
        </w:tc>
        <w:tc>
          <w:tcPr>
            <w:tcW w:type="dxa" w:w="1087"/>
          </w:tcPr>
          <w:p>
            <w:pPr>
              <w:spacing w:after="0"/>
              <w:jc w:val="center"/>
            </w:pPr>
            <w:r/>
            <w:r>
              <w:rPr>
                <w:color w:val="1A1A1A"/>
                <w:sz w:val="14"/>
              </w:rPr>
              <w:t>0.175</w:t>
            </w:r>
          </w:p>
        </w:tc>
        <w:tc>
          <w:tcPr>
            <w:tcW w:type="dxa" w:w="1087"/>
          </w:tcPr>
          <w:p>
            <w:pPr>
              <w:spacing w:after="0"/>
              <w:jc w:val="center"/>
            </w:pPr>
            <w:r/>
            <w:r>
              <w:rPr>
                <w:color w:val="1A1A1A"/>
                <w:sz w:val="14"/>
              </w:rPr>
              <w:t>0.526</w:t>
            </w:r>
          </w:p>
        </w:tc>
        <w:tc>
          <w:tcPr>
            <w:tcW w:type="dxa" w:w="1087"/>
          </w:tcPr>
          <w:p>
            <w:pPr>
              <w:spacing w:after="0"/>
              <w:jc w:val="center"/>
            </w:pPr>
            <w:r/>
            <w:r>
              <w:rPr>
                <w:color w:val="1A1A1A"/>
                <w:sz w:val="14"/>
              </w:rPr>
              <w:t>-7.96</w:t>
            </w:r>
          </w:p>
        </w:tc>
        <w:tc>
          <w:tcPr>
            <w:tcW w:type="dxa" w:w="1087"/>
          </w:tcPr>
          <w:p>
            <w:pPr>
              <w:spacing w:after="0"/>
              <w:jc w:val="center"/>
            </w:pPr>
            <w:r/>
            <w:r>
              <w:rPr>
                <w:color w:val="1A1A1A"/>
                <w:sz w:val="14"/>
              </w:rPr>
              <w:t>64</w:t>
            </w:r>
          </w:p>
        </w:tc>
        <w:tc>
          <w:tcPr>
            <w:tcW w:type="dxa" w:w="737"/>
          </w:tcPr>
          <w:p>
            <w:pPr>
              <w:spacing w:after="0"/>
              <w:jc w:val="center"/>
            </w:pPr>
            <w:r/>
            <w:r>
              <w:rPr>
                <w:color w:val="1A1A1A"/>
                <w:sz w:val="14"/>
              </w:rPr>
              <w:t>141</w:t>
            </w:r>
          </w:p>
        </w:tc>
      </w:tr>
      <w:tr>
        <w:tc>
          <w:tcPr>
            <w:tcW w:type="dxa" w:w="2381"/>
          </w:tcPr>
          <w:p>
            <w:pPr>
              <w:spacing w:after="0"/>
              <w:jc w:val="left"/>
            </w:pPr>
            <w:r/>
            <w:r>
              <w:rPr>
                <w:color w:val="1A1A1A"/>
                <w:sz w:val="14"/>
              </w:rPr>
              <w:t>Dental examination (Q27E)</w:t>
            </w:r>
          </w:p>
        </w:tc>
        <w:tc>
          <w:tcPr>
            <w:tcW w:type="dxa" w:w="1087"/>
          </w:tcPr>
          <w:p>
            <w:pPr>
              <w:spacing w:after="0"/>
              <w:jc w:val="center"/>
            </w:pPr>
            <w:r/>
            <w:r>
              <w:rPr>
                <w:color w:val="1A1A1A"/>
                <w:sz w:val="14"/>
              </w:rPr>
              <w:t>private hospital OPD/ER</w:t>
            </w:r>
          </w:p>
        </w:tc>
        <w:tc>
          <w:tcPr>
            <w:tcW w:type="dxa" w:w="1087"/>
          </w:tcPr>
          <w:p>
            <w:pPr>
              <w:spacing w:after="0"/>
              <w:jc w:val="center"/>
            </w:pPr>
            <w:r/>
            <w:r>
              <w:rPr>
                <w:color w:val="1A1A1A"/>
                <w:sz w:val="14"/>
              </w:rPr>
              <w:t>0.82 (0.53–1.28)</w:t>
            </w:r>
          </w:p>
        </w:tc>
        <w:tc>
          <w:tcPr>
            <w:tcW w:type="dxa" w:w="1087"/>
          </w:tcPr>
          <w:p>
            <w:pPr>
              <w:spacing w:after="0"/>
              <w:jc w:val="center"/>
            </w:pPr>
            <w:r/>
            <w:r>
              <w:rPr>
                <w:color w:val="1A1A1A"/>
                <w:sz w:val="14"/>
              </w:rPr>
              <w:t>0.382</w:t>
            </w:r>
          </w:p>
        </w:tc>
        <w:tc>
          <w:tcPr>
            <w:tcW w:type="dxa" w:w="1087"/>
          </w:tcPr>
          <w:p>
            <w:pPr>
              <w:spacing w:after="0"/>
              <w:jc w:val="center"/>
            </w:pPr>
            <w:r/>
            <w:r>
              <w:rPr>
                <w:color w:val="1A1A1A"/>
                <w:sz w:val="14"/>
              </w:rPr>
              <w:t>0.743</w:t>
            </w:r>
          </w:p>
        </w:tc>
        <w:tc>
          <w:tcPr>
            <w:tcW w:type="dxa" w:w="1087"/>
          </w:tcPr>
          <w:p>
            <w:pPr>
              <w:spacing w:after="0"/>
              <w:jc w:val="center"/>
            </w:pPr>
            <w:r/>
            <w:r>
              <w:rPr>
                <w:color w:val="1A1A1A"/>
                <w:sz w:val="14"/>
              </w:rPr>
              <w:t>-4.816</w:t>
            </w:r>
          </w:p>
        </w:tc>
        <w:tc>
          <w:tcPr>
            <w:tcW w:type="dxa" w:w="1087"/>
          </w:tcPr>
          <w:p>
            <w:pPr>
              <w:spacing w:after="0"/>
              <w:jc w:val="center"/>
            </w:pPr>
            <w:r/>
            <w:r>
              <w:rPr>
                <w:color w:val="1A1A1A"/>
                <w:sz w:val="14"/>
              </w:rPr>
              <w:t>68</w:t>
            </w:r>
          </w:p>
        </w:tc>
        <w:tc>
          <w:tcPr>
            <w:tcW w:type="dxa" w:w="737"/>
          </w:tcPr>
          <w:p>
            <w:pPr>
              <w:spacing w:after="0"/>
              <w:jc w:val="center"/>
            </w:pPr>
            <w:r/>
            <w:r>
              <w:rPr>
                <w:color w:val="1A1A1A"/>
                <w:sz w:val="14"/>
              </w:rPr>
              <w:t>126</w:t>
            </w:r>
          </w:p>
        </w:tc>
      </w:tr>
      <w:tr>
        <w:tc>
          <w:tcPr>
            <w:tcW w:type="dxa" w:w="2381"/>
          </w:tcPr>
          <w:p>
            <w:pPr>
              <w:spacing w:after="0"/>
              <w:jc w:val="left"/>
            </w:pPr>
            <w:r/>
            <w:r>
              <w:rPr>
                <w:color w:val="1A1A1A"/>
                <w:sz w:val="14"/>
              </w:rPr>
              <w:t>Vision check (Q27D)</w:t>
            </w:r>
          </w:p>
        </w:tc>
        <w:tc>
          <w:tcPr>
            <w:tcW w:type="dxa" w:w="1087"/>
          </w:tcPr>
          <w:p>
            <w:pPr>
              <w:spacing w:after="0"/>
              <w:jc w:val="center"/>
            </w:pPr>
            <w:r/>
            <w:r>
              <w:rPr>
                <w:color w:val="1A1A1A"/>
                <w:sz w:val="14"/>
              </w:rPr>
              <w:t>public primary care</w:t>
            </w:r>
          </w:p>
        </w:tc>
        <w:tc>
          <w:tcPr>
            <w:tcW w:type="dxa" w:w="1087"/>
          </w:tcPr>
          <w:p>
            <w:pPr>
              <w:spacing w:after="0"/>
              <w:jc w:val="center"/>
            </w:pPr>
            <w:r/>
            <w:r>
              <w:rPr>
                <w:color w:val="1A1A1A"/>
                <w:sz w:val="14"/>
              </w:rPr>
              <w:t>1.20 (0.90–1.61)</w:t>
            </w:r>
          </w:p>
        </w:tc>
        <w:tc>
          <w:tcPr>
            <w:tcW w:type="dxa" w:w="1087"/>
          </w:tcPr>
          <w:p>
            <w:pPr>
              <w:spacing w:after="0"/>
              <w:jc w:val="center"/>
            </w:pPr>
            <w:r/>
            <w:r>
              <w:rPr>
                <w:color w:val="1A1A1A"/>
                <w:sz w:val="14"/>
              </w:rPr>
              <w:t>0.223</w:t>
            </w:r>
          </w:p>
        </w:tc>
        <w:tc>
          <w:tcPr>
            <w:tcW w:type="dxa" w:w="1087"/>
          </w:tcPr>
          <w:p>
            <w:pPr>
              <w:spacing w:after="0"/>
              <w:jc w:val="center"/>
            </w:pPr>
            <w:r/>
            <w:r>
              <w:rPr>
                <w:color w:val="1A1A1A"/>
                <w:sz w:val="14"/>
              </w:rPr>
              <w:t>0.575</w:t>
            </w:r>
          </w:p>
        </w:tc>
        <w:tc>
          <w:tcPr>
            <w:tcW w:type="dxa" w:w="1087"/>
          </w:tcPr>
          <w:p>
            <w:pPr>
              <w:spacing w:after="0"/>
              <w:jc w:val="center"/>
            </w:pPr>
            <w:r/>
            <w:r>
              <w:rPr>
                <w:color w:val="1A1A1A"/>
                <w:sz w:val="14"/>
              </w:rPr>
              <w:t>4.184</w:t>
            </w:r>
          </w:p>
        </w:tc>
        <w:tc>
          <w:tcPr>
            <w:tcW w:type="dxa" w:w="1087"/>
          </w:tcPr>
          <w:p>
            <w:pPr>
              <w:spacing w:after="0"/>
              <w:jc w:val="center"/>
            </w:pPr>
            <w:r/>
            <w:r>
              <w:rPr>
                <w:color w:val="1A1A1A"/>
                <w:sz w:val="14"/>
              </w:rPr>
              <w:t>274</w:t>
            </w:r>
          </w:p>
        </w:tc>
        <w:tc>
          <w:tcPr>
            <w:tcW w:type="dxa" w:w="737"/>
          </w:tcPr>
          <w:p>
            <w:pPr>
              <w:spacing w:after="0"/>
              <w:jc w:val="center"/>
            </w:pPr>
            <w:r/>
            <w:r>
              <w:rPr>
                <w:color w:val="1A1A1A"/>
                <w:sz w:val="14"/>
              </w:rPr>
              <w:t>625</w:t>
            </w:r>
          </w:p>
        </w:tc>
      </w:tr>
      <w:tr>
        <w:tc>
          <w:tcPr>
            <w:tcW w:type="dxa" w:w="2381"/>
          </w:tcPr>
          <w:p>
            <w:pPr>
              <w:spacing w:after="0"/>
              <w:jc w:val="left"/>
            </w:pPr>
            <w:r/>
            <w:r>
              <w:rPr>
                <w:color w:val="1A1A1A"/>
                <w:sz w:val="14"/>
              </w:rPr>
              <w:t>Vision check (Q27D)</w:t>
            </w:r>
          </w:p>
        </w:tc>
        <w:tc>
          <w:tcPr>
            <w:tcW w:type="dxa" w:w="1087"/>
          </w:tcPr>
          <w:p>
            <w:pPr>
              <w:spacing w:after="0"/>
              <w:jc w:val="center"/>
            </w:pPr>
            <w:r/>
            <w:r>
              <w:rPr>
                <w:color w:val="1A1A1A"/>
                <w:sz w:val="14"/>
              </w:rPr>
              <w:t>private clinic/pharmacy</w:t>
            </w:r>
          </w:p>
        </w:tc>
        <w:tc>
          <w:tcPr>
            <w:tcW w:type="dxa" w:w="1087"/>
          </w:tcPr>
          <w:p>
            <w:pPr>
              <w:spacing w:after="0"/>
              <w:jc w:val="center"/>
            </w:pPr>
            <w:r/>
            <w:r>
              <w:rPr>
                <w:color w:val="1A1A1A"/>
                <w:sz w:val="14"/>
              </w:rPr>
              <w:t>1.12 (0.67–1.86)</w:t>
            </w:r>
          </w:p>
        </w:tc>
        <w:tc>
          <w:tcPr>
            <w:tcW w:type="dxa" w:w="1087"/>
          </w:tcPr>
          <w:p>
            <w:pPr>
              <w:spacing w:after="0"/>
              <w:jc w:val="center"/>
            </w:pPr>
            <w:r/>
            <w:r>
              <w:rPr>
                <w:color w:val="1A1A1A"/>
                <w:sz w:val="14"/>
              </w:rPr>
              <w:t>0.669</w:t>
            </w:r>
          </w:p>
        </w:tc>
        <w:tc>
          <w:tcPr>
            <w:tcW w:type="dxa" w:w="1087"/>
          </w:tcPr>
          <w:p>
            <w:pPr>
              <w:spacing w:after="0"/>
              <w:jc w:val="center"/>
            </w:pPr>
            <w:r/>
            <w:r>
              <w:rPr>
                <w:color w:val="1A1A1A"/>
                <w:sz w:val="14"/>
              </w:rPr>
              <w:t>0.864</w:t>
            </w:r>
          </w:p>
        </w:tc>
        <w:tc>
          <w:tcPr>
            <w:tcW w:type="dxa" w:w="1087"/>
          </w:tcPr>
          <w:p>
            <w:pPr>
              <w:spacing w:after="0"/>
              <w:jc w:val="center"/>
            </w:pPr>
            <w:r/>
            <w:r>
              <w:rPr>
                <w:color w:val="1A1A1A"/>
                <w:sz w:val="14"/>
              </w:rPr>
              <w:t>2.523</w:t>
            </w:r>
          </w:p>
        </w:tc>
        <w:tc>
          <w:tcPr>
            <w:tcW w:type="dxa" w:w="1087"/>
          </w:tcPr>
          <w:p>
            <w:pPr>
              <w:spacing w:after="0"/>
              <w:jc w:val="center"/>
            </w:pPr>
            <w:r/>
            <w:r>
              <w:rPr>
                <w:color w:val="1A1A1A"/>
                <w:sz w:val="14"/>
              </w:rPr>
              <w:t>55</w:t>
            </w:r>
          </w:p>
        </w:tc>
        <w:tc>
          <w:tcPr>
            <w:tcW w:type="dxa" w:w="737"/>
          </w:tcPr>
          <w:p>
            <w:pPr>
              <w:spacing w:after="0"/>
              <w:jc w:val="center"/>
            </w:pPr>
            <w:r/>
            <w:r>
              <w:rPr>
                <w:color w:val="1A1A1A"/>
                <w:sz w:val="14"/>
              </w:rPr>
              <w:t>141</w:t>
            </w:r>
          </w:p>
        </w:tc>
      </w:tr>
      <w:tr>
        <w:tc>
          <w:tcPr>
            <w:tcW w:type="dxa" w:w="2381"/>
          </w:tcPr>
          <w:p>
            <w:pPr>
              <w:spacing w:after="0"/>
              <w:jc w:val="left"/>
            </w:pPr>
            <w:r/>
            <w:r>
              <w:rPr>
                <w:color w:val="1A1A1A"/>
                <w:sz w:val="14"/>
              </w:rPr>
              <w:t>Vision check (Q27D)</w:t>
            </w:r>
          </w:p>
        </w:tc>
        <w:tc>
          <w:tcPr>
            <w:tcW w:type="dxa" w:w="1087"/>
          </w:tcPr>
          <w:p>
            <w:pPr>
              <w:spacing w:after="0"/>
              <w:jc w:val="center"/>
            </w:pPr>
            <w:r/>
            <w:r>
              <w:rPr>
                <w:color w:val="1A1A1A"/>
                <w:sz w:val="14"/>
              </w:rPr>
              <w:t>private hospital OPD/ER</w:t>
            </w:r>
          </w:p>
        </w:tc>
        <w:tc>
          <w:tcPr>
            <w:tcW w:type="dxa" w:w="1087"/>
          </w:tcPr>
          <w:p>
            <w:pPr>
              <w:spacing w:after="0"/>
              <w:jc w:val="center"/>
            </w:pPr>
            <w:r/>
            <w:r>
              <w:rPr>
                <w:color w:val="1A1A1A"/>
                <w:sz w:val="14"/>
              </w:rPr>
              <w:t>1.01 (0.54–1.92)</w:t>
            </w:r>
          </w:p>
        </w:tc>
        <w:tc>
          <w:tcPr>
            <w:tcW w:type="dxa" w:w="1087"/>
          </w:tcPr>
          <w:p>
            <w:pPr>
              <w:spacing w:after="0"/>
              <w:jc w:val="center"/>
            </w:pPr>
            <w:r/>
            <w:r>
              <w:rPr>
                <w:color w:val="1A1A1A"/>
                <w:sz w:val="14"/>
              </w:rPr>
              <w:t>0.964</w:t>
            </w:r>
          </w:p>
        </w:tc>
        <w:tc>
          <w:tcPr>
            <w:tcW w:type="dxa" w:w="1087"/>
          </w:tcPr>
          <w:p>
            <w:pPr>
              <w:spacing w:after="0"/>
              <w:jc w:val="center"/>
            </w:pPr>
            <w:r/>
            <w:r>
              <w:rPr>
                <w:color w:val="1A1A1A"/>
                <w:sz w:val="14"/>
              </w:rPr>
              <w:t>0.995</w:t>
            </w:r>
          </w:p>
        </w:tc>
        <w:tc>
          <w:tcPr>
            <w:tcW w:type="dxa" w:w="1087"/>
          </w:tcPr>
          <w:p>
            <w:pPr>
              <w:spacing w:after="0"/>
              <w:jc w:val="center"/>
            </w:pPr>
            <w:r/>
            <w:r>
              <w:rPr>
                <w:color w:val="1A1A1A"/>
                <w:sz w:val="14"/>
              </w:rPr>
              <w:t>0.333</w:t>
            </w:r>
          </w:p>
        </w:tc>
        <w:tc>
          <w:tcPr>
            <w:tcW w:type="dxa" w:w="1087"/>
          </w:tcPr>
          <w:p>
            <w:pPr>
              <w:spacing w:after="0"/>
              <w:jc w:val="center"/>
            </w:pPr>
            <w:r/>
            <w:r>
              <w:rPr>
                <w:color w:val="1A1A1A"/>
                <w:sz w:val="14"/>
              </w:rPr>
              <w:t>55</w:t>
            </w:r>
          </w:p>
        </w:tc>
        <w:tc>
          <w:tcPr>
            <w:tcW w:type="dxa" w:w="737"/>
          </w:tcPr>
          <w:p>
            <w:pPr>
              <w:spacing w:after="0"/>
              <w:jc w:val="center"/>
            </w:pPr>
            <w:r/>
            <w:r>
              <w:rPr>
                <w:color w:val="1A1A1A"/>
                <w:sz w:val="14"/>
              </w:rPr>
              <w:t>126</w:t>
            </w:r>
          </w:p>
        </w:tc>
      </w:tr>
      <w:tr>
        <w:tc>
          <w:tcPr>
            <w:tcW w:type="dxa" w:w="2381"/>
          </w:tcPr>
          <w:p>
            <w:pPr>
              <w:spacing w:after="0"/>
              <w:jc w:val="left"/>
            </w:pPr>
            <w:r/>
            <w:r>
              <w:rPr>
                <w:color w:val="1A1A1A"/>
                <w:sz w:val="14"/>
              </w:rPr>
              <w:t>Mental-health service received (Q27H)</w:t>
            </w:r>
          </w:p>
        </w:tc>
        <w:tc>
          <w:tcPr>
            <w:tcW w:type="dxa" w:w="1087"/>
          </w:tcPr>
          <w:p>
            <w:pPr>
              <w:spacing w:after="0"/>
              <w:jc w:val="center"/>
            </w:pPr>
            <w:r/>
            <w:r>
              <w:rPr>
                <w:color w:val="1A1A1A"/>
                <w:sz w:val="14"/>
              </w:rPr>
              <w:t>public primary care</w:t>
            </w:r>
          </w:p>
        </w:tc>
        <w:tc>
          <w:tcPr>
            <w:tcW w:type="dxa" w:w="1087"/>
          </w:tcPr>
          <w:p>
            <w:pPr>
              <w:spacing w:after="0"/>
              <w:jc w:val="center"/>
            </w:pPr>
            <w:r/>
            <w:r>
              <w:rPr>
                <w:color w:val="1A1A1A"/>
                <w:sz w:val="14"/>
              </w:rPr>
              <w:t>1.38 (0.99–1.93)</w:t>
            </w:r>
          </w:p>
        </w:tc>
        <w:tc>
          <w:tcPr>
            <w:tcW w:type="dxa" w:w="1087"/>
          </w:tcPr>
          <w:p>
            <w:pPr>
              <w:spacing w:after="0"/>
              <w:jc w:val="center"/>
            </w:pPr>
            <w:r/>
            <w:r>
              <w:rPr>
                <w:color w:val="1A1A1A"/>
                <w:sz w:val="14"/>
              </w:rPr>
              <w:t>0.056</w:t>
            </w:r>
          </w:p>
        </w:tc>
        <w:tc>
          <w:tcPr>
            <w:tcW w:type="dxa" w:w="1087"/>
          </w:tcPr>
          <w:p>
            <w:pPr>
              <w:spacing w:after="0"/>
              <w:jc w:val="center"/>
            </w:pPr>
            <w:r/>
            <w:r>
              <w:rPr>
                <w:color w:val="1A1A1A"/>
                <w:sz w:val="14"/>
              </w:rPr>
              <w:t>0.324</w:t>
            </w:r>
          </w:p>
        </w:tc>
        <w:tc>
          <w:tcPr>
            <w:tcW w:type="dxa" w:w="1087"/>
          </w:tcPr>
          <w:p>
            <w:pPr>
              <w:spacing w:after="0"/>
              <w:jc w:val="center"/>
            </w:pPr>
            <w:r/>
            <w:r>
              <w:rPr>
                <w:color w:val="1A1A1A"/>
                <w:sz w:val="14"/>
              </w:rPr>
              <w:t>5.578</w:t>
            </w:r>
          </w:p>
        </w:tc>
        <w:tc>
          <w:tcPr>
            <w:tcW w:type="dxa" w:w="1087"/>
          </w:tcPr>
          <w:p>
            <w:pPr>
              <w:spacing w:after="0"/>
              <w:jc w:val="center"/>
            </w:pPr>
            <w:r/>
            <w:r>
              <w:rPr>
                <w:color w:val="1A1A1A"/>
                <w:sz w:val="14"/>
              </w:rPr>
              <w:t>163</w:t>
            </w:r>
          </w:p>
        </w:tc>
        <w:tc>
          <w:tcPr>
            <w:tcW w:type="dxa" w:w="737"/>
          </w:tcPr>
          <w:p>
            <w:pPr>
              <w:spacing w:after="0"/>
              <w:jc w:val="center"/>
            </w:pPr>
            <w:r/>
            <w:r>
              <w:rPr>
                <w:color w:val="1A1A1A"/>
                <w:sz w:val="14"/>
              </w:rPr>
              <w:t>625</w:t>
            </w:r>
          </w:p>
        </w:tc>
      </w:tr>
      <w:tr>
        <w:tc>
          <w:tcPr>
            <w:tcW w:type="dxa" w:w="2381"/>
          </w:tcPr>
          <w:p>
            <w:pPr>
              <w:spacing w:after="0"/>
              <w:jc w:val="left"/>
            </w:pPr>
            <w:r/>
            <w:r>
              <w:rPr>
                <w:color w:val="1A1A1A"/>
                <w:sz w:val="14"/>
              </w:rPr>
              <w:t>Mental-health service received (Q27H)</w:t>
            </w:r>
          </w:p>
        </w:tc>
        <w:tc>
          <w:tcPr>
            <w:tcW w:type="dxa" w:w="1087"/>
          </w:tcPr>
          <w:p>
            <w:pPr>
              <w:spacing w:after="0"/>
              <w:jc w:val="center"/>
            </w:pPr>
            <w:r/>
            <w:r>
              <w:rPr>
                <w:color w:val="1A1A1A"/>
                <w:sz w:val="14"/>
              </w:rPr>
              <w:t>private clinic/pharmacy</w:t>
            </w:r>
          </w:p>
        </w:tc>
        <w:tc>
          <w:tcPr>
            <w:tcW w:type="dxa" w:w="1087"/>
          </w:tcPr>
          <w:p>
            <w:pPr>
              <w:spacing w:after="0"/>
              <w:jc w:val="center"/>
            </w:pPr>
            <w:r/>
            <w:r>
              <w:rPr>
                <w:color w:val="1A1A1A"/>
                <w:sz w:val="14"/>
              </w:rPr>
              <w:t>1.03 (0.55–1.95)</w:t>
            </w:r>
          </w:p>
        </w:tc>
        <w:tc>
          <w:tcPr>
            <w:tcW w:type="dxa" w:w="1087"/>
          </w:tcPr>
          <w:p>
            <w:pPr>
              <w:spacing w:after="0"/>
              <w:jc w:val="center"/>
            </w:pPr>
            <w:r/>
            <w:r>
              <w:rPr>
                <w:color w:val="1A1A1A"/>
                <w:sz w:val="14"/>
              </w:rPr>
              <w:t>0.919</w:t>
            </w:r>
          </w:p>
        </w:tc>
        <w:tc>
          <w:tcPr>
            <w:tcW w:type="dxa" w:w="1087"/>
          </w:tcPr>
          <w:p>
            <w:pPr>
              <w:spacing w:after="0"/>
              <w:jc w:val="center"/>
            </w:pPr>
            <w:r/>
            <w:r>
              <w:rPr>
                <w:color w:val="1A1A1A"/>
                <w:sz w:val="14"/>
              </w:rPr>
              <w:t>0.995</w:t>
            </w:r>
          </w:p>
        </w:tc>
        <w:tc>
          <w:tcPr>
            <w:tcW w:type="dxa" w:w="1087"/>
          </w:tcPr>
          <w:p>
            <w:pPr>
              <w:spacing w:after="0"/>
              <w:jc w:val="center"/>
            </w:pPr>
            <w:r/>
            <w:r>
              <w:rPr>
                <w:color w:val="1A1A1A"/>
                <w:sz w:val="14"/>
              </w:rPr>
              <w:t>0.52</w:t>
            </w:r>
          </w:p>
        </w:tc>
        <w:tc>
          <w:tcPr>
            <w:tcW w:type="dxa" w:w="1087"/>
          </w:tcPr>
          <w:p>
            <w:pPr>
              <w:spacing w:after="0"/>
              <w:jc w:val="center"/>
            </w:pPr>
            <w:r/>
            <w:r>
              <w:rPr>
                <w:color w:val="1A1A1A"/>
                <w:sz w:val="14"/>
              </w:rPr>
              <w:t>25</w:t>
            </w:r>
          </w:p>
        </w:tc>
        <w:tc>
          <w:tcPr>
            <w:tcW w:type="dxa" w:w="737"/>
          </w:tcPr>
          <w:p>
            <w:pPr>
              <w:spacing w:after="0"/>
              <w:jc w:val="center"/>
            </w:pPr>
            <w:r/>
            <w:r>
              <w:rPr>
                <w:color w:val="1A1A1A"/>
                <w:sz w:val="14"/>
              </w:rPr>
              <w:t>141</w:t>
            </w:r>
          </w:p>
        </w:tc>
      </w:tr>
      <w:tr>
        <w:tc>
          <w:tcPr>
            <w:tcW w:type="dxa" w:w="2381"/>
          </w:tcPr>
          <w:p>
            <w:pPr>
              <w:spacing w:after="0"/>
              <w:jc w:val="left"/>
            </w:pPr>
            <w:r/>
            <w:r>
              <w:rPr>
                <w:color w:val="1A1A1A"/>
                <w:sz w:val="14"/>
              </w:rPr>
              <w:t>Mental-health service received (Q27H)</w:t>
            </w:r>
          </w:p>
        </w:tc>
        <w:tc>
          <w:tcPr>
            <w:tcW w:type="dxa" w:w="1087"/>
          </w:tcPr>
          <w:p>
            <w:pPr>
              <w:spacing w:after="0"/>
              <w:jc w:val="center"/>
            </w:pPr>
            <w:r/>
            <w:r>
              <w:rPr>
                <w:color w:val="1A1A1A"/>
                <w:sz w:val="14"/>
              </w:rPr>
              <w:t>private hospital OPD/ER</w:t>
            </w:r>
          </w:p>
        </w:tc>
        <w:tc>
          <w:tcPr>
            <w:tcW w:type="dxa" w:w="1087"/>
          </w:tcPr>
          <w:p>
            <w:pPr>
              <w:spacing w:after="0"/>
              <w:jc w:val="center"/>
            </w:pPr>
            <w:r/>
            <w:r>
              <w:rPr>
                <w:color w:val="1A1A1A"/>
                <w:sz w:val="14"/>
              </w:rPr>
              <w:t>1.83 (0.85–3.92)</w:t>
            </w:r>
          </w:p>
        </w:tc>
        <w:tc>
          <w:tcPr>
            <w:tcW w:type="dxa" w:w="1087"/>
          </w:tcPr>
          <w:p>
            <w:pPr>
              <w:spacing w:after="0"/>
              <w:jc w:val="center"/>
            </w:pPr>
            <w:r/>
            <w:r>
              <w:rPr>
                <w:color w:val="1A1A1A"/>
                <w:sz w:val="14"/>
              </w:rPr>
              <w:t>0.122</w:t>
            </w:r>
          </w:p>
        </w:tc>
        <w:tc>
          <w:tcPr>
            <w:tcW w:type="dxa" w:w="1087"/>
          </w:tcPr>
          <w:p>
            <w:pPr>
              <w:spacing w:after="0"/>
              <w:jc w:val="center"/>
            </w:pPr>
            <w:r/>
            <w:r>
              <w:rPr>
                <w:color w:val="1A1A1A"/>
                <w:sz w:val="14"/>
              </w:rPr>
              <w:t>0.439</w:t>
            </w:r>
          </w:p>
        </w:tc>
        <w:tc>
          <w:tcPr>
            <w:tcW w:type="dxa" w:w="1087"/>
          </w:tcPr>
          <w:p>
            <w:pPr>
              <w:spacing w:after="0"/>
              <w:jc w:val="center"/>
            </w:pPr>
            <w:r/>
            <w:r>
              <w:rPr>
                <w:color w:val="1A1A1A"/>
                <w:sz w:val="14"/>
              </w:rPr>
              <w:t>11.038</w:t>
            </w:r>
          </w:p>
        </w:tc>
        <w:tc>
          <w:tcPr>
            <w:tcW w:type="dxa" w:w="1087"/>
          </w:tcPr>
          <w:p>
            <w:pPr>
              <w:spacing w:after="0"/>
              <w:jc w:val="center"/>
            </w:pPr>
            <w:r/>
            <w:r>
              <w:rPr>
                <w:color w:val="1A1A1A"/>
                <w:sz w:val="14"/>
              </w:rPr>
              <w:t>37</w:t>
            </w:r>
          </w:p>
        </w:tc>
        <w:tc>
          <w:tcPr>
            <w:tcW w:type="dxa" w:w="737"/>
          </w:tcPr>
          <w:p>
            <w:pPr>
              <w:spacing w:after="0"/>
              <w:jc w:val="center"/>
            </w:pPr>
            <w:r/>
            <w:r>
              <w:rPr>
                <w:color w:val="1A1A1A"/>
                <w:sz w:val="14"/>
              </w:rPr>
              <w:t>126</w:t>
            </w:r>
          </w:p>
        </w:tc>
      </w:tr>
      <w:tr>
        <w:tc>
          <w:tcPr>
            <w:tcW w:type="dxa" w:w="2381"/>
          </w:tcPr>
          <w:p>
            <w:pPr>
              <w:spacing w:after="0"/>
              <w:jc w:val="left"/>
            </w:pPr>
            <w:r/>
            <w:r>
              <w:rPr>
                <w:color w:val="1A1A1A"/>
                <w:sz w:val="14"/>
              </w:rPr>
              <w:t>Breast examination/mammogram (Q27B) — women only</w:t>
            </w:r>
          </w:p>
        </w:tc>
        <w:tc>
          <w:tcPr>
            <w:tcW w:type="dxa" w:w="1087"/>
          </w:tcPr>
          <w:p>
            <w:pPr>
              <w:spacing w:after="0"/>
              <w:jc w:val="center"/>
            </w:pPr>
            <w:r/>
            <w:r>
              <w:rPr>
                <w:color w:val="1A1A1A"/>
                <w:sz w:val="14"/>
              </w:rPr>
              <w:t>public primary care</w:t>
            </w:r>
          </w:p>
        </w:tc>
        <w:tc>
          <w:tcPr>
            <w:tcW w:type="dxa" w:w="1087"/>
          </w:tcPr>
          <w:p>
            <w:pPr>
              <w:spacing w:after="0"/>
              <w:jc w:val="center"/>
            </w:pPr>
            <w:r/>
            <w:r>
              <w:rPr>
                <w:color w:val="1A1A1A"/>
                <w:sz w:val="14"/>
              </w:rPr>
              <w:t>1.32 (0.92–1.88)</w:t>
            </w:r>
          </w:p>
        </w:tc>
        <w:tc>
          <w:tcPr>
            <w:tcW w:type="dxa" w:w="1087"/>
          </w:tcPr>
          <w:p>
            <w:pPr>
              <w:spacing w:after="0"/>
              <w:jc w:val="center"/>
            </w:pPr>
            <w:r/>
            <w:r>
              <w:rPr>
                <w:color w:val="1A1A1A"/>
                <w:sz w:val="14"/>
              </w:rPr>
              <w:t>0.128</w:t>
            </w:r>
          </w:p>
        </w:tc>
        <w:tc>
          <w:tcPr>
            <w:tcW w:type="dxa" w:w="1087"/>
          </w:tcPr>
          <w:p>
            <w:pPr>
              <w:spacing w:after="0"/>
              <w:jc w:val="center"/>
            </w:pPr>
            <w:r/>
            <w:r>
              <w:rPr>
                <w:color w:val="1A1A1A"/>
                <w:sz w:val="14"/>
              </w:rPr>
              <w:t>0.493</w:t>
            </w:r>
          </w:p>
        </w:tc>
        <w:tc>
          <w:tcPr>
            <w:tcW w:type="dxa" w:w="1087"/>
          </w:tcPr>
          <w:p>
            <w:pPr>
              <w:spacing w:after="0"/>
              <w:jc w:val="center"/>
            </w:pPr>
            <w:r/>
            <w:r>
              <w:rPr>
                <w:color w:val="1A1A1A"/>
                <w:sz w:val="14"/>
              </w:rPr>
              <w:t>6.236</w:t>
            </w:r>
          </w:p>
        </w:tc>
        <w:tc>
          <w:tcPr>
            <w:tcW w:type="dxa" w:w="1087"/>
          </w:tcPr>
          <w:p>
            <w:pPr>
              <w:spacing w:after="0"/>
              <w:jc w:val="center"/>
            </w:pPr>
            <w:r/>
            <w:r>
              <w:rPr>
                <w:color w:val="1A1A1A"/>
                <w:sz w:val="14"/>
              </w:rPr>
              <w:t>167</w:t>
            </w:r>
          </w:p>
        </w:tc>
        <w:tc>
          <w:tcPr>
            <w:tcW w:type="dxa" w:w="737"/>
          </w:tcPr>
          <w:p>
            <w:pPr>
              <w:spacing w:after="0"/>
              <w:jc w:val="center"/>
            </w:pPr>
            <w:r/>
            <w:r>
              <w:rPr>
                <w:color w:val="1A1A1A"/>
                <w:sz w:val="14"/>
              </w:rPr>
              <w:t>354</w:t>
            </w:r>
          </w:p>
        </w:tc>
      </w:tr>
      <w:tr>
        <w:tc>
          <w:tcPr>
            <w:tcW w:type="dxa" w:w="2381"/>
          </w:tcPr>
          <w:p>
            <w:pPr>
              <w:spacing w:after="0"/>
              <w:jc w:val="left"/>
            </w:pPr>
            <w:r/>
            <w:r>
              <w:rPr>
                <w:color w:val="1A1A1A"/>
                <w:sz w:val="14"/>
              </w:rPr>
              <w:t>Breast examination/mammogram (Q27B) — women only</w:t>
            </w:r>
          </w:p>
        </w:tc>
        <w:tc>
          <w:tcPr>
            <w:tcW w:type="dxa" w:w="1087"/>
          </w:tcPr>
          <w:p>
            <w:pPr>
              <w:spacing w:after="0"/>
              <w:jc w:val="center"/>
            </w:pPr>
            <w:r/>
            <w:r>
              <w:rPr>
                <w:color w:val="1A1A1A"/>
                <w:sz w:val="14"/>
              </w:rPr>
              <w:t>private clinic/pharmacy</w:t>
            </w:r>
          </w:p>
        </w:tc>
        <w:tc>
          <w:tcPr>
            <w:tcW w:type="dxa" w:w="1087"/>
          </w:tcPr>
          <w:p>
            <w:pPr>
              <w:spacing w:after="0"/>
              <w:jc w:val="center"/>
            </w:pPr>
            <w:r/>
            <w:r>
              <w:rPr>
                <w:color w:val="1A1A1A"/>
                <w:sz w:val="14"/>
              </w:rPr>
              <w:t>1.27 (0.66–2.47)</w:t>
            </w:r>
          </w:p>
        </w:tc>
        <w:tc>
          <w:tcPr>
            <w:tcW w:type="dxa" w:w="1087"/>
          </w:tcPr>
          <w:p>
            <w:pPr>
              <w:spacing w:after="0"/>
              <w:jc w:val="center"/>
            </w:pPr>
            <w:r/>
            <w:r>
              <w:rPr>
                <w:color w:val="1A1A1A"/>
                <w:sz w:val="14"/>
              </w:rPr>
              <w:t>0.473</w:t>
            </w:r>
          </w:p>
        </w:tc>
        <w:tc>
          <w:tcPr>
            <w:tcW w:type="dxa" w:w="1087"/>
          </w:tcPr>
          <w:p>
            <w:pPr>
              <w:spacing w:after="0"/>
              <w:jc w:val="center"/>
            </w:pPr>
            <w:r/>
            <w:r>
              <w:rPr>
                <w:color w:val="1A1A1A"/>
                <w:sz w:val="14"/>
              </w:rPr>
              <w:t>0.818</w:t>
            </w:r>
          </w:p>
        </w:tc>
        <w:tc>
          <w:tcPr>
            <w:tcW w:type="dxa" w:w="1087"/>
          </w:tcPr>
          <w:p>
            <w:pPr>
              <w:spacing w:after="0"/>
              <w:jc w:val="center"/>
            </w:pPr>
            <w:r/>
            <w:r>
              <w:rPr>
                <w:color w:val="1A1A1A"/>
                <w:sz w:val="14"/>
              </w:rPr>
              <w:t>5.465</w:t>
            </w:r>
          </w:p>
        </w:tc>
        <w:tc>
          <w:tcPr>
            <w:tcW w:type="dxa" w:w="1087"/>
          </w:tcPr>
          <w:p>
            <w:pPr>
              <w:spacing w:after="0"/>
              <w:jc w:val="center"/>
            </w:pPr>
            <w:r/>
            <w:r>
              <w:rPr>
                <w:color w:val="1A1A1A"/>
                <w:sz w:val="14"/>
              </w:rPr>
              <w:t>35</w:t>
            </w:r>
          </w:p>
        </w:tc>
        <w:tc>
          <w:tcPr>
            <w:tcW w:type="dxa" w:w="737"/>
          </w:tcPr>
          <w:p>
            <w:pPr>
              <w:spacing w:after="0"/>
              <w:jc w:val="center"/>
            </w:pPr>
            <w:r/>
            <w:r>
              <w:rPr>
                <w:color w:val="1A1A1A"/>
                <w:sz w:val="14"/>
              </w:rPr>
              <w:t>82</w:t>
            </w:r>
          </w:p>
        </w:tc>
      </w:tr>
      <w:tr>
        <w:tc>
          <w:tcPr>
            <w:tcW w:type="dxa" w:w="2381"/>
          </w:tcPr>
          <w:p>
            <w:pPr>
              <w:spacing w:after="0"/>
              <w:jc w:val="left"/>
            </w:pPr>
            <w:r/>
            <w:r>
              <w:rPr>
                <w:color w:val="1A1A1A"/>
                <w:sz w:val="14"/>
              </w:rPr>
              <w:t>Breast examination/mammogram (Q27B) — women only</w:t>
            </w:r>
          </w:p>
        </w:tc>
        <w:tc>
          <w:tcPr>
            <w:tcW w:type="dxa" w:w="1087"/>
          </w:tcPr>
          <w:p>
            <w:pPr>
              <w:spacing w:after="0"/>
              <w:jc w:val="center"/>
            </w:pPr>
            <w:r/>
            <w:r>
              <w:rPr>
                <w:color w:val="1A1A1A"/>
                <w:sz w:val="14"/>
              </w:rPr>
              <w:t>private hospital OPD/ER</w:t>
            </w:r>
          </w:p>
        </w:tc>
        <w:tc>
          <w:tcPr>
            <w:tcW w:type="dxa" w:w="1087"/>
          </w:tcPr>
          <w:p>
            <w:pPr>
              <w:spacing w:after="0"/>
              <w:jc w:val="center"/>
            </w:pPr>
            <w:r/>
            <w:r>
              <w:rPr>
                <w:color w:val="1A1A1A"/>
                <w:sz w:val="14"/>
              </w:rPr>
              <w:t>0.96 (0.46–2.02)</w:t>
            </w:r>
          </w:p>
        </w:tc>
        <w:tc>
          <w:tcPr>
            <w:tcW w:type="dxa" w:w="1087"/>
          </w:tcPr>
          <w:p>
            <w:pPr>
              <w:spacing w:after="0"/>
              <w:jc w:val="center"/>
            </w:pPr>
            <w:r/>
            <w:r>
              <w:rPr>
                <w:color w:val="1A1A1A"/>
                <w:sz w:val="14"/>
              </w:rPr>
              <w:t>0.918</w:t>
            </w:r>
          </w:p>
        </w:tc>
        <w:tc>
          <w:tcPr>
            <w:tcW w:type="dxa" w:w="1087"/>
          </w:tcPr>
          <w:p>
            <w:pPr>
              <w:spacing w:after="0"/>
              <w:jc w:val="center"/>
            </w:pPr>
            <w:r/>
            <w:r>
              <w:rPr>
                <w:color w:val="1A1A1A"/>
                <w:sz w:val="14"/>
              </w:rPr>
              <w:t>0.918</w:t>
            </w:r>
          </w:p>
        </w:tc>
        <w:tc>
          <w:tcPr>
            <w:tcW w:type="dxa" w:w="1087"/>
          </w:tcPr>
          <w:p>
            <w:pPr>
              <w:spacing w:after="0"/>
              <w:jc w:val="center"/>
            </w:pPr>
            <w:r/>
            <w:r>
              <w:rPr>
                <w:color w:val="1A1A1A"/>
                <w:sz w:val="14"/>
              </w:rPr>
              <w:t>-0.862</w:t>
            </w:r>
          </w:p>
        </w:tc>
        <w:tc>
          <w:tcPr>
            <w:tcW w:type="dxa" w:w="1087"/>
          </w:tcPr>
          <w:p>
            <w:pPr>
              <w:spacing w:after="0"/>
              <w:jc w:val="center"/>
            </w:pPr>
            <w:r/>
            <w:r>
              <w:rPr>
                <w:color w:val="1A1A1A"/>
                <w:sz w:val="14"/>
              </w:rPr>
              <w:t>28</w:t>
            </w:r>
          </w:p>
        </w:tc>
        <w:tc>
          <w:tcPr>
            <w:tcW w:type="dxa" w:w="737"/>
          </w:tcPr>
          <w:p>
            <w:pPr>
              <w:spacing w:after="0"/>
              <w:jc w:val="center"/>
            </w:pPr>
            <w:r/>
            <w:r>
              <w:rPr>
                <w:color w:val="1A1A1A"/>
                <w:sz w:val="14"/>
              </w:rPr>
              <w:t>66</w:t>
            </w:r>
          </w:p>
        </w:tc>
      </w:tr>
      <w:tr>
        <w:tc>
          <w:tcPr>
            <w:tcW w:type="dxa" w:w="2381"/>
          </w:tcPr>
          <w:p>
            <w:pPr>
              <w:spacing w:after="0"/>
              <w:jc w:val="left"/>
            </w:pPr>
            <w:r/>
            <w:r>
              <w:rPr>
                <w:color w:val="1A1A1A"/>
                <w:sz w:val="14"/>
              </w:rPr>
              <w:t>Cervical screening (Q27C) — women only</w:t>
            </w:r>
          </w:p>
        </w:tc>
        <w:tc>
          <w:tcPr>
            <w:tcW w:type="dxa" w:w="1087"/>
          </w:tcPr>
          <w:p>
            <w:pPr>
              <w:spacing w:after="0"/>
              <w:jc w:val="center"/>
            </w:pPr>
            <w:r/>
            <w:r>
              <w:rPr>
                <w:color w:val="1A1A1A"/>
                <w:sz w:val="14"/>
              </w:rPr>
              <w:t>public primary care</w:t>
            </w:r>
          </w:p>
        </w:tc>
        <w:tc>
          <w:tcPr>
            <w:tcW w:type="dxa" w:w="1087"/>
          </w:tcPr>
          <w:p>
            <w:pPr>
              <w:spacing w:after="0"/>
              <w:jc w:val="center"/>
            </w:pPr>
            <w:r/>
            <w:r>
              <w:rPr>
                <w:color w:val="1A1A1A"/>
                <w:sz w:val="14"/>
              </w:rPr>
              <w:t>1.30 (0.90–1.89)</w:t>
            </w:r>
          </w:p>
        </w:tc>
        <w:tc>
          <w:tcPr>
            <w:tcW w:type="dxa" w:w="1087"/>
          </w:tcPr>
          <w:p>
            <w:pPr>
              <w:spacing w:after="0"/>
              <w:jc w:val="center"/>
            </w:pPr>
            <w:r/>
            <w:r>
              <w:rPr>
                <w:color w:val="1A1A1A"/>
                <w:sz w:val="14"/>
              </w:rPr>
              <w:t>0.164</w:t>
            </w:r>
          </w:p>
        </w:tc>
        <w:tc>
          <w:tcPr>
            <w:tcW w:type="dxa" w:w="1087"/>
          </w:tcPr>
          <w:p>
            <w:pPr>
              <w:spacing w:after="0"/>
              <w:jc w:val="center"/>
            </w:pPr>
            <w:r/>
            <w:r>
              <w:rPr>
                <w:color w:val="1A1A1A"/>
                <w:sz w:val="14"/>
              </w:rPr>
              <w:t>0.493</w:t>
            </w:r>
          </w:p>
        </w:tc>
        <w:tc>
          <w:tcPr>
            <w:tcW w:type="dxa" w:w="1087"/>
          </w:tcPr>
          <w:p>
            <w:pPr>
              <w:spacing w:after="0"/>
              <w:jc w:val="center"/>
            </w:pPr>
            <w:r/>
            <w:r>
              <w:rPr>
                <w:color w:val="1A1A1A"/>
                <w:sz w:val="14"/>
              </w:rPr>
              <w:t>5.986</w:t>
            </w:r>
          </w:p>
        </w:tc>
        <w:tc>
          <w:tcPr>
            <w:tcW w:type="dxa" w:w="1087"/>
          </w:tcPr>
          <w:p>
            <w:pPr>
              <w:spacing w:after="0"/>
              <w:jc w:val="center"/>
            </w:pPr>
            <w:r/>
            <w:r>
              <w:rPr>
                <w:color w:val="1A1A1A"/>
                <w:sz w:val="14"/>
              </w:rPr>
              <w:t>170</w:t>
            </w:r>
          </w:p>
        </w:tc>
        <w:tc>
          <w:tcPr>
            <w:tcW w:type="dxa" w:w="737"/>
          </w:tcPr>
          <w:p>
            <w:pPr>
              <w:spacing w:after="0"/>
              <w:jc w:val="center"/>
            </w:pPr>
            <w:r/>
            <w:r>
              <w:rPr>
                <w:color w:val="1A1A1A"/>
                <w:sz w:val="14"/>
              </w:rPr>
              <w:t>354</w:t>
            </w:r>
          </w:p>
        </w:tc>
      </w:tr>
      <w:tr>
        <w:tc>
          <w:tcPr>
            <w:tcW w:type="dxa" w:w="2381"/>
          </w:tcPr>
          <w:p>
            <w:pPr>
              <w:spacing w:after="0"/>
              <w:jc w:val="left"/>
            </w:pPr>
            <w:r/>
            <w:r>
              <w:rPr>
                <w:color w:val="1A1A1A"/>
                <w:sz w:val="14"/>
              </w:rPr>
              <w:t>Cervical screening (Q27C) — women only</w:t>
            </w:r>
          </w:p>
        </w:tc>
        <w:tc>
          <w:tcPr>
            <w:tcW w:type="dxa" w:w="1087"/>
          </w:tcPr>
          <w:p>
            <w:pPr>
              <w:spacing w:after="0"/>
              <w:jc w:val="center"/>
            </w:pPr>
            <w:r/>
            <w:r>
              <w:rPr>
                <w:color w:val="1A1A1A"/>
                <w:sz w:val="14"/>
              </w:rPr>
              <w:t>private clinic/pharmacy</w:t>
            </w:r>
          </w:p>
        </w:tc>
        <w:tc>
          <w:tcPr>
            <w:tcW w:type="dxa" w:w="1087"/>
          </w:tcPr>
          <w:p>
            <w:pPr>
              <w:spacing w:after="0"/>
              <w:jc w:val="center"/>
            </w:pPr>
            <w:r/>
            <w:r>
              <w:rPr>
                <w:color w:val="1A1A1A"/>
                <w:sz w:val="14"/>
              </w:rPr>
              <w:t>1.14 (0.57–2.25)</w:t>
            </w:r>
          </w:p>
        </w:tc>
        <w:tc>
          <w:tcPr>
            <w:tcW w:type="dxa" w:w="1087"/>
          </w:tcPr>
          <w:p>
            <w:pPr>
              <w:spacing w:after="0"/>
              <w:jc w:val="center"/>
            </w:pPr>
            <w:r/>
            <w:r>
              <w:rPr>
                <w:color w:val="1A1A1A"/>
                <w:sz w:val="14"/>
              </w:rPr>
              <w:t>0.711</w:t>
            </w:r>
          </w:p>
        </w:tc>
        <w:tc>
          <w:tcPr>
            <w:tcW w:type="dxa" w:w="1087"/>
          </w:tcPr>
          <w:p>
            <w:pPr>
              <w:spacing w:after="0"/>
              <w:jc w:val="center"/>
            </w:pPr>
            <w:r/>
            <w:r>
              <w:rPr>
                <w:color w:val="1A1A1A"/>
                <w:sz w:val="14"/>
              </w:rPr>
              <w:t>0.853</w:t>
            </w:r>
          </w:p>
        </w:tc>
        <w:tc>
          <w:tcPr>
            <w:tcW w:type="dxa" w:w="1087"/>
          </w:tcPr>
          <w:p>
            <w:pPr>
              <w:spacing w:after="0"/>
              <w:jc w:val="center"/>
            </w:pPr>
            <w:r/>
            <w:r>
              <w:rPr>
                <w:color w:val="1A1A1A"/>
                <w:sz w:val="14"/>
              </w:rPr>
              <w:t>2.905</w:t>
            </w:r>
          </w:p>
        </w:tc>
        <w:tc>
          <w:tcPr>
            <w:tcW w:type="dxa" w:w="1087"/>
          </w:tcPr>
          <w:p>
            <w:pPr>
              <w:spacing w:after="0"/>
              <w:jc w:val="center"/>
            </w:pPr>
            <w:r/>
            <w:r>
              <w:rPr>
                <w:color w:val="1A1A1A"/>
                <w:sz w:val="14"/>
              </w:rPr>
              <w:t>37</w:t>
            </w:r>
          </w:p>
        </w:tc>
        <w:tc>
          <w:tcPr>
            <w:tcW w:type="dxa" w:w="737"/>
          </w:tcPr>
          <w:p>
            <w:pPr>
              <w:spacing w:after="0"/>
              <w:jc w:val="center"/>
            </w:pPr>
            <w:r/>
            <w:r>
              <w:rPr>
                <w:color w:val="1A1A1A"/>
                <w:sz w:val="14"/>
              </w:rPr>
              <w:t>82</w:t>
            </w:r>
          </w:p>
        </w:tc>
      </w:tr>
      <w:tr>
        <w:tc>
          <w:tcPr>
            <w:tcW w:type="dxa" w:w="2381"/>
          </w:tcPr>
          <w:p>
            <w:pPr>
              <w:spacing w:after="0"/>
              <w:jc w:val="left"/>
            </w:pPr>
            <w:r/>
            <w:r>
              <w:rPr>
                <w:color w:val="1A1A1A"/>
                <w:sz w:val="14"/>
              </w:rPr>
              <w:t>Cervical screening (Q27C) — women only</w:t>
            </w:r>
          </w:p>
        </w:tc>
        <w:tc>
          <w:tcPr>
            <w:tcW w:type="dxa" w:w="1087"/>
          </w:tcPr>
          <w:p>
            <w:pPr>
              <w:spacing w:after="0"/>
              <w:jc w:val="center"/>
            </w:pPr>
            <w:r/>
            <w:r>
              <w:rPr>
                <w:color w:val="1A1A1A"/>
                <w:sz w:val="14"/>
              </w:rPr>
              <w:t>private hospital OPD/ER</w:t>
            </w:r>
          </w:p>
        </w:tc>
        <w:tc>
          <w:tcPr>
            <w:tcW w:type="dxa" w:w="1087"/>
          </w:tcPr>
          <w:p>
            <w:pPr>
              <w:spacing w:after="0"/>
              <w:jc w:val="center"/>
            </w:pPr>
            <w:r/>
            <w:r>
              <w:rPr>
                <w:color w:val="1A1A1A"/>
                <w:sz w:val="14"/>
              </w:rPr>
              <w:t>1.27 (0.58–2.80)</w:t>
            </w:r>
          </w:p>
        </w:tc>
        <w:tc>
          <w:tcPr>
            <w:tcW w:type="dxa" w:w="1087"/>
          </w:tcPr>
          <w:p>
            <w:pPr>
              <w:spacing w:after="0"/>
              <w:jc w:val="center"/>
            </w:pPr>
            <w:r/>
            <w:r>
              <w:rPr>
                <w:color w:val="1A1A1A"/>
                <w:sz w:val="14"/>
              </w:rPr>
              <w:t>0.546</w:t>
            </w:r>
          </w:p>
        </w:tc>
        <w:tc>
          <w:tcPr>
            <w:tcW w:type="dxa" w:w="1087"/>
          </w:tcPr>
          <w:p>
            <w:pPr>
              <w:spacing w:after="0"/>
              <w:jc w:val="center"/>
            </w:pPr>
            <w:r/>
            <w:r>
              <w:rPr>
                <w:color w:val="1A1A1A"/>
                <w:sz w:val="14"/>
              </w:rPr>
              <w:t>0.818</w:t>
            </w:r>
          </w:p>
        </w:tc>
        <w:tc>
          <w:tcPr>
            <w:tcW w:type="dxa" w:w="1087"/>
          </w:tcPr>
          <w:p>
            <w:pPr>
              <w:spacing w:after="0"/>
              <w:jc w:val="center"/>
            </w:pPr>
            <w:r/>
            <w:r>
              <w:rPr>
                <w:color w:val="1A1A1A"/>
                <w:sz w:val="14"/>
              </w:rPr>
              <w:t>5.474</w:t>
            </w:r>
          </w:p>
        </w:tc>
        <w:tc>
          <w:tcPr>
            <w:tcW w:type="dxa" w:w="1087"/>
          </w:tcPr>
          <w:p>
            <w:pPr>
              <w:spacing w:after="0"/>
              <w:jc w:val="center"/>
            </w:pPr>
            <w:r/>
            <w:r>
              <w:rPr>
                <w:color w:val="1A1A1A"/>
                <w:sz w:val="14"/>
              </w:rPr>
              <w:t>36</w:t>
            </w:r>
          </w:p>
        </w:tc>
        <w:tc>
          <w:tcPr>
            <w:tcW w:type="dxa" w:w="737"/>
          </w:tcPr>
          <w:p>
            <w:pPr>
              <w:spacing w:after="0"/>
              <w:jc w:val="center"/>
            </w:pPr>
            <w:r/>
            <w:r>
              <w:rPr>
                <w:color w:val="1A1A1A"/>
                <w:sz w:val="14"/>
              </w:rPr>
              <w:t>66</w:t>
            </w:r>
          </w:p>
        </w:tc>
      </w:tr>
    </w:tbl>
    <w:p>
      <w:pPr>
        <w:spacing w:before="200" w:after="60"/>
      </w:pPr>
      <w:r>
        <w:rPr>
          <w:b/>
          <w:color w:val="1A1A1A"/>
          <w:sz w:val="19"/>
        </w:rPr>
        <w:t xml:space="preserve">Table 6.  </w:t>
      </w:r>
      <w:r>
        <w:rPr>
          <w:color w:val="1A1A1A"/>
          <w:sz w:val="19"/>
        </w:rPr>
        <w:t>Blood pressure and other services, splitting private clinics from pharmacies.</w:t>
      </w:r>
    </w:p>
    <w:p>
      <w:pPr>
        <w:spacing w:before="40" w:after="220"/>
      </w:pPr>
      <w:r>
        <w:rPr>
          <w:i/>
          <w:color w:val="606060"/>
          <w:sz w:val="16"/>
        </w:rPr>
        <w:t>The five-group split is descriptive only; pharmacy n = 60 and private clinic n = 82.</w:t>
      </w:r>
    </w:p>
    <w:tbl>
      <w:tblPr>
        <w:tblW w:type="auto" w:w="0"/>
        <w:jc w:val="center"/>
        <w:tblLayout w:type="fixed"/>
        <w:tblLook w:firstColumn="1" w:firstRow="1" w:lastColumn="0" w:lastRow="0" w:noHBand="0" w:noVBand="1" w:val="04A0"/>
        <w:tblBorders>
          <w:top w:val="single" w:sz="8" w:color="808080"/>
          <w:bottom w:val="single" w:sz="8" w:color="808080"/>
          <w:insideH w:val="single" w:sz="4" w:color="D8D8D8"/>
          <w:left w:val="none"/>
          <w:right w:val="none"/>
          <w:insideV w:val="none"/>
        </w:tblBorders>
        <w:tblLayout w:type="fixed"/>
      </w:tblPr>
      <w:tblGrid>
        <w:gridCol w:w="1377"/>
        <w:gridCol w:w="1377"/>
        <w:gridCol w:w="1377"/>
        <w:gridCol w:w="1377"/>
        <w:gridCol w:w="1377"/>
        <w:gridCol w:w="1377"/>
        <w:gridCol w:w="1377"/>
      </w:tblGrid>
      <w:tr>
        <w:tc>
          <w:tcPr>
            <w:tcW w:type="dxa" w:w="1928"/>
            <w:shd w:val="clear" w:fill="F2F2F0"/>
          </w:tcPr>
          <w:p>
            <w:pPr>
              <w:spacing w:after="0"/>
              <w:jc w:val="left"/>
            </w:pPr>
            <w:r/>
            <w:r>
              <w:rPr>
                <w:b/>
                <w:color w:val="1A1A1A"/>
                <w:sz w:val="14"/>
              </w:rPr>
              <w:t>Measure</w:t>
            </w:r>
          </w:p>
        </w:tc>
        <w:tc>
          <w:tcPr>
            <w:tcW w:type="dxa" w:w="1395"/>
            <w:shd w:val="clear" w:fill="F2F2F0"/>
          </w:tcPr>
          <w:p>
            <w:pPr>
              <w:spacing w:after="0"/>
              <w:jc w:val="center"/>
            </w:pPr>
            <w:r/>
            <w:r>
              <w:rPr>
                <w:b/>
                <w:color w:val="1A1A1A"/>
                <w:sz w:val="14"/>
              </w:rPr>
              <w:t>Public</w:t>
            </w:r>
          </w:p>
          <w:p>
            <w:pPr>
              <w:spacing w:after="0"/>
              <w:jc w:val="center"/>
            </w:pPr>
            <w:r>
              <w:rPr>
                <w:b/>
                <w:color w:val="1A1A1A"/>
                <w:sz w:val="14"/>
              </w:rPr>
              <w:t>primary care</w:t>
            </w:r>
          </w:p>
        </w:tc>
        <w:tc>
          <w:tcPr>
            <w:tcW w:type="dxa" w:w="1395"/>
            <w:shd w:val="clear" w:fill="F2F2F0"/>
          </w:tcPr>
          <w:p>
            <w:pPr>
              <w:spacing w:after="0"/>
              <w:jc w:val="center"/>
            </w:pPr>
            <w:r/>
            <w:r>
              <w:rPr>
                <w:b/>
                <w:color w:val="1A1A1A"/>
                <w:sz w:val="14"/>
              </w:rPr>
              <w:t>Public hosp.</w:t>
            </w:r>
          </w:p>
          <w:p>
            <w:pPr>
              <w:spacing w:after="0"/>
              <w:jc w:val="center"/>
            </w:pPr>
            <w:r>
              <w:rPr>
                <w:b/>
                <w:color w:val="1A1A1A"/>
                <w:sz w:val="14"/>
              </w:rPr>
              <w:t>OPD/ER</w:t>
            </w:r>
          </w:p>
        </w:tc>
        <w:tc>
          <w:tcPr>
            <w:tcW w:type="dxa" w:w="1395"/>
            <w:shd w:val="clear" w:fill="F2F2F0"/>
          </w:tcPr>
          <w:p>
            <w:pPr>
              <w:spacing w:after="0"/>
              <w:jc w:val="center"/>
            </w:pPr>
            <w:r/>
            <w:r>
              <w:rPr>
                <w:b/>
                <w:color w:val="1A1A1A"/>
                <w:sz w:val="14"/>
              </w:rPr>
              <w:t>Private</w:t>
            </w:r>
          </w:p>
          <w:p>
            <w:pPr>
              <w:spacing w:after="0"/>
              <w:jc w:val="center"/>
            </w:pPr>
            <w:r>
              <w:rPr>
                <w:b/>
                <w:color w:val="1A1A1A"/>
                <w:sz w:val="14"/>
              </w:rPr>
              <w:t>clinic</w:t>
            </w:r>
          </w:p>
        </w:tc>
        <w:tc>
          <w:tcPr>
            <w:tcW w:type="dxa" w:w="1395"/>
            <w:shd w:val="clear" w:fill="F2F2F0"/>
          </w:tcPr>
          <w:p>
            <w:pPr>
              <w:spacing w:after="0"/>
              <w:jc w:val="center"/>
            </w:pPr>
            <w:r/>
            <w:r>
              <w:rPr>
                <w:b/>
                <w:color w:val="1A1A1A"/>
                <w:sz w:val="14"/>
              </w:rPr>
              <w:t>Private</w:t>
            </w:r>
          </w:p>
          <w:p>
            <w:pPr>
              <w:spacing w:after="0"/>
              <w:jc w:val="center"/>
            </w:pPr>
            <w:r>
              <w:rPr>
                <w:b/>
                <w:color w:val="1A1A1A"/>
                <w:sz w:val="14"/>
              </w:rPr>
              <w:t>pharmacy</w:t>
            </w:r>
          </w:p>
        </w:tc>
        <w:tc>
          <w:tcPr>
            <w:tcW w:type="dxa" w:w="1395"/>
            <w:shd w:val="clear" w:fill="F2F2F0"/>
          </w:tcPr>
          <w:p>
            <w:pPr>
              <w:spacing w:after="0"/>
              <w:jc w:val="center"/>
            </w:pPr>
            <w:r/>
            <w:r>
              <w:rPr>
                <w:b/>
                <w:color w:val="1A1A1A"/>
                <w:sz w:val="14"/>
              </w:rPr>
              <w:t>Private hosp.</w:t>
            </w:r>
          </w:p>
          <w:p>
            <w:pPr>
              <w:spacing w:after="0"/>
              <w:jc w:val="center"/>
            </w:pPr>
            <w:r>
              <w:rPr>
                <w:b/>
                <w:color w:val="1A1A1A"/>
                <w:sz w:val="14"/>
              </w:rPr>
              <w:t>OPD/ER</w:t>
            </w:r>
          </w:p>
        </w:tc>
        <w:tc>
          <w:tcPr>
            <w:tcW w:type="dxa" w:w="737"/>
            <w:shd w:val="clear" w:fill="F2F2F0"/>
          </w:tcPr>
          <w:p>
            <w:pPr>
              <w:spacing w:after="0"/>
              <w:jc w:val="center"/>
            </w:pPr>
            <w:r/>
            <w:r>
              <w:rPr>
                <w:b/>
                <w:color w:val="1A1A1A"/>
                <w:sz w:val="14"/>
              </w:rPr>
              <w:t>p</w:t>
            </w:r>
          </w:p>
        </w:tc>
      </w:tr>
      <w:tr>
        <w:tc>
          <w:tcPr>
            <w:tcW w:type="dxa" w:w="1928"/>
          </w:tcPr>
          <w:p>
            <w:pPr>
              <w:spacing w:after="0"/>
              <w:jc w:val="left"/>
            </w:pPr>
            <w:r/>
            <w:r>
              <w:rPr>
                <w:color w:val="1A1A1A"/>
                <w:sz w:val="14"/>
              </w:rPr>
              <w:t>Blood pressure measured</w:t>
            </w:r>
          </w:p>
        </w:tc>
        <w:tc>
          <w:tcPr>
            <w:tcW w:type="dxa" w:w="1395"/>
          </w:tcPr>
          <w:p>
            <w:pPr>
              <w:spacing w:after="0"/>
              <w:jc w:val="center"/>
            </w:pPr>
            <w:r/>
            <w:r>
              <w:rPr>
                <w:color w:val="1A1A1A"/>
                <w:sz w:val="14"/>
              </w:rPr>
              <w:t>624/634 (98.4; 97.1-99.1)</w:t>
            </w:r>
          </w:p>
        </w:tc>
        <w:tc>
          <w:tcPr>
            <w:tcW w:type="dxa" w:w="1395"/>
          </w:tcPr>
          <w:p>
            <w:pPr>
              <w:spacing w:after="0"/>
              <w:jc w:val="center"/>
            </w:pPr>
            <w:r/>
            <w:r>
              <w:rPr>
                <w:color w:val="1A1A1A"/>
                <w:sz w:val="14"/>
              </w:rPr>
              <w:t>601/615 (97.7; 96.2-98.6)</w:t>
            </w:r>
          </w:p>
        </w:tc>
        <w:tc>
          <w:tcPr>
            <w:tcW w:type="dxa" w:w="1395"/>
          </w:tcPr>
          <w:p>
            <w:pPr>
              <w:spacing w:after="0"/>
              <w:jc w:val="center"/>
            </w:pPr>
            <w:r/>
            <w:r>
              <w:rPr>
                <w:color w:val="1A1A1A"/>
                <w:sz w:val="14"/>
              </w:rPr>
              <w:t>80/82 (97.6; 91.5-99.3)</w:t>
            </w:r>
          </w:p>
        </w:tc>
        <w:tc>
          <w:tcPr>
            <w:tcW w:type="dxa" w:w="1395"/>
          </w:tcPr>
          <w:p>
            <w:pPr>
              <w:spacing w:after="0"/>
              <w:jc w:val="center"/>
            </w:pPr>
            <w:r/>
            <w:r>
              <w:rPr>
                <w:color w:val="1A1A1A"/>
                <w:sz w:val="14"/>
              </w:rPr>
              <w:t>42/60 (70.0; 57.5-80.1)</w:t>
            </w:r>
          </w:p>
        </w:tc>
        <w:tc>
          <w:tcPr>
            <w:tcW w:type="dxa" w:w="1395"/>
          </w:tcPr>
          <w:p>
            <w:pPr>
              <w:spacing w:after="0"/>
              <w:jc w:val="center"/>
            </w:pPr>
            <w:r/>
            <w:r>
              <w:rPr>
                <w:color w:val="1A1A1A"/>
                <w:sz w:val="14"/>
              </w:rPr>
              <w:t>123/127 (96.9; 92.2-98.8)</w:t>
            </w:r>
          </w:p>
        </w:tc>
        <w:tc>
          <w:tcPr>
            <w:tcW w:type="dxa" w:w="737"/>
          </w:tcPr>
          <w:p>
            <w:pPr>
              <w:spacing w:after="0"/>
              <w:jc w:val="center"/>
            </w:pPr>
            <w:r/>
            <w:r>
              <w:rPr>
                <w:color w:val="1A1A1A"/>
                <w:sz w:val="14"/>
              </w:rPr>
              <w:t>&lt;0.001 †</w:t>
            </w:r>
          </w:p>
        </w:tc>
      </w:tr>
      <w:tr>
        <w:tc>
          <w:tcPr>
            <w:tcW w:type="dxa" w:w="1928"/>
          </w:tcPr>
          <w:p>
            <w:pPr>
              <w:spacing w:after="0"/>
              <w:jc w:val="left"/>
            </w:pPr>
            <w:r/>
            <w:r>
              <w:rPr>
                <w:color w:val="1A1A1A"/>
                <w:sz w:val="14"/>
              </w:rPr>
              <w:t>Blood sugar tested</w:t>
            </w:r>
          </w:p>
        </w:tc>
        <w:tc>
          <w:tcPr>
            <w:tcW w:type="dxa" w:w="1395"/>
          </w:tcPr>
          <w:p>
            <w:pPr>
              <w:spacing w:after="0"/>
              <w:jc w:val="center"/>
            </w:pPr>
            <w:r/>
            <w:r>
              <w:rPr>
                <w:color w:val="1A1A1A"/>
                <w:sz w:val="14"/>
              </w:rPr>
              <w:t>435/634 (68.6; 64.9-72.1)</w:t>
            </w:r>
          </w:p>
        </w:tc>
        <w:tc>
          <w:tcPr>
            <w:tcW w:type="dxa" w:w="1395"/>
          </w:tcPr>
          <w:p>
            <w:pPr>
              <w:spacing w:after="0"/>
              <w:jc w:val="center"/>
            </w:pPr>
            <w:r/>
            <w:r>
              <w:rPr>
                <w:color w:val="1A1A1A"/>
                <w:sz w:val="14"/>
              </w:rPr>
              <w:t>426/615 (69.3; 65.5-72.8)</w:t>
            </w:r>
          </w:p>
        </w:tc>
        <w:tc>
          <w:tcPr>
            <w:tcW w:type="dxa" w:w="1395"/>
          </w:tcPr>
          <w:p>
            <w:pPr>
              <w:spacing w:after="0"/>
              <w:jc w:val="center"/>
            </w:pPr>
            <w:r/>
            <w:r>
              <w:rPr>
                <w:color w:val="1A1A1A"/>
                <w:sz w:val="14"/>
              </w:rPr>
              <w:t>49/82 (59.8; 48.9-69.7)</w:t>
            </w:r>
          </w:p>
        </w:tc>
        <w:tc>
          <w:tcPr>
            <w:tcW w:type="dxa" w:w="1395"/>
          </w:tcPr>
          <w:p>
            <w:pPr>
              <w:spacing w:after="0"/>
              <w:jc w:val="center"/>
            </w:pPr>
            <w:r/>
            <w:r>
              <w:rPr>
                <w:color w:val="1A1A1A"/>
                <w:sz w:val="14"/>
              </w:rPr>
              <w:t>18/60 (30.0; 19.9-42.5)</w:t>
            </w:r>
          </w:p>
        </w:tc>
        <w:tc>
          <w:tcPr>
            <w:tcW w:type="dxa" w:w="1395"/>
          </w:tcPr>
          <w:p>
            <w:pPr>
              <w:spacing w:after="0"/>
              <w:jc w:val="center"/>
            </w:pPr>
            <w:r/>
            <w:r>
              <w:rPr>
                <w:color w:val="1A1A1A"/>
                <w:sz w:val="14"/>
              </w:rPr>
              <w:t>89/127 (70.1; 61.6-77.4)</w:t>
            </w:r>
          </w:p>
        </w:tc>
        <w:tc>
          <w:tcPr>
            <w:tcW w:type="dxa" w:w="737"/>
          </w:tcPr>
          <w:p>
            <w:pPr>
              <w:spacing w:after="0"/>
              <w:jc w:val="center"/>
            </w:pPr>
            <w:r/>
            <w:r>
              <w:rPr>
                <w:color w:val="1A1A1A"/>
                <w:sz w:val="14"/>
              </w:rPr>
              <w:t>&lt;0.001</w:t>
            </w:r>
          </w:p>
        </w:tc>
      </w:tr>
      <w:tr>
        <w:tc>
          <w:tcPr>
            <w:tcW w:type="dxa" w:w="1928"/>
          </w:tcPr>
          <w:p>
            <w:pPr>
              <w:spacing w:after="0"/>
              <w:jc w:val="left"/>
            </w:pPr>
            <w:r/>
            <w:r>
              <w:rPr>
                <w:color w:val="1A1A1A"/>
                <w:sz w:val="14"/>
              </w:rPr>
              <w:t>Blood lipids tested</w:t>
            </w:r>
          </w:p>
        </w:tc>
        <w:tc>
          <w:tcPr>
            <w:tcW w:type="dxa" w:w="1395"/>
          </w:tcPr>
          <w:p>
            <w:pPr>
              <w:spacing w:after="0"/>
              <w:jc w:val="center"/>
            </w:pPr>
            <w:r/>
            <w:r>
              <w:rPr>
                <w:color w:val="1A1A1A"/>
                <w:sz w:val="14"/>
              </w:rPr>
              <w:t>411/634 (64.8; 61.0-68.4)</w:t>
            </w:r>
          </w:p>
        </w:tc>
        <w:tc>
          <w:tcPr>
            <w:tcW w:type="dxa" w:w="1395"/>
          </w:tcPr>
          <w:p>
            <w:pPr>
              <w:spacing w:after="0"/>
              <w:jc w:val="center"/>
            </w:pPr>
            <w:r/>
            <w:r>
              <w:rPr>
                <w:color w:val="1A1A1A"/>
                <w:sz w:val="14"/>
              </w:rPr>
              <w:t>402/615 (65.4; 61.5-69.0)</w:t>
            </w:r>
          </w:p>
        </w:tc>
        <w:tc>
          <w:tcPr>
            <w:tcW w:type="dxa" w:w="1395"/>
          </w:tcPr>
          <w:p>
            <w:pPr>
              <w:spacing w:after="0"/>
              <w:jc w:val="center"/>
            </w:pPr>
            <w:r/>
            <w:r>
              <w:rPr>
                <w:color w:val="1A1A1A"/>
                <w:sz w:val="14"/>
              </w:rPr>
              <w:t>44/82 (53.7; 42.9-64.0)</w:t>
            </w:r>
          </w:p>
        </w:tc>
        <w:tc>
          <w:tcPr>
            <w:tcW w:type="dxa" w:w="1395"/>
          </w:tcPr>
          <w:p>
            <w:pPr>
              <w:spacing w:after="0"/>
              <w:jc w:val="center"/>
            </w:pPr>
            <w:r/>
            <w:r>
              <w:rPr>
                <w:color w:val="1A1A1A"/>
                <w:sz w:val="14"/>
              </w:rPr>
              <w:t>17/60 (28.3; 18.5-40.8)</w:t>
            </w:r>
          </w:p>
        </w:tc>
        <w:tc>
          <w:tcPr>
            <w:tcW w:type="dxa" w:w="1395"/>
          </w:tcPr>
          <w:p>
            <w:pPr>
              <w:spacing w:after="0"/>
              <w:jc w:val="center"/>
            </w:pPr>
            <w:r/>
            <w:r>
              <w:rPr>
                <w:color w:val="1A1A1A"/>
                <w:sz w:val="14"/>
              </w:rPr>
              <w:t>87/127 (68.5; 60.0-75.9)</w:t>
            </w:r>
          </w:p>
        </w:tc>
        <w:tc>
          <w:tcPr>
            <w:tcW w:type="dxa" w:w="737"/>
          </w:tcPr>
          <w:p>
            <w:pPr>
              <w:spacing w:after="0"/>
              <w:jc w:val="center"/>
            </w:pPr>
            <w:r/>
            <w:r>
              <w:rPr>
                <w:color w:val="1A1A1A"/>
                <w:sz w:val="14"/>
              </w:rPr>
              <w:t>&lt;0.001</w:t>
            </w:r>
          </w:p>
        </w:tc>
      </w:tr>
      <w:tr>
        <w:tc>
          <w:tcPr>
            <w:tcW w:type="dxa" w:w="1928"/>
          </w:tcPr>
          <w:p>
            <w:pPr>
              <w:spacing w:after="0"/>
              <w:jc w:val="left"/>
            </w:pPr>
            <w:r/>
            <w:r>
              <w:rPr>
                <w:color w:val="1A1A1A"/>
                <w:sz w:val="14"/>
              </w:rPr>
              <w:t>Dental examination</w:t>
            </w:r>
          </w:p>
        </w:tc>
        <w:tc>
          <w:tcPr>
            <w:tcW w:type="dxa" w:w="1395"/>
          </w:tcPr>
          <w:p>
            <w:pPr>
              <w:spacing w:after="0"/>
              <w:jc w:val="center"/>
            </w:pPr>
            <w:r/>
            <w:r>
              <w:rPr>
                <w:color w:val="1A1A1A"/>
                <w:sz w:val="14"/>
              </w:rPr>
              <w:t>321/634 (50.6; 46.7-54.5)</w:t>
            </w:r>
          </w:p>
        </w:tc>
        <w:tc>
          <w:tcPr>
            <w:tcW w:type="dxa" w:w="1395"/>
          </w:tcPr>
          <w:p>
            <w:pPr>
              <w:spacing w:after="0"/>
              <w:jc w:val="center"/>
            </w:pPr>
            <w:r/>
            <w:r>
              <w:rPr>
                <w:color w:val="1A1A1A"/>
                <w:sz w:val="14"/>
              </w:rPr>
              <w:t>325/615 (52.8; 48.9-56.8)</w:t>
            </w:r>
          </w:p>
        </w:tc>
        <w:tc>
          <w:tcPr>
            <w:tcW w:type="dxa" w:w="1395"/>
          </w:tcPr>
          <w:p>
            <w:pPr>
              <w:spacing w:after="0"/>
              <w:jc w:val="center"/>
            </w:pPr>
            <w:r/>
            <w:r>
              <w:rPr>
                <w:color w:val="1A1A1A"/>
                <w:sz w:val="14"/>
              </w:rPr>
              <w:t>47/82 (57.3; 46.5-67.5)</w:t>
            </w:r>
          </w:p>
        </w:tc>
        <w:tc>
          <w:tcPr>
            <w:tcW w:type="dxa" w:w="1395"/>
          </w:tcPr>
          <w:p>
            <w:pPr>
              <w:spacing w:after="0"/>
              <w:jc w:val="center"/>
            </w:pPr>
            <w:r/>
            <w:r>
              <w:rPr>
                <w:color w:val="1A1A1A"/>
                <w:sz w:val="14"/>
              </w:rPr>
              <w:t>18/60 (30.0; 19.9-42.5)</w:t>
            </w:r>
          </w:p>
        </w:tc>
        <w:tc>
          <w:tcPr>
            <w:tcW w:type="dxa" w:w="1395"/>
          </w:tcPr>
          <w:p>
            <w:pPr>
              <w:spacing w:after="0"/>
              <w:jc w:val="center"/>
            </w:pPr>
            <w:r/>
            <w:r>
              <w:rPr>
                <w:color w:val="1A1A1A"/>
                <w:sz w:val="14"/>
              </w:rPr>
              <w:t>68/127 (53.5; 44.9-62.0)</w:t>
            </w:r>
          </w:p>
        </w:tc>
        <w:tc>
          <w:tcPr>
            <w:tcW w:type="dxa" w:w="737"/>
          </w:tcPr>
          <w:p>
            <w:pPr>
              <w:spacing w:after="0"/>
              <w:jc w:val="center"/>
            </w:pPr>
            <w:r/>
            <w:r>
              <w:rPr>
                <w:color w:val="1A1A1A"/>
                <w:sz w:val="14"/>
              </w:rPr>
              <w:t>0.011</w:t>
            </w:r>
          </w:p>
        </w:tc>
      </w:tr>
      <w:tr>
        <w:tc>
          <w:tcPr>
            <w:tcW w:type="dxa" w:w="1928"/>
          </w:tcPr>
          <w:p>
            <w:pPr>
              <w:spacing w:after="0"/>
              <w:jc w:val="left"/>
            </w:pPr>
            <w:r/>
            <w:r>
              <w:rPr>
                <w:color w:val="1A1A1A"/>
                <w:sz w:val="14"/>
              </w:rPr>
              <w:t>Vision check</w:t>
            </w:r>
          </w:p>
        </w:tc>
        <w:tc>
          <w:tcPr>
            <w:tcW w:type="dxa" w:w="1395"/>
          </w:tcPr>
          <w:p>
            <w:pPr>
              <w:spacing w:after="0"/>
              <w:jc w:val="center"/>
            </w:pPr>
            <w:r/>
            <w:r>
              <w:rPr>
                <w:color w:val="1A1A1A"/>
                <w:sz w:val="14"/>
              </w:rPr>
              <w:t>280/634 (44.2; 40.3-48.1)</w:t>
            </w:r>
          </w:p>
        </w:tc>
        <w:tc>
          <w:tcPr>
            <w:tcW w:type="dxa" w:w="1395"/>
          </w:tcPr>
          <w:p>
            <w:pPr>
              <w:spacing w:after="0"/>
              <w:jc w:val="center"/>
            </w:pPr>
            <w:r/>
            <w:r>
              <w:rPr>
                <w:color w:val="1A1A1A"/>
                <w:sz w:val="14"/>
              </w:rPr>
              <w:t>263/615 (42.8; 38.9-46.7)</w:t>
            </w:r>
          </w:p>
        </w:tc>
        <w:tc>
          <w:tcPr>
            <w:tcW w:type="dxa" w:w="1395"/>
          </w:tcPr>
          <w:p>
            <w:pPr>
              <w:spacing w:after="0"/>
              <w:jc w:val="center"/>
            </w:pPr>
            <w:r/>
            <w:r>
              <w:rPr>
                <w:color w:val="1A1A1A"/>
                <w:sz w:val="14"/>
              </w:rPr>
              <w:t>40/82 (48.8; 38.3-59.4)</w:t>
            </w:r>
          </w:p>
        </w:tc>
        <w:tc>
          <w:tcPr>
            <w:tcW w:type="dxa" w:w="1395"/>
          </w:tcPr>
          <w:p>
            <w:pPr>
              <w:spacing w:after="0"/>
              <w:jc w:val="center"/>
            </w:pPr>
            <w:r/>
            <w:r>
              <w:rPr>
                <w:color w:val="1A1A1A"/>
                <w:sz w:val="14"/>
              </w:rPr>
              <w:t>15/60 (25.0; 15.8-37.2)</w:t>
            </w:r>
          </w:p>
        </w:tc>
        <w:tc>
          <w:tcPr>
            <w:tcW w:type="dxa" w:w="1395"/>
          </w:tcPr>
          <w:p>
            <w:pPr>
              <w:spacing w:after="0"/>
              <w:jc w:val="center"/>
            </w:pPr>
            <w:r/>
            <w:r>
              <w:rPr>
                <w:color w:val="1A1A1A"/>
                <w:sz w:val="14"/>
              </w:rPr>
              <w:t>55/127 (43.3; 35.0-52.0)</w:t>
            </w:r>
          </w:p>
        </w:tc>
        <w:tc>
          <w:tcPr>
            <w:tcW w:type="dxa" w:w="737"/>
          </w:tcPr>
          <w:p>
            <w:pPr>
              <w:spacing w:after="0"/>
              <w:jc w:val="center"/>
            </w:pPr>
            <w:r/>
            <w:r>
              <w:rPr>
                <w:color w:val="1A1A1A"/>
                <w:sz w:val="14"/>
              </w:rPr>
              <w:t>0.051</w:t>
            </w:r>
          </w:p>
        </w:tc>
      </w:tr>
      <w:tr>
        <w:tc>
          <w:tcPr>
            <w:tcW w:type="dxa" w:w="1928"/>
          </w:tcPr>
          <w:p>
            <w:pPr>
              <w:spacing w:after="0"/>
              <w:jc w:val="left"/>
            </w:pPr>
            <w:r/>
            <w:r>
              <w:rPr>
                <w:color w:val="1A1A1A"/>
                <w:sz w:val="14"/>
              </w:rPr>
              <w:t>Mental-health service received</w:t>
            </w:r>
          </w:p>
        </w:tc>
        <w:tc>
          <w:tcPr>
            <w:tcW w:type="dxa" w:w="1395"/>
          </w:tcPr>
          <w:p>
            <w:pPr>
              <w:spacing w:after="0"/>
              <w:jc w:val="center"/>
            </w:pPr>
            <w:r/>
            <w:r>
              <w:rPr>
                <w:color w:val="1A1A1A"/>
                <w:sz w:val="14"/>
              </w:rPr>
              <w:t>168/634 (26.5; 23.2-30.1)</w:t>
            </w:r>
          </w:p>
        </w:tc>
        <w:tc>
          <w:tcPr>
            <w:tcW w:type="dxa" w:w="1395"/>
          </w:tcPr>
          <w:p>
            <w:pPr>
              <w:spacing w:after="0"/>
              <w:jc w:val="center"/>
            </w:pPr>
            <w:r/>
            <w:r>
              <w:rPr>
                <w:color w:val="1A1A1A"/>
                <w:sz w:val="14"/>
              </w:rPr>
              <w:t>133/615 (21.6; 18.6-25.1)</w:t>
            </w:r>
          </w:p>
        </w:tc>
        <w:tc>
          <w:tcPr>
            <w:tcW w:type="dxa" w:w="1395"/>
          </w:tcPr>
          <w:p>
            <w:pPr>
              <w:spacing w:after="0"/>
              <w:jc w:val="center"/>
            </w:pPr>
            <w:r/>
            <w:r>
              <w:rPr>
                <w:color w:val="1A1A1A"/>
                <w:sz w:val="14"/>
              </w:rPr>
              <w:t>19/82 (23.2; 15.4-33.4)</w:t>
            </w:r>
          </w:p>
        </w:tc>
        <w:tc>
          <w:tcPr>
            <w:tcW w:type="dxa" w:w="1395"/>
          </w:tcPr>
          <w:p>
            <w:pPr>
              <w:spacing w:after="0"/>
              <w:jc w:val="center"/>
            </w:pPr>
            <w:r/>
            <w:r>
              <w:rPr>
                <w:color w:val="1A1A1A"/>
                <w:sz w:val="14"/>
              </w:rPr>
              <w:t>6/60 (10.0; 4.7-20.1)</w:t>
            </w:r>
          </w:p>
        </w:tc>
        <w:tc>
          <w:tcPr>
            <w:tcW w:type="dxa" w:w="1395"/>
          </w:tcPr>
          <w:p>
            <w:pPr>
              <w:spacing w:after="0"/>
              <w:jc w:val="center"/>
            </w:pPr>
            <w:r/>
            <w:r>
              <w:rPr>
                <w:color w:val="1A1A1A"/>
                <w:sz w:val="14"/>
              </w:rPr>
              <w:t>37/127 (29.1; 21.9-37.6)</w:t>
            </w:r>
          </w:p>
        </w:tc>
        <w:tc>
          <w:tcPr>
            <w:tcW w:type="dxa" w:w="737"/>
          </w:tcPr>
          <w:p>
            <w:pPr>
              <w:spacing w:after="0"/>
              <w:jc w:val="center"/>
            </w:pPr>
            <w:r/>
            <w:r>
              <w:rPr>
                <w:color w:val="1A1A1A"/>
                <w:sz w:val="14"/>
              </w:rPr>
              <w:t>0.015</w:t>
            </w:r>
          </w:p>
        </w:tc>
      </w:tr>
    </w:tbl>
    <w:p>
      <w:r>
        <w:br w:type="page"/>
      </w:r>
    </w:p>
    <w:p>
      <w:pPr>
        <w:pStyle w:val="Heading1"/>
        <w:spacing w:before="280" w:after="100"/>
      </w:pPr>
      <w:r>
        <w:rPr>
          <w:rFonts w:ascii="Calibri" w:hAnsi="Calibri"/>
          <w:b/>
          <w:color w:val="1A1A1A"/>
          <w:sz w:val="30"/>
        </w:rPr>
        <w:t>4. How they rate quality</w:t>
      </w:r>
    </w:p>
    <w:p>
      <w:pPr>
        <w:spacing w:after="140"/>
        <w:jc w:val="both"/>
      </w:pPr>
      <w:r>
        <w:rPr>
          <w:b w:val="0"/>
          <w:i w:val="0"/>
          <w:color w:val="1A1A1A"/>
          <w:sz w:val="21"/>
        </w:rPr>
        <w:t>The eleven items covering the most recent visit are grouped here into five domains — access and process, interpersonal treatment, continuity, perceived competence and readiness, and a global rating. The grouping is an interpretive framework for reading the results, not a validated scale, and no factor analysis was forced on 127 people.</w:t>
      </w:r>
    </w:p>
    <w:p>
      <w:pPr>
        <w:spacing w:after="140"/>
        <w:jc w:val="both"/>
      </w:pPr>
      <w:r>
        <w:rPr>
          <w:b w:val="0"/>
          <w:i w:val="0"/>
          <w:color w:val="1A1A1A"/>
          <w:sz w:val="21"/>
        </w:rPr>
        <w:t>Nine of eleven items differ after adjustment and multiplicity control. The largest differences are satisfaction with waiting time (aOR 3.54, +26.9 pp), the provider knowing the patient’s history (3.16, +26.6 pp), ease of getting an appointment (3.28, +23.8 pp) and time spent in the consultation (2.91, +24.0 pp). Interpersonal items follow: courtesy of other staff (2.52), involvement in decisions (2.13), respect (2.00) and clear explanation (1.92).</w:t>
      </w:r>
    </w:p>
    <w:p>
      <w:pPr>
        <w:spacing w:after="140"/>
        <w:jc w:val="both"/>
      </w:pPr>
      <w:r>
        <w:rPr>
          <w:b w:val="0"/>
          <w:i w:val="0"/>
          <w:color w:val="1A1A1A"/>
          <w:sz w:val="21"/>
        </w:rPr>
        <w:t>The two items that speak to competence do not differ. Provider knowledge and skill is aOR 1.38 (0.83–2.31) and equipment and supplies ready is 1.11 (0.69–1.78); neither is significant before or after adjustment for multiple testing. Public hospital users in fact rate their providers’ knowledge (48.5%) above almost everything else about the visit.</w:t>
      </w:r>
    </w:p>
    <w:p>
      <w:pPr>
        <w:spacing w:after="140"/>
        <w:jc w:val="both"/>
      </w:pPr>
      <w:r>
        <w:rPr>
          <w:b w:val="0"/>
          <w:i w:val="0"/>
          <w:color w:val="1A1A1A"/>
          <w:sz w:val="21"/>
        </w:rPr>
        <w:t>That shape is the central quality finding, and it needs stating carefully. Respondents are not reporting that private hospitals are clinically better; they are reporting that private hospitals are faster, more attentive, more personal and easier to navigate. Equally, none of the eleven items measures objective clinical quality — all are patient perceptions of a single visit, and the overall-experience item is not an independent measure of clinical competence. The public sector’s perceived weakness, read through its own users’ eyes, is service process.</w:t>
      </w:r>
    </w:p>
    <w:p>
      <w:pPr>
        <w:spacing w:before="160" w:after="60"/>
        <w:jc w:val="center"/>
      </w:pPr>
      <w:r>
        <w:drawing>
          <wp:inline xmlns:a="http://schemas.openxmlformats.org/drawingml/2006/main" xmlns:pic="http://schemas.openxmlformats.org/drawingml/2006/picture">
            <wp:extent cx="5976000" cy="3533216"/>
            <wp:docPr id="5" name="Picture 5"/>
            <wp:cNvGraphicFramePr>
              <a:graphicFrameLocks noChangeAspect="1"/>
            </wp:cNvGraphicFramePr>
            <a:graphic>
              <a:graphicData uri="http://schemas.openxmlformats.org/drawingml/2006/picture">
                <pic:pic>
                  <pic:nvPicPr>
                    <pic:cNvPr id="0" name="Figure 5 - Visit experience by domain.png"/>
                    <pic:cNvPicPr/>
                  </pic:nvPicPr>
                  <pic:blipFill>
                    <a:blip r:embed="rId13"/>
                    <a:stretch>
                      <a:fillRect/>
                    </a:stretch>
                  </pic:blipFill>
                  <pic:spPr>
                    <a:xfrm>
                      <a:off x="0" y="0"/>
                      <a:ext cx="5976000" cy="3533216"/>
                    </a:xfrm>
                    <a:prstGeom prst="rect"/>
                  </pic:spPr>
                </pic:pic>
              </a:graphicData>
            </a:graphic>
          </wp:inline>
        </w:drawing>
      </w:r>
    </w:p>
    <w:p>
      <w:pPr>
        <w:spacing w:before="200" w:after="60"/>
      </w:pPr>
      <w:r>
        <w:rPr>
          <w:b/>
          <w:color w:val="1A1A1A"/>
          <w:sz w:val="19"/>
        </w:rPr>
        <w:t xml:space="preserve">Figure 5.  </w:t>
      </w:r>
      <w:r>
        <w:rPr>
          <w:color w:val="1A1A1A"/>
          <w:sz w:val="19"/>
        </w:rPr>
        <w:t>Experience of the most recent visit, grouped by domain.</w:t>
      </w:r>
    </w:p>
    <w:p>
      <w:pPr>
        <w:spacing w:before="40" w:after="220"/>
      </w:pPr>
      <w:r>
        <w:rPr>
          <w:i/>
          <w:color w:val="606060"/>
          <w:sz w:val="16"/>
        </w:rPr>
        <w:t>Markers show the percentage rating each item very good or excellent. Denominators exclude the explicit not-applicable answers and therefore differ by item and group.</w:t>
      </w:r>
    </w:p>
    <w:p>
      <w:pPr>
        <w:spacing w:after="140"/>
        <w:jc w:val="both"/>
      </w:pPr>
      <w:r>
        <w:rPr>
          <w:b w:val="0"/>
          <w:i w:val="0"/>
          <w:color w:val="1A1A1A"/>
          <w:sz w:val="21"/>
        </w:rPr>
        <w:t>Two things qualify the comparison. First, denominators move by group: nearly a third of private clinic and pharmacy users answered "no prior visit" to the continuity item, against 11.8% of private-hospital users, which shifts their estimate on that item from 58.6% of those who rated it to 40.8% of the whole group. Second, these items describe the most recent visit, which is the usual source of care for 84.3% of private-hospital users but only 64.1% of private clinic and pharmacy users. Re-attributing every item to the actual last-visit provider, and restricting to respondents whose usual and last-visit provider agree, both preserve the pattern.</w:t>
      </w:r>
    </w:p>
    <w:p>
      <w:pPr>
        <w:spacing w:before="200" w:after="60"/>
      </w:pPr>
      <w:r>
        <w:rPr>
          <w:b/>
          <w:color w:val="1A1A1A"/>
          <w:sz w:val="19"/>
        </w:rPr>
        <w:t xml:space="preserve">Table 7.  </w:t>
      </w:r>
      <w:r>
        <w:rPr>
          <w:color w:val="1A1A1A"/>
          <w:sz w:val="19"/>
        </w:rPr>
        <w:t>Structural "not applicable" answers, which change the denominator by group.</w:t>
      </w:r>
    </w:p>
    <w:p>
      <w:pPr>
        <w:spacing w:before="40" w:after="220"/>
      </w:pPr>
      <w:r>
        <w:rPr>
          <w:i/>
          <w:color w:val="606060"/>
          <w:sz w:val="16"/>
        </w:rPr>
        <w:t>These are explicit response options in the fielded instrument — "no prior visit / don’t know" on Q38e, "no other staff present" on Q38j, "cannot evaluate" on Q40 — not item non-response.</w:t>
      </w:r>
    </w:p>
    <w:tbl>
      <w:tblPr>
        <w:tblW w:type="auto" w:w="0"/>
        <w:jc w:val="center"/>
        <w:tblLayout w:type="fixed"/>
        <w:tblLook w:firstColumn="1" w:firstRow="1" w:lastColumn="0" w:lastRow="0" w:noHBand="0" w:noVBand="1" w:val="04A0"/>
        <w:tblBorders>
          <w:top w:val="single" w:sz="8" w:color="808080"/>
          <w:bottom w:val="single" w:sz="8" w:color="808080"/>
          <w:insideH w:val="single" w:sz="4" w:color="D8D8D8"/>
          <w:left w:val="none"/>
          <w:right w:val="none"/>
          <w:insideV w:val="none"/>
        </w:tblBorders>
        <w:tblLayout w:type="fixed"/>
      </w:tblPr>
      <w:tblGrid>
        <w:gridCol w:w="1606"/>
        <w:gridCol w:w="1606"/>
        <w:gridCol w:w="1606"/>
        <w:gridCol w:w="1606"/>
        <w:gridCol w:w="1606"/>
        <w:gridCol w:w="1606"/>
      </w:tblGrid>
      <w:tr>
        <w:tc>
          <w:tcPr>
            <w:tcW w:type="dxa" w:w="2494"/>
            <w:shd w:val="clear" w:fill="F2F2F0"/>
          </w:tcPr>
          <w:p>
            <w:pPr>
              <w:spacing w:after="0"/>
              <w:jc w:val="left"/>
            </w:pPr>
            <w:r/>
            <w:r>
              <w:rPr>
                <w:b/>
                <w:color w:val="1A1A1A"/>
                <w:sz w:val="15"/>
              </w:rPr>
              <w:t>Item</w:t>
            </w:r>
          </w:p>
        </w:tc>
        <w:tc>
          <w:tcPr>
            <w:tcW w:type="dxa" w:w="1361"/>
            <w:shd w:val="clear" w:fill="F2F2F0"/>
          </w:tcPr>
          <w:p>
            <w:pPr>
              <w:spacing w:after="0"/>
              <w:jc w:val="center"/>
            </w:pPr>
            <w:r/>
            <w:r>
              <w:rPr>
                <w:b/>
                <w:color w:val="1A1A1A"/>
                <w:sz w:val="15"/>
              </w:rPr>
              <w:t>Not-applicable answer</w:t>
            </w:r>
          </w:p>
        </w:tc>
        <w:tc>
          <w:tcPr>
            <w:tcW w:type="dxa" w:w="1361"/>
            <w:shd w:val="clear" w:fill="F2F2F0"/>
          </w:tcPr>
          <w:p>
            <w:pPr>
              <w:spacing w:after="0"/>
              <w:jc w:val="center"/>
            </w:pPr>
            <w:r/>
            <w:r>
              <w:rPr>
                <w:b/>
                <w:color w:val="1A1A1A"/>
                <w:sz w:val="15"/>
              </w:rPr>
              <w:t>Public</w:t>
            </w:r>
          </w:p>
          <w:p>
            <w:pPr>
              <w:spacing w:after="0"/>
              <w:jc w:val="center"/>
            </w:pPr>
            <w:r>
              <w:rPr>
                <w:b/>
                <w:color w:val="1A1A1A"/>
                <w:sz w:val="15"/>
              </w:rPr>
              <w:t>primary care</w:t>
            </w:r>
          </w:p>
        </w:tc>
        <w:tc>
          <w:tcPr>
            <w:tcW w:type="dxa" w:w="1361"/>
            <w:shd w:val="clear" w:fill="F2F2F0"/>
          </w:tcPr>
          <w:p>
            <w:pPr>
              <w:spacing w:after="0"/>
              <w:jc w:val="center"/>
            </w:pPr>
            <w:r/>
            <w:r>
              <w:rPr>
                <w:b/>
                <w:color w:val="1A1A1A"/>
                <w:sz w:val="15"/>
              </w:rPr>
              <w:t>Public</w:t>
            </w:r>
          </w:p>
          <w:p>
            <w:pPr>
              <w:spacing w:after="0"/>
              <w:jc w:val="center"/>
            </w:pPr>
            <w:r>
              <w:rPr>
                <w:b/>
                <w:color w:val="1A1A1A"/>
                <w:sz w:val="15"/>
              </w:rPr>
              <w:t>hospital OPD/ER</w:t>
            </w:r>
          </w:p>
        </w:tc>
        <w:tc>
          <w:tcPr>
            <w:tcW w:type="dxa" w:w="1361"/>
            <w:shd w:val="clear" w:fill="F2F2F0"/>
          </w:tcPr>
          <w:p>
            <w:pPr>
              <w:spacing w:after="0"/>
              <w:jc w:val="center"/>
            </w:pPr>
            <w:r/>
            <w:r>
              <w:rPr>
                <w:b/>
                <w:color w:val="1A1A1A"/>
                <w:sz w:val="15"/>
              </w:rPr>
              <w:t>Private</w:t>
            </w:r>
          </w:p>
          <w:p>
            <w:pPr>
              <w:spacing w:after="0"/>
              <w:jc w:val="center"/>
            </w:pPr>
            <w:r>
              <w:rPr>
                <w:b/>
                <w:color w:val="1A1A1A"/>
                <w:sz w:val="15"/>
              </w:rPr>
              <w:t>clinic/pharmacy</w:t>
            </w:r>
          </w:p>
        </w:tc>
        <w:tc>
          <w:tcPr>
            <w:tcW w:type="dxa" w:w="1701"/>
            <w:shd w:val="clear" w:fill="F2F2F0"/>
          </w:tcPr>
          <w:p>
            <w:pPr>
              <w:spacing w:after="0"/>
              <w:jc w:val="center"/>
            </w:pPr>
            <w:r/>
            <w:r>
              <w:rPr>
                <w:b/>
                <w:color w:val="1A1A1A"/>
                <w:sz w:val="15"/>
              </w:rPr>
              <w:t>Private</w:t>
            </w:r>
          </w:p>
          <w:p>
            <w:pPr>
              <w:spacing w:after="0"/>
              <w:jc w:val="center"/>
            </w:pPr>
            <w:r>
              <w:rPr>
                <w:b/>
                <w:color w:val="1A1A1A"/>
                <w:sz w:val="15"/>
              </w:rPr>
              <w:t>hospital OPD/ER</w:t>
            </w:r>
          </w:p>
        </w:tc>
      </w:tr>
      <w:tr>
        <w:tc>
          <w:tcPr>
            <w:tcW w:type="dxa" w:w="2494"/>
          </w:tcPr>
          <w:p>
            <w:pPr>
              <w:spacing w:after="0"/>
              <w:jc w:val="left"/>
            </w:pPr>
            <w:r/>
            <w:r>
              <w:rPr>
                <w:color w:val="1A1A1A"/>
                <w:sz w:val="15"/>
              </w:rPr>
              <w:t>Provider knew my history</w:t>
            </w:r>
          </w:p>
        </w:tc>
        <w:tc>
          <w:tcPr>
            <w:tcW w:type="dxa" w:w="1361"/>
          </w:tcPr>
          <w:p>
            <w:pPr>
              <w:spacing w:after="0"/>
              <w:jc w:val="center"/>
            </w:pPr>
            <w:r/>
            <w:r>
              <w:rPr>
                <w:color w:val="1A1A1A"/>
                <w:sz w:val="15"/>
              </w:rPr>
              <w:t>no prior visit / did not know</w:t>
            </w:r>
          </w:p>
        </w:tc>
        <w:tc>
          <w:tcPr>
            <w:tcW w:type="dxa" w:w="1361"/>
          </w:tcPr>
          <w:p>
            <w:pPr>
              <w:spacing w:after="0"/>
              <w:jc w:val="center"/>
            </w:pPr>
            <w:r/>
            <w:r>
              <w:rPr>
                <w:color w:val="1A1A1A"/>
                <w:sz w:val="15"/>
              </w:rPr>
              <w:t>78/634 (12.3)</w:t>
            </w:r>
          </w:p>
        </w:tc>
        <w:tc>
          <w:tcPr>
            <w:tcW w:type="dxa" w:w="1361"/>
          </w:tcPr>
          <w:p>
            <w:pPr>
              <w:spacing w:after="0"/>
              <w:jc w:val="center"/>
            </w:pPr>
            <w:r/>
            <w:r>
              <w:rPr>
                <w:color w:val="1A1A1A"/>
                <w:sz w:val="15"/>
              </w:rPr>
              <w:t>57/615 (9.3)</w:t>
            </w:r>
          </w:p>
        </w:tc>
        <w:tc>
          <w:tcPr>
            <w:tcW w:type="dxa" w:w="1361"/>
          </w:tcPr>
          <w:p>
            <w:pPr>
              <w:spacing w:after="0"/>
              <w:jc w:val="center"/>
            </w:pPr>
            <w:r/>
            <w:r>
              <w:rPr>
                <w:color w:val="1A1A1A"/>
                <w:sz w:val="15"/>
              </w:rPr>
              <w:t>43/142 (30.3)</w:t>
            </w:r>
          </w:p>
        </w:tc>
        <w:tc>
          <w:tcPr>
            <w:tcW w:type="dxa" w:w="1701"/>
          </w:tcPr>
          <w:p>
            <w:pPr>
              <w:spacing w:after="0"/>
              <w:jc w:val="center"/>
            </w:pPr>
            <w:r/>
            <w:r>
              <w:rPr>
                <w:color w:val="1A1A1A"/>
                <w:sz w:val="15"/>
              </w:rPr>
              <w:t>15/127 (11.8)</w:t>
            </w:r>
          </w:p>
        </w:tc>
      </w:tr>
      <w:tr>
        <w:tc>
          <w:tcPr>
            <w:tcW w:type="dxa" w:w="2494"/>
          </w:tcPr>
          <w:p>
            <w:pPr>
              <w:spacing w:after="0"/>
              <w:jc w:val="left"/>
            </w:pPr>
            <w:r/>
            <w:r>
              <w:rPr>
                <w:color w:val="1A1A1A"/>
                <w:sz w:val="15"/>
              </w:rPr>
              <w:t>Courtesy of staff</w:t>
            </w:r>
          </w:p>
        </w:tc>
        <w:tc>
          <w:tcPr>
            <w:tcW w:type="dxa" w:w="1361"/>
          </w:tcPr>
          <w:p>
            <w:pPr>
              <w:spacing w:after="0"/>
              <w:jc w:val="center"/>
            </w:pPr>
            <w:r/>
            <w:r>
              <w:rPr>
                <w:color w:val="1A1A1A"/>
                <w:sz w:val="15"/>
              </w:rPr>
              <w:t>no other staff involved</w:t>
            </w:r>
          </w:p>
        </w:tc>
        <w:tc>
          <w:tcPr>
            <w:tcW w:type="dxa" w:w="1361"/>
          </w:tcPr>
          <w:p>
            <w:pPr>
              <w:spacing w:after="0"/>
              <w:jc w:val="center"/>
            </w:pPr>
            <w:r/>
            <w:r>
              <w:rPr>
                <w:color w:val="1A1A1A"/>
                <w:sz w:val="15"/>
              </w:rPr>
              <w:t>65/634 (10.3)</w:t>
            </w:r>
          </w:p>
        </w:tc>
        <w:tc>
          <w:tcPr>
            <w:tcW w:type="dxa" w:w="1361"/>
          </w:tcPr>
          <w:p>
            <w:pPr>
              <w:spacing w:after="0"/>
              <w:jc w:val="center"/>
            </w:pPr>
            <w:r/>
            <w:r>
              <w:rPr>
                <w:color w:val="1A1A1A"/>
                <w:sz w:val="15"/>
              </w:rPr>
              <w:t>55/615 (8.9)</w:t>
            </w:r>
          </w:p>
        </w:tc>
        <w:tc>
          <w:tcPr>
            <w:tcW w:type="dxa" w:w="1361"/>
          </w:tcPr>
          <w:p>
            <w:pPr>
              <w:spacing w:after="0"/>
              <w:jc w:val="center"/>
            </w:pPr>
            <w:r/>
            <w:r>
              <w:rPr>
                <w:color w:val="1A1A1A"/>
                <w:sz w:val="15"/>
              </w:rPr>
              <w:t>24/142 (16.9)</w:t>
            </w:r>
          </w:p>
        </w:tc>
        <w:tc>
          <w:tcPr>
            <w:tcW w:type="dxa" w:w="1701"/>
          </w:tcPr>
          <w:p>
            <w:pPr>
              <w:spacing w:after="0"/>
              <w:jc w:val="center"/>
            </w:pPr>
            <w:r/>
            <w:r>
              <w:rPr>
                <w:color w:val="1A1A1A"/>
                <w:sz w:val="15"/>
              </w:rPr>
              <w:t>8/127 (6.3)</w:t>
            </w:r>
          </w:p>
        </w:tc>
      </w:tr>
      <w:tr>
        <w:tc>
          <w:tcPr>
            <w:tcW w:type="dxa" w:w="2494"/>
          </w:tcPr>
          <w:p>
            <w:pPr>
              <w:spacing w:after="0"/>
              <w:jc w:val="left"/>
            </w:pPr>
            <w:r/>
            <w:r>
              <w:rPr>
                <w:color w:val="1A1A1A"/>
                <w:sz w:val="15"/>
              </w:rPr>
              <w:t>Q40a maternal</w:t>
            </w:r>
          </w:p>
        </w:tc>
        <w:tc>
          <w:tcPr>
            <w:tcW w:type="dxa" w:w="1361"/>
          </w:tcPr>
          <w:p>
            <w:pPr>
              <w:spacing w:after="0"/>
              <w:jc w:val="center"/>
            </w:pPr>
            <w:r/>
            <w:r>
              <w:rPr>
                <w:color w:val="1A1A1A"/>
                <w:sz w:val="15"/>
              </w:rPr>
              <w:t>cannot evaluate</w:t>
            </w:r>
          </w:p>
        </w:tc>
        <w:tc>
          <w:tcPr>
            <w:tcW w:type="dxa" w:w="1361"/>
          </w:tcPr>
          <w:p>
            <w:pPr>
              <w:spacing w:after="0"/>
              <w:jc w:val="center"/>
            </w:pPr>
            <w:r/>
            <w:r>
              <w:rPr>
                <w:color w:val="1A1A1A"/>
                <w:sz w:val="15"/>
              </w:rPr>
              <w:t>96/634 (15.1)</w:t>
            </w:r>
          </w:p>
        </w:tc>
        <w:tc>
          <w:tcPr>
            <w:tcW w:type="dxa" w:w="1361"/>
          </w:tcPr>
          <w:p>
            <w:pPr>
              <w:spacing w:after="0"/>
              <w:jc w:val="center"/>
            </w:pPr>
            <w:r/>
            <w:r>
              <w:rPr>
                <w:color w:val="1A1A1A"/>
                <w:sz w:val="15"/>
              </w:rPr>
              <w:t>121/615 (19.7)</w:t>
            </w:r>
          </w:p>
        </w:tc>
        <w:tc>
          <w:tcPr>
            <w:tcW w:type="dxa" w:w="1361"/>
          </w:tcPr>
          <w:p>
            <w:pPr>
              <w:spacing w:after="0"/>
              <w:jc w:val="center"/>
            </w:pPr>
            <w:r/>
            <w:r>
              <w:rPr>
                <w:color w:val="1A1A1A"/>
                <w:sz w:val="15"/>
              </w:rPr>
              <w:t>23/142 (16.2)</w:t>
            </w:r>
          </w:p>
        </w:tc>
        <w:tc>
          <w:tcPr>
            <w:tcW w:type="dxa" w:w="1701"/>
          </w:tcPr>
          <w:p>
            <w:pPr>
              <w:spacing w:after="0"/>
              <w:jc w:val="center"/>
            </w:pPr>
            <w:r/>
            <w:r>
              <w:rPr>
                <w:color w:val="1A1A1A"/>
                <w:sz w:val="15"/>
              </w:rPr>
              <w:t>20/127 (15.7)</w:t>
            </w:r>
          </w:p>
        </w:tc>
      </w:tr>
      <w:tr>
        <w:tc>
          <w:tcPr>
            <w:tcW w:type="dxa" w:w="2494"/>
          </w:tcPr>
          <w:p>
            <w:pPr>
              <w:spacing w:after="0"/>
              <w:jc w:val="left"/>
            </w:pPr>
            <w:r/>
            <w:r>
              <w:rPr>
                <w:color w:val="1A1A1A"/>
                <w:sz w:val="15"/>
              </w:rPr>
              <w:t>Q40b child</w:t>
            </w:r>
          </w:p>
        </w:tc>
        <w:tc>
          <w:tcPr>
            <w:tcW w:type="dxa" w:w="1361"/>
          </w:tcPr>
          <w:p>
            <w:pPr>
              <w:spacing w:after="0"/>
              <w:jc w:val="center"/>
            </w:pPr>
            <w:r/>
            <w:r>
              <w:rPr>
                <w:color w:val="1A1A1A"/>
                <w:sz w:val="15"/>
              </w:rPr>
              <w:t>cannot evaluate</w:t>
            </w:r>
          </w:p>
        </w:tc>
        <w:tc>
          <w:tcPr>
            <w:tcW w:type="dxa" w:w="1361"/>
          </w:tcPr>
          <w:p>
            <w:pPr>
              <w:spacing w:after="0"/>
              <w:jc w:val="center"/>
            </w:pPr>
            <w:r/>
            <w:r>
              <w:rPr>
                <w:color w:val="1A1A1A"/>
                <w:sz w:val="15"/>
              </w:rPr>
              <w:t>83/634 (13.1)</w:t>
            </w:r>
          </w:p>
        </w:tc>
        <w:tc>
          <w:tcPr>
            <w:tcW w:type="dxa" w:w="1361"/>
          </w:tcPr>
          <w:p>
            <w:pPr>
              <w:spacing w:after="0"/>
              <w:jc w:val="center"/>
            </w:pPr>
            <w:r/>
            <w:r>
              <w:rPr>
                <w:color w:val="1A1A1A"/>
                <w:sz w:val="15"/>
              </w:rPr>
              <w:t>98/615 (15.9)</w:t>
            </w:r>
          </w:p>
        </w:tc>
        <w:tc>
          <w:tcPr>
            <w:tcW w:type="dxa" w:w="1361"/>
          </w:tcPr>
          <w:p>
            <w:pPr>
              <w:spacing w:after="0"/>
              <w:jc w:val="center"/>
            </w:pPr>
            <w:r/>
            <w:r>
              <w:rPr>
                <w:color w:val="1A1A1A"/>
                <w:sz w:val="15"/>
              </w:rPr>
              <w:t>21/142 (14.8)</w:t>
            </w:r>
          </w:p>
        </w:tc>
        <w:tc>
          <w:tcPr>
            <w:tcW w:type="dxa" w:w="1701"/>
          </w:tcPr>
          <w:p>
            <w:pPr>
              <w:spacing w:after="0"/>
              <w:jc w:val="center"/>
            </w:pPr>
            <w:r/>
            <w:r>
              <w:rPr>
                <w:color w:val="1A1A1A"/>
                <w:sz w:val="15"/>
              </w:rPr>
              <w:t>17/127 (13.4)</w:t>
            </w:r>
          </w:p>
        </w:tc>
      </w:tr>
      <w:tr>
        <w:tc>
          <w:tcPr>
            <w:tcW w:type="dxa" w:w="2494"/>
          </w:tcPr>
          <w:p>
            <w:pPr>
              <w:spacing w:after="0"/>
              <w:jc w:val="left"/>
            </w:pPr>
            <w:r/>
            <w:r>
              <w:rPr>
                <w:color w:val="1A1A1A"/>
                <w:sz w:val="15"/>
              </w:rPr>
              <w:t>Q40c chronic</w:t>
            </w:r>
          </w:p>
        </w:tc>
        <w:tc>
          <w:tcPr>
            <w:tcW w:type="dxa" w:w="1361"/>
          </w:tcPr>
          <w:p>
            <w:pPr>
              <w:spacing w:after="0"/>
              <w:jc w:val="center"/>
            </w:pPr>
            <w:r/>
            <w:r>
              <w:rPr>
                <w:color w:val="1A1A1A"/>
                <w:sz w:val="15"/>
              </w:rPr>
              <w:t>cannot evaluate</w:t>
            </w:r>
          </w:p>
        </w:tc>
        <w:tc>
          <w:tcPr>
            <w:tcW w:type="dxa" w:w="1361"/>
          </w:tcPr>
          <w:p>
            <w:pPr>
              <w:spacing w:after="0"/>
              <w:jc w:val="center"/>
            </w:pPr>
            <w:r/>
            <w:r>
              <w:rPr>
                <w:color w:val="1A1A1A"/>
                <w:sz w:val="15"/>
              </w:rPr>
              <w:t>66/634 (10.4)</w:t>
            </w:r>
          </w:p>
        </w:tc>
        <w:tc>
          <w:tcPr>
            <w:tcW w:type="dxa" w:w="1361"/>
          </w:tcPr>
          <w:p>
            <w:pPr>
              <w:spacing w:after="0"/>
              <w:jc w:val="center"/>
            </w:pPr>
            <w:r/>
            <w:r>
              <w:rPr>
                <w:color w:val="1A1A1A"/>
                <w:sz w:val="15"/>
              </w:rPr>
              <w:t>59/615 (9.6)</w:t>
            </w:r>
          </w:p>
        </w:tc>
        <w:tc>
          <w:tcPr>
            <w:tcW w:type="dxa" w:w="1361"/>
          </w:tcPr>
          <w:p>
            <w:pPr>
              <w:spacing w:after="0"/>
              <w:jc w:val="center"/>
            </w:pPr>
            <w:r/>
            <w:r>
              <w:rPr>
                <w:color w:val="1A1A1A"/>
                <w:sz w:val="15"/>
              </w:rPr>
              <w:t>13/142 (9.2)</w:t>
            </w:r>
          </w:p>
        </w:tc>
        <w:tc>
          <w:tcPr>
            <w:tcW w:type="dxa" w:w="1701"/>
          </w:tcPr>
          <w:p>
            <w:pPr>
              <w:spacing w:after="0"/>
              <w:jc w:val="center"/>
            </w:pPr>
            <w:r/>
            <w:r>
              <w:rPr>
                <w:color w:val="1A1A1A"/>
                <w:sz w:val="15"/>
              </w:rPr>
              <w:t>10/127 (7.9)</w:t>
            </w:r>
          </w:p>
        </w:tc>
      </w:tr>
      <w:tr>
        <w:tc>
          <w:tcPr>
            <w:tcW w:type="dxa" w:w="2494"/>
          </w:tcPr>
          <w:p>
            <w:pPr>
              <w:spacing w:after="0"/>
              <w:jc w:val="left"/>
            </w:pPr>
            <w:r/>
            <w:r>
              <w:rPr>
                <w:color w:val="1A1A1A"/>
                <w:sz w:val="15"/>
              </w:rPr>
              <w:t>Q40d mental health</w:t>
            </w:r>
          </w:p>
        </w:tc>
        <w:tc>
          <w:tcPr>
            <w:tcW w:type="dxa" w:w="1361"/>
          </w:tcPr>
          <w:p>
            <w:pPr>
              <w:spacing w:after="0"/>
              <w:jc w:val="center"/>
            </w:pPr>
            <w:r/>
            <w:r>
              <w:rPr>
                <w:color w:val="1A1A1A"/>
                <w:sz w:val="15"/>
              </w:rPr>
              <w:t>cannot evaluate</w:t>
            </w:r>
          </w:p>
        </w:tc>
        <w:tc>
          <w:tcPr>
            <w:tcW w:type="dxa" w:w="1361"/>
          </w:tcPr>
          <w:p>
            <w:pPr>
              <w:spacing w:after="0"/>
              <w:jc w:val="center"/>
            </w:pPr>
            <w:r/>
            <w:r>
              <w:rPr>
                <w:color w:val="1A1A1A"/>
                <w:sz w:val="15"/>
              </w:rPr>
              <w:t>94/634 (14.8)</w:t>
            </w:r>
          </w:p>
        </w:tc>
        <w:tc>
          <w:tcPr>
            <w:tcW w:type="dxa" w:w="1361"/>
          </w:tcPr>
          <w:p>
            <w:pPr>
              <w:spacing w:after="0"/>
              <w:jc w:val="center"/>
            </w:pPr>
            <w:r/>
            <w:r>
              <w:rPr>
                <w:color w:val="1A1A1A"/>
                <w:sz w:val="15"/>
              </w:rPr>
              <w:t>128/615 (20.8)</w:t>
            </w:r>
          </w:p>
        </w:tc>
        <w:tc>
          <w:tcPr>
            <w:tcW w:type="dxa" w:w="1361"/>
          </w:tcPr>
          <w:p>
            <w:pPr>
              <w:spacing w:after="0"/>
              <w:jc w:val="center"/>
            </w:pPr>
            <w:r/>
            <w:r>
              <w:rPr>
                <w:color w:val="1A1A1A"/>
                <w:sz w:val="15"/>
              </w:rPr>
              <w:t>23/142 (16.2)</w:t>
            </w:r>
          </w:p>
        </w:tc>
        <w:tc>
          <w:tcPr>
            <w:tcW w:type="dxa" w:w="1701"/>
          </w:tcPr>
          <w:p>
            <w:pPr>
              <w:spacing w:after="0"/>
              <w:jc w:val="center"/>
            </w:pPr>
            <w:r/>
            <w:r>
              <w:rPr>
                <w:color w:val="1A1A1A"/>
                <w:sz w:val="15"/>
              </w:rPr>
              <w:t>16/127 (12.6)</w:t>
            </w:r>
          </w:p>
        </w:tc>
      </w:tr>
    </w:tbl>
    <w:p>
      <w:r>
        <w:br w:type="page"/>
      </w:r>
    </w:p>
    <w:p>
      <w:pPr>
        <w:spacing w:before="200" w:after="60"/>
      </w:pPr>
      <w:r>
        <w:rPr>
          <w:b/>
          <w:color w:val="1A1A1A"/>
          <w:sz w:val="19"/>
        </w:rPr>
        <w:t xml:space="preserve">Table 8.  </w:t>
      </w:r>
      <w:r>
        <w:rPr>
          <w:color w:val="1A1A1A"/>
          <w:sz w:val="19"/>
        </w:rPr>
        <w:t>Adjusted odds of rating each experience item very good or excellent.</w:t>
      </w:r>
    </w:p>
    <w:p>
      <w:pPr>
        <w:spacing w:before="40" w:after="220"/>
      </w:pPr>
      <w:r>
        <w:rPr>
          <w:i/>
          <w:color w:val="606060"/>
          <w:sz w:val="16"/>
        </w:rPr>
        <w:t>Reference is public hospital OPD/ER. Covariates as in Table 5; cluster-robust standard errors. Bold marks BH-adjusted p &lt; 0.05 within the 11-item family.</w:t>
      </w:r>
    </w:p>
    <w:tbl>
      <w:tblPr>
        <w:tblW w:type="auto" w:w="0"/>
        <w:jc w:val="center"/>
        <w:tblLayout w:type="fixed"/>
        <w:tblLook w:firstColumn="1" w:firstRow="1" w:lastColumn="0" w:lastRow="0" w:noHBand="0" w:noVBand="1" w:val="04A0"/>
        <w:tblBorders>
          <w:top w:val="single" w:sz="8" w:color="808080"/>
          <w:bottom w:val="single" w:sz="8" w:color="808080"/>
          <w:insideH w:val="single" w:sz="4" w:color="D8D8D8"/>
          <w:left w:val="none"/>
          <w:right w:val="none"/>
          <w:insideV w:val="none"/>
        </w:tblBorders>
        <w:tblLayout w:type="fixed"/>
      </w:tblPr>
      <w:tblGrid>
        <w:gridCol w:w="1377"/>
        <w:gridCol w:w="1377"/>
        <w:gridCol w:w="1377"/>
        <w:gridCol w:w="1377"/>
        <w:gridCol w:w="1377"/>
        <w:gridCol w:w="1377"/>
        <w:gridCol w:w="1377"/>
      </w:tblGrid>
      <w:tr>
        <w:tc>
          <w:tcPr>
            <w:tcW w:type="dxa" w:w="3628"/>
            <w:shd w:val="clear" w:fill="F2F2F0"/>
          </w:tcPr>
          <w:p>
            <w:pPr>
              <w:spacing w:after="0"/>
              <w:jc w:val="left"/>
            </w:pPr>
            <w:r/>
            <w:r>
              <w:rPr>
                <w:b/>
                <w:color w:val="1A1A1A"/>
                <w:sz w:val="15"/>
              </w:rPr>
              <w:t>Outcome</w:t>
            </w:r>
          </w:p>
        </w:tc>
        <w:tc>
          <w:tcPr>
            <w:tcW w:type="dxa" w:w="1043"/>
            <w:shd w:val="clear" w:fill="F2F2F0"/>
          </w:tcPr>
          <w:p>
            <w:pPr>
              <w:spacing w:after="0"/>
              <w:jc w:val="center"/>
            </w:pPr>
            <w:r/>
            <w:r>
              <w:rPr>
                <w:b/>
                <w:color w:val="1A1A1A"/>
                <w:sz w:val="15"/>
              </w:rPr>
              <w:t>aOR (95% CI)</w:t>
            </w:r>
          </w:p>
        </w:tc>
        <w:tc>
          <w:tcPr>
            <w:tcW w:type="dxa" w:w="1043"/>
            <w:shd w:val="clear" w:fill="F2F2F0"/>
          </w:tcPr>
          <w:p>
            <w:pPr>
              <w:spacing w:after="0"/>
              <w:jc w:val="center"/>
            </w:pPr>
            <w:r/>
            <w:r>
              <w:rPr>
                <w:b/>
                <w:color w:val="1A1A1A"/>
                <w:sz w:val="15"/>
              </w:rPr>
              <w:t>p</w:t>
            </w:r>
          </w:p>
        </w:tc>
        <w:tc>
          <w:tcPr>
            <w:tcW w:type="dxa" w:w="1043"/>
            <w:shd w:val="clear" w:fill="F2F2F0"/>
          </w:tcPr>
          <w:p>
            <w:pPr>
              <w:spacing w:after="0"/>
              <w:jc w:val="center"/>
            </w:pPr>
            <w:r/>
            <w:r>
              <w:rPr>
                <w:b/>
                <w:color w:val="1A1A1A"/>
                <w:sz w:val="15"/>
              </w:rPr>
              <w:t>p (BH within family)</w:t>
            </w:r>
          </w:p>
        </w:tc>
        <w:tc>
          <w:tcPr>
            <w:tcW w:type="dxa" w:w="1043"/>
            <w:shd w:val="clear" w:fill="F2F2F0"/>
          </w:tcPr>
          <w:p>
            <w:pPr>
              <w:spacing w:after="0"/>
              <w:jc w:val="center"/>
            </w:pPr>
            <w:r/>
            <w:r>
              <w:rPr>
                <w:b/>
                <w:color w:val="1A1A1A"/>
                <w:sz w:val="15"/>
              </w:rPr>
              <w:t>Diff (pp)</w:t>
            </w:r>
          </w:p>
        </w:tc>
        <w:tc>
          <w:tcPr>
            <w:tcW w:type="dxa" w:w="1043"/>
            <w:shd w:val="clear" w:fill="F2F2F0"/>
          </w:tcPr>
          <w:p>
            <w:pPr>
              <w:spacing w:after="0"/>
              <w:jc w:val="center"/>
            </w:pPr>
            <w:r/>
            <w:r>
              <w:rPr>
                <w:b/>
                <w:color w:val="1A1A1A"/>
                <w:sz w:val="15"/>
              </w:rPr>
              <w:t>events</w:t>
            </w:r>
          </w:p>
        </w:tc>
        <w:tc>
          <w:tcPr>
            <w:tcW w:type="dxa" w:w="794"/>
            <w:shd w:val="clear" w:fill="F2F2F0"/>
          </w:tcPr>
          <w:p>
            <w:pPr>
              <w:spacing w:after="0"/>
              <w:jc w:val="center"/>
            </w:pPr>
            <w:r/>
            <w:r>
              <w:rPr>
                <w:b/>
                <w:color w:val="1A1A1A"/>
                <w:sz w:val="15"/>
              </w:rPr>
              <w:t>group n</w:t>
            </w:r>
          </w:p>
        </w:tc>
      </w:tr>
      <w:tr>
        <w:tc>
          <w:tcPr>
            <w:tcW w:type="dxa" w:w="3628"/>
          </w:tcPr>
          <w:p>
            <w:pPr>
              <w:spacing w:after="0"/>
              <w:jc w:val="left"/>
            </w:pPr>
            <w:r/>
            <w:r>
              <w:rPr>
                <w:color w:val="1A1A1A"/>
                <w:sz w:val="15"/>
              </w:rPr>
              <w:t>Global rating — Overall experience</w:t>
            </w:r>
          </w:p>
        </w:tc>
        <w:tc>
          <w:tcPr>
            <w:tcW w:type="dxa" w:w="1043"/>
          </w:tcPr>
          <w:p>
            <w:pPr>
              <w:spacing w:after="0"/>
              <w:jc w:val="center"/>
            </w:pPr>
            <w:r/>
            <w:r>
              <w:rPr>
                <w:b/>
                <w:color w:val="A8400C"/>
                <w:sz w:val="15"/>
              </w:rPr>
              <w:t>2.24 (1.33–3.77)</w:t>
            </w:r>
          </w:p>
        </w:tc>
        <w:tc>
          <w:tcPr>
            <w:tcW w:type="dxa" w:w="1043"/>
          </w:tcPr>
          <w:p>
            <w:pPr>
              <w:spacing w:after="0"/>
              <w:jc w:val="center"/>
            </w:pPr>
            <w:r/>
            <w:r>
              <w:rPr>
                <w:b/>
                <w:color w:val="A8400C"/>
                <w:sz w:val="15"/>
              </w:rPr>
              <w:t>0.002</w:t>
            </w:r>
          </w:p>
        </w:tc>
        <w:tc>
          <w:tcPr>
            <w:tcW w:type="dxa" w:w="1043"/>
          </w:tcPr>
          <w:p>
            <w:pPr>
              <w:spacing w:after="0"/>
              <w:jc w:val="center"/>
            </w:pPr>
            <w:r/>
            <w:r>
              <w:rPr>
                <w:b/>
                <w:color w:val="A8400C"/>
                <w:sz w:val="15"/>
              </w:rPr>
              <w:t>0.008</w:t>
            </w:r>
          </w:p>
        </w:tc>
        <w:tc>
          <w:tcPr>
            <w:tcW w:type="dxa" w:w="1043"/>
          </w:tcPr>
          <w:p>
            <w:pPr>
              <w:spacing w:after="0"/>
              <w:jc w:val="center"/>
            </w:pPr>
            <w:r/>
            <w:r>
              <w:rPr>
                <w:b/>
                <w:color w:val="A8400C"/>
                <w:sz w:val="15"/>
              </w:rPr>
              <w:t>17.805</w:t>
            </w:r>
          </w:p>
        </w:tc>
        <w:tc>
          <w:tcPr>
            <w:tcW w:type="dxa" w:w="1043"/>
          </w:tcPr>
          <w:p>
            <w:pPr>
              <w:spacing w:after="0"/>
              <w:jc w:val="center"/>
            </w:pPr>
            <w:r/>
            <w:r>
              <w:rPr>
                <w:b/>
                <w:color w:val="A8400C"/>
                <w:sz w:val="15"/>
              </w:rPr>
              <w:t>72</w:t>
            </w:r>
          </w:p>
        </w:tc>
        <w:tc>
          <w:tcPr>
            <w:tcW w:type="dxa" w:w="794"/>
          </w:tcPr>
          <w:p>
            <w:pPr>
              <w:spacing w:after="0"/>
              <w:jc w:val="center"/>
            </w:pPr>
            <w:r/>
            <w:r>
              <w:rPr>
                <w:b/>
                <w:color w:val="A8400C"/>
                <w:sz w:val="15"/>
              </w:rPr>
              <w:t>126</w:t>
            </w:r>
          </w:p>
        </w:tc>
      </w:tr>
      <w:tr>
        <w:tc>
          <w:tcPr>
            <w:tcW w:type="dxa" w:w="3628"/>
          </w:tcPr>
          <w:p>
            <w:pPr>
              <w:spacing w:after="0"/>
              <w:jc w:val="left"/>
            </w:pPr>
            <w:r/>
            <w:r>
              <w:rPr>
                <w:color w:val="1A1A1A"/>
                <w:sz w:val="15"/>
              </w:rPr>
              <w:t>Perceived competence &amp; readiness — Provider knowledge and skill</w:t>
            </w:r>
          </w:p>
        </w:tc>
        <w:tc>
          <w:tcPr>
            <w:tcW w:type="dxa" w:w="1043"/>
          </w:tcPr>
          <w:p>
            <w:pPr>
              <w:spacing w:after="0"/>
              <w:jc w:val="center"/>
            </w:pPr>
            <w:r/>
            <w:r>
              <w:rPr>
                <w:color w:val="1A1A1A"/>
                <w:sz w:val="15"/>
              </w:rPr>
              <w:t>1.38 (0.83–2.31)</w:t>
            </w:r>
          </w:p>
        </w:tc>
        <w:tc>
          <w:tcPr>
            <w:tcW w:type="dxa" w:w="1043"/>
          </w:tcPr>
          <w:p>
            <w:pPr>
              <w:spacing w:after="0"/>
              <w:jc w:val="center"/>
            </w:pPr>
            <w:r/>
            <w:r>
              <w:rPr>
                <w:color w:val="1A1A1A"/>
                <w:sz w:val="15"/>
              </w:rPr>
              <w:t>0.214</w:t>
            </w:r>
          </w:p>
        </w:tc>
        <w:tc>
          <w:tcPr>
            <w:tcW w:type="dxa" w:w="1043"/>
          </w:tcPr>
          <w:p>
            <w:pPr>
              <w:spacing w:after="0"/>
              <w:jc w:val="center"/>
            </w:pPr>
            <w:r/>
            <w:r>
              <w:rPr>
                <w:color w:val="1A1A1A"/>
                <w:sz w:val="15"/>
              </w:rPr>
              <w:t>0.282</w:t>
            </w:r>
          </w:p>
        </w:tc>
        <w:tc>
          <w:tcPr>
            <w:tcW w:type="dxa" w:w="1043"/>
          </w:tcPr>
          <w:p>
            <w:pPr>
              <w:spacing w:after="0"/>
              <w:jc w:val="center"/>
            </w:pPr>
            <w:r/>
            <w:r>
              <w:rPr>
                <w:color w:val="1A1A1A"/>
                <w:sz w:val="15"/>
              </w:rPr>
              <w:t>7.787</w:t>
            </w:r>
          </w:p>
        </w:tc>
        <w:tc>
          <w:tcPr>
            <w:tcW w:type="dxa" w:w="1043"/>
          </w:tcPr>
          <w:p>
            <w:pPr>
              <w:spacing w:after="0"/>
              <w:jc w:val="center"/>
            </w:pPr>
            <w:r/>
            <w:r>
              <w:rPr>
                <w:color w:val="1A1A1A"/>
                <w:sz w:val="15"/>
              </w:rPr>
              <w:t>75</w:t>
            </w:r>
          </w:p>
        </w:tc>
        <w:tc>
          <w:tcPr>
            <w:tcW w:type="dxa" w:w="794"/>
          </w:tcPr>
          <w:p>
            <w:pPr>
              <w:spacing w:after="0"/>
              <w:jc w:val="center"/>
            </w:pPr>
            <w:r/>
            <w:r>
              <w:rPr>
                <w:color w:val="1A1A1A"/>
                <w:sz w:val="15"/>
              </w:rPr>
              <w:t>126</w:t>
            </w:r>
          </w:p>
        </w:tc>
      </w:tr>
      <w:tr>
        <w:tc>
          <w:tcPr>
            <w:tcW w:type="dxa" w:w="3628"/>
          </w:tcPr>
          <w:p>
            <w:pPr>
              <w:spacing w:after="0"/>
              <w:jc w:val="left"/>
            </w:pPr>
            <w:r/>
            <w:r>
              <w:rPr>
                <w:color w:val="1A1A1A"/>
                <w:sz w:val="15"/>
              </w:rPr>
              <w:t>Perceived competence &amp; readiness — Equipment and supplies ready</w:t>
            </w:r>
          </w:p>
        </w:tc>
        <w:tc>
          <w:tcPr>
            <w:tcW w:type="dxa" w:w="1043"/>
          </w:tcPr>
          <w:p>
            <w:pPr>
              <w:spacing w:after="0"/>
              <w:jc w:val="center"/>
            </w:pPr>
            <w:r/>
            <w:r>
              <w:rPr>
                <w:color w:val="1A1A1A"/>
                <w:sz w:val="15"/>
              </w:rPr>
              <w:t>1.11 (0.69–1.78)</w:t>
            </w:r>
          </w:p>
        </w:tc>
        <w:tc>
          <w:tcPr>
            <w:tcW w:type="dxa" w:w="1043"/>
          </w:tcPr>
          <w:p>
            <w:pPr>
              <w:spacing w:after="0"/>
              <w:jc w:val="center"/>
            </w:pPr>
            <w:r/>
            <w:r>
              <w:rPr>
                <w:color w:val="1A1A1A"/>
                <w:sz w:val="15"/>
              </w:rPr>
              <w:t>0.674</w:t>
            </w:r>
          </w:p>
        </w:tc>
        <w:tc>
          <w:tcPr>
            <w:tcW w:type="dxa" w:w="1043"/>
          </w:tcPr>
          <w:p>
            <w:pPr>
              <w:spacing w:after="0"/>
              <w:jc w:val="center"/>
            </w:pPr>
            <w:r/>
            <w:r>
              <w:rPr>
                <w:color w:val="1A1A1A"/>
                <w:sz w:val="15"/>
              </w:rPr>
              <w:t>0.695</w:t>
            </w:r>
          </w:p>
        </w:tc>
        <w:tc>
          <w:tcPr>
            <w:tcW w:type="dxa" w:w="1043"/>
          </w:tcPr>
          <w:p>
            <w:pPr>
              <w:spacing w:after="0"/>
              <w:jc w:val="center"/>
            </w:pPr>
            <w:r/>
            <w:r>
              <w:rPr>
                <w:color w:val="1A1A1A"/>
                <w:sz w:val="15"/>
              </w:rPr>
              <w:t>2.41</w:t>
            </w:r>
          </w:p>
        </w:tc>
        <w:tc>
          <w:tcPr>
            <w:tcW w:type="dxa" w:w="1043"/>
          </w:tcPr>
          <w:p>
            <w:pPr>
              <w:spacing w:after="0"/>
              <w:jc w:val="center"/>
            </w:pPr>
            <w:r/>
            <w:r>
              <w:rPr>
                <w:color w:val="1A1A1A"/>
                <w:sz w:val="15"/>
              </w:rPr>
              <w:t>74</w:t>
            </w:r>
          </w:p>
        </w:tc>
        <w:tc>
          <w:tcPr>
            <w:tcW w:type="dxa" w:w="794"/>
          </w:tcPr>
          <w:p>
            <w:pPr>
              <w:spacing w:after="0"/>
              <w:jc w:val="center"/>
            </w:pPr>
            <w:r/>
            <w:r>
              <w:rPr>
                <w:color w:val="1A1A1A"/>
                <w:sz w:val="15"/>
              </w:rPr>
              <w:t>126</w:t>
            </w:r>
          </w:p>
        </w:tc>
      </w:tr>
      <w:tr>
        <w:tc>
          <w:tcPr>
            <w:tcW w:type="dxa" w:w="3628"/>
          </w:tcPr>
          <w:p>
            <w:pPr>
              <w:spacing w:after="0"/>
              <w:jc w:val="left"/>
            </w:pPr>
            <w:r/>
            <w:r>
              <w:rPr>
                <w:color w:val="1A1A1A"/>
                <w:sz w:val="15"/>
              </w:rPr>
              <w:t>Interpersonal — Treated with respect</w:t>
            </w:r>
          </w:p>
        </w:tc>
        <w:tc>
          <w:tcPr>
            <w:tcW w:type="dxa" w:w="1043"/>
          </w:tcPr>
          <w:p>
            <w:pPr>
              <w:spacing w:after="0"/>
              <w:jc w:val="center"/>
            </w:pPr>
            <w:r/>
            <w:r>
              <w:rPr>
                <w:b/>
                <w:color w:val="A8400C"/>
                <w:sz w:val="15"/>
              </w:rPr>
              <w:t>2.00 (1.21–3.31)</w:t>
            </w:r>
          </w:p>
        </w:tc>
        <w:tc>
          <w:tcPr>
            <w:tcW w:type="dxa" w:w="1043"/>
          </w:tcPr>
          <w:p>
            <w:pPr>
              <w:spacing w:after="0"/>
              <w:jc w:val="center"/>
            </w:pPr>
            <w:r/>
            <w:r>
              <w:rPr>
                <w:b/>
                <w:color w:val="A8400C"/>
                <w:sz w:val="15"/>
              </w:rPr>
              <w:t>0.007</w:t>
            </w:r>
          </w:p>
        </w:tc>
        <w:tc>
          <w:tcPr>
            <w:tcW w:type="dxa" w:w="1043"/>
          </w:tcPr>
          <w:p>
            <w:pPr>
              <w:spacing w:after="0"/>
              <w:jc w:val="center"/>
            </w:pPr>
            <w:r/>
            <w:r>
              <w:rPr>
                <w:b/>
                <w:color w:val="A8400C"/>
                <w:sz w:val="15"/>
              </w:rPr>
              <w:t>0.016</w:t>
            </w:r>
          </w:p>
        </w:tc>
        <w:tc>
          <w:tcPr>
            <w:tcW w:type="dxa" w:w="1043"/>
          </w:tcPr>
          <w:p>
            <w:pPr>
              <w:spacing w:after="0"/>
              <w:jc w:val="center"/>
            </w:pPr>
            <w:r/>
            <w:r>
              <w:rPr>
                <w:b/>
                <w:color w:val="A8400C"/>
                <w:sz w:val="15"/>
              </w:rPr>
              <w:t>15.744</w:t>
            </w:r>
          </w:p>
        </w:tc>
        <w:tc>
          <w:tcPr>
            <w:tcW w:type="dxa" w:w="1043"/>
          </w:tcPr>
          <w:p>
            <w:pPr>
              <w:spacing w:after="0"/>
              <w:jc w:val="center"/>
            </w:pPr>
            <w:r/>
            <w:r>
              <w:rPr>
                <w:b/>
                <w:color w:val="A8400C"/>
                <w:sz w:val="15"/>
              </w:rPr>
              <w:t>73</w:t>
            </w:r>
          </w:p>
        </w:tc>
        <w:tc>
          <w:tcPr>
            <w:tcW w:type="dxa" w:w="794"/>
          </w:tcPr>
          <w:p>
            <w:pPr>
              <w:spacing w:after="0"/>
              <w:jc w:val="center"/>
            </w:pPr>
            <w:r/>
            <w:r>
              <w:rPr>
                <w:b/>
                <w:color w:val="A8400C"/>
                <w:sz w:val="15"/>
              </w:rPr>
              <w:t>126</w:t>
            </w:r>
          </w:p>
        </w:tc>
      </w:tr>
      <w:tr>
        <w:tc>
          <w:tcPr>
            <w:tcW w:type="dxa" w:w="3628"/>
          </w:tcPr>
          <w:p>
            <w:pPr>
              <w:spacing w:after="0"/>
              <w:jc w:val="left"/>
            </w:pPr>
            <w:r/>
            <w:r>
              <w:rPr>
                <w:color w:val="1A1A1A"/>
                <w:sz w:val="15"/>
              </w:rPr>
              <w:t>Continuity — Provider knew my history</w:t>
            </w:r>
          </w:p>
        </w:tc>
        <w:tc>
          <w:tcPr>
            <w:tcW w:type="dxa" w:w="1043"/>
          </w:tcPr>
          <w:p>
            <w:pPr>
              <w:spacing w:after="0"/>
              <w:jc w:val="center"/>
            </w:pPr>
            <w:r/>
            <w:r>
              <w:rPr>
                <w:b/>
                <w:color w:val="A8400C"/>
                <w:sz w:val="15"/>
              </w:rPr>
              <w:t>3.16 (1.91–5.25)</w:t>
            </w:r>
          </w:p>
        </w:tc>
        <w:tc>
          <w:tcPr>
            <w:tcW w:type="dxa" w:w="1043"/>
          </w:tcPr>
          <w:p>
            <w:pPr>
              <w:spacing w:after="0"/>
              <w:jc w:val="center"/>
            </w:pPr>
            <w:r/>
            <w:r>
              <w:rPr>
                <w:b/>
                <w:color w:val="A8400C"/>
                <w:sz w:val="15"/>
              </w:rPr>
              <w:t>0.0</w:t>
            </w:r>
          </w:p>
        </w:tc>
        <w:tc>
          <w:tcPr>
            <w:tcW w:type="dxa" w:w="1043"/>
          </w:tcPr>
          <w:p>
            <w:pPr>
              <w:spacing w:after="0"/>
              <w:jc w:val="center"/>
            </w:pPr>
            <w:r/>
            <w:r>
              <w:rPr>
                <w:b/>
                <w:color w:val="A8400C"/>
                <w:sz w:val="15"/>
              </w:rPr>
              <w:t>0.0</w:t>
            </w:r>
          </w:p>
        </w:tc>
        <w:tc>
          <w:tcPr>
            <w:tcW w:type="dxa" w:w="1043"/>
          </w:tcPr>
          <w:p>
            <w:pPr>
              <w:spacing w:after="0"/>
              <w:jc w:val="center"/>
            </w:pPr>
            <w:r/>
            <w:r>
              <w:rPr>
                <w:b/>
                <w:color w:val="A8400C"/>
                <w:sz w:val="15"/>
              </w:rPr>
              <w:t>26.596</w:t>
            </w:r>
          </w:p>
        </w:tc>
        <w:tc>
          <w:tcPr>
            <w:tcW w:type="dxa" w:w="1043"/>
          </w:tcPr>
          <w:p>
            <w:pPr>
              <w:spacing w:after="0"/>
              <w:jc w:val="center"/>
            </w:pPr>
            <w:r/>
            <w:r>
              <w:rPr>
                <w:b/>
                <w:color w:val="A8400C"/>
                <w:sz w:val="15"/>
              </w:rPr>
              <w:t>72</w:t>
            </w:r>
          </w:p>
        </w:tc>
        <w:tc>
          <w:tcPr>
            <w:tcW w:type="dxa" w:w="794"/>
          </w:tcPr>
          <w:p>
            <w:pPr>
              <w:spacing w:after="0"/>
              <w:jc w:val="center"/>
            </w:pPr>
            <w:r/>
            <w:r>
              <w:rPr>
                <w:b/>
                <w:color w:val="A8400C"/>
                <w:sz w:val="15"/>
              </w:rPr>
              <w:t>112</w:t>
            </w:r>
          </w:p>
        </w:tc>
      </w:tr>
      <w:tr>
        <w:tc>
          <w:tcPr>
            <w:tcW w:type="dxa" w:w="3628"/>
          </w:tcPr>
          <w:p>
            <w:pPr>
              <w:spacing w:after="0"/>
              <w:jc w:val="left"/>
            </w:pPr>
            <w:r/>
            <w:r>
              <w:rPr>
                <w:color w:val="1A1A1A"/>
                <w:sz w:val="15"/>
              </w:rPr>
              <w:t>Interpersonal — Explained things clearly</w:t>
            </w:r>
          </w:p>
        </w:tc>
        <w:tc>
          <w:tcPr>
            <w:tcW w:type="dxa" w:w="1043"/>
          </w:tcPr>
          <w:p>
            <w:pPr>
              <w:spacing w:after="0"/>
              <w:jc w:val="center"/>
            </w:pPr>
            <w:r/>
            <w:r>
              <w:rPr>
                <w:b/>
                <w:color w:val="A8400C"/>
                <w:sz w:val="15"/>
              </w:rPr>
              <w:t>1.92 (1.21–3.06)</w:t>
            </w:r>
          </w:p>
        </w:tc>
        <w:tc>
          <w:tcPr>
            <w:tcW w:type="dxa" w:w="1043"/>
          </w:tcPr>
          <w:p>
            <w:pPr>
              <w:spacing w:after="0"/>
              <w:jc w:val="center"/>
            </w:pPr>
            <w:r/>
            <w:r>
              <w:rPr>
                <w:b/>
                <w:color w:val="A8400C"/>
                <w:sz w:val="15"/>
              </w:rPr>
              <w:t>0.006</w:t>
            </w:r>
          </w:p>
        </w:tc>
        <w:tc>
          <w:tcPr>
            <w:tcW w:type="dxa" w:w="1043"/>
          </w:tcPr>
          <w:p>
            <w:pPr>
              <w:spacing w:after="0"/>
              <w:jc w:val="center"/>
            </w:pPr>
            <w:r/>
            <w:r>
              <w:rPr>
                <w:b/>
                <w:color w:val="A8400C"/>
                <w:sz w:val="15"/>
              </w:rPr>
              <w:t>0.015</w:t>
            </w:r>
          </w:p>
        </w:tc>
        <w:tc>
          <w:tcPr>
            <w:tcW w:type="dxa" w:w="1043"/>
          </w:tcPr>
          <w:p>
            <w:pPr>
              <w:spacing w:after="0"/>
              <w:jc w:val="center"/>
            </w:pPr>
            <w:r/>
            <w:r>
              <w:rPr>
                <w:b/>
                <w:color w:val="A8400C"/>
                <w:sz w:val="15"/>
              </w:rPr>
              <w:t>14.715</w:t>
            </w:r>
          </w:p>
        </w:tc>
        <w:tc>
          <w:tcPr>
            <w:tcW w:type="dxa" w:w="1043"/>
          </w:tcPr>
          <w:p>
            <w:pPr>
              <w:spacing w:after="0"/>
              <w:jc w:val="center"/>
            </w:pPr>
            <w:r/>
            <w:r>
              <w:rPr>
                <w:b/>
                <w:color w:val="A8400C"/>
                <w:sz w:val="15"/>
              </w:rPr>
              <w:t>71</w:t>
            </w:r>
          </w:p>
        </w:tc>
        <w:tc>
          <w:tcPr>
            <w:tcW w:type="dxa" w:w="794"/>
          </w:tcPr>
          <w:p>
            <w:pPr>
              <w:spacing w:after="0"/>
              <w:jc w:val="center"/>
            </w:pPr>
            <w:r/>
            <w:r>
              <w:rPr>
                <w:b/>
                <w:color w:val="A8400C"/>
                <w:sz w:val="15"/>
              </w:rPr>
              <w:t>126</w:t>
            </w:r>
          </w:p>
        </w:tc>
      </w:tr>
      <w:tr>
        <w:tc>
          <w:tcPr>
            <w:tcW w:type="dxa" w:w="3628"/>
          </w:tcPr>
          <w:p>
            <w:pPr>
              <w:spacing w:after="0"/>
              <w:jc w:val="left"/>
            </w:pPr>
            <w:r/>
            <w:r>
              <w:rPr>
                <w:color w:val="1A1A1A"/>
                <w:sz w:val="15"/>
              </w:rPr>
              <w:t>Interpersonal — Involved me in decisions</w:t>
            </w:r>
          </w:p>
        </w:tc>
        <w:tc>
          <w:tcPr>
            <w:tcW w:type="dxa" w:w="1043"/>
          </w:tcPr>
          <w:p>
            <w:pPr>
              <w:spacing w:after="0"/>
              <w:jc w:val="center"/>
            </w:pPr>
            <w:r/>
            <w:r>
              <w:rPr>
                <w:b/>
                <w:color w:val="A8400C"/>
                <w:sz w:val="15"/>
              </w:rPr>
              <w:t>2.13 (1.25–3.62)</w:t>
            </w:r>
          </w:p>
        </w:tc>
        <w:tc>
          <w:tcPr>
            <w:tcW w:type="dxa" w:w="1043"/>
          </w:tcPr>
          <w:p>
            <w:pPr>
              <w:spacing w:after="0"/>
              <w:jc w:val="center"/>
            </w:pPr>
            <w:r/>
            <w:r>
              <w:rPr>
                <w:b/>
                <w:color w:val="A8400C"/>
                <w:sz w:val="15"/>
              </w:rPr>
              <w:t>0.005</w:t>
            </w:r>
          </w:p>
        </w:tc>
        <w:tc>
          <w:tcPr>
            <w:tcW w:type="dxa" w:w="1043"/>
          </w:tcPr>
          <w:p>
            <w:pPr>
              <w:spacing w:after="0"/>
              <w:jc w:val="center"/>
            </w:pPr>
            <w:r/>
            <w:r>
              <w:rPr>
                <w:b/>
                <w:color w:val="A8400C"/>
                <w:sz w:val="15"/>
              </w:rPr>
              <w:t>0.015</w:t>
            </w:r>
          </w:p>
        </w:tc>
        <w:tc>
          <w:tcPr>
            <w:tcW w:type="dxa" w:w="1043"/>
          </w:tcPr>
          <w:p>
            <w:pPr>
              <w:spacing w:after="0"/>
              <w:jc w:val="center"/>
            </w:pPr>
            <w:r/>
            <w:r>
              <w:rPr>
                <w:b/>
                <w:color w:val="A8400C"/>
                <w:sz w:val="15"/>
              </w:rPr>
              <w:t>16.88</w:t>
            </w:r>
          </w:p>
        </w:tc>
        <w:tc>
          <w:tcPr>
            <w:tcW w:type="dxa" w:w="1043"/>
          </w:tcPr>
          <w:p>
            <w:pPr>
              <w:spacing w:after="0"/>
              <w:jc w:val="center"/>
            </w:pPr>
            <w:r/>
            <w:r>
              <w:rPr>
                <w:b/>
                <w:color w:val="A8400C"/>
                <w:sz w:val="15"/>
              </w:rPr>
              <w:t>70</w:t>
            </w:r>
          </w:p>
        </w:tc>
        <w:tc>
          <w:tcPr>
            <w:tcW w:type="dxa" w:w="794"/>
          </w:tcPr>
          <w:p>
            <w:pPr>
              <w:spacing w:after="0"/>
              <w:jc w:val="center"/>
            </w:pPr>
            <w:r/>
            <w:r>
              <w:rPr>
                <w:b/>
                <w:color w:val="A8400C"/>
                <w:sz w:val="15"/>
              </w:rPr>
              <w:t>126</w:t>
            </w:r>
          </w:p>
        </w:tc>
      </w:tr>
      <w:tr>
        <w:tc>
          <w:tcPr>
            <w:tcW w:type="dxa" w:w="3628"/>
          </w:tcPr>
          <w:p>
            <w:pPr>
              <w:spacing w:after="0"/>
              <w:jc w:val="left"/>
            </w:pPr>
            <w:r/>
            <w:r>
              <w:rPr>
                <w:color w:val="1A1A1A"/>
                <w:sz w:val="15"/>
              </w:rPr>
              <w:t>Access &amp; process — Enough time in the consultation</w:t>
            </w:r>
          </w:p>
        </w:tc>
        <w:tc>
          <w:tcPr>
            <w:tcW w:type="dxa" w:w="1043"/>
          </w:tcPr>
          <w:p>
            <w:pPr>
              <w:spacing w:after="0"/>
              <w:jc w:val="center"/>
            </w:pPr>
            <w:r/>
            <w:r>
              <w:rPr>
                <w:b/>
                <w:color w:val="A8400C"/>
                <w:sz w:val="15"/>
              </w:rPr>
              <w:t>2.91 (1.77–4.78)</w:t>
            </w:r>
          </w:p>
        </w:tc>
        <w:tc>
          <w:tcPr>
            <w:tcW w:type="dxa" w:w="1043"/>
          </w:tcPr>
          <w:p>
            <w:pPr>
              <w:spacing w:after="0"/>
              <w:jc w:val="center"/>
            </w:pPr>
            <w:r/>
            <w:r>
              <w:rPr>
                <w:b/>
                <w:color w:val="A8400C"/>
                <w:sz w:val="15"/>
              </w:rPr>
              <w:t>0.0</w:t>
            </w:r>
          </w:p>
        </w:tc>
        <w:tc>
          <w:tcPr>
            <w:tcW w:type="dxa" w:w="1043"/>
          </w:tcPr>
          <w:p>
            <w:pPr>
              <w:spacing w:after="0"/>
              <w:jc w:val="center"/>
            </w:pPr>
            <w:r/>
            <w:r>
              <w:rPr>
                <w:b/>
                <w:color w:val="A8400C"/>
                <w:sz w:val="15"/>
              </w:rPr>
              <w:t>0.0</w:t>
            </w:r>
          </w:p>
        </w:tc>
        <w:tc>
          <w:tcPr>
            <w:tcW w:type="dxa" w:w="1043"/>
          </w:tcPr>
          <w:p>
            <w:pPr>
              <w:spacing w:after="0"/>
              <w:jc w:val="center"/>
            </w:pPr>
            <w:r/>
            <w:r>
              <w:rPr>
                <w:b/>
                <w:color w:val="A8400C"/>
                <w:sz w:val="15"/>
              </w:rPr>
              <w:t>24.037</w:t>
            </w:r>
          </w:p>
        </w:tc>
        <w:tc>
          <w:tcPr>
            <w:tcW w:type="dxa" w:w="1043"/>
          </w:tcPr>
          <w:p>
            <w:pPr>
              <w:spacing w:after="0"/>
              <w:jc w:val="center"/>
            </w:pPr>
            <w:r/>
            <w:r>
              <w:rPr>
                <w:b/>
                <w:color w:val="A8400C"/>
                <w:sz w:val="15"/>
              </w:rPr>
              <w:t>75</w:t>
            </w:r>
          </w:p>
        </w:tc>
        <w:tc>
          <w:tcPr>
            <w:tcW w:type="dxa" w:w="794"/>
          </w:tcPr>
          <w:p>
            <w:pPr>
              <w:spacing w:after="0"/>
              <w:jc w:val="center"/>
            </w:pPr>
            <w:r/>
            <w:r>
              <w:rPr>
                <w:b/>
                <w:color w:val="A8400C"/>
                <w:sz w:val="15"/>
              </w:rPr>
              <w:t>126</w:t>
            </w:r>
          </w:p>
        </w:tc>
      </w:tr>
      <w:tr>
        <w:tc>
          <w:tcPr>
            <w:tcW w:type="dxa" w:w="3628"/>
          </w:tcPr>
          <w:p>
            <w:pPr>
              <w:spacing w:after="0"/>
              <w:jc w:val="left"/>
            </w:pPr>
            <w:r/>
            <w:r>
              <w:rPr>
                <w:color w:val="1A1A1A"/>
                <w:sz w:val="15"/>
              </w:rPr>
              <w:t>Access &amp; process — Satisfaction with waiting time</w:t>
            </w:r>
          </w:p>
        </w:tc>
        <w:tc>
          <w:tcPr>
            <w:tcW w:type="dxa" w:w="1043"/>
          </w:tcPr>
          <w:p>
            <w:pPr>
              <w:spacing w:after="0"/>
              <w:jc w:val="center"/>
            </w:pPr>
            <w:r/>
            <w:r>
              <w:rPr>
                <w:b/>
                <w:color w:val="A8400C"/>
                <w:sz w:val="15"/>
              </w:rPr>
              <w:t>3.54 (2.08–6.04)</w:t>
            </w:r>
          </w:p>
        </w:tc>
        <w:tc>
          <w:tcPr>
            <w:tcW w:type="dxa" w:w="1043"/>
          </w:tcPr>
          <w:p>
            <w:pPr>
              <w:spacing w:after="0"/>
              <w:jc w:val="center"/>
            </w:pPr>
            <w:r/>
            <w:r>
              <w:rPr>
                <w:b/>
                <w:color w:val="A8400C"/>
                <w:sz w:val="15"/>
              </w:rPr>
              <w:t>0.0</w:t>
            </w:r>
          </w:p>
        </w:tc>
        <w:tc>
          <w:tcPr>
            <w:tcW w:type="dxa" w:w="1043"/>
          </w:tcPr>
          <w:p>
            <w:pPr>
              <w:spacing w:after="0"/>
              <w:jc w:val="center"/>
            </w:pPr>
            <w:r/>
            <w:r>
              <w:rPr>
                <w:b/>
                <w:color w:val="A8400C"/>
                <w:sz w:val="15"/>
              </w:rPr>
              <w:t>0.0</w:t>
            </w:r>
          </w:p>
        </w:tc>
        <w:tc>
          <w:tcPr>
            <w:tcW w:type="dxa" w:w="1043"/>
          </w:tcPr>
          <w:p>
            <w:pPr>
              <w:spacing w:after="0"/>
              <w:jc w:val="center"/>
            </w:pPr>
            <w:r/>
            <w:r>
              <w:rPr>
                <w:b/>
                <w:color w:val="A8400C"/>
                <w:sz w:val="15"/>
              </w:rPr>
              <w:t>26.869</w:t>
            </w:r>
          </w:p>
        </w:tc>
        <w:tc>
          <w:tcPr>
            <w:tcW w:type="dxa" w:w="1043"/>
          </w:tcPr>
          <w:p>
            <w:pPr>
              <w:spacing w:after="0"/>
              <w:jc w:val="center"/>
            </w:pPr>
            <w:r/>
            <w:r>
              <w:rPr>
                <w:b/>
                <w:color w:val="A8400C"/>
                <w:sz w:val="15"/>
              </w:rPr>
              <w:t>72</w:t>
            </w:r>
          </w:p>
        </w:tc>
        <w:tc>
          <w:tcPr>
            <w:tcW w:type="dxa" w:w="794"/>
          </w:tcPr>
          <w:p>
            <w:pPr>
              <w:spacing w:after="0"/>
              <w:jc w:val="center"/>
            </w:pPr>
            <w:r/>
            <w:r>
              <w:rPr>
                <w:b/>
                <w:color w:val="A8400C"/>
                <w:sz w:val="15"/>
              </w:rPr>
              <w:t>126</w:t>
            </w:r>
          </w:p>
        </w:tc>
      </w:tr>
      <w:tr>
        <w:tc>
          <w:tcPr>
            <w:tcW w:type="dxa" w:w="3628"/>
          </w:tcPr>
          <w:p>
            <w:pPr>
              <w:spacing w:after="0"/>
              <w:jc w:val="left"/>
            </w:pPr>
            <w:r/>
            <w:r>
              <w:rPr>
                <w:color w:val="1A1A1A"/>
                <w:sz w:val="15"/>
              </w:rPr>
              <w:t>Interpersonal — Courtesy of staff</w:t>
            </w:r>
          </w:p>
        </w:tc>
        <w:tc>
          <w:tcPr>
            <w:tcW w:type="dxa" w:w="1043"/>
          </w:tcPr>
          <w:p>
            <w:pPr>
              <w:spacing w:after="0"/>
              <w:jc w:val="center"/>
            </w:pPr>
            <w:r/>
            <w:r>
              <w:rPr>
                <w:b/>
                <w:color w:val="A8400C"/>
                <w:sz w:val="15"/>
              </w:rPr>
              <w:t>2.52 (1.48–4.30)</w:t>
            </w:r>
          </w:p>
        </w:tc>
        <w:tc>
          <w:tcPr>
            <w:tcW w:type="dxa" w:w="1043"/>
          </w:tcPr>
          <w:p>
            <w:pPr>
              <w:spacing w:after="0"/>
              <w:jc w:val="center"/>
            </w:pPr>
            <w:r/>
            <w:r>
              <w:rPr>
                <w:b/>
                <w:color w:val="A8400C"/>
                <w:sz w:val="15"/>
              </w:rPr>
              <w:t>0.001</w:t>
            </w:r>
          </w:p>
        </w:tc>
        <w:tc>
          <w:tcPr>
            <w:tcW w:type="dxa" w:w="1043"/>
          </w:tcPr>
          <w:p>
            <w:pPr>
              <w:spacing w:after="0"/>
              <w:jc w:val="center"/>
            </w:pPr>
            <w:r/>
            <w:r>
              <w:rPr>
                <w:b/>
                <w:color w:val="A8400C"/>
                <w:sz w:val="15"/>
              </w:rPr>
              <w:t>0.004</w:t>
            </w:r>
          </w:p>
        </w:tc>
        <w:tc>
          <w:tcPr>
            <w:tcW w:type="dxa" w:w="1043"/>
          </w:tcPr>
          <w:p>
            <w:pPr>
              <w:spacing w:after="0"/>
              <w:jc w:val="center"/>
            </w:pPr>
            <w:r/>
            <w:r>
              <w:rPr>
                <w:b/>
                <w:color w:val="A8400C"/>
                <w:sz w:val="15"/>
              </w:rPr>
              <w:t>19.928</w:t>
            </w:r>
          </w:p>
        </w:tc>
        <w:tc>
          <w:tcPr>
            <w:tcW w:type="dxa" w:w="1043"/>
          </w:tcPr>
          <w:p>
            <w:pPr>
              <w:spacing w:after="0"/>
              <w:jc w:val="center"/>
            </w:pPr>
            <w:r/>
            <w:r>
              <w:rPr>
                <w:b/>
                <w:color w:val="A8400C"/>
                <w:sz w:val="15"/>
              </w:rPr>
              <w:t>64</w:t>
            </w:r>
          </w:p>
        </w:tc>
        <w:tc>
          <w:tcPr>
            <w:tcW w:type="dxa" w:w="794"/>
          </w:tcPr>
          <w:p>
            <w:pPr>
              <w:spacing w:after="0"/>
              <w:jc w:val="center"/>
            </w:pPr>
            <w:r/>
            <w:r>
              <w:rPr>
                <w:b/>
                <w:color w:val="A8400C"/>
                <w:sz w:val="15"/>
              </w:rPr>
              <w:t>118</w:t>
            </w:r>
          </w:p>
        </w:tc>
      </w:tr>
      <w:tr>
        <w:tc>
          <w:tcPr>
            <w:tcW w:type="dxa" w:w="3628"/>
          </w:tcPr>
          <w:p>
            <w:pPr>
              <w:spacing w:after="0"/>
              <w:jc w:val="left"/>
            </w:pPr>
            <w:r/>
            <w:r>
              <w:rPr>
                <w:color w:val="1A1A1A"/>
                <w:sz w:val="15"/>
              </w:rPr>
              <w:t>Access &amp; process — Ease of getting an appointment</w:t>
            </w:r>
          </w:p>
        </w:tc>
        <w:tc>
          <w:tcPr>
            <w:tcW w:type="dxa" w:w="1043"/>
          </w:tcPr>
          <w:p>
            <w:pPr>
              <w:spacing w:after="0"/>
              <w:jc w:val="center"/>
            </w:pPr>
            <w:r/>
            <w:r>
              <w:rPr>
                <w:b/>
                <w:color w:val="A8400C"/>
                <w:sz w:val="15"/>
              </w:rPr>
              <w:t>3.28 (1.88–5.72)</w:t>
            </w:r>
          </w:p>
        </w:tc>
        <w:tc>
          <w:tcPr>
            <w:tcW w:type="dxa" w:w="1043"/>
          </w:tcPr>
          <w:p>
            <w:pPr>
              <w:spacing w:after="0"/>
              <w:jc w:val="center"/>
            </w:pPr>
            <w:r/>
            <w:r>
              <w:rPr>
                <w:b/>
                <w:color w:val="A8400C"/>
                <w:sz w:val="15"/>
              </w:rPr>
              <w:t>0.0</w:t>
            </w:r>
          </w:p>
        </w:tc>
        <w:tc>
          <w:tcPr>
            <w:tcW w:type="dxa" w:w="1043"/>
          </w:tcPr>
          <w:p>
            <w:pPr>
              <w:spacing w:after="0"/>
              <w:jc w:val="center"/>
            </w:pPr>
            <w:r/>
            <w:r>
              <w:rPr>
                <w:b/>
                <w:color w:val="A8400C"/>
                <w:sz w:val="15"/>
              </w:rPr>
              <w:t>0.0</w:t>
            </w:r>
          </w:p>
        </w:tc>
        <w:tc>
          <w:tcPr>
            <w:tcW w:type="dxa" w:w="1043"/>
          </w:tcPr>
          <w:p>
            <w:pPr>
              <w:spacing w:after="0"/>
              <w:jc w:val="center"/>
            </w:pPr>
            <w:r/>
            <w:r>
              <w:rPr>
                <w:b/>
                <w:color w:val="A8400C"/>
                <w:sz w:val="15"/>
              </w:rPr>
              <w:t>23.754</w:t>
            </w:r>
          </w:p>
        </w:tc>
        <w:tc>
          <w:tcPr>
            <w:tcW w:type="dxa" w:w="1043"/>
          </w:tcPr>
          <w:p>
            <w:pPr>
              <w:spacing w:after="0"/>
              <w:jc w:val="center"/>
            </w:pPr>
            <w:r/>
            <w:r>
              <w:rPr>
                <w:b/>
                <w:color w:val="A8400C"/>
                <w:sz w:val="15"/>
              </w:rPr>
              <w:t>65</w:t>
            </w:r>
          </w:p>
        </w:tc>
        <w:tc>
          <w:tcPr>
            <w:tcW w:type="dxa" w:w="794"/>
          </w:tcPr>
          <w:p>
            <w:pPr>
              <w:spacing w:after="0"/>
              <w:jc w:val="center"/>
            </w:pPr>
            <w:r/>
            <w:r>
              <w:rPr>
                <w:b/>
                <w:color w:val="A8400C"/>
                <w:sz w:val="15"/>
              </w:rPr>
              <w:t>126</w:t>
            </w:r>
          </w:p>
        </w:tc>
      </w:tr>
    </w:tbl>
    <w:p>
      <w:r>
        <w:br w:type="page"/>
      </w:r>
    </w:p>
    <w:p>
      <w:pPr>
        <w:pStyle w:val="Heading1"/>
        <w:spacing w:before="280" w:after="100"/>
      </w:pPr>
      <w:r>
        <w:rPr>
          <w:rFonts w:ascii="Calibri" w:hAnsi="Calibri"/>
          <w:b/>
          <w:color w:val="1A1A1A"/>
          <w:sz w:val="30"/>
        </w:rPr>
        <w:t>5. What it means for confidence in the system</w:t>
      </w:r>
    </w:p>
    <w:p>
      <w:pPr>
        <w:spacing w:after="140"/>
        <w:jc w:val="both"/>
      </w:pPr>
      <w:r>
        <w:rPr>
          <w:b w:val="0"/>
          <w:i w:val="0"/>
          <w:color w:val="1A1A1A"/>
          <w:sz w:val="21"/>
        </w:rPr>
        <w:t>The experience premium stops at the clinic door. No system-level contrast is detectable after adjustment and multiplicity control: health security (aOR 1.27, 0.80–2.01), confidence in getting good care (1.19), confidence in affording it (1.34), the direction of the system over two years (1.34), endorsement of the current system (0.80), the rating of the public system (1.23), and whether government listens to the public (0.88). The higher rating of the private system (1.62, 0.95–2.77) does not survive Benjamini–Hochberg adjustment within this family.</w:t>
      </w:r>
    </w:p>
    <w:p>
      <w:pPr>
        <w:spacing w:after="140"/>
        <w:jc w:val="both"/>
      </w:pPr>
      <w:r>
        <w:rPr>
          <w:b w:val="0"/>
          <w:i w:val="0"/>
          <w:color w:val="1A1A1A"/>
          <w:sz w:val="21"/>
        </w:rPr>
        <w:t>None of that establishes equality. The interval for health security is compatible with anything from a modest decrease to a doubling, and a cross-sectional survey cannot test whether the quality of an encounter produces confidence in a system. The honest statement is that this survey does not detect a difference by provider group.</w:t>
      </w:r>
    </w:p>
    <w:p>
      <w:pPr>
        <w:spacing w:after="140"/>
        <w:jc w:val="both"/>
      </w:pPr>
      <w:r>
        <w:rPr>
          <w:b w:val="0"/>
          <w:i w:val="0"/>
          <w:color w:val="1A1A1A"/>
          <w:sz w:val="21"/>
        </w:rPr>
        <w:t>What the data do show directly is more interesting. A good personal experience and insecurity about serious illness routinely coexist: 14.2% of private-hospital users rate their own facility very good or excellent while remaining unsure they could both get and afford care if seriously ill, against 11.5% of public hospital users. Health security is instead strongly associated with patient activation (aOR 1.78, 1.31–2.43) — a characteristic of the respondent rather than a feature of the provider.</w:t>
      </w:r>
    </w:p>
    <w:p>
      <w:pPr>
        <w:spacing w:after="140"/>
        <w:jc w:val="both"/>
      </w:pPr>
      <w:r>
        <w:rPr>
          <w:b w:val="0"/>
          <w:i w:val="0"/>
          <w:color w:val="1A1A1A"/>
          <w:sz w:val="21"/>
        </w:rPr>
        <w:t>It is also worth noting which group is most positive about the public system. Public primary care users rate it high more often than anyone else, rate the government’s COVID-19 management highest, and are the only group in which a majority is confident the system takes public opinion into account. Public hospital outpatient users — not private-sector customers — are consistently the least satisfied group in this report, and they are the second largest.</w:t>
      </w:r>
    </w:p>
    <w:p>
      <w:pPr>
        <w:spacing w:before="200" w:after="60"/>
      </w:pPr>
      <w:r>
        <w:rPr>
          <w:b/>
          <w:color w:val="1A1A1A"/>
          <w:sz w:val="19"/>
        </w:rPr>
        <w:t xml:space="preserve">Table 9.  </w:t>
      </w:r>
      <w:r>
        <w:rPr>
          <w:color w:val="1A1A1A"/>
          <w:sz w:val="19"/>
        </w:rPr>
        <w:t>Confidence in and evaluation of the health system, by provider group.</w:t>
      </w:r>
    </w:p>
    <w:p>
      <w:pPr>
        <w:spacing w:before="40" w:after="220"/>
      </w:pPr>
      <w:r>
        <w:rPr>
          <w:i/>
          <w:color w:val="606060"/>
          <w:sz w:val="16"/>
        </w:rPr>
        <w:t>Health security is Q41a and Q41b jointly, both conditioned on "if you were seriously ill". The Q40 public primary care items carry an explicit "cannot evaluate" option, so their denominators are smaller.</w:t>
      </w:r>
    </w:p>
    <w:tbl>
      <w:tblPr>
        <w:tblW w:type="auto" w:w="0"/>
        <w:jc w:val="center"/>
        <w:tblLayout w:type="fixed"/>
        <w:tblLook w:firstColumn="1" w:firstRow="1" w:lastColumn="0" w:lastRow="0" w:noHBand="0" w:noVBand="1" w:val="04A0"/>
        <w:tblBorders>
          <w:top w:val="single" w:sz="8" w:color="808080"/>
          <w:bottom w:val="single" w:sz="8" w:color="808080"/>
          <w:insideH w:val="single" w:sz="4" w:color="D8D8D8"/>
          <w:left w:val="none"/>
          <w:right w:val="none"/>
          <w:insideV w:val="none"/>
        </w:tblBorders>
        <w:tblLayout w:type="fixed"/>
      </w:tblPr>
      <w:tblGrid>
        <w:gridCol w:w="1377"/>
        <w:gridCol w:w="1377"/>
        <w:gridCol w:w="1377"/>
        <w:gridCol w:w="1377"/>
        <w:gridCol w:w="1377"/>
        <w:gridCol w:w="1377"/>
        <w:gridCol w:w="1377"/>
      </w:tblGrid>
      <w:tr>
        <w:tc>
          <w:tcPr>
            <w:tcW w:type="dxa" w:w="3061"/>
            <w:shd w:val="clear" w:fill="F2F2F0"/>
          </w:tcPr>
          <w:p>
            <w:pPr>
              <w:spacing w:after="0"/>
              <w:jc w:val="left"/>
            </w:pPr>
            <w:r/>
            <w:r>
              <w:rPr>
                <w:b/>
                <w:color w:val="1A1A1A"/>
                <w:sz w:val="14"/>
              </w:rPr>
              <w:t>Measure</w:t>
            </w:r>
          </w:p>
        </w:tc>
        <w:tc>
          <w:tcPr>
            <w:tcW w:type="dxa" w:w="1145"/>
            <w:shd w:val="clear" w:fill="F2F2F0"/>
          </w:tcPr>
          <w:p>
            <w:pPr>
              <w:spacing w:after="0"/>
              <w:jc w:val="center"/>
            </w:pPr>
            <w:r/>
            <w:r>
              <w:rPr>
                <w:b/>
                <w:color w:val="1A1A1A"/>
                <w:sz w:val="14"/>
              </w:rPr>
              <w:t>Public</w:t>
            </w:r>
          </w:p>
          <w:p>
            <w:pPr>
              <w:spacing w:after="0"/>
              <w:jc w:val="center"/>
            </w:pPr>
            <w:r>
              <w:rPr>
                <w:b/>
                <w:color w:val="1A1A1A"/>
                <w:sz w:val="14"/>
              </w:rPr>
              <w:t>primary care</w:t>
            </w:r>
          </w:p>
        </w:tc>
        <w:tc>
          <w:tcPr>
            <w:tcW w:type="dxa" w:w="1145"/>
            <w:shd w:val="clear" w:fill="F2F2F0"/>
          </w:tcPr>
          <w:p>
            <w:pPr>
              <w:spacing w:after="0"/>
              <w:jc w:val="center"/>
            </w:pPr>
            <w:r/>
            <w:r>
              <w:rPr>
                <w:b/>
                <w:color w:val="1A1A1A"/>
                <w:sz w:val="14"/>
              </w:rPr>
              <w:t>Public</w:t>
            </w:r>
          </w:p>
          <w:p>
            <w:pPr>
              <w:spacing w:after="0"/>
              <w:jc w:val="center"/>
            </w:pPr>
            <w:r>
              <w:rPr>
                <w:b/>
                <w:color w:val="1A1A1A"/>
                <w:sz w:val="14"/>
              </w:rPr>
              <w:t>hospital OPD/ER</w:t>
            </w:r>
          </w:p>
        </w:tc>
        <w:tc>
          <w:tcPr>
            <w:tcW w:type="dxa" w:w="1145"/>
            <w:shd w:val="clear" w:fill="F2F2F0"/>
          </w:tcPr>
          <w:p>
            <w:pPr>
              <w:spacing w:after="0"/>
              <w:jc w:val="center"/>
            </w:pPr>
            <w:r/>
            <w:r>
              <w:rPr>
                <w:b/>
                <w:color w:val="1A1A1A"/>
                <w:sz w:val="14"/>
              </w:rPr>
              <w:t>Private</w:t>
            </w:r>
          </w:p>
          <w:p>
            <w:pPr>
              <w:spacing w:after="0"/>
              <w:jc w:val="center"/>
            </w:pPr>
            <w:r>
              <w:rPr>
                <w:b/>
                <w:color w:val="1A1A1A"/>
                <w:sz w:val="14"/>
              </w:rPr>
              <w:t>clinic/pharmacy</w:t>
            </w:r>
          </w:p>
        </w:tc>
        <w:tc>
          <w:tcPr>
            <w:tcW w:type="dxa" w:w="1145"/>
            <w:shd w:val="clear" w:fill="F2F2F0"/>
          </w:tcPr>
          <w:p>
            <w:pPr>
              <w:spacing w:after="0"/>
              <w:jc w:val="center"/>
            </w:pPr>
            <w:r/>
            <w:r>
              <w:rPr>
                <w:b/>
                <w:color w:val="1A1A1A"/>
                <w:sz w:val="14"/>
              </w:rPr>
              <w:t>Private</w:t>
            </w:r>
          </w:p>
          <w:p>
            <w:pPr>
              <w:spacing w:after="0"/>
              <w:jc w:val="center"/>
            </w:pPr>
            <w:r>
              <w:rPr>
                <w:b/>
                <w:color w:val="1A1A1A"/>
                <w:sz w:val="14"/>
              </w:rPr>
              <w:t>hospital OPD/ER</w:t>
            </w:r>
          </w:p>
        </w:tc>
        <w:tc>
          <w:tcPr>
            <w:tcW w:type="dxa" w:w="1145"/>
            <w:shd w:val="clear" w:fill="F2F2F0"/>
          </w:tcPr>
          <w:p>
            <w:pPr>
              <w:spacing w:after="0"/>
              <w:jc w:val="center"/>
            </w:pPr>
            <w:r/>
            <w:r>
              <w:rPr>
                <w:b/>
                <w:color w:val="1A1A1A"/>
                <w:sz w:val="14"/>
              </w:rPr>
              <w:t>p</w:t>
            </w:r>
          </w:p>
        </w:tc>
        <w:tc>
          <w:tcPr>
            <w:tcW w:type="dxa" w:w="850"/>
            <w:shd w:val="clear" w:fill="F2F2F0"/>
          </w:tcPr>
          <w:p>
            <w:pPr>
              <w:spacing w:after="0"/>
              <w:jc w:val="center"/>
            </w:pPr>
            <w:r/>
            <w:r>
              <w:rPr>
                <w:b/>
                <w:color w:val="1A1A1A"/>
                <w:sz w:val="14"/>
              </w:rPr>
              <w:t>Denominator</w:t>
            </w:r>
          </w:p>
        </w:tc>
      </w:tr>
      <w:tr>
        <w:tc>
          <w:tcPr>
            <w:tcW w:type="dxa" w:w="3061"/>
          </w:tcPr>
          <w:p>
            <w:pPr>
              <w:spacing w:after="0"/>
              <w:jc w:val="left"/>
            </w:pPr>
            <w:r/>
            <w:r>
              <w:rPr>
                <w:color w:val="1A1A1A"/>
                <w:sz w:val="14"/>
              </w:rPr>
              <w:t>Confident of good care if seriously ill (Q41a)</w:t>
            </w:r>
          </w:p>
        </w:tc>
        <w:tc>
          <w:tcPr>
            <w:tcW w:type="dxa" w:w="1145"/>
          </w:tcPr>
          <w:p>
            <w:pPr>
              <w:spacing w:after="0"/>
              <w:jc w:val="center"/>
            </w:pPr>
            <w:r/>
            <w:r>
              <w:rPr>
                <w:color w:val="1A1A1A"/>
                <w:sz w:val="14"/>
              </w:rPr>
              <w:t>534/634 (84.2; 81.2-86.9)</w:t>
            </w:r>
          </w:p>
        </w:tc>
        <w:tc>
          <w:tcPr>
            <w:tcW w:type="dxa" w:w="1145"/>
          </w:tcPr>
          <w:p>
            <w:pPr>
              <w:spacing w:after="0"/>
              <w:jc w:val="center"/>
            </w:pPr>
            <w:r/>
            <w:r>
              <w:rPr>
                <w:color w:val="1A1A1A"/>
                <w:sz w:val="14"/>
              </w:rPr>
              <w:t>480/615 (78.0; 74.6-81.1)</w:t>
            </w:r>
          </w:p>
        </w:tc>
        <w:tc>
          <w:tcPr>
            <w:tcW w:type="dxa" w:w="1145"/>
          </w:tcPr>
          <w:p>
            <w:pPr>
              <w:spacing w:after="0"/>
              <w:jc w:val="center"/>
            </w:pPr>
            <w:r/>
            <w:r>
              <w:rPr>
                <w:color w:val="1A1A1A"/>
                <w:sz w:val="14"/>
              </w:rPr>
              <w:t>108/142 (76.1; 68.4-82.3)</w:t>
            </w:r>
          </w:p>
        </w:tc>
        <w:tc>
          <w:tcPr>
            <w:tcW w:type="dxa" w:w="1145"/>
          </w:tcPr>
          <w:p>
            <w:pPr>
              <w:spacing w:after="0"/>
              <w:jc w:val="center"/>
            </w:pPr>
            <w:r/>
            <w:r>
              <w:rPr>
                <w:color w:val="1A1A1A"/>
                <w:sz w:val="14"/>
              </w:rPr>
              <w:t>105/127 (82.7; 75.2-88.3)</w:t>
            </w:r>
          </w:p>
        </w:tc>
        <w:tc>
          <w:tcPr>
            <w:tcW w:type="dxa" w:w="1145"/>
          </w:tcPr>
          <w:p>
            <w:pPr>
              <w:spacing w:after="0"/>
              <w:jc w:val="center"/>
            </w:pPr>
            <w:r/>
            <w:r>
              <w:rPr>
                <w:color w:val="1A1A1A"/>
                <w:sz w:val="14"/>
              </w:rPr>
              <w:t>0.017</w:t>
            </w:r>
          </w:p>
        </w:tc>
        <w:tc>
          <w:tcPr>
            <w:tcW w:type="dxa" w:w="850"/>
          </w:tcPr>
          <w:p>
            <w:pPr>
              <w:spacing w:after="0"/>
              <w:jc w:val="center"/>
            </w:pPr>
            <w:r/>
            <w:r>
              <w:rPr>
                <w:color w:val="1A1A1A"/>
                <w:sz w:val="14"/>
              </w:rPr>
              <w:t>all in group</w:t>
            </w:r>
          </w:p>
        </w:tc>
      </w:tr>
      <w:tr>
        <w:tc>
          <w:tcPr>
            <w:tcW w:type="dxa" w:w="3061"/>
          </w:tcPr>
          <w:p>
            <w:pPr>
              <w:spacing w:after="0"/>
              <w:jc w:val="left"/>
            </w:pPr>
            <w:r/>
            <w:r>
              <w:rPr>
                <w:color w:val="1A1A1A"/>
                <w:sz w:val="14"/>
              </w:rPr>
              <w:t>Confident of affording care if seriously ill (Q41b)</w:t>
            </w:r>
          </w:p>
        </w:tc>
        <w:tc>
          <w:tcPr>
            <w:tcW w:type="dxa" w:w="1145"/>
          </w:tcPr>
          <w:p>
            <w:pPr>
              <w:spacing w:after="0"/>
              <w:jc w:val="center"/>
            </w:pPr>
            <w:r/>
            <w:r>
              <w:rPr>
                <w:color w:val="1A1A1A"/>
                <w:sz w:val="14"/>
              </w:rPr>
              <w:t>443/634 (69.9; 66.2-73.3)</w:t>
            </w:r>
          </w:p>
        </w:tc>
        <w:tc>
          <w:tcPr>
            <w:tcW w:type="dxa" w:w="1145"/>
          </w:tcPr>
          <w:p>
            <w:pPr>
              <w:spacing w:after="0"/>
              <w:jc w:val="center"/>
            </w:pPr>
            <w:r/>
            <w:r>
              <w:rPr>
                <w:color w:val="1A1A1A"/>
                <w:sz w:val="14"/>
              </w:rPr>
              <w:t>400/615 (65.0; 61.2-68.7)</w:t>
            </w:r>
          </w:p>
        </w:tc>
        <w:tc>
          <w:tcPr>
            <w:tcW w:type="dxa" w:w="1145"/>
          </w:tcPr>
          <w:p>
            <w:pPr>
              <w:spacing w:after="0"/>
              <w:jc w:val="center"/>
            </w:pPr>
            <w:r/>
            <w:r>
              <w:rPr>
                <w:color w:val="1A1A1A"/>
                <w:sz w:val="14"/>
              </w:rPr>
              <w:t>92/142 (64.8; 56.6-72.2)</w:t>
            </w:r>
          </w:p>
        </w:tc>
        <w:tc>
          <w:tcPr>
            <w:tcW w:type="dxa" w:w="1145"/>
          </w:tcPr>
          <w:p>
            <w:pPr>
              <w:spacing w:after="0"/>
              <w:jc w:val="center"/>
            </w:pPr>
            <w:r/>
            <w:r>
              <w:rPr>
                <w:color w:val="1A1A1A"/>
                <w:sz w:val="14"/>
              </w:rPr>
              <w:t>94/127 (74.0; 65.8-80.9)</w:t>
            </w:r>
          </w:p>
        </w:tc>
        <w:tc>
          <w:tcPr>
            <w:tcW w:type="dxa" w:w="1145"/>
          </w:tcPr>
          <w:p>
            <w:pPr>
              <w:spacing w:after="0"/>
              <w:jc w:val="center"/>
            </w:pPr>
            <w:r/>
            <w:r>
              <w:rPr>
                <w:color w:val="1A1A1A"/>
                <w:sz w:val="14"/>
              </w:rPr>
              <w:t>0.101</w:t>
            </w:r>
          </w:p>
        </w:tc>
        <w:tc>
          <w:tcPr>
            <w:tcW w:type="dxa" w:w="850"/>
          </w:tcPr>
          <w:p>
            <w:pPr>
              <w:spacing w:after="0"/>
              <w:jc w:val="center"/>
            </w:pPr>
            <w:r/>
            <w:r>
              <w:rPr>
                <w:color w:val="1A1A1A"/>
                <w:sz w:val="14"/>
              </w:rPr>
              <w:t>all in group</w:t>
            </w:r>
          </w:p>
        </w:tc>
      </w:tr>
      <w:tr>
        <w:tc>
          <w:tcPr>
            <w:tcW w:type="dxa" w:w="3061"/>
          </w:tcPr>
          <w:p>
            <w:pPr>
              <w:spacing w:after="0"/>
              <w:jc w:val="left"/>
            </w:pPr>
            <w:r/>
            <w:r>
              <w:rPr>
                <w:color w:val="1A1A1A"/>
                <w:sz w:val="14"/>
              </w:rPr>
              <w:t>Health security (Q41a AND Q41b)</w:t>
            </w:r>
          </w:p>
        </w:tc>
        <w:tc>
          <w:tcPr>
            <w:tcW w:type="dxa" w:w="1145"/>
          </w:tcPr>
          <w:p>
            <w:pPr>
              <w:spacing w:after="0"/>
              <w:jc w:val="center"/>
            </w:pPr>
            <w:r/>
            <w:r>
              <w:rPr>
                <w:color w:val="1A1A1A"/>
                <w:sz w:val="14"/>
              </w:rPr>
              <w:t>430/634 (67.8; 64.1-71.3)</w:t>
            </w:r>
          </w:p>
        </w:tc>
        <w:tc>
          <w:tcPr>
            <w:tcW w:type="dxa" w:w="1145"/>
          </w:tcPr>
          <w:p>
            <w:pPr>
              <w:spacing w:after="0"/>
              <w:jc w:val="center"/>
            </w:pPr>
            <w:r/>
            <w:r>
              <w:rPr>
                <w:color w:val="1A1A1A"/>
                <w:sz w:val="14"/>
              </w:rPr>
              <w:t>388/615 (63.1; 59.2-66.8)</w:t>
            </w:r>
          </w:p>
        </w:tc>
        <w:tc>
          <w:tcPr>
            <w:tcW w:type="dxa" w:w="1145"/>
          </w:tcPr>
          <w:p>
            <w:pPr>
              <w:spacing w:after="0"/>
              <w:jc w:val="center"/>
            </w:pPr>
            <w:r/>
            <w:r>
              <w:rPr>
                <w:color w:val="1A1A1A"/>
                <w:sz w:val="14"/>
              </w:rPr>
              <w:t>88/142 (62.0; 53.8-69.5)</w:t>
            </w:r>
          </w:p>
        </w:tc>
        <w:tc>
          <w:tcPr>
            <w:tcW w:type="dxa" w:w="1145"/>
          </w:tcPr>
          <w:p>
            <w:pPr>
              <w:spacing w:after="0"/>
              <w:jc w:val="center"/>
            </w:pPr>
            <w:r/>
            <w:r>
              <w:rPr>
                <w:color w:val="1A1A1A"/>
                <w:sz w:val="14"/>
              </w:rPr>
              <w:t>91/127 (71.7; 63.3-78.8)</w:t>
            </w:r>
          </w:p>
        </w:tc>
        <w:tc>
          <w:tcPr>
            <w:tcW w:type="dxa" w:w="1145"/>
          </w:tcPr>
          <w:p>
            <w:pPr>
              <w:spacing w:after="0"/>
              <w:jc w:val="center"/>
            </w:pPr>
            <w:r/>
            <w:r>
              <w:rPr>
                <w:color w:val="1A1A1A"/>
                <w:sz w:val="14"/>
              </w:rPr>
              <w:t>0.112</w:t>
            </w:r>
          </w:p>
        </w:tc>
        <w:tc>
          <w:tcPr>
            <w:tcW w:type="dxa" w:w="850"/>
          </w:tcPr>
          <w:p>
            <w:pPr>
              <w:spacing w:after="0"/>
              <w:jc w:val="center"/>
            </w:pPr>
            <w:r/>
            <w:r>
              <w:rPr>
                <w:color w:val="1A1A1A"/>
                <w:sz w:val="14"/>
              </w:rPr>
              <w:t>all in group</w:t>
            </w:r>
          </w:p>
        </w:tc>
      </w:tr>
      <w:tr>
        <w:tc>
          <w:tcPr>
            <w:tcW w:type="dxa" w:w="3061"/>
          </w:tcPr>
          <w:p>
            <w:pPr>
              <w:spacing w:after="0"/>
              <w:jc w:val="left"/>
            </w:pPr>
            <w:r/>
            <w:r>
              <w:rPr>
                <w:color w:val="1A1A1A"/>
                <w:sz w:val="14"/>
              </w:rPr>
              <w:t>Health-security state (four-way decomposition)</w:t>
            </w:r>
          </w:p>
        </w:tc>
        <w:tc>
          <w:tcPr>
            <w:tcW w:type="dxa" w:w="1145"/>
          </w:tcPr>
          <w:p>
            <w:pPr>
              <w:spacing w:after="0"/>
              <w:jc w:val="center"/>
            </w:pPr>
            <w:r/>
            <w:r>
              <w:rPr>
                <w:color w:val="1A1A1A"/>
                <w:sz w:val="14"/>
              </w:rPr>
            </w:r>
          </w:p>
        </w:tc>
        <w:tc>
          <w:tcPr>
            <w:tcW w:type="dxa" w:w="1145"/>
          </w:tcPr>
          <w:p>
            <w:pPr>
              <w:spacing w:after="0"/>
              <w:jc w:val="center"/>
            </w:pPr>
            <w:r/>
            <w:r>
              <w:rPr>
                <w:color w:val="1A1A1A"/>
                <w:sz w:val="14"/>
              </w:rPr>
            </w:r>
          </w:p>
        </w:tc>
        <w:tc>
          <w:tcPr>
            <w:tcW w:type="dxa" w:w="1145"/>
          </w:tcPr>
          <w:p>
            <w:pPr>
              <w:spacing w:after="0"/>
              <w:jc w:val="center"/>
            </w:pPr>
            <w:r/>
            <w:r>
              <w:rPr>
                <w:color w:val="1A1A1A"/>
                <w:sz w:val="14"/>
              </w:rPr>
            </w:r>
          </w:p>
        </w:tc>
        <w:tc>
          <w:tcPr>
            <w:tcW w:type="dxa" w:w="1145"/>
          </w:tcPr>
          <w:p>
            <w:pPr>
              <w:spacing w:after="0"/>
              <w:jc w:val="center"/>
            </w:pPr>
            <w:r/>
            <w:r>
              <w:rPr>
                <w:color w:val="1A1A1A"/>
                <w:sz w:val="14"/>
              </w:rPr>
            </w:r>
          </w:p>
        </w:tc>
        <w:tc>
          <w:tcPr>
            <w:tcW w:type="dxa" w:w="1145"/>
          </w:tcPr>
          <w:p>
            <w:pPr>
              <w:spacing w:after="0"/>
              <w:jc w:val="center"/>
            </w:pPr>
            <w:r/>
            <w:r>
              <w:rPr>
                <w:color w:val="1A1A1A"/>
                <w:sz w:val="14"/>
              </w:rPr>
              <w:t>0.134</w:t>
            </w:r>
          </w:p>
        </w:tc>
        <w:tc>
          <w:tcPr>
            <w:tcW w:type="dxa" w:w="850"/>
          </w:tcPr>
          <w:p>
            <w:pPr>
              <w:spacing w:after="0"/>
              <w:jc w:val="center"/>
            </w:pPr>
            <w:r/>
            <w:r>
              <w:rPr>
                <w:color w:val="1A1A1A"/>
                <w:sz w:val="14"/>
              </w:rPr>
              <w:t>see rows below</w:t>
            </w:r>
          </w:p>
        </w:tc>
      </w:tr>
      <w:tr>
        <w:tc>
          <w:tcPr>
            <w:tcW w:type="dxa" w:w="3061"/>
          </w:tcPr>
          <w:p>
            <w:pPr>
              <w:spacing w:after="0"/>
              <w:ind w:left="198"/>
              <w:jc w:val="left"/>
            </w:pPr>
            <w:r/>
            <w:r>
              <w:rPr>
                <w:color w:val="1A1A1A"/>
                <w:sz w:val="14"/>
              </w:rPr>
              <w:t>can get &amp; afford</w:t>
            </w:r>
          </w:p>
        </w:tc>
        <w:tc>
          <w:tcPr>
            <w:tcW w:type="dxa" w:w="1145"/>
          </w:tcPr>
          <w:p>
            <w:pPr>
              <w:spacing w:after="0"/>
              <w:jc w:val="center"/>
            </w:pPr>
            <w:r/>
            <w:r>
              <w:rPr>
                <w:color w:val="1A1A1A"/>
                <w:sz w:val="14"/>
              </w:rPr>
              <w:t>430/634 (67.8)</w:t>
            </w:r>
          </w:p>
        </w:tc>
        <w:tc>
          <w:tcPr>
            <w:tcW w:type="dxa" w:w="1145"/>
          </w:tcPr>
          <w:p>
            <w:pPr>
              <w:spacing w:after="0"/>
              <w:jc w:val="center"/>
            </w:pPr>
            <w:r/>
            <w:r>
              <w:rPr>
                <w:color w:val="1A1A1A"/>
                <w:sz w:val="14"/>
              </w:rPr>
              <w:t>388/615 (63.1)</w:t>
            </w:r>
          </w:p>
        </w:tc>
        <w:tc>
          <w:tcPr>
            <w:tcW w:type="dxa" w:w="1145"/>
          </w:tcPr>
          <w:p>
            <w:pPr>
              <w:spacing w:after="0"/>
              <w:jc w:val="center"/>
            </w:pPr>
            <w:r/>
            <w:r>
              <w:rPr>
                <w:color w:val="1A1A1A"/>
                <w:sz w:val="14"/>
              </w:rPr>
              <w:t>88/142 (62.0)</w:t>
            </w:r>
          </w:p>
        </w:tc>
        <w:tc>
          <w:tcPr>
            <w:tcW w:type="dxa" w:w="1145"/>
          </w:tcPr>
          <w:p>
            <w:pPr>
              <w:spacing w:after="0"/>
              <w:jc w:val="center"/>
            </w:pPr>
            <w:r/>
            <w:r>
              <w:rPr>
                <w:color w:val="1A1A1A"/>
                <w:sz w:val="14"/>
              </w:rPr>
              <w:t>91/127 (71.7)</w:t>
            </w:r>
          </w:p>
        </w:tc>
        <w:tc>
          <w:tcPr>
            <w:tcW w:type="dxa" w:w="1145"/>
          </w:tcPr>
          <w:p>
            <w:pPr>
              <w:spacing w:after="0"/>
              <w:jc w:val="center"/>
            </w:pPr>
            <w:r/>
            <w:r>
              <w:rPr>
                <w:color w:val="1A1A1A"/>
                <w:sz w:val="14"/>
              </w:rPr>
            </w:r>
          </w:p>
        </w:tc>
        <w:tc>
          <w:tcPr>
            <w:tcW w:type="dxa" w:w="850"/>
          </w:tcPr>
          <w:p>
            <w:pPr>
              <w:spacing w:after="0"/>
              <w:jc w:val="center"/>
            </w:pPr>
            <w:r/>
            <w:r>
              <w:rPr>
                <w:color w:val="1A1A1A"/>
                <w:sz w:val="14"/>
              </w:rPr>
            </w:r>
          </w:p>
        </w:tc>
      </w:tr>
      <w:tr>
        <w:tc>
          <w:tcPr>
            <w:tcW w:type="dxa" w:w="3061"/>
          </w:tcPr>
          <w:p>
            <w:pPr>
              <w:spacing w:after="0"/>
              <w:ind w:left="198"/>
              <w:jc w:val="left"/>
            </w:pPr>
            <w:r/>
            <w:r>
              <w:rPr>
                <w:color w:val="1A1A1A"/>
                <w:sz w:val="14"/>
              </w:rPr>
              <w:t>can get, cannot afford</w:t>
            </w:r>
          </w:p>
        </w:tc>
        <w:tc>
          <w:tcPr>
            <w:tcW w:type="dxa" w:w="1145"/>
          </w:tcPr>
          <w:p>
            <w:pPr>
              <w:spacing w:after="0"/>
              <w:jc w:val="center"/>
            </w:pPr>
            <w:r/>
            <w:r>
              <w:rPr>
                <w:color w:val="1A1A1A"/>
                <w:sz w:val="14"/>
              </w:rPr>
              <w:t>104/634 (16.4)</w:t>
            </w:r>
          </w:p>
        </w:tc>
        <w:tc>
          <w:tcPr>
            <w:tcW w:type="dxa" w:w="1145"/>
          </w:tcPr>
          <w:p>
            <w:pPr>
              <w:spacing w:after="0"/>
              <w:jc w:val="center"/>
            </w:pPr>
            <w:r/>
            <w:r>
              <w:rPr>
                <w:color w:val="1A1A1A"/>
                <w:sz w:val="14"/>
              </w:rPr>
              <w:t>92/615 (15.0)</w:t>
            </w:r>
          </w:p>
        </w:tc>
        <w:tc>
          <w:tcPr>
            <w:tcW w:type="dxa" w:w="1145"/>
          </w:tcPr>
          <w:p>
            <w:pPr>
              <w:spacing w:after="0"/>
              <w:jc w:val="center"/>
            </w:pPr>
            <w:r/>
            <w:r>
              <w:rPr>
                <w:color w:val="1A1A1A"/>
                <w:sz w:val="14"/>
              </w:rPr>
              <w:t>20/142 (14.1)</w:t>
            </w:r>
          </w:p>
        </w:tc>
        <w:tc>
          <w:tcPr>
            <w:tcW w:type="dxa" w:w="1145"/>
          </w:tcPr>
          <w:p>
            <w:pPr>
              <w:spacing w:after="0"/>
              <w:jc w:val="center"/>
            </w:pPr>
            <w:r/>
            <w:r>
              <w:rPr>
                <w:color w:val="1A1A1A"/>
                <w:sz w:val="14"/>
              </w:rPr>
              <w:t>14/127 (11.0)</w:t>
            </w:r>
          </w:p>
        </w:tc>
        <w:tc>
          <w:tcPr>
            <w:tcW w:type="dxa" w:w="1145"/>
          </w:tcPr>
          <w:p>
            <w:pPr>
              <w:spacing w:after="0"/>
              <w:jc w:val="center"/>
            </w:pPr>
            <w:r/>
            <w:r>
              <w:rPr>
                <w:color w:val="1A1A1A"/>
                <w:sz w:val="14"/>
              </w:rPr>
            </w:r>
          </w:p>
        </w:tc>
        <w:tc>
          <w:tcPr>
            <w:tcW w:type="dxa" w:w="850"/>
          </w:tcPr>
          <w:p>
            <w:pPr>
              <w:spacing w:after="0"/>
              <w:jc w:val="center"/>
            </w:pPr>
            <w:r/>
            <w:r>
              <w:rPr>
                <w:color w:val="1A1A1A"/>
                <w:sz w:val="14"/>
              </w:rPr>
            </w:r>
          </w:p>
        </w:tc>
      </w:tr>
      <w:tr>
        <w:tc>
          <w:tcPr>
            <w:tcW w:type="dxa" w:w="3061"/>
          </w:tcPr>
          <w:p>
            <w:pPr>
              <w:spacing w:after="0"/>
              <w:ind w:left="198"/>
              <w:jc w:val="left"/>
            </w:pPr>
            <w:r/>
            <w:r>
              <w:rPr>
                <w:color w:val="1A1A1A"/>
                <w:sz w:val="14"/>
              </w:rPr>
              <w:t>cannot get, can afford</w:t>
            </w:r>
          </w:p>
        </w:tc>
        <w:tc>
          <w:tcPr>
            <w:tcW w:type="dxa" w:w="1145"/>
          </w:tcPr>
          <w:p>
            <w:pPr>
              <w:spacing w:after="0"/>
              <w:jc w:val="center"/>
            </w:pPr>
            <w:r/>
            <w:r>
              <w:rPr>
                <w:color w:val="1A1A1A"/>
                <w:sz w:val="14"/>
              </w:rPr>
              <w:t>13/634 (2.1)</w:t>
            </w:r>
          </w:p>
        </w:tc>
        <w:tc>
          <w:tcPr>
            <w:tcW w:type="dxa" w:w="1145"/>
          </w:tcPr>
          <w:p>
            <w:pPr>
              <w:spacing w:after="0"/>
              <w:jc w:val="center"/>
            </w:pPr>
            <w:r/>
            <w:r>
              <w:rPr>
                <w:color w:val="1A1A1A"/>
                <w:sz w:val="14"/>
              </w:rPr>
              <w:t>12/615 (2.0)</w:t>
            </w:r>
          </w:p>
        </w:tc>
        <w:tc>
          <w:tcPr>
            <w:tcW w:type="dxa" w:w="1145"/>
          </w:tcPr>
          <w:p>
            <w:pPr>
              <w:spacing w:after="0"/>
              <w:jc w:val="center"/>
            </w:pPr>
            <w:r/>
            <w:r>
              <w:rPr>
                <w:color w:val="1A1A1A"/>
                <w:sz w:val="14"/>
              </w:rPr>
              <w:t>4/142 (2.8)</w:t>
            </w:r>
          </w:p>
        </w:tc>
        <w:tc>
          <w:tcPr>
            <w:tcW w:type="dxa" w:w="1145"/>
          </w:tcPr>
          <w:p>
            <w:pPr>
              <w:spacing w:after="0"/>
              <w:jc w:val="center"/>
            </w:pPr>
            <w:r/>
            <w:r>
              <w:rPr>
                <w:color w:val="1A1A1A"/>
                <w:sz w:val="14"/>
              </w:rPr>
              <w:t>3/127 (2.4)</w:t>
            </w:r>
          </w:p>
        </w:tc>
        <w:tc>
          <w:tcPr>
            <w:tcW w:type="dxa" w:w="1145"/>
          </w:tcPr>
          <w:p>
            <w:pPr>
              <w:spacing w:after="0"/>
              <w:jc w:val="center"/>
            </w:pPr>
            <w:r/>
            <w:r>
              <w:rPr>
                <w:color w:val="1A1A1A"/>
                <w:sz w:val="14"/>
              </w:rPr>
            </w:r>
          </w:p>
        </w:tc>
        <w:tc>
          <w:tcPr>
            <w:tcW w:type="dxa" w:w="850"/>
          </w:tcPr>
          <w:p>
            <w:pPr>
              <w:spacing w:after="0"/>
              <w:jc w:val="center"/>
            </w:pPr>
            <w:r/>
            <w:r>
              <w:rPr>
                <w:color w:val="1A1A1A"/>
                <w:sz w:val="14"/>
              </w:rPr>
            </w:r>
          </w:p>
        </w:tc>
      </w:tr>
      <w:tr>
        <w:tc>
          <w:tcPr>
            <w:tcW w:type="dxa" w:w="3061"/>
          </w:tcPr>
          <w:p>
            <w:pPr>
              <w:spacing w:after="0"/>
              <w:ind w:left="198"/>
              <w:jc w:val="left"/>
            </w:pPr>
            <w:r/>
            <w:r>
              <w:rPr>
                <w:color w:val="1A1A1A"/>
                <w:sz w:val="14"/>
              </w:rPr>
              <w:t>neither</w:t>
            </w:r>
          </w:p>
        </w:tc>
        <w:tc>
          <w:tcPr>
            <w:tcW w:type="dxa" w:w="1145"/>
          </w:tcPr>
          <w:p>
            <w:pPr>
              <w:spacing w:after="0"/>
              <w:jc w:val="center"/>
            </w:pPr>
            <w:r/>
            <w:r>
              <w:rPr>
                <w:color w:val="1A1A1A"/>
                <w:sz w:val="14"/>
              </w:rPr>
              <w:t>87/634 (13.7)</w:t>
            </w:r>
          </w:p>
        </w:tc>
        <w:tc>
          <w:tcPr>
            <w:tcW w:type="dxa" w:w="1145"/>
          </w:tcPr>
          <w:p>
            <w:pPr>
              <w:spacing w:after="0"/>
              <w:jc w:val="center"/>
            </w:pPr>
            <w:r/>
            <w:r>
              <w:rPr>
                <w:color w:val="1A1A1A"/>
                <w:sz w:val="14"/>
              </w:rPr>
              <w:t>123/615 (20.0)</w:t>
            </w:r>
          </w:p>
        </w:tc>
        <w:tc>
          <w:tcPr>
            <w:tcW w:type="dxa" w:w="1145"/>
          </w:tcPr>
          <w:p>
            <w:pPr>
              <w:spacing w:after="0"/>
              <w:jc w:val="center"/>
            </w:pPr>
            <w:r/>
            <w:r>
              <w:rPr>
                <w:color w:val="1A1A1A"/>
                <w:sz w:val="14"/>
              </w:rPr>
              <w:t>30/142 (21.1)</w:t>
            </w:r>
          </w:p>
        </w:tc>
        <w:tc>
          <w:tcPr>
            <w:tcW w:type="dxa" w:w="1145"/>
          </w:tcPr>
          <w:p>
            <w:pPr>
              <w:spacing w:after="0"/>
              <w:jc w:val="center"/>
            </w:pPr>
            <w:r/>
            <w:r>
              <w:rPr>
                <w:color w:val="1A1A1A"/>
                <w:sz w:val="14"/>
              </w:rPr>
              <w:t>19/127 (15.0)</w:t>
            </w:r>
          </w:p>
        </w:tc>
        <w:tc>
          <w:tcPr>
            <w:tcW w:type="dxa" w:w="1145"/>
          </w:tcPr>
          <w:p>
            <w:pPr>
              <w:spacing w:after="0"/>
              <w:jc w:val="center"/>
            </w:pPr>
            <w:r/>
            <w:r>
              <w:rPr>
                <w:color w:val="1A1A1A"/>
                <w:sz w:val="14"/>
              </w:rPr>
            </w:r>
          </w:p>
        </w:tc>
        <w:tc>
          <w:tcPr>
            <w:tcW w:type="dxa" w:w="850"/>
          </w:tcPr>
          <w:p>
            <w:pPr>
              <w:spacing w:after="0"/>
              <w:jc w:val="center"/>
            </w:pPr>
            <w:r/>
            <w:r>
              <w:rPr>
                <w:color w:val="1A1A1A"/>
                <w:sz w:val="14"/>
              </w:rPr>
            </w:r>
          </w:p>
        </w:tc>
      </w:tr>
      <w:tr>
        <w:tc>
          <w:tcPr>
            <w:tcW w:type="dxa" w:w="3061"/>
          </w:tcPr>
          <w:p>
            <w:pPr>
              <w:spacing w:after="0"/>
              <w:jc w:val="left"/>
            </w:pPr>
            <w:r/>
            <w:r>
              <w:rPr>
                <w:color w:val="1A1A1A"/>
                <w:sz w:val="14"/>
              </w:rPr>
              <w:t>Government listens to the public (Q41c)</w:t>
            </w:r>
          </w:p>
        </w:tc>
        <w:tc>
          <w:tcPr>
            <w:tcW w:type="dxa" w:w="1145"/>
          </w:tcPr>
          <w:p>
            <w:pPr>
              <w:spacing w:after="0"/>
              <w:jc w:val="center"/>
            </w:pPr>
            <w:r/>
            <w:r>
              <w:rPr>
                <w:color w:val="1A1A1A"/>
                <w:sz w:val="14"/>
              </w:rPr>
              <w:t>395/634 (62.3; 58.5-66.0)</w:t>
            </w:r>
          </w:p>
        </w:tc>
        <w:tc>
          <w:tcPr>
            <w:tcW w:type="dxa" w:w="1145"/>
          </w:tcPr>
          <w:p>
            <w:pPr>
              <w:spacing w:after="0"/>
              <w:jc w:val="center"/>
            </w:pPr>
            <w:r/>
            <w:r>
              <w:rPr>
                <w:color w:val="1A1A1A"/>
                <w:sz w:val="14"/>
              </w:rPr>
              <w:t>318/615 (51.7; 47.8-55.6)</w:t>
            </w:r>
          </w:p>
        </w:tc>
        <w:tc>
          <w:tcPr>
            <w:tcW w:type="dxa" w:w="1145"/>
          </w:tcPr>
          <w:p>
            <w:pPr>
              <w:spacing w:after="0"/>
              <w:jc w:val="center"/>
            </w:pPr>
            <w:r/>
            <w:r>
              <w:rPr>
                <w:color w:val="1A1A1A"/>
                <w:sz w:val="14"/>
              </w:rPr>
              <w:t>71/142 (50.0; 41.9-58.1)</w:t>
            </w:r>
          </w:p>
        </w:tc>
        <w:tc>
          <w:tcPr>
            <w:tcW w:type="dxa" w:w="1145"/>
          </w:tcPr>
          <w:p>
            <w:pPr>
              <w:spacing w:after="0"/>
              <w:jc w:val="center"/>
            </w:pPr>
            <w:r/>
            <w:r>
              <w:rPr>
                <w:color w:val="1A1A1A"/>
                <w:sz w:val="14"/>
              </w:rPr>
              <w:t>67/127 (52.8; 44.1-61.2)</w:t>
            </w:r>
          </w:p>
        </w:tc>
        <w:tc>
          <w:tcPr>
            <w:tcW w:type="dxa" w:w="1145"/>
          </w:tcPr>
          <w:p>
            <w:pPr>
              <w:spacing w:after="0"/>
              <w:jc w:val="center"/>
            </w:pPr>
            <w:r/>
            <w:r>
              <w:rPr>
                <w:color w:val="1A1A1A"/>
                <w:sz w:val="14"/>
              </w:rPr>
              <w:t>&lt;0.001</w:t>
            </w:r>
          </w:p>
        </w:tc>
        <w:tc>
          <w:tcPr>
            <w:tcW w:type="dxa" w:w="850"/>
          </w:tcPr>
          <w:p>
            <w:pPr>
              <w:spacing w:after="0"/>
              <w:jc w:val="center"/>
            </w:pPr>
            <w:r/>
            <w:r>
              <w:rPr>
                <w:color w:val="1A1A1A"/>
                <w:sz w:val="14"/>
              </w:rPr>
              <w:t>all in group</w:t>
            </w:r>
          </w:p>
        </w:tc>
      </w:tr>
      <w:tr>
        <w:tc>
          <w:tcPr>
            <w:tcW w:type="dxa" w:w="3061"/>
          </w:tcPr>
          <w:p>
            <w:pPr>
              <w:spacing w:after="0"/>
              <w:jc w:val="left"/>
            </w:pPr>
            <w:r/>
            <w:r>
              <w:rPr>
                <w:color w:val="1A1A1A"/>
                <w:sz w:val="14"/>
              </w:rPr>
              <w:t>System improved over 2 years (Q45)</w:t>
            </w:r>
          </w:p>
        </w:tc>
        <w:tc>
          <w:tcPr>
            <w:tcW w:type="dxa" w:w="1145"/>
          </w:tcPr>
          <w:p>
            <w:pPr>
              <w:spacing w:after="0"/>
              <w:jc w:val="center"/>
            </w:pPr>
            <w:r/>
            <w:r>
              <w:rPr>
                <w:color w:val="1A1A1A"/>
                <w:sz w:val="14"/>
              </w:rPr>
              <w:t>183/634 (28.9; 25.5-32.5)</w:t>
            </w:r>
          </w:p>
        </w:tc>
        <w:tc>
          <w:tcPr>
            <w:tcW w:type="dxa" w:w="1145"/>
          </w:tcPr>
          <w:p>
            <w:pPr>
              <w:spacing w:after="0"/>
              <w:jc w:val="center"/>
            </w:pPr>
            <w:r/>
            <w:r>
              <w:rPr>
                <w:color w:val="1A1A1A"/>
                <w:sz w:val="14"/>
              </w:rPr>
              <w:t>177/615 (28.8; 25.3-32.5)</w:t>
            </w:r>
          </w:p>
        </w:tc>
        <w:tc>
          <w:tcPr>
            <w:tcW w:type="dxa" w:w="1145"/>
          </w:tcPr>
          <w:p>
            <w:pPr>
              <w:spacing w:after="0"/>
              <w:jc w:val="center"/>
            </w:pPr>
            <w:r/>
            <w:r>
              <w:rPr>
                <w:color w:val="1A1A1A"/>
                <w:sz w:val="14"/>
              </w:rPr>
              <w:t>59/142 (41.5; 33.8-49.8)</w:t>
            </w:r>
          </w:p>
        </w:tc>
        <w:tc>
          <w:tcPr>
            <w:tcW w:type="dxa" w:w="1145"/>
          </w:tcPr>
          <w:p>
            <w:pPr>
              <w:spacing w:after="0"/>
              <w:jc w:val="center"/>
            </w:pPr>
            <w:r/>
            <w:r>
              <w:rPr>
                <w:color w:val="1A1A1A"/>
                <w:sz w:val="14"/>
              </w:rPr>
              <w:t>46/127 (36.2; 28.4-44.9)</w:t>
            </w:r>
          </w:p>
        </w:tc>
        <w:tc>
          <w:tcPr>
            <w:tcW w:type="dxa" w:w="1145"/>
          </w:tcPr>
          <w:p>
            <w:pPr>
              <w:spacing w:after="0"/>
              <w:jc w:val="center"/>
            </w:pPr>
            <w:r/>
            <w:r>
              <w:rPr>
                <w:color w:val="1A1A1A"/>
                <w:sz w:val="14"/>
              </w:rPr>
              <w:t>0.008</w:t>
            </w:r>
          </w:p>
        </w:tc>
        <w:tc>
          <w:tcPr>
            <w:tcW w:type="dxa" w:w="850"/>
          </w:tcPr>
          <w:p>
            <w:pPr>
              <w:spacing w:after="0"/>
              <w:jc w:val="center"/>
            </w:pPr>
            <w:r/>
            <w:r>
              <w:rPr>
                <w:color w:val="1A1A1A"/>
                <w:sz w:val="14"/>
              </w:rPr>
              <w:t>all in group</w:t>
            </w:r>
          </w:p>
        </w:tc>
      </w:tr>
      <w:tr>
        <w:tc>
          <w:tcPr>
            <w:tcW w:type="dxa" w:w="3061"/>
          </w:tcPr>
          <w:p>
            <w:pPr>
              <w:spacing w:after="0"/>
              <w:jc w:val="left"/>
            </w:pPr>
            <w:r/>
            <w:r>
              <w:rPr>
                <w:color w:val="1A1A1A"/>
                <w:sz w:val="14"/>
              </w:rPr>
              <w:t>System works well / minor change only (Q46)</w:t>
            </w:r>
          </w:p>
        </w:tc>
        <w:tc>
          <w:tcPr>
            <w:tcW w:type="dxa" w:w="1145"/>
          </w:tcPr>
          <w:p>
            <w:pPr>
              <w:spacing w:after="0"/>
              <w:jc w:val="center"/>
            </w:pPr>
            <w:r/>
            <w:r>
              <w:rPr>
                <w:color w:val="1A1A1A"/>
                <w:sz w:val="14"/>
              </w:rPr>
              <w:t>269/634 (42.4; 38.6-46.3)</w:t>
            </w:r>
          </w:p>
        </w:tc>
        <w:tc>
          <w:tcPr>
            <w:tcW w:type="dxa" w:w="1145"/>
          </w:tcPr>
          <w:p>
            <w:pPr>
              <w:spacing w:after="0"/>
              <w:jc w:val="center"/>
            </w:pPr>
            <w:r/>
            <w:r>
              <w:rPr>
                <w:color w:val="1A1A1A"/>
                <w:sz w:val="14"/>
              </w:rPr>
              <w:t>293/615 (47.6; 43.7-51.6)</w:t>
            </w:r>
          </w:p>
        </w:tc>
        <w:tc>
          <w:tcPr>
            <w:tcW w:type="dxa" w:w="1145"/>
          </w:tcPr>
          <w:p>
            <w:pPr>
              <w:spacing w:after="0"/>
              <w:jc w:val="center"/>
            </w:pPr>
            <w:r/>
            <w:r>
              <w:rPr>
                <w:color w:val="1A1A1A"/>
                <w:sz w:val="14"/>
              </w:rPr>
              <w:t>57/142 (40.1; 32.4-48.4)</w:t>
            </w:r>
          </w:p>
        </w:tc>
        <w:tc>
          <w:tcPr>
            <w:tcW w:type="dxa" w:w="1145"/>
          </w:tcPr>
          <w:p>
            <w:pPr>
              <w:spacing w:after="0"/>
              <w:jc w:val="center"/>
            </w:pPr>
            <w:r/>
            <w:r>
              <w:rPr>
                <w:color w:val="1A1A1A"/>
                <w:sz w:val="14"/>
              </w:rPr>
              <w:t>52/127 (40.9; 32.8-49.6)</w:t>
            </w:r>
          </w:p>
        </w:tc>
        <w:tc>
          <w:tcPr>
            <w:tcW w:type="dxa" w:w="1145"/>
          </w:tcPr>
          <w:p>
            <w:pPr>
              <w:spacing w:after="0"/>
              <w:jc w:val="center"/>
            </w:pPr>
            <w:r/>
            <w:r>
              <w:rPr>
                <w:color w:val="1A1A1A"/>
                <w:sz w:val="14"/>
              </w:rPr>
              <w:t>0.154</w:t>
            </w:r>
          </w:p>
        </w:tc>
        <w:tc>
          <w:tcPr>
            <w:tcW w:type="dxa" w:w="850"/>
          </w:tcPr>
          <w:p>
            <w:pPr>
              <w:spacing w:after="0"/>
              <w:jc w:val="center"/>
            </w:pPr>
            <w:r/>
            <w:r>
              <w:rPr>
                <w:color w:val="1A1A1A"/>
                <w:sz w:val="14"/>
              </w:rPr>
              <w:t>all in group</w:t>
            </w:r>
          </w:p>
        </w:tc>
      </w:tr>
      <w:tr>
        <w:tc>
          <w:tcPr>
            <w:tcW w:type="dxa" w:w="3061"/>
          </w:tcPr>
          <w:p>
            <w:pPr>
              <w:spacing w:after="0"/>
              <w:jc w:val="left"/>
            </w:pPr>
            <w:r/>
            <w:r>
              <w:rPr>
                <w:color w:val="1A1A1A"/>
                <w:sz w:val="14"/>
              </w:rPr>
              <w:t>Public system quality very good/excellent (Q42)</w:t>
            </w:r>
          </w:p>
        </w:tc>
        <w:tc>
          <w:tcPr>
            <w:tcW w:type="dxa" w:w="1145"/>
          </w:tcPr>
          <w:p>
            <w:pPr>
              <w:spacing w:after="0"/>
              <w:jc w:val="center"/>
            </w:pPr>
            <w:r/>
            <w:r>
              <w:rPr>
                <w:color w:val="1A1A1A"/>
                <w:sz w:val="14"/>
              </w:rPr>
              <w:t>149/634 (23.5; 20.4-27.0)</w:t>
            </w:r>
          </w:p>
        </w:tc>
        <w:tc>
          <w:tcPr>
            <w:tcW w:type="dxa" w:w="1145"/>
          </w:tcPr>
          <w:p>
            <w:pPr>
              <w:spacing w:after="0"/>
              <w:jc w:val="center"/>
            </w:pPr>
            <w:r/>
            <w:r>
              <w:rPr>
                <w:color w:val="1A1A1A"/>
                <w:sz w:val="14"/>
              </w:rPr>
              <w:t>98/615 (15.9; 13.3-19.0)</w:t>
            </w:r>
          </w:p>
        </w:tc>
        <w:tc>
          <w:tcPr>
            <w:tcW w:type="dxa" w:w="1145"/>
          </w:tcPr>
          <w:p>
            <w:pPr>
              <w:spacing w:after="0"/>
              <w:jc w:val="center"/>
            </w:pPr>
            <w:r/>
            <w:r>
              <w:rPr>
                <w:color w:val="1A1A1A"/>
                <w:sz w:val="14"/>
              </w:rPr>
              <w:t>22/142 (15.5; 10.5-22.3)</w:t>
            </w:r>
          </w:p>
        </w:tc>
        <w:tc>
          <w:tcPr>
            <w:tcW w:type="dxa" w:w="1145"/>
          </w:tcPr>
          <w:p>
            <w:pPr>
              <w:spacing w:after="0"/>
              <w:jc w:val="center"/>
            </w:pPr>
            <w:r/>
            <w:r>
              <w:rPr>
                <w:color w:val="1A1A1A"/>
                <w:sz w:val="14"/>
              </w:rPr>
              <w:t>21/127 (16.5; 11.1-24.0)</w:t>
            </w:r>
          </w:p>
        </w:tc>
        <w:tc>
          <w:tcPr>
            <w:tcW w:type="dxa" w:w="1145"/>
          </w:tcPr>
          <w:p>
            <w:pPr>
              <w:spacing w:after="0"/>
              <w:jc w:val="center"/>
            </w:pPr>
            <w:r/>
            <w:r>
              <w:rPr>
                <w:color w:val="1A1A1A"/>
                <w:sz w:val="14"/>
              </w:rPr>
              <w:t>0.003</w:t>
            </w:r>
          </w:p>
        </w:tc>
        <w:tc>
          <w:tcPr>
            <w:tcW w:type="dxa" w:w="850"/>
          </w:tcPr>
          <w:p>
            <w:pPr>
              <w:spacing w:after="0"/>
              <w:jc w:val="center"/>
            </w:pPr>
            <w:r/>
            <w:r>
              <w:rPr>
                <w:color w:val="1A1A1A"/>
                <w:sz w:val="14"/>
              </w:rPr>
              <w:t>all in group</w:t>
            </w:r>
          </w:p>
        </w:tc>
      </w:tr>
      <w:tr>
        <w:tc>
          <w:tcPr>
            <w:tcW w:type="dxa" w:w="3061"/>
          </w:tcPr>
          <w:p>
            <w:pPr>
              <w:spacing w:after="0"/>
              <w:jc w:val="left"/>
            </w:pPr>
            <w:r/>
            <w:r>
              <w:rPr>
                <w:color w:val="1A1A1A"/>
                <w:sz w:val="14"/>
              </w:rPr>
              <w:t>Private system quality very good/excellent (Q43)</w:t>
            </w:r>
          </w:p>
        </w:tc>
        <w:tc>
          <w:tcPr>
            <w:tcW w:type="dxa" w:w="1145"/>
          </w:tcPr>
          <w:p>
            <w:pPr>
              <w:spacing w:after="0"/>
              <w:jc w:val="center"/>
            </w:pPr>
            <w:r/>
            <w:r>
              <w:rPr>
                <w:color w:val="1A1A1A"/>
                <w:sz w:val="14"/>
              </w:rPr>
              <w:t>302/634 (47.6; 43.8-51.5)</w:t>
            </w:r>
          </w:p>
        </w:tc>
        <w:tc>
          <w:tcPr>
            <w:tcW w:type="dxa" w:w="1145"/>
          </w:tcPr>
          <w:p>
            <w:pPr>
              <w:spacing w:after="0"/>
              <w:jc w:val="center"/>
            </w:pPr>
            <w:r/>
            <w:r>
              <w:rPr>
                <w:color w:val="1A1A1A"/>
                <w:sz w:val="14"/>
              </w:rPr>
              <w:t>269/615 (43.7; 39.9-47.7)</w:t>
            </w:r>
          </w:p>
        </w:tc>
        <w:tc>
          <w:tcPr>
            <w:tcW w:type="dxa" w:w="1145"/>
          </w:tcPr>
          <w:p>
            <w:pPr>
              <w:spacing w:after="0"/>
              <w:jc w:val="center"/>
            </w:pPr>
            <w:r/>
            <w:r>
              <w:rPr>
                <w:color w:val="1A1A1A"/>
                <w:sz w:val="14"/>
              </w:rPr>
              <w:t>75/142 (52.8; 44.6-60.8)</w:t>
            </w:r>
          </w:p>
        </w:tc>
        <w:tc>
          <w:tcPr>
            <w:tcW w:type="dxa" w:w="1145"/>
          </w:tcPr>
          <w:p>
            <w:pPr>
              <w:spacing w:after="0"/>
              <w:jc w:val="center"/>
            </w:pPr>
            <w:r/>
            <w:r>
              <w:rPr>
                <w:color w:val="1A1A1A"/>
                <w:sz w:val="14"/>
              </w:rPr>
              <w:t>72/127 (56.7; 48.0-65.0)</w:t>
            </w:r>
          </w:p>
        </w:tc>
        <w:tc>
          <w:tcPr>
            <w:tcW w:type="dxa" w:w="1145"/>
          </w:tcPr>
          <w:p>
            <w:pPr>
              <w:spacing w:after="0"/>
              <w:jc w:val="center"/>
            </w:pPr>
            <w:r/>
            <w:r>
              <w:rPr>
                <w:color w:val="1A1A1A"/>
                <w:sz w:val="14"/>
              </w:rPr>
              <w:t>0.025</w:t>
            </w:r>
          </w:p>
        </w:tc>
        <w:tc>
          <w:tcPr>
            <w:tcW w:type="dxa" w:w="850"/>
          </w:tcPr>
          <w:p>
            <w:pPr>
              <w:spacing w:after="0"/>
              <w:jc w:val="center"/>
            </w:pPr>
            <w:r/>
            <w:r>
              <w:rPr>
                <w:color w:val="1A1A1A"/>
                <w:sz w:val="14"/>
              </w:rPr>
              <w:t>all in group</w:t>
            </w:r>
          </w:p>
        </w:tc>
      </w:tr>
      <w:tr>
        <w:tc>
          <w:tcPr>
            <w:tcW w:type="dxa" w:w="3061"/>
          </w:tcPr>
          <w:p>
            <w:pPr>
              <w:spacing w:after="0"/>
              <w:jc w:val="left"/>
            </w:pPr>
            <w:r/>
            <w:r>
              <w:rPr>
                <w:color w:val="1A1A1A"/>
                <w:sz w:val="14"/>
              </w:rPr>
              <w:t>Government COVID-19 management (Q47)</w:t>
            </w:r>
          </w:p>
        </w:tc>
        <w:tc>
          <w:tcPr>
            <w:tcW w:type="dxa" w:w="1145"/>
          </w:tcPr>
          <w:p>
            <w:pPr>
              <w:spacing w:after="0"/>
              <w:jc w:val="center"/>
            </w:pPr>
            <w:r/>
            <w:r>
              <w:rPr>
                <w:color w:val="1A1A1A"/>
                <w:sz w:val="14"/>
              </w:rPr>
              <w:t>140/634 (22.1; 19.0-25.5)</w:t>
            </w:r>
          </w:p>
        </w:tc>
        <w:tc>
          <w:tcPr>
            <w:tcW w:type="dxa" w:w="1145"/>
          </w:tcPr>
          <w:p>
            <w:pPr>
              <w:spacing w:after="0"/>
              <w:jc w:val="center"/>
            </w:pPr>
            <w:r/>
            <w:r>
              <w:rPr>
                <w:color w:val="1A1A1A"/>
                <w:sz w:val="14"/>
              </w:rPr>
              <w:t>72/615 (11.7; 9.4-14.5)</w:t>
            </w:r>
          </w:p>
        </w:tc>
        <w:tc>
          <w:tcPr>
            <w:tcW w:type="dxa" w:w="1145"/>
          </w:tcPr>
          <w:p>
            <w:pPr>
              <w:spacing w:after="0"/>
              <w:jc w:val="center"/>
            </w:pPr>
            <w:r/>
            <w:r>
              <w:rPr>
                <w:color w:val="1A1A1A"/>
                <w:sz w:val="14"/>
              </w:rPr>
              <w:t>23/142 (16.2; 11.0-23.1)</w:t>
            </w:r>
          </w:p>
        </w:tc>
        <w:tc>
          <w:tcPr>
            <w:tcW w:type="dxa" w:w="1145"/>
          </w:tcPr>
          <w:p>
            <w:pPr>
              <w:spacing w:after="0"/>
              <w:jc w:val="center"/>
            </w:pPr>
            <w:r/>
            <w:r>
              <w:rPr>
                <w:color w:val="1A1A1A"/>
                <w:sz w:val="14"/>
              </w:rPr>
              <w:t>22/127 (17.3; 11.7-24.8)</w:t>
            </w:r>
          </w:p>
        </w:tc>
        <w:tc>
          <w:tcPr>
            <w:tcW w:type="dxa" w:w="1145"/>
          </w:tcPr>
          <w:p>
            <w:pPr>
              <w:spacing w:after="0"/>
              <w:jc w:val="center"/>
            </w:pPr>
            <w:r/>
            <w:r>
              <w:rPr>
                <w:color w:val="1A1A1A"/>
                <w:sz w:val="14"/>
              </w:rPr>
              <w:t>&lt;0.001</w:t>
            </w:r>
          </w:p>
        </w:tc>
        <w:tc>
          <w:tcPr>
            <w:tcW w:type="dxa" w:w="850"/>
          </w:tcPr>
          <w:p>
            <w:pPr>
              <w:spacing w:after="0"/>
              <w:jc w:val="center"/>
            </w:pPr>
            <w:r/>
            <w:r>
              <w:rPr>
                <w:color w:val="1A1A1A"/>
                <w:sz w:val="14"/>
              </w:rPr>
              <w:t>all in group</w:t>
            </w:r>
          </w:p>
        </w:tc>
      </w:tr>
      <w:tr>
        <w:tc>
          <w:tcPr>
            <w:tcW w:type="dxa" w:w="3061"/>
          </w:tcPr>
          <w:p>
            <w:pPr>
              <w:spacing w:after="0"/>
              <w:jc w:val="left"/>
            </w:pPr>
            <w:r/>
            <w:r>
              <w:rPr>
                <w:color w:val="1A1A1A"/>
                <w:sz w:val="14"/>
              </w:rPr>
              <w:t>Public maternal care (Q40a)</w:t>
            </w:r>
          </w:p>
        </w:tc>
        <w:tc>
          <w:tcPr>
            <w:tcW w:type="dxa" w:w="1145"/>
          </w:tcPr>
          <w:p>
            <w:pPr>
              <w:spacing w:after="0"/>
              <w:jc w:val="center"/>
            </w:pPr>
            <w:r/>
            <w:r>
              <w:rPr>
                <w:color w:val="1A1A1A"/>
                <w:sz w:val="14"/>
              </w:rPr>
              <w:t>--</w:t>
            </w:r>
          </w:p>
        </w:tc>
        <w:tc>
          <w:tcPr>
            <w:tcW w:type="dxa" w:w="1145"/>
          </w:tcPr>
          <w:p>
            <w:pPr>
              <w:spacing w:after="0"/>
              <w:jc w:val="center"/>
            </w:pPr>
            <w:r/>
            <w:r>
              <w:rPr>
                <w:color w:val="1A1A1A"/>
                <w:sz w:val="14"/>
              </w:rPr>
              <w:t>--</w:t>
            </w:r>
          </w:p>
        </w:tc>
        <w:tc>
          <w:tcPr>
            <w:tcW w:type="dxa" w:w="1145"/>
          </w:tcPr>
          <w:p>
            <w:pPr>
              <w:spacing w:after="0"/>
              <w:jc w:val="center"/>
            </w:pPr>
            <w:r/>
            <w:r>
              <w:rPr>
                <w:color w:val="1A1A1A"/>
                <w:sz w:val="14"/>
              </w:rPr>
              <w:t>--</w:t>
            </w:r>
          </w:p>
        </w:tc>
        <w:tc>
          <w:tcPr>
            <w:tcW w:type="dxa" w:w="1145"/>
          </w:tcPr>
          <w:p>
            <w:pPr>
              <w:spacing w:after="0"/>
              <w:jc w:val="center"/>
            </w:pPr>
            <w:r/>
            <w:r>
              <w:rPr>
                <w:color w:val="1A1A1A"/>
                <w:sz w:val="14"/>
              </w:rPr>
              <w:t>--</w:t>
            </w:r>
          </w:p>
        </w:tc>
        <w:tc>
          <w:tcPr>
            <w:tcW w:type="dxa" w:w="1145"/>
          </w:tcPr>
          <w:p>
            <w:pPr>
              <w:spacing w:after="0"/>
              <w:jc w:val="center"/>
            </w:pPr>
            <w:r/>
            <w:r>
              <w:rPr>
                <w:color w:val="1A1A1A"/>
                <w:sz w:val="14"/>
              </w:rPr>
              <w:t>-- †</w:t>
            </w:r>
          </w:p>
        </w:tc>
        <w:tc>
          <w:tcPr>
            <w:tcW w:type="dxa" w:w="850"/>
          </w:tcPr>
          <w:p>
            <w:pPr>
              <w:spacing w:after="0"/>
              <w:jc w:val="center"/>
            </w:pPr>
            <w:r/>
            <w:r>
              <w:rPr>
                <w:color w:val="1A1A1A"/>
                <w:sz w:val="14"/>
              </w:rPr>
              <w:t>all in group</w:t>
            </w:r>
          </w:p>
        </w:tc>
      </w:tr>
      <w:tr>
        <w:tc>
          <w:tcPr>
            <w:tcW w:type="dxa" w:w="3061"/>
          </w:tcPr>
          <w:p>
            <w:pPr>
              <w:spacing w:after="0"/>
              <w:jc w:val="left"/>
            </w:pPr>
            <w:r/>
            <w:r>
              <w:rPr>
                <w:color w:val="1A1A1A"/>
                <w:sz w:val="14"/>
              </w:rPr>
              <w:t>Public child care (Q40b)</w:t>
            </w:r>
          </w:p>
        </w:tc>
        <w:tc>
          <w:tcPr>
            <w:tcW w:type="dxa" w:w="1145"/>
          </w:tcPr>
          <w:p>
            <w:pPr>
              <w:spacing w:after="0"/>
              <w:jc w:val="center"/>
            </w:pPr>
            <w:r/>
            <w:r>
              <w:rPr>
                <w:color w:val="1A1A1A"/>
                <w:sz w:val="14"/>
              </w:rPr>
              <w:t>--</w:t>
            </w:r>
          </w:p>
        </w:tc>
        <w:tc>
          <w:tcPr>
            <w:tcW w:type="dxa" w:w="1145"/>
          </w:tcPr>
          <w:p>
            <w:pPr>
              <w:spacing w:after="0"/>
              <w:jc w:val="center"/>
            </w:pPr>
            <w:r/>
            <w:r>
              <w:rPr>
                <w:color w:val="1A1A1A"/>
                <w:sz w:val="14"/>
              </w:rPr>
              <w:t>--</w:t>
            </w:r>
          </w:p>
        </w:tc>
        <w:tc>
          <w:tcPr>
            <w:tcW w:type="dxa" w:w="1145"/>
          </w:tcPr>
          <w:p>
            <w:pPr>
              <w:spacing w:after="0"/>
              <w:jc w:val="center"/>
            </w:pPr>
            <w:r/>
            <w:r>
              <w:rPr>
                <w:color w:val="1A1A1A"/>
                <w:sz w:val="14"/>
              </w:rPr>
              <w:t>--</w:t>
            </w:r>
          </w:p>
        </w:tc>
        <w:tc>
          <w:tcPr>
            <w:tcW w:type="dxa" w:w="1145"/>
          </w:tcPr>
          <w:p>
            <w:pPr>
              <w:spacing w:after="0"/>
              <w:jc w:val="center"/>
            </w:pPr>
            <w:r/>
            <w:r>
              <w:rPr>
                <w:color w:val="1A1A1A"/>
                <w:sz w:val="14"/>
              </w:rPr>
              <w:t>--</w:t>
            </w:r>
          </w:p>
        </w:tc>
        <w:tc>
          <w:tcPr>
            <w:tcW w:type="dxa" w:w="1145"/>
          </w:tcPr>
          <w:p>
            <w:pPr>
              <w:spacing w:after="0"/>
              <w:jc w:val="center"/>
            </w:pPr>
            <w:r/>
            <w:r>
              <w:rPr>
                <w:color w:val="1A1A1A"/>
                <w:sz w:val="14"/>
              </w:rPr>
              <w:t>-- †</w:t>
            </w:r>
          </w:p>
        </w:tc>
        <w:tc>
          <w:tcPr>
            <w:tcW w:type="dxa" w:w="850"/>
          </w:tcPr>
          <w:p>
            <w:pPr>
              <w:spacing w:after="0"/>
              <w:jc w:val="center"/>
            </w:pPr>
            <w:r/>
            <w:r>
              <w:rPr>
                <w:color w:val="1A1A1A"/>
                <w:sz w:val="14"/>
              </w:rPr>
              <w:t>all in group</w:t>
            </w:r>
          </w:p>
        </w:tc>
      </w:tr>
      <w:tr>
        <w:tc>
          <w:tcPr>
            <w:tcW w:type="dxa" w:w="3061"/>
          </w:tcPr>
          <w:p>
            <w:pPr>
              <w:spacing w:after="0"/>
              <w:jc w:val="left"/>
            </w:pPr>
            <w:r/>
            <w:r>
              <w:rPr>
                <w:color w:val="1A1A1A"/>
                <w:sz w:val="14"/>
              </w:rPr>
              <w:t>Public chronic care (Q40c)</w:t>
            </w:r>
          </w:p>
        </w:tc>
        <w:tc>
          <w:tcPr>
            <w:tcW w:type="dxa" w:w="1145"/>
          </w:tcPr>
          <w:p>
            <w:pPr>
              <w:spacing w:after="0"/>
              <w:jc w:val="center"/>
            </w:pPr>
            <w:r/>
            <w:r>
              <w:rPr>
                <w:color w:val="1A1A1A"/>
                <w:sz w:val="14"/>
              </w:rPr>
              <w:t>--</w:t>
            </w:r>
          </w:p>
        </w:tc>
        <w:tc>
          <w:tcPr>
            <w:tcW w:type="dxa" w:w="1145"/>
          </w:tcPr>
          <w:p>
            <w:pPr>
              <w:spacing w:after="0"/>
              <w:jc w:val="center"/>
            </w:pPr>
            <w:r/>
            <w:r>
              <w:rPr>
                <w:color w:val="1A1A1A"/>
                <w:sz w:val="14"/>
              </w:rPr>
              <w:t>--</w:t>
            </w:r>
          </w:p>
        </w:tc>
        <w:tc>
          <w:tcPr>
            <w:tcW w:type="dxa" w:w="1145"/>
          </w:tcPr>
          <w:p>
            <w:pPr>
              <w:spacing w:after="0"/>
              <w:jc w:val="center"/>
            </w:pPr>
            <w:r/>
            <w:r>
              <w:rPr>
                <w:color w:val="1A1A1A"/>
                <w:sz w:val="14"/>
              </w:rPr>
              <w:t>--</w:t>
            </w:r>
          </w:p>
        </w:tc>
        <w:tc>
          <w:tcPr>
            <w:tcW w:type="dxa" w:w="1145"/>
          </w:tcPr>
          <w:p>
            <w:pPr>
              <w:spacing w:after="0"/>
              <w:jc w:val="center"/>
            </w:pPr>
            <w:r/>
            <w:r>
              <w:rPr>
                <w:color w:val="1A1A1A"/>
                <w:sz w:val="14"/>
              </w:rPr>
              <w:t>--</w:t>
            </w:r>
          </w:p>
        </w:tc>
        <w:tc>
          <w:tcPr>
            <w:tcW w:type="dxa" w:w="1145"/>
          </w:tcPr>
          <w:p>
            <w:pPr>
              <w:spacing w:after="0"/>
              <w:jc w:val="center"/>
            </w:pPr>
            <w:r/>
            <w:r>
              <w:rPr>
                <w:color w:val="1A1A1A"/>
                <w:sz w:val="14"/>
              </w:rPr>
              <w:t>-- †</w:t>
            </w:r>
          </w:p>
        </w:tc>
        <w:tc>
          <w:tcPr>
            <w:tcW w:type="dxa" w:w="850"/>
          </w:tcPr>
          <w:p>
            <w:pPr>
              <w:spacing w:after="0"/>
              <w:jc w:val="center"/>
            </w:pPr>
            <w:r/>
            <w:r>
              <w:rPr>
                <w:color w:val="1A1A1A"/>
                <w:sz w:val="14"/>
              </w:rPr>
              <w:t>all in group</w:t>
            </w:r>
          </w:p>
        </w:tc>
      </w:tr>
      <w:tr>
        <w:tc>
          <w:tcPr>
            <w:tcW w:type="dxa" w:w="3061"/>
          </w:tcPr>
          <w:p>
            <w:pPr>
              <w:spacing w:after="0"/>
              <w:jc w:val="left"/>
            </w:pPr>
            <w:r/>
            <w:r>
              <w:rPr>
                <w:color w:val="1A1A1A"/>
                <w:sz w:val="14"/>
              </w:rPr>
              <w:t>Public mental-health care (Q40d)</w:t>
            </w:r>
          </w:p>
        </w:tc>
        <w:tc>
          <w:tcPr>
            <w:tcW w:type="dxa" w:w="1145"/>
          </w:tcPr>
          <w:p>
            <w:pPr>
              <w:spacing w:after="0"/>
              <w:jc w:val="center"/>
            </w:pPr>
            <w:r/>
            <w:r>
              <w:rPr>
                <w:color w:val="1A1A1A"/>
                <w:sz w:val="14"/>
              </w:rPr>
              <w:t>--</w:t>
            </w:r>
          </w:p>
        </w:tc>
        <w:tc>
          <w:tcPr>
            <w:tcW w:type="dxa" w:w="1145"/>
          </w:tcPr>
          <w:p>
            <w:pPr>
              <w:spacing w:after="0"/>
              <w:jc w:val="center"/>
            </w:pPr>
            <w:r/>
            <w:r>
              <w:rPr>
                <w:color w:val="1A1A1A"/>
                <w:sz w:val="14"/>
              </w:rPr>
              <w:t>--</w:t>
            </w:r>
          </w:p>
        </w:tc>
        <w:tc>
          <w:tcPr>
            <w:tcW w:type="dxa" w:w="1145"/>
          </w:tcPr>
          <w:p>
            <w:pPr>
              <w:spacing w:after="0"/>
              <w:jc w:val="center"/>
            </w:pPr>
            <w:r/>
            <w:r>
              <w:rPr>
                <w:color w:val="1A1A1A"/>
                <w:sz w:val="14"/>
              </w:rPr>
              <w:t>--</w:t>
            </w:r>
          </w:p>
        </w:tc>
        <w:tc>
          <w:tcPr>
            <w:tcW w:type="dxa" w:w="1145"/>
          </w:tcPr>
          <w:p>
            <w:pPr>
              <w:spacing w:after="0"/>
              <w:jc w:val="center"/>
            </w:pPr>
            <w:r/>
            <w:r>
              <w:rPr>
                <w:color w:val="1A1A1A"/>
                <w:sz w:val="14"/>
              </w:rPr>
              <w:t>--</w:t>
            </w:r>
          </w:p>
        </w:tc>
        <w:tc>
          <w:tcPr>
            <w:tcW w:type="dxa" w:w="1145"/>
          </w:tcPr>
          <w:p>
            <w:pPr>
              <w:spacing w:after="0"/>
              <w:jc w:val="center"/>
            </w:pPr>
            <w:r/>
            <w:r>
              <w:rPr>
                <w:color w:val="1A1A1A"/>
                <w:sz w:val="14"/>
              </w:rPr>
              <w:t>-- †</w:t>
            </w:r>
          </w:p>
        </w:tc>
        <w:tc>
          <w:tcPr>
            <w:tcW w:type="dxa" w:w="850"/>
          </w:tcPr>
          <w:p>
            <w:pPr>
              <w:spacing w:after="0"/>
              <w:jc w:val="center"/>
            </w:pPr>
            <w:r/>
            <w:r>
              <w:rPr>
                <w:color w:val="1A1A1A"/>
                <w:sz w:val="14"/>
              </w:rPr>
              <w:t>all in group</w:t>
            </w:r>
          </w:p>
        </w:tc>
      </w:tr>
    </w:tbl>
    <w:p>
      <w:pPr>
        <w:spacing w:before="160" w:after="60"/>
        <w:jc w:val="center"/>
      </w:pPr>
      <w:r>
        <w:drawing>
          <wp:inline xmlns:a="http://schemas.openxmlformats.org/drawingml/2006/main" xmlns:pic="http://schemas.openxmlformats.org/drawingml/2006/picture">
            <wp:extent cx="5976000" cy="6496910"/>
            <wp:docPr id="6" name="Picture 6"/>
            <wp:cNvGraphicFramePr>
              <a:graphicFrameLocks noChangeAspect="1"/>
            </wp:cNvGraphicFramePr>
            <a:graphic>
              <a:graphicData uri="http://schemas.openxmlformats.org/drawingml/2006/picture">
                <pic:pic>
                  <pic:nvPicPr>
                    <pic:cNvPr id="0" name="Figure 6 - Adjusted differences private hospital users.png"/>
                    <pic:cNvPicPr/>
                  </pic:nvPicPr>
                  <pic:blipFill>
                    <a:blip r:embed="rId14"/>
                    <a:stretch>
                      <a:fillRect/>
                    </a:stretch>
                  </pic:blipFill>
                  <pic:spPr>
                    <a:xfrm>
                      <a:off x="0" y="0"/>
                      <a:ext cx="5976000" cy="6496910"/>
                    </a:xfrm>
                    <a:prstGeom prst="rect"/>
                  </pic:spPr>
                </pic:pic>
              </a:graphicData>
            </a:graphic>
          </wp:inline>
        </w:drawing>
      </w:r>
    </w:p>
    <w:p>
      <w:pPr>
        <w:spacing w:before="200" w:after="60"/>
      </w:pPr>
      <w:r>
        <w:rPr>
          <w:b/>
          <w:color w:val="1A1A1A"/>
          <w:sz w:val="19"/>
        </w:rPr>
        <w:t xml:space="preserve">Figure 6.  </w:t>
      </w:r>
      <w:r>
        <w:rPr>
          <w:color w:val="1A1A1A"/>
          <w:sz w:val="19"/>
        </w:rPr>
        <w:t>Adjusted differences for private-hospital users, across all outcome families.</w:t>
      </w:r>
    </w:p>
    <w:p>
      <w:pPr>
        <w:spacing w:before="40" w:after="220"/>
      </w:pPr>
      <w:r>
        <w:rPr>
          <w:i/>
          <w:color w:val="606060"/>
          <w:sz w:val="16"/>
        </w:rPr>
        <w:t>Reference is public hospital OPD/ER. Coloured markers mark Benjamini–Hochberg adjusted p &lt; 0.05 within the outcome family. "pp diff" is the difference in average predicted probability, which is the quantity to read for magnitude — not the odds ratio.</w:t>
      </w:r>
    </w:p>
    <w:p>
      <w:r>
        <w:br w:type="page"/>
      </w:r>
    </w:p>
    <w:p>
      <w:pPr>
        <w:pStyle w:val="Heading1"/>
        <w:spacing w:before="280" w:after="100"/>
      </w:pPr>
      <w:r>
        <w:rPr>
          <w:rFonts w:ascii="Calibri" w:hAnsi="Calibri"/>
          <w:b/>
          <w:color w:val="1A1A1A"/>
          <w:sz w:val="30"/>
        </w:rPr>
        <w:t>6. Admission: the one finding this survey cannot resolve</w:t>
      </w:r>
    </w:p>
    <w:p>
      <w:pPr>
        <w:spacing w:after="140"/>
        <w:jc w:val="both"/>
      </w:pPr>
      <w:r>
        <w:rPr>
          <w:b w:val="0"/>
          <w:i w:val="0"/>
          <w:color w:val="1A1A1A"/>
          <w:sz w:val="21"/>
        </w:rPr>
        <w:t>Private-hospital users report an overnight admission in the past twelve months at 29.1%, against 22.1% of public hospital users, 16.9% of public primary care users and 13.4% of private clinic and pharmacy users. The difference survives full adjustment including chronic illness (aOR 2.42, 1.35–4.31; +14.2 pp), and adding unmet need and visit volume does not remove it. It is the largest adjusted difference outside the experience ratings, in the group reporting the best health.</w:t>
      </w:r>
    </w:p>
    <w:p>
      <w:pPr>
        <w:spacing w:after="140"/>
        <w:jc w:val="both"/>
      </w:pPr>
      <w:r>
        <w:rPr>
          <w:b w:val="0"/>
          <w:i w:val="0"/>
          <w:color w:val="1A1A1A"/>
          <w:sz w:val="21"/>
        </w:rPr>
        <w:t>Three things follow, and only three. The association is real in these data. It is not explained by need as this survey measures it — though that is a weak instrument, since Q11 is a non-specific chronic-illness indicator rather than a diagnosis, and no disease-specific information exists. And it cannot be attributed to a private hospital at all: Q26 records that an admission happened, never where it happened.</w:t>
      </w:r>
    </w:p>
    <w:p>
      <w:pPr>
        <w:spacing w:after="140"/>
        <w:jc w:val="both"/>
      </w:pPr>
      <w:r>
        <w:rPr>
          <w:b w:val="0"/>
          <w:i w:val="0"/>
          <w:color w:val="1A1A1A"/>
          <w:sz w:val="21"/>
        </w:rPr>
        <w:t>It does not demonstrate overuse, supplier-induced demand, or a reimbursement effect. It is a signal that warrants investigation with claims and clinical information, by facility, payer and case mix.</w:t>
      </w:r>
    </w:p>
    <w:p>
      <w:pPr>
        <w:spacing w:before="200" w:after="60"/>
      </w:pPr>
      <w:r>
        <w:rPr>
          <w:b/>
          <w:color w:val="1A1A1A"/>
          <w:sz w:val="19"/>
        </w:rPr>
        <w:t xml:space="preserve">Table 10.  </w:t>
      </w:r>
      <w:r>
        <w:rPr>
          <w:color w:val="1A1A1A"/>
          <w:sz w:val="19"/>
        </w:rPr>
        <w:t>Admission: sensitivity to the specification.</w:t>
      </w:r>
    </w:p>
    <w:p>
      <w:pPr>
        <w:spacing w:before="40" w:after="220"/>
      </w:pPr>
      <w:r>
        <w:rPr>
          <w:i/>
          <w:color w:val="606060"/>
          <w:sz w:val="16"/>
        </w:rPr>
        <w:t>Each block is a separate model on the same cohort. Chronic illness is already in the base covariate set. Where the analytic n changes, that is a change of sample, not only of adjustment.</w:t>
      </w:r>
    </w:p>
    <w:tbl>
      <w:tblPr>
        <w:tblW w:type="auto" w:w="0"/>
        <w:jc w:val="center"/>
        <w:tblLayout w:type="fixed"/>
        <w:tblLook w:firstColumn="1" w:firstRow="1" w:lastColumn="0" w:lastRow="0" w:noHBand="0" w:noVBand="1" w:val="04A0"/>
        <w:tblBorders>
          <w:top w:val="single" w:sz="8" w:color="808080"/>
          <w:bottom w:val="single" w:sz="8" w:color="808080"/>
          <w:insideH w:val="single" w:sz="4" w:color="D8D8D8"/>
          <w:left w:val="none"/>
          <w:right w:val="none"/>
          <w:insideV w:val="none"/>
        </w:tblBorders>
        <w:tblLayout w:type="fixed"/>
      </w:tblPr>
      <w:tblGrid>
        <w:gridCol w:w="1205"/>
        <w:gridCol w:w="1205"/>
        <w:gridCol w:w="1205"/>
        <w:gridCol w:w="1205"/>
        <w:gridCol w:w="1205"/>
        <w:gridCol w:w="1205"/>
        <w:gridCol w:w="1205"/>
        <w:gridCol w:w="1205"/>
      </w:tblGrid>
      <w:tr>
        <w:tc>
          <w:tcPr>
            <w:tcW w:type="dxa" w:w="2608"/>
            <w:shd w:val="clear" w:fill="F2F2F0"/>
          </w:tcPr>
          <w:p>
            <w:pPr>
              <w:spacing w:after="0"/>
              <w:jc w:val="left"/>
            </w:pPr>
            <w:r/>
            <w:r>
              <w:rPr>
                <w:b/>
                <w:color w:val="1A1A1A"/>
                <w:sz w:val="15"/>
              </w:rPr>
              <w:t>Specification</w:t>
            </w:r>
          </w:p>
        </w:tc>
        <w:tc>
          <w:tcPr>
            <w:tcW w:type="dxa" w:w="1039"/>
            <w:shd w:val="clear" w:fill="F2F2F0"/>
          </w:tcPr>
          <w:p>
            <w:pPr>
              <w:spacing w:after="0"/>
              <w:jc w:val="center"/>
            </w:pPr>
            <w:r/>
            <w:r>
              <w:rPr>
                <w:b/>
                <w:color w:val="1A1A1A"/>
                <w:sz w:val="15"/>
              </w:rPr>
              <w:t>Group</w:t>
            </w:r>
          </w:p>
        </w:tc>
        <w:tc>
          <w:tcPr>
            <w:tcW w:type="dxa" w:w="1039"/>
            <w:shd w:val="clear" w:fill="F2F2F0"/>
          </w:tcPr>
          <w:p>
            <w:pPr>
              <w:spacing w:after="0"/>
              <w:jc w:val="center"/>
            </w:pPr>
            <w:r/>
            <w:r>
              <w:rPr>
                <w:b/>
                <w:color w:val="1A1A1A"/>
                <w:sz w:val="15"/>
              </w:rPr>
              <w:t>aOR</w:t>
            </w:r>
          </w:p>
        </w:tc>
        <w:tc>
          <w:tcPr>
            <w:tcW w:type="dxa" w:w="1039"/>
            <w:shd w:val="clear" w:fill="F2F2F0"/>
          </w:tcPr>
          <w:p>
            <w:pPr>
              <w:spacing w:after="0"/>
              <w:jc w:val="center"/>
            </w:pPr>
            <w:r/>
            <w:r>
              <w:rPr>
                <w:b/>
                <w:color w:val="1A1A1A"/>
                <w:sz w:val="15"/>
              </w:rPr>
              <w:t>lo</w:t>
            </w:r>
          </w:p>
        </w:tc>
        <w:tc>
          <w:tcPr>
            <w:tcW w:type="dxa" w:w="1039"/>
            <w:shd w:val="clear" w:fill="F2F2F0"/>
          </w:tcPr>
          <w:p>
            <w:pPr>
              <w:spacing w:after="0"/>
              <w:jc w:val="center"/>
            </w:pPr>
            <w:r/>
            <w:r>
              <w:rPr>
                <w:b/>
                <w:color w:val="1A1A1A"/>
                <w:sz w:val="15"/>
              </w:rPr>
              <w:t>hi</w:t>
            </w:r>
          </w:p>
        </w:tc>
        <w:tc>
          <w:tcPr>
            <w:tcW w:type="dxa" w:w="1039"/>
            <w:shd w:val="clear" w:fill="F2F2F0"/>
          </w:tcPr>
          <w:p>
            <w:pPr>
              <w:spacing w:after="0"/>
              <w:jc w:val="center"/>
            </w:pPr>
            <w:r/>
            <w:r>
              <w:rPr>
                <w:b/>
                <w:color w:val="1A1A1A"/>
                <w:sz w:val="15"/>
              </w:rPr>
              <w:t>p</w:t>
            </w:r>
          </w:p>
        </w:tc>
        <w:tc>
          <w:tcPr>
            <w:tcW w:type="dxa" w:w="1039"/>
            <w:shd w:val="clear" w:fill="F2F2F0"/>
          </w:tcPr>
          <w:p>
            <w:pPr>
              <w:spacing w:after="0"/>
              <w:jc w:val="center"/>
            </w:pPr>
            <w:r/>
            <w:r>
              <w:rPr>
                <w:b/>
                <w:color w:val="1A1A1A"/>
                <w:sz w:val="15"/>
              </w:rPr>
              <w:t>Diff (pp)</w:t>
            </w:r>
          </w:p>
        </w:tc>
        <w:tc>
          <w:tcPr>
            <w:tcW w:type="dxa" w:w="794"/>
            <w:shd w:val="clear" w:fill="F2F2F0"/>
          </w:tcPr>
          <w:p>
            <w:pPr>
              <w:spacing w:after="0"/>
              <w:jc w:val="center"/>
            </w:pPr>
            <w:r/>
            <w:r>
              <w:rPr>
                <w:b/>
                <w:color w:val="1A1A1A"/>
                <w:sz w:val="15"/>
              </w:rPr>
              <w:t>n</w:t>
            </w:r>
          </w:p>
        </w:tc>
      </w:tr>
      <w:tr>
        <w:tc>
          <w:tcPr>
            <w:tcW w:type="dxa" w:w="2608"/>
          </w:tcPr>
          <w:p>
            <w:pPr>
              <w:spacing w:after="0"/>
              <w:jc w:val="left"/>
            </w:pPr>
            <w:r/>
            <w:r>
              <w:rPr>
                <w:color w:val="1A1A1A"/>
                <w:sz w:val="15"/>
              </w:rPr>
              <w:t>Base specification</w:t>
            </w:r>
          </w:p>
        </w:tc>
        <w:tc>
          <w:tcPr>
            <w:tcW w:type="dxa" w:w="1039"/>
          </w:tcPr>
          <w:p>
            <w:pPr>
              <w:spacing w:after="0"/>
              <w:jc w:val="center"/>
            </w:pPr>
            <w:r/>
            <w:r>
              <w:rPr>
                <w:color w:val="1A1A1A"/>
                <w:sz w:val="15"/>
              </w:rPr>
              <w:t>public primary care</w:t>
            </w:r>
          </w:p>
        </w:tc>
        <w:tc>
          <w:tcPr>
            <w:tcW w:type="dxa" w:w="1039"/>
          </w:tcPr>
          <w:p>
            <w:pPr>
              <w:spacing w:after="0"/>
              <w:jc w:val="center"/>
            </w:pPr>
            <w:r/>
            <w:r>
              <w:rPr>
                <w:color w:val="1A1A1A"/>
                <w:sz w:val="15"/>
              </w:rPr>
              <w:t>0.87</w:t>
            </w:r>
          </w:p>
        </w:tc>
        <w:tc>
          <w:tcPr>
            <w:tcW w:type="dxa" w:w="1039"/>
          </w:tcPr>
          <w:p>
            <w:pPr>
              <w:spacing w:after="0"/>
              <w:jc w:val="center"/>
            </w:pPr>
            <w:r/>
            <w:r>
              <w:rPr>
                <w:color w:val="1A1A1A"/>
                <w:sz w:val="15"/>
              </w:rPr>
              <w:t>0.594</w:t>
            </w:r>
          </w:p>
        </w:tc>
        <w:tc>
          <w:tcPr>
            <w:tcW w:type="dxa" w:w="1039"/>
          </w:tcPr>
          <w:p>
            <w:pPr>
              <w:spacing w:after="0"/>
              <w:jc w:val="center"/>
            </w:pPr>
            <w:r/>
            <w:r>
              <w:rPr>
                <w:color w:val="1A1A1A"/>
                <w:sz w:val="15"/>
              </w:rPr>
              <w:t>1.273</w:t>
            </w:r>
          </w:p>
        </w:tc>
        <w:tc>
          <w:tcPr>
            <w:tcW w:type="dxa" w:w="1039"/>
          </w:tcPr>
          <w:p>
            <w:pPr>
              <w:spacing w:after="0"/>
              <w:jc w:val="center"/>
            </w:pPr>
            <w:r/>
            <w:r>
              <w:rPr>
                <w:color w:val="1A1A1A"/>
                <w:sz w:val="15"/>
              </w:rPr>
              <w:t>0.473</w:t>
            </w:r>
          </w:p>
        </w:tc>
        <w:tc>
          <w:tcPr>
            <w:tcW w:type="dxa" w:w="1039"/>
          </w:tcPr>
          <w:p>
            <w:pPr>
              <w:spacing w:after="0"/>
              <w:jc w:val="center"/>
            </w:pPr>
            <w:r/>
            <w:r>
              <w:rPr>
                <w:color w:val="1A1A1A"/>
                <w:sz w:val="15"/>
              </w:rPr>
              <w:t>-1.812</w:t>
            </w:r>
          </w:p>
        </w:tc>
        <w:tc>
          <w:tcPr>
            <w:tcW w:type="dxa" w:w="794"/>
          </w:tcPr>
          <w:p>
            <w:pPr>
              <w:spacing w:after="0"/>
              <w:jc w:val="center"/>
            </w:pPr>
            <w:r/>
            <w:r>
              <w:rPr>
                <w:color w:val="1A1A1A"/>
                <w:sz w:val="15"/>
              </w:rPr>
              <w:t>1505</w:t>
            </w:r>
          </w:p>
        </w:tc>
      </w:tr>
      <w:tr>
        <w:tc>
          <w:tcPr>
            <w:tcW w:type="dxa" w:w="2608"/>
          </w:tcPr>
          <w:p>
            <w:pPr>
              <w:spacing w:after="0"/>
              <w:jc w:val="left"/>
            </w:pPr>
            <w:r/>
            <w:r>
              <w:rPr>
                <w:color w:val="1A1A1A"/>
                <w:sz w:val="15"/>
              </w:rPr>
              <w:t>Base specification</w:t>
            </w:r>
          </w:p>
        </w:tc>
        <w:tc>
          <w:tcPr>
            <w:tcW w:type="dxa" w:w="1039"/>
          </w:tcPr>
          <w:p>
            <w:pPr>
              <w:spacing w:after="0"/>
              <w:jc w:val="center"/>
            </w:pPr>
            <w:r/>
            <w:r>
              <w:rPr>
                <w:color w:val="1A1A1A"/>
                <w:sz w:val="15"/>
              </w:rPr>
              <w:t>private clinic/pharmacy</w:t>
            </w:r>
          </w:p>
        </w:tc>
        <w:tc>
          <w:tcPr>
            <w:tcW w:type="dxa" w:w="1039"/>
          </w:tcPr>
          <w:p>
            <w:pPr>
              <w:spacing w:after="0"/>
              <w:jc w:val="center"/>
            </w:pPr>
            <w:r/>
            <w:r>
              <w:rPr>
                <w:color w:val="1A1A1A"/>
                <w:sz w:val="15"/>
              </w:rPr>
              <w:t>1.052</w:t>
            </w:r>
          </w:p>
        </w:tc>
        <w:tc>
          <w:tcPr>
            <w:tcW w:type="dxa" w:w="1039"/>
          </w:tcPr>
          <w:p>
            <w:pPr>
              <w:spacing w:after="0"/>
              <w:jc w:val="center"/>
            </w:pPr>
            <w:r/>
            <w:r>
              <w:rPr>
                <w:color w:val="1A1A1A"/>
                <w:sz w:val="15"/>
              </w:rPr>
              <w:t>0.538</w:t>
            </w:r>
          </w:p>
        </w:tc>
        <w:tc>
          <w:tcPr>
            <w:tcW w:type="dxa" w:w="1039"/>
          </w:tcPr>
          <w:p>
            <w:pPr>
              <w:spacing w:after="0"/>
              <w:jc w:val="center"/>
            </w:pPr>
            <w:r/>
            <w:r>
              <w:rPr>
                <w:color w:val="1A1A1A"/>
                <w:sz w:val="15"/>
              </w:rPr>
              <w:t>2.055</w:t>
            </w:r>
          </w:p>
        </w:tc>
        <w:tc>
          <w:tcPr>
            <w:tcW w:type="dxa" w:w="1039"/>
          </w:tcPr>
          <w:p>
            <w:pPr>
              <w:spacing w:after="0"/>
              <w:jc w:val="center"/>
            </w:pPr>
            <w:r/>
            <w:r>
              <w:rPr>
                <w:color w:val="1A1A1A"/>
                <w:sz w:val="15"/>
              </w:rPr>
              <w:t>0.883</w:t>
            </w:r>
          </w:p>
        </w:tc>
        <w:tc>
          <w:tcPr>
            <w:tcW w:type="dxa" w:w="1039"/>
          </w:tcPr>
          <w:p>
            <w:pPr>
              <w:spacing w:after="0"/>
              <w:jc w:val="center"/>
            </w:pPr>
            <w:r/>
            <w:r>
              <w:rPr>
                <w:color w:val="1A1A1A"/>
                <w:sz w:val="15"/>
              </w:rPr>
              <w:t>0.682</w:t>
            </w:r>
          </w:p>
        </w:tc>
        <w:tc>
          <w:tcPr>
            <w:tcW w:type="dxa" w:w="794"/>
          </w:tcPr>
          <w:p>
            <w:pPr>
              <w:spacing w:after="0"/>
              <w:jc w:val="center"/>
            </w:pPr>
            <w:r/>
            <w:r>
              <w:rPr>
                <w:color w:val="1A1A1A"/>
                <w:sz w:val="15"/>
              </w:rPr>
              <w:t>1505</w:t>
            </w:r>
          </w:p>
        </w:tc>
      </w:tr>
      <w:tr>
        <w:tc>
          <w:tcPr>
            <w:tcW w:type="dxa" w:w="2608"/>
          </w:tcPr>
          <w:p>
            <w:pPr>
              <w:spacing w:after="0"/>
              <w:jc w:val="left"/>
            </w:pPr>
            <w:r/>
            <w:r>
              <w:rPr>
                <w:color w:val="1A1A1A"/>
                <w:sz w:val="15"/>
              </w:rPr>
              <w:t>Base specification</w:t>
            </w:r>
          </w:p>
        </w:tc>
        <w:tc>
          <w:tcPr>
            <w:tcW w:type="dxa" w:w="1039"/>
          </w:tcPr>
          <w:p>
            <w:pPr>
              <w:spacing w:after="0"/>
              <w:jc w:val="center"/>
            </w:pPr>
            <w:r/>
            <w:r>
              <w:rPr>
                <w:color w:val="1A1A1A"/>
                <w:sz w:val="15"/>
              </w:rPr>
              <w:t>private hospital OPD/ER</w:t>
            </w:r>
          </w:p>
        </w:tc>
        <w:tc>
          <w:tcPr>
            <w:tcW w:type="dxa" w:w="1039"/>
          </w:tcPr>
          <w:p>
            <w:pPr>
              <w:spacing w:after="0"/>
              <w:jc w:val="center"/>
            </w:pPr>
            <w:r/>
            <w:r>
              <w:rPr>
                <w:color w:val="1A1A1A"/>
                <w:sz w:val="15"/>
              </w:rPr>
              <w:t>2.417</w:t>
            </w:r>
          </w:p>
        </w:tc>
        <w:tc>
          <w:tcPr>
            <w:tcW w:type="dxa" w:w="1039"/>
          </w:tcPr>
          <w:p>
            <w:pPr>
              <w:spacing w:after="0"/>
              <w:jc w:val="center"/>
            </w:pPr>
            <w:r/>
            <w:r>
              <w:rPr>
                <w:color w:val="1A1A1A"/>
                <w:sz w:val="15"/>
              </w:rPr>
              <w:t>1.354</w:t>
            </w:r>
          </w:p>
        </w:tc>
        <w:tc>
          <w:tcPr>
            <w:tcW w:type="dxa" w:w="1039"/>
          </w:tcPr>
          <w:p>
            <w:pPr>
              <w:spacing w:after="0"/>
              <w:jc w:val="center"/>
            </w:pPr>
            <w:r/>
            <w:r>
              <w:rPr>
                <w:color w:val="1A1A1A"/>
                <w:sz w:val="15"/>
              </w:rPr>
              <w:t>4.314</w:t>
            </w:r>
          </w:p>
        </w:tc>
        <w:tc>
          <w:tcPr>
            <w:tcW w:type="dxa" w:w="1039"/>
          </w:tcPr>
          <w:p>
            <w:pPr>
              <w:spacing w:after="0"/>
              <w:jc w:val="center"/>
            </w:pPr>
            <w:r/>
            <w:r>
              <w:rPr>
                <w:color w:val="1A1A1A"/>
                <w:sz w:val="15"/>
              </w:rPr>
              <w:t>0.003</w:t>
            </w:r>
          </w:p>
        </w:tc>
        <w:tc>
          <w:tcPr>
            <w:tcW w:type="dxa" w:w="1039"/>
          </w:tcPr>
          <w:p>
            <w:pPr>
              <w:spacing w:after="0"/>
              <w:jc w:val="center"/>
            </w:pPr>
            <w:r/>
            <w:r>
              <w:rPr>
                <w:color w:val="1A1A1A"/>
                <w:sz w:val="15"/>
              </w:rPr>
              <w:t>14.172</w:t>
            </w:r>
          </w:p>
        </w:tc>
        <w:tc>
          <w:tcPr>
            <w:tcW w:type="dxa" w:w="794"/>
          </w:tcPr>
          <w:p>
            <w:pPr>
              <w:spacing w:after="0"/>
              <w:jc w:val="center"/>
            </w:pPr>
            <w:r/>
            <w:r>
              <w:rPr>
                <w:color w:val="1A1A1A"/>
                <w:sz w:val="15"/>
              </w:rPr>
              <w:t>1505</w:t>
            </w:r>
          </w:p>
        </w:tc>
      </w:tr>
      <w:tr>
        <w:tc>
          <w:tcPr>
            <w:tcW w:type="dxa" w:w="2608"/>
          </w:tcPr>
          <w:p>
            <w:pPr>
              <w:spacing w:after="0"/>
              <w:jc w:val="left"/>
            </w:pPr>
            <w:r/>
            <w:r>
              <w:rPr>
                <w:color w:val="1A1A1A"/>
                <w:sz w:val="15"/>
              </w:rPr>
              <w:t>+ chronic illness already in base (shown for clarity)</w:t>
            </w:r>
          </w:p>
        </w:tc>
        <w:tc>
          <w:tcPr>
            <w:tcW w:type="dxa" w:w="1039"/>
          </w:tcPr>
          <w:p>
            <w:pPr>
              <w:spacing w:after="0"/>
              <w:jc w:val="center"/>
            </w:pPr>
            <w:r/>
            <w:r>
              <w:rPr>
                <w:color w:val="1A1A1A"/>
                <w:sz w:val="15"/>
              </w:rPr>
              <w:t>public primary care</w:t>
            </w:r>
          </w:p>
        </w:tc>
        <w:tc>
          <w:tcPr>
            <w:tcW w:type="dxa" w:w="1039"/>
          </w:tcPr>
          <w:p>
            <w:pPr>
              <w:spacing w:after="0"/>
              <w:jc w:val="center"/>
            </w:pPr>
            <w:r/>
            <w:r>
              <w:rPr>
                <w:color w:val="1A1A1A"/>
                <w:sz w:val="15"/>
              </w:rPr>
              <w:t>0.87</w:t>
            </w:r>
          </w:p>
        </w:tc>
        <w:tc>
          <w:tcPr>
            <w:tcW w:type="dxa" w:w="1039"/>
          </w:tcPr>
          <w:p>
            <w:pPr>
              <w:spacing w:after="0"/>
              <w:jc w:val="center"/>
            </w:pPr>
            <w:r/>
            <w:r>
              <w:rPr>
                <w:color w:val="1A1A1A"/>
                <w:sz w:val="15"/>
              </w:rPr>
              <w:t>0.594</w:t>
            </w:r>
          </w:p>
        </w:tc>
        <w:tc>
          <w:tcPr>
            <w:tcW w:type="dxa" w:w="1039"/>
          </w:tcPr>
          <w:p>
            <w:pPr>
              <w:spacing w:after="0"/>
              <w:jc w:val="center"/>
            </w:pPr>
            <w:r/>
            <w:r>
              <w:rPr>
                <w:color w:val="1A1A1A"/>
                <w:sz w:val="15"/>
              </w:rPr>
              <w:t>1.273</w:t>
            </w:r>
          </w:p>
        </w:tc>
        <w:tc>
          <w:tcPr>
            <w:tcW w:type="dxa" w:w="1039"/>
          </w:tcPr>
          <w:p>
            <w:pPr>
              <w:spacing w:after="0"/>
              <w:jc w:val="center"/>
            </w:pPr>
            <w:r/>
            <w:r>
              <w:rPr>
                <w:color w:val="1A1A1A"/>
                <w:sz w:val="15"/>
              </w:rPr>
              <w:t>0.473</w:t>
            </w:r>
          </w:p>
        </w:tc>
        <w:tc>
          <w:tcPr>
            <w:tcW w:type="dxa" w:w="1039"/>
          </w:tcPr>
          <w:p>
            <w:pPr>
              <w:spacing w:after="0"/>
              <w:jc w:val="center"/>
            </w:pPr>
            <w:r/>
            <w:r>
              <w:rPr>
                <w:color w:val="1A1A1A"/>
                <w:sz w:val="15"/>
              </w:rPr>
              <w:t>-1.812</w:t>
            </w:r>
          </w:p>
        </w:tc>
        <w:tc>
          <w:tcPr>
            <w:tcW w:type="dxa" w:w="794"/>
          </w:tcPr>
          <w:p>
            <w:pPr>
              <w:spacing w:after="0"/>
              <w:jc w:val="center"/>
            </w:pPr>
            <w:r/>
            <w:r>
              <w:rPr>
                <w:color w:val="1A1A1A"/>
                <w:sz w:val="15"/>
              </w:rPr>
              <w:t>1505</w:t>
            </w:r>
          </w:p>
        </w:tc>
      </w:tr>
      <w:tr>
        <w:tc>
          <w:tcPr>
            <w:tcW w:type="dxa" w:w="2608"/>
          </w:tcPr>
          <w:p>
            <w:pPr>
              <w:spacing w:after="0"/>
              <w:jc w:val="left"/>
            </w:pPr>
            <w:r/>
            <w:r>
              <w:rPr>
                <w:color w:val="1A1A1A"/>
                <w:sz w:val="15"/>
              </w:rPr>
              <w:t>+ chronic illness already in base (shown for clarity)</w:t>
            </w:r>
          </w:p>
        </w:tc>
        <w:tc>
          <w:tcPr>
            <w:tcW w:type="dxa" w:w="1039"/>
          </w:tcPr>
          <w:p>
            <w:pPr>
              <w:spacing w:after="0"/>
              <w:jc w:val="center"/>
            </w:pPr>
            <w:r/>
            <w:r>
              <w:rPr>
                <w:color w:val="1A1A1A"/>
                <w:sz w:val="15"/>
              </w:rPr>
              <w:t>private clinic/pharmacy</w:t>
            </w:r>
          </w:p>
        </w:tc>
        <w:tc>
          <w:tcPr>
            <w:tcW w:type="dxa" w:w="1039"/>
          </w:tcPr>
          <w:p>
            <w:pPr>
              <w:spacing w:after="0"/>
              <w:jc w:val="center"/>
            </w:pPr>
            <w:r/>
            <w:r>
              <w:rPr>
                <w:color w:val="1A1A1A"/>
                <w:sz w:val="15"/>
              </w:rPr>
              <w:t>1.052</w:t>
            </w:r>
          </w:p>
        </w:tc>
        <w:tc>
          <w:tcPr>
            <w:tcW w:type="dxa" w:w="1039"/>
          </w:tcPr>
          <w:p>
            <w:pPr>
              <w:spacing w:after="0"/>
              <w:jc w:val="center"/>
            </w:pPr>
            <w:r/>
            <w:r>
              <w:rPr>
                <w:color w:val="1A1A1A"/>
                <w:sz w:val="15"/>
              </w:rPr>
              <w:t>0.538</w:t>
            </w:r>
          </w:p>
        </w:tc>
        <w:tc>
          <w:tcPr>
            <w:tcW w:type="dxa" w:w="1039"/>
          </w:tcPr>
          <w:p>
            <w:pPr>
              <w:spacing w:after="0"/>
              <w:jc w:val="center"/>
            </w:pPr>
            <w:r/>
            <w:r>
              <w:rPr>
                <w:color w:val="1A1A1A"/>
                <w:sz w:val="15"/>
              </w:rPr>
              <w:t>2.055</w:t>
            </w:r>
          </w:p>
        </w:tc>
        <w:tc>
          <w:tcPr>
            <w:tcW w:type="dxa" w:w="1039"/>
          </w:tcPr>
          <w:p>
            <w:pPr>
              <w:spacing w:after="0"/>
              <w:jc w:val="center"/>
            </w:pPr>
            <w:r/>
            <w:r>
              <w:rPr>
                <w:color w:val="1A1A1A"/>
                <w:sz w:val="15"/>
              </w:rPr>
              <w:t>0.883</w:t>
            </w:r>
          </w:p>
        </w:tc>
        <w:tc>
          <w:tcPr>
            <w:tcW w:type="dxa" w:w="1039"/>
          </w:tcPr>
          <w:p>
            <w:pPr>
              <w:spacing w:after="0"/>
              <w:jc w:val="center"/>
            </w:pPr>
            <w:r/>
            <w:r>
              <w:rPr>
                <w:color w:val="1A1A1A"/>
                <w:sz w:val="15"/>
              </w:rPr>
              <w:t>0.682</w:t>
            </w:r>
          </w:p>
        </w:tc>
        <w:tc>
          <w:tcPr>
            <w:tcW w:type="dxa" w:w="794"/>
          </w:tcPr>
          <w:p>
            <w:pPr>
              <w:spacing w:after="0"/>
              <w:jc w:val="center"/>
            </w:pPr>
            <w:r/>
            <w:r>
              <w:rPr>
                <w:color w:val="1A1A1A"/>
                <w:sz w:val="15"/>
              </w:rPr>
              <w:t>1505</w:t>
            </w:r>
          </w:p>
        </w:tc>
      </w:tr>
      <w:tr>
        <w:tc>
          <w:tcPr>
            <w:tcW w:type="dxa" w:w="2608"/>
          </w:tcPr>
          <w:p>
            <w:pPr>
              <w:spacing w:after="0"/>
              <w:jc w:val="left"/>
            </w:pPr>
            <w:r/>
            <w:r>
              <w:rPr>
                <w:color w:val="1A1A1A"/>
                <w:sz w:val="15"/>
              </w:rPr>
              <w:t>+ chronic illness already in base (shown for clarity)</w:t>
            </w:r>
          </w:p>
        </w:tc>
        <w:tc>
          <w:tcPr>
            <w:tcW w:type="dxa" w:w="1039"/>
          </w:tcPr>
          <w:p>
            <w:pPr>
              <w:spacing w:after="0"/>
              <w:jc w:val="center"/>
            </w:pPr>
            <w:r/>
            <w:r>
              <w:rPr>
                <w:color w:val="1A1A1A"/>
                <w:sz w:val="15"/>
              </w:rPr>
              <w:t>private hospital OPD/ER</w:t>
            </w:r>
          </w:p>
        </w:tc>
        <w:tc>
          <w:tcPr>
            <w:tcW w:type="dxa" w:w="1039"/>
          </w:tcPr>
          <w:p>
            <w:pPr>
              <w:spacing w:after="0"/>
              <w:jc w:val="center"/>
            </w:pPr>
            <w:r/>
            <w:r>
              <w:rPr>
                <w:color w:val="1A1A1A"/>
                <w:sz w:val="15"/>
              </w:rPr>
              <w:t>2.417</w:t>
            </w:r>
          </w:p>
        </w:tc>
        <w:tc>
          <w:tcPr>
            <w:tcW w:type="dxa" w:w="1039"/>
          </w:tcPr>
          <w:p>
            <w:pPr>
              <w:spacing w:after="0"/>
              <w:jc w:val="center"/>
            </w:pPr>
            <w:r/>
            <w:r>
              <w:rPr>
                <w:color w:val="1A1A1A"/>
                <w:sz w:val="15"/>
              </w:rPr>
              <w:t>1.354</w:t>
            </w:r>
          </w:p>
        </w:tc>
        <w:tc>
          <w:tcPr>
            <w:tcW w:type="dxa" w:w="1039"/>
          </w:tcPr>
          <w:p>
            <w:pPr>
              <w:spacing w:after="0"/>
              <w:jc w:val="center"/>
            </w:pPr>
            <w:r/>
            <w:r>
              <w:rPr>
                <w:color w:val="1A1A1A"/>
                <w:sz w:val="15"/>
              </w:rPr>
              <w:t>4.314</w:t>
            </w:r>
          </w:p>
        </w:tc>
        <w:tc>
          <w:tcPr>
            <w:tcW w:type="dxa" w:w="1039"/>
          </w:tcPr>
          <w:p>
            <w:pPr>
              <w:spacing w:after="0"/>
              <w:jc w:val="center"/>
            </w:pPr>
            <w:r/>
            <w:r>
              <w:rPr>
                <w:color w:val="1A1A1A"/>
                <w:sz w:val="15"/>
              </w:rPr>
              <w:t>0.003</w:t>
            </w:r>
          </w:p>
        </w:tc>
        <w:tc>
          <w:tcPr>
            <w:tcW w:type="dxa" w:w="1039"/>
          </w:tcPr>
          <w:p>
            <w:pPr>
              <w:spacing w:after="0"/>
              <w:jc w:val="center"/>
            </w:pPr>
            <w:r/>
            <w:r>
              <w:rPr>
                <w:color w:val="1A1A1A"/>
                <w:sz w:val="15"/>
              </w:rPr>
              <w:t>14.172</w:t>
            </w:r>
          </w:p>
        </w:tc>
        <w:tc>
          <w:tcPr>
            <w:tcW w:type="dxa" w:w="794"/>
          </w:tcPr>
          <w:p>
            <w:pPr>
              <w:spacing w:after="0"/>
              <w:jc w:val="center"/>
            </w:pPr>
            <w:r/>
            <w:r>
              <w:rPr>
                <w:color w:val="1A1A1A"/>
                <w:sz w:val="15"/>
              </w:rPr>
              <w:t>1505</w:t>
            </w:r>
          </w:p>
        </w:tc>
      </w:tr>
      <w:tr>
        <w:tc>
          <w:tcPr>
            <w:tcW w:type="dxa" w:w="2608"/>
          </w:tcPr>
          <w:p>
            <w:pPr>
              <w:spacing w:after="0"/>
              <w:jc w:val="left"/>
            </w:pPr>
            <w:r/>
            <w:r>
              <w:rPr>
                <w:color w:val="1A1A1A"/>
                <w:sz w:val="15"/>
              </w:rPr>
              <w:t>+ unmet need and visit volume</w:t>
            </w:r>
          </w:p>
        </w:tc>
        <w:tc>
          <w:tcPr>
            <w:tcW w:type="dxa" w:w="1039"/>
          </w:tcPr>
          <w:p>
            <w:pPr>
              <w:spacing w:after="0"/>
              <w:jc w:val="center"/>
            </w:pPr>
            <w:r/>
            <w:r>
              <w:rPr>
                <w:color w:val="1A1A1A"/>
                <w:sz w:val="15"/>
              </w:rPr>
              <w:t>public primary care</w:t>
            </w:r>
          </w:p>
        </w:tc>
        <w:tc>
          <w:tcPr>
            <w:tcW w:type="dxa" w:w="1039"/>
          </w:tcPr>
          <w:p>
            <w:pPr>
              <w:spacing w:after="0"/>
              <w:jc w:val="center"/>
            </w:pPr>
            <w:r/>
            <w:r>
              <w:rPr>
                <w:color w:val="1A1A1A"/>
                <w:sz w:val="15"/>
              </w:rPr>
              <w:t>0.903</w:t>
            </w:r>
          </w:p>
        </w:tc>
        <w:tc>
          <w:tcPr>
            <w:tcW w:type="dxa" w:w="1039"/>
          </w:tcPr>
          <w:p>
            <w:pPr>
              <w:spacing w:after="0"/>
              <w:jc w:val="center"/>
            </w:pPr>
            <w:r/>
            <w:r>
              <w:rPr>
                <w:color w:val="1A1A1A"/>
                <w:sz w:val="15"/>
              </w:rPr>
              <w:t>0.614</w:t>
            </w:r>
          </w:p>
        </w:tc>
        <w:tc>
          <w:tcPr>
            <w:tcW w:type="dxa" w:w="1039"/>
          </w:tcPr>
          <w:p>
            <w:pPr>
              <w:spacing w:after="0"/>
              <w:jc w:val="center"/>
            </w:pPr>
            <w:r/>
            <w:r>
              <w:rPr>
                <w:color w:val="1A1A1A"/>
                <w:sz w:val="15"/>
              </w:rPr>
              <w:t>1.329</w:t>
            </w:r>
          </w:p>
        </w:tc>
        <w:tc>
          <w:tcPr>
            <w:tcW w:type="dxa" w:w="1039"/>
          </w:tcPr>
          <w:p>
            <w:pPr>
              <w:spacing w:after="0"/>
              <w:jc w:val="center"/>
            </w:pPr>
            <w:r/>
            <w:r>
              <w:rPr>
                <w:color w:val="1A1A1A"/>
                <w:sz w:val="15"/>
              </w:rPr>
              <w:t>0.606</w:t>
            </w:r>
          </w:p>
        </w:tc>
        <w:tc>
          <w:tcPr>
            <w:tcW w:type="dxa" w:w="1039"/>
          </w:tcPr>
          <w:p>
            <w:pPr>
              <w:spacing w:after="0"/>
              <w:jc w:val="center"/>
            </w:pPr>
            <w:r/>
            <w:r>
              <w:rPr>
                <w:color w:val="1A1A1A"/>
                <w:sz w:val="15"/>
              </w:rPr>
              <w:t>-1.285</w:t>
            </w:r>
          </w:p>
        </w:tc>
        <w:tc>
          <w:tcPr>
            <w:tcW w:type="dxa" w:w="794"/>
          </w:tcPr>
          <w:p>
            <w:pPr>
              <w:spacing w:after="0"/>
              <w:jc w:val="center"/>
            </w:pPr>
            <w:r/>
            <w:r>
              <w:rPr>
                <w:color w:val="1A1A1A"/>
                <w:sz w:val="15"/>
              </w:rPr>
              <w:t>1505</w:t>
            </w:r>
          </w:p>
        </w:tc>
      </w:tr>
      <w:tr>
        <w:tc>
          <w:tcPr>
            <w:tcW w:type="dxa" w:w="2608"/>
          </w:tcPr>
          <w:p>
            <w:pPr>
              <w:spacing w:after="0"/>
              <w:jc w:val="left"/>
            </w:pPr>
            <w:r/>
            <w:r>
              <w:rPr>
                <w:color w:val="1A1A1A"/>
                <w:sz w:val="15"/>
              </w:rPr>
              <w:t>+ unmet need and visit volume</w:t>
            </w:r>
          </w:p>
        </w:tc>
        <w:tc>
          <w:tcPr>
            <w:tcW w:type="dxa" w:w="1039"/>
          </w:tcPr>
          <w:p>
            <w:pPr>
              <w:spacing w:after="0"/>
              <w:jc w:val="center"/>
            </w:pPr>
            <w:r/>
            <w:r>
              <w:rPr>
                <w:color w:val="1A1A1A"/>
                <w:sz w:val="15"/>
              </w:rPr>
              <w:t>private clinic/pharmacy</w:t>
            </w:r>
          </w:p>
        </w:tc>
        <w:tc>
          <w:tcPr>
            <w:tcW w:type="dxa" w:w="1039"/>
          </w:tcPr>
          <w:p>
            <w:pPr>
              <w:spacing w:after="0"/>
              <w:jc w:val="center"/>
            </w:pPr>
            <w:r/>
            <w:r>
              <w:rPr>
                <w:color w:val="1A1A1A"/>
                <w:sz w:val="15"/>
              </w:rPr>
              <w:t>1.16</w:t>
            </w:r>
          </w:p>
        </w:tc>
        <w:tc>
          <w:tcPr>
            <w:tcW w:type="dxa" w:w="1039"/>
          </w:tcPr>
          <w:p>
            <w:pPr>
              <w:spacing w:after="0"/>
              <w:jc w:val="center"/>
            </w:pPr>
            <w:r/>
            <w:r>
              <w:rPr>
                <w:color w:val="1A1A1A"/>
                <w:sz w:val="15"/>
              </w:rPr>
              <w:t>0.577</w:t>
            </w:r>
          </w:p>
        </w:tc>
        <w:tc>
          <w:tcPr>
            <w:tcW w:type="dxa" w:w="1039"/>
          </w:tcPr>
          <w:p>
            <w:pPr>
              <w:spacing w:after="0"/>
              <w:jc w:val="center"/>
            </w:pPr>
            <w:r/>
            <w:r>
              <w:rPr>
                <w:color w:val="1A1A1A"/>
                <w:sz w:val="15"/>
              </w:rPr>
              <w:t>2.33</w:t>
            </w:r>
          </w:p>
        </w:tc>
        <w:tc>
          <w:tcPr>
            <w:tcW w:type="dxa" w:w="1039"/>
          </w:tcPr>
          <w:p>
            <w:pPr>
              <w:spacing w:after="0"/>
              <w:jc w:val="center"/>
            </w:pPr>
            <w:r/>
            <w:r>
              <w:rPr>
                <w:color w:val="1A1A1A"/>
                <w:sz w:val="15"/>
              </w:rPr>
              <w:t>0.677</w:t>
            </w:r>
          </w:p>
        </w:tc>
        <w:tc>
          <w:tcPr>
            <w:tcW w:type="dxa" w:w="1039"/>
          </w:tcPr>
          <w:p>
            <w:pPr>
              <w:spacing w:after="0"/>
              <w:jc w:val="center"/>
            </w:pPr>
            <w:r/>
            <w:r>
              <w:rPr>
                <w:color w:val="1A1A1A"/>
                <w:sz w:val="15"/>
              </w:rPr>
              <w:t>1.986</w:t>
            </w:r>
          </w:p>
        </w:tc>
        <w:tc>
          <w:tcPr>
            <w:tcW w:type="dxa" w:w="794"/>
          </w:tcPr>
          <w:p>
            <w:pPr>
              <w:spacing w:after="0"/>
              <w:jc w:val="center"/>
            </w:pPr>
            <w:r/>
            <w:r>
              <w:rPr>
                <w:color w:val="1A1A1A"/>
                <w:sz w:val="15"/>
              </w:rPr>
              <w:t>1505</w:t>
            </w:r>
          </w:p>
        </w:tc>
      </w:tr>
      <w:tr>
        <w:tc>
          <w:tcPr>
            <w:tcW w:type="dxa" w:w="2608"/>
          </w:tcPr>
          <w:p>
            <w:pPr>
              <w:spacing w:after="0"/>
              <w:jc w:val="left"/>
            </w:pPr>
            <w:r/>
            <w:r>
              <w:rPr>
                <w:color w:val="1A1A1A"/>
                <w:sz w:val="15"/>
              </w:rPr>
              <w:t>+ unmet need and visit volume</w:t>
            </w:r>
          </w:p>
        </w:tc>
        <w:tc>
          <w:tcPr>
            <w:tcW w:type="dxa" w:w="1039"/>
          </w:tcPr>
          <w:p>
            <w:pPr>
              <w:spacing w:after="0"/>
              <w:jc w:val="center"/>
            </w:pPr>
            <w:r/>
            <w:r>
              <w:rPr>
                <w:color w:val="1A1A1A"/>
                <w:sz w:val="15"/>
              </w:rPr>
              <w:t>private hospital OPD/ER</w:t>
            </w:r>
          </w:p>
        </w:tc>
        <w:tc>
          <w:tcPr>
            <w:tcW w:type="dxa" w:w="1039"/>
          </w:tcPr>
          <w:p>
            <w:pPr>
              <w:spacing w:after="0"/>
              <w:jc w:val="center"/>
            </w:pPr>
            <w:r/>
            <w:r>
              <w:rPr>
                <w:color w:val="1A1A1A"/>
                <w:sz w:val="15"/>
              </w:rPr>
              <w:t>2.577</w:t>
            </w:r>
          </w:p>
        </w:tc>
        <w:tc>
          <w:tcPr>
            <w:tcW w:type="dxa" w:w="1039"/>
          </w:tcPr>
          <w:p>
            <w:pPr>
              <w:spacing w:after="0"/>
              <w:jc w:val="center"/>
            </w:pPr>
            <w:r/>
            <w:r>
              <w:rPr>
                <w:color w:val="1A1A1A"/>
                <w:sz w:val="15"/>
              </w:rPr>
              <w:t>1.37</w:t>
            </w:r>
          </w:p>
        </w:tc>
        <w:tc>
          <w:tcPr>
            <w:tcW w:type="dxa" w:w="1039"/>
          </w:tcPr>
          <w:p>
            <w:pPr>
              <w:spacing w:after="0"/>
              <w:jc w:val="center"/>
            </w:pPr>
            <w:r/>
            <w:r>
              <w:rPr>
                <w:color w:val="1A1A1A"/>
                <w:sz w:val="15"/>
              </w:rPr>
              <w:t>4.849</w:t>
            </w:r>
          </w:p>
        </w:tc>
        <w:tc>
          <w:tcPr>
            <w:tcW w:type="dxa" w:w="1039"/>
          </w:tcPr>
          <w:p>
            <w:pPr>
              <w:spacing w:after="0"/>
              <w:jc w:val="center"/>
            </w:pPr>
            <w:r/>
            <w:r>
              <w:rPr>
                <w:color w:val="1A1A1A"/>
                <w:sz w:val="15"/>
              </w:rPr>
              <w:t>0.003</w:t>
            </w:r>
          </w:p>
        </w:tc>
        <w:tc>
          <w:tcPr>
            <w:tcW w:type="dxa" w:w="1039"/>
          </w:tcPr>
          <w:p>
            <w:pPr>
              <w:spacing w:after="0"/>
              <w:jc w:val="center"/>
            </w:pPr>
            <w:r/>
            <w:r>
              <w:rPr>
                <w:color w:val="1A1A1A"/>
                <w:sz w:val="15"/>
              </w:rPr>
              <w:t>14.812</w:t>
            </w:r>
          </w:p>
        </w:tc>
        <w:tc>
          <w:tcPr>
            <w:tcW w:type="dxa" w:w="794"/>
          </w:tcPr>
          <w:p>
            <w:pPr>
              <w:spacing w:after="0"/>
              <w:jc w:val="center"/>
            </w:pPr>
            <w:r/>
            <w:r>
              <w:rPr>
                <w:color w:val="1A1A1A"/>
                <w:sz w:val="15"/>
              </w:rPr>
              <w:t>1505</w:t>
            </w:r>
          </w:p>
        </w:tc>
      </w:tr>
    </w:tbl>
    <w:p>
      <w:r>
        <w:br w:type="page"/>
      </w:r>
    </w:p>
    <w:p>
      <w:pPr>
        <w:pStyle w:val="Heading1"/>
        <w:spacing w:before="280" w:after="100"/>
      </w:pPr>
      <w:r>
        <w:rPr>
          <w:rFonts w:ascii="Calibri" w:hAnsi="Calibri"/>
          <w:b/>
          <w:color w:val="1A1A1A"/>
          <w:sz w:val="30"/>
        </w:rPr>
        <w:t>7. Coverage, financing and who these patients actually are</w:t>
      </w:r>
    </w:p>
    <w:p>
      <w:pPr>
        <w:spacing w:after="140"/>
        <w:jc w:val="both"/>
      </w:pPr>
      <w:r>
        <w:rPr>
          <w:b w:val="0"/>
          <w:i w:val="0"/>
          <w:color w:val="1A1A1A"/>
          <w:sz w:val="21"/>
        </w:rPr>
        <w:t>The reviewer’s question about how private-hospital patients pay cannot be answered with this instrument, and that is worth stating plainly rather than approximating. The survey records coverage ownership (Q6, Q7) and one general habit item about paying out of pocket in some situations. It never asks who paid for any specific visit or admission, how much, whether a copayment applied, or whether private insurance was actually used. Nor does it record employment status or the provider a respondent is registered with.</w:t>
      </w:r>
    </w:p>
    <w:p>
      <w:pPr>
        <w:spacing w:after="140"/>
        <w:jc w:val="both"/>
      </w:pPr>
      <w:r>
        <w:rPr>
          <w:b w:val="0"/>
          <w:i w:val="0"/>
          <w:color w:val="1A1A1A"/>
          <w:sz w:val="21"/>
        </w:rPr>
        <w:t>What can be shown is the overlap of entitlements. Of the 127 regular private-hospital users, 66 (52.0%) hold Social Security without private insurance, 22 (17.3%) hold both, 33 (26.0%) hold Universal Coverage and 5 (3.9%) hold the civil-servant scheme. Owning private insurance is not evidence of having used it; holding a scheme other than Social Security does not make someone a self-payer; and citing "low cost" as a reason is not evidence of having received free care.</w:t>
      </w:r>
    </w:p>
    <w:p>
      <w:pPr>
        <w:spacing w:before="200" w:after="60"/>
      </w:pPr>
      <w:r>
        <w:rPr>
          <w:b/>
          <w:color w:val="1A1A1A"/>
          <w:sz w:val="19"/>
        </w:rPr>
        <w:t xml:space="preserve">Table 11.  </w:t>
      </w:r>
      <w:r>
        <w:rPr>
          <w:color w:val="1A1A1A"/>
          <w:sz w:val="19"/>
        </w:rPr>
        <w:t>What the instrument does and does not record about money.</w:t>
      </w:r>
    </w:p>
    <w:p>
      <w:pPr>
        <w:spacing w:before="40" w:after="220"/>
      </w:pPr>
      <w:r>
        <w:rPr>
          <w:i/>
          <w:color w:val="606060"/>
          <w:sz w:val="16"/>
        </w:rPr>
        <w:t>The distinction between coverage ownership and payment at an encounter is the single largest evidence gap for private-hospital oversight.</w:t>
      </w:r>
    </w:p>
    <w:tbl>
      <w:tblPr>
        <w:tblW w:type="auto" w:w="0"/>
        <w:jc w:val="center"/>
        <w:tblLayout w:type="fixed"/>
        <w:tblLook w:firstColumn="1" w:firstRow="1" w:lastColumn="0" w:lastRow="0" w:noHBand="0" w:noVBand="1" w:val="04A0"/>
        <w:tblBorders>
          <w:top w:val="single" w:sz="8" w:color="808080"/>
          <w:bottom w:val="single" w:sz="8" w:color="808080"/>
          <w:insideH w:val="single" w:sz="4" w:color="D8D8D8"/>
          <w:left w:val="none"/>
          <w:right w:val="none"/>
          <w:insideV w:val="none"/>
        </w:tblBorders>
        <w:tblLayout w:type="fixed"/>
      </w:tblPr>
      <w:tblGrid>
        <w:gridCol w:w="2409"/>
        <w:gridCol w:w="2409"/>
        <w:gridCol w:w="2409"/>
        <w:gridCol w:w="2409"/>
      </w:tblGrid>
      <w:tr>
        <w:tc>
          <w:tcPr>
            <w:tcW w:type="dxa" w:w="2835"/>
            <w:shd w:val="clear" w:fill="F2F2F0"/>
          </w:tcPr>
          <w:p>
            <w:pPr>
              <w:spacing w:after="0"/>
              <w:jc w:val="left"/>
            </w:pPr>
            <w:r/>
            <w:r>
              <w:rPr>
                <w:b/>
                <w:color w:val="1A1A1A"/>
                <w:sz w:val="15"/>
              </w:rPr>
              <w:t>Concept</w:t>
            </w:r>
          </w:p>
        </w:tc>
        <w:tc>
          <w:tcPr>
            <w:tcW w:type="dxa" w:w="1814"/>
            <w:shd w:val="clear" w:fill="F2F2F0"/>
          </w:tcPr>
          <w:p>
            <w:pPr>
              <w:spacing w:after="0"/>
              <w:jc w:val="center"/>
            </w:pPr>
            <w:r/>
            <w:r>
              <w:rPr>
                <w:b/>
                <w:color w:val="1A1A1A"/>
                <w:sz w:val="15"/>
              </w:rPr>
              <w:t>Measured?</w:t>
            </w:r>
          </w:p>
        </w:tc>
        <w:tc>
          <w:tcPr>
            <w:tcW w:type="dxa" w:w="1814"/>
            <w:shd w:val="clear" w:fill="F2F2F0"/>
          </w:tcPr>
          <w:p>
            <w:pPr>
              <w:spacing w:after="0"/>
              <w:jc w:val="center"/>
            </w:pPr>
            <w:r/>
            <w:r>
              <w:rPr>
                <w:b/>
                <w:color w:val="1A1A1A"/>
                <w:sz w:val="15"/>
              </w:rPr>
              <w:t>Variable</w:t>
            </w:r>
          </w:p>
        </w:tc>
        <w:tc>
          <w:tcPr>
            <w:tcW w:type="dxa" w:w="3175"/>
            <w:shd w:val="clear" w:fill="F2F2F0"/>
          </w:tcPr>
          <w:p>
            <w:pPr>
              <w:spacing w:after="0"/>
              <w:jc w:val="center"/>
            </w:pPr>
            <w:r/>
            <w:r>
              <w:rPr>
                <w:b/>
                <w:color w:val="1A1A1A"/>
                <w:sz w:val="15"/>
              </w:rPr>
              <w:t>Caveat</w:t>
            </w:r>
          </w:p>
        </w:tc>
      </w:tr>
      <w:tr>
        <w:tc>
          <w:tcPr>
            <w:tcW w:type="dxa" w:w="2835"/>
          </w:tcPr>
          <w:p>
            <w:pPr>
              <w:spacing w:after="0"/>
              <w:jc w:val="left"/>
            </w:pPr>
            <w:r/>
            <w:r>
              <w:rPr>
                <w:color w:val="1A1A1A"/>
                <w:sz w:val="15"/>
              </w:rPr>
              <w:t>Public scheme eligibility/ownership (Q6)</w:t>
            </w:r>
          </w:p>
        </w:tc>
        <w:tc>
          <w:tcPr>
            <w:tcW w:type="dxa" w:w="1814"/>
          </w:tcPr>
          <w:p>
            <w:pPr>
              <w:spacing w:after="0"/>
              <w:jc w:val="center"/>
            </w:pPr>
            <w:r/>
            <w:r>
              <w:rPr>
                <w:color w:val="1A1A1A"/>
                <w:sz w:val="15"/>
              </w:rPr>
              <w:t>YES</w:t>
            </w:r>
          </w:p>
        </w:tc>
        <w:tc>
          <w:tcPr>
            <w:tcW w:type="dxa" w:w="1814"/>
          </w:tcPr>
          <w:p>
            <w:pPr>
              <w:spacing w:after="0"/>
              <w:jc w:val="center"/>
            </w:pPr>
            <w:r/>
            <w:r>
              <w:rPr>
                <w:color w:val="1A1A1A"/>
                <w:sz w:val="15"/>
              </w:rPr>
              <w:t>scheme</w:t>
            </w:r>
          </w:p>
        </w:tc>
        <w:tc>
          <w:tcPr>
            <w:tcW w:type="dxa" w:w="3175"/>
          </w:tcPr>
          <w:p>
            <w:pPr>
              <w:spacing w:after="0"/>
              <w:jc w:val="center"/>
            </w:pPr>
            <w:r/>
            <w:r>
              <w:rPr>
                <w:color w:val="1A1A1A"/>
                <w:sz w:val="15"/>
              </w:rPr>
              <w:t>Ownership of an entitlement, not use of it</w:t>
            </w:r>
          </w:p>
        </w:tc>
      </w:tr>
      <w:tr>
        <w:tc>
          <w:tcPr>
            <w:tcW w:type="dxa" w:w="2835"/>
          </w:tcPr>
          <w:p>
            <w:pPr>
              <w:spacing w:after="0"/>
              <w:jc w:val="left"/>
            </w:pPr>
            <w:r/>
            <w:r>
              <w:rPr>
                <w:color w:val="1A1A1A"/>
                <w:sz w:val="15"/>
              </w:rPr>
              <w:t>Private insurance ownership (Q7.1)</w:t>
            </w:r>
          </w:p>
        </w:tc>
        <w:tc>
          <w:tcPr>
            <w:tcW w:type="dxa" w:w="1814"/>
          </w:tcPr>
          <w:p>
            <w:pPr>
              <w:spacing w:after="0"/>
              <w:jc w:val="center"/>
            </w:pPr>
            <w:r/>
            <w:r>
              <w:rPr>
                <w:color w:val="1A1A1A"/>
                <w:sz w:val="15"/>
              </w:rPr>
              <w:t>YES</w:t>
            </w:r>
          </w:p>
        </w:tc>
        <w:tc>
          <w:tcPr>
            <w:tcW w:type="dxa" w:w="1814"/>
          </w:tcPr>
          <w:p>
            <w:pPr>
              <w:spacing w:after="0"/>
              <w:jc w:val="center"/>
            </w:pPr>
            <w:r/>
            <w:r>
              <w:rPr>
                <w:color w:val="1A1A1A"/>
                <w:sz w:val="15"/>
              </w:rPr>
              <w:t>priv_ins_owned</w:t>
            </w:r>
          </w:p>
        </w:tc>
        <w:tc>
          <w:tcPr>
            <w:tcW w:type="dxa" w:w="3175"/>
          </w:tcPr>
          <w:p>
            <w:pPr>
              <w:spacing w:after="0"/>
              <w:jc w:val="center"/>
            </w:pPr>
            <w:r/>
            <w:r>
              <w:rPr>
                <w:color w:val="1A1A1A"/>
                <w:sz w:val="15"/>
              </w:rPr>
              <w:t>Ownership only; never linked to an encounter</w:t>
            </w:r>
          </w:p>
        </w:tc>
      </w:tr>
      <w:tr>
        <w:tc>
          <w:tcPr>
            <w:tcW w:type="dxa" w:w="2835"/>
          </w:tcPr>
          <w:p>
            <w:pPr>
              <w:spacing w:after="0"/>
              <w:jc w:val="left"/>
            </w:pPr>
            <w:r/>
            <w:r>
              <w:rPr>
                <w:color w:val="1A1A1A"/>
                <w:sz w:val="15"/>
              </w:rPr>
              <w:t>Employer-purchased insurance (Q7.2)</w:t>
            </w:r>
          </w:p>
        </w:tc>
        <w:tc>
          <w:tcPr>
            <w:tcW w:type="dxa" w:w="1814"/>
          </w:tcPr>
          <w:p>
            <w:pPr>
              <w:spacing w:after="0"/>
              <w:jc w:val="center"/>
            </w:pPr>
            <w:r/>
            <w:r>
              <w:rPr>
                <w:color w:val="1A1A1A"/>
                <w:sz w:val="15"/>
              </w:rPr>
              <w:t>YES</w:t>
            </w:r>
          </w:p>
        </w:tc>
        <w:tc>
          <w:tcPr>
            <w:tcW w:type="dxa" w:w="1814"/>
          </w:tcPr>
          <w:p>
            <w:pPr>
              <w:spacing w:after="0"/>
              <w:jc w:val="center"/>
            </w:pPr>
            <w:r/>
            <w:r>
              <w:rPr>
                <w:color w:val="1A1A1A"/>
                <w:sz w:val="15"/>
              </w:rPr>
              <w:t>employer_ins_owned</w:t>
            </w:r>
          </w:p>
        </w:tc>
        <w:tc>
          <w:tcPr>
            <w:tcW w:type="dxa" w:w="3175"/>
          </w:tcPr>
          <w:p>
            <w:pPr>
              <w:spacing w:after="0"/>
              <w:jc w:val="center"/>
            </w:pPr>
            <w:r/>
            <w:r>
              <w:rPr>
                <w:color w:val="1A1A1A"/>
                <w:sz w:val="15"/>
              </w:rPr>
              <w:t>Ownership only</w:t>
            </w:r>
          </w:p>
        </w:tc>
      </w:tr>
      <w:tr>
        <w:tc>
          <w:tcPr>
            <w:tcW w:type="dxa" w:w="2835"/>
          </w:tcPr>
          <w:p>
            <w:pPr>
              <w:spacing w:after="0"/>
              <w:jc w:val="left"/>
            </w:pPr>
            <w:r/>
            <w:r>
              <w:rPr>
                <w:color w:val="1A1A1A"/>
                <w:sz w:val="15"/>
              </w:rPr>
              <w:t>Pays out of pocket in some situations (Q7.4)</w:t>
            </w:r>
          </w:p>
        </w:tc>
        <w:tc>
          <w:tcPr>
            <w:tcW w:type="dxa" w:w="1814"/>
          </w:tcPr>
          <w:p>
            <w:pPr>
              <w:spacing w:after="0"/>
              <w:jc w:val="center"/>
            </w:pPr>
            <w:r/>
            <w:r>
              <w:rPr>
                <w:color w:val="1A1A1A"/>
                <w:sz w:val="15"/>
              </w:rPr>
              <w:t>PARTIAL</w:t>
            </w:r>
          </w:p>
        </w:tc>
        <w:tc>
          <w:tcPr>
            <w:tcW w:type="dxa" w:w="1814"/>
          </w:tcPr>
          <w:p>
            <w:pPr>
              <w:spacing w:after="0"/>
              <w:jc w:val="center"/>
            </w:pPr>
            <w:r/>
            <w:r>
              <w:rPr>
                <w:color w:val="1A1A1A"/>
                <w:sz w:val="15"/>
              </w:rPr>
              <w:t>insr_oop</w:t>
            </w:r>
          </w:p>
        </w:tc>
        <w:tc>
          <w:tcPr>
            <w:tcW w:type="dxa" w:w="3175"/>
          </w:tcPr>
          <w:p>
            <w:pPr>
              <w:spacing w:after="0"/>
              <w:jc w:val="center"/>
            </w:pPr>
            <w:r/>
            <w:r>
              <w:rPr>
                <w:color w:val="1A1A1A"/>
                <w:sz w:val="15"/>
              </w:rPr>
              <w:t>General habit, not a specific encounter or amount</w:t>
            </w:r>
          </w:p>
        </w:tc>
      </w:tr>
      <w:tr>
        <w:tc>
          <w:tcPr>
            <w:tcW w:type="dxa" w:w="2835"/>
          </w:tcPr>
          <w:p>
            <w:pPr>
              <w:spacing w:after="0"/>
              <w:jc w:val="left"/>
            </w:pPr>
            <w:r/>
            <w:r>
              <w:rPr>
                <w:color w:val="1A1A1A"/>
                <w:sz w:val="15"/>
              </w:rPr>
              <w:t>Registered / contracted provider</w:t>
            </w:r>
          </w:p>
        </w:tc>
        <w:tc>
          <w:tcPr>
            <w:tcW w:type="dxa" w:w="1814"/>
          </w:tcPr>
          <w:p>
            <w:pPr>
              <w:spacing w:after="0"/>
              <w:jc w:val="center"/>
            </w:pPr>
            <w:r/>
            <w:r>
              <w:rPr>
                <w:color w:val="1A1A1A"/>
                <w:sz w:val="15"/>
              </w:rPr>
              <w:t>NO</w:t>
            </w:r>
          </w:p>
        </w:tc>
        <w:tc>
          <w:tcPr>
            <w:tcW w:type="dxa" w:w="1814"/>
          </w:tcPr>
          <w:p>
            <w:pPr>
              <w:spacing w:after="0"/>
              <w:jc w:val="center"/>
            </w:pPr>
            <w:r/>
            <w:r>
              <w:rPr>
                <w:color w:val="1A1A1A"/>
                <w:sz w:val="15"/>
              </w:rPr>
              <w:t>--</w:t>
            </w:r>
          </w:p>
        </w:tc>
        <w:tc>
          <w:tcPr>
            <w:tcW w:type="dxa" w:w="3175"/>
          </w:tcPr>
          <w:p>
            <w:pPr>
              <w:spacing w:after="0"/>
              <w:jc w:val="center"/>
            </w:pPr>
            <w:r/>
            <w:r>
              <w:rPr>
                <w:color w:val="1A1A1A"/>
                <w:sz w:val="15"/>
              </w:rPr>
              <w:t>Cannot establish that SSS members were assigned to their provider</w:t>
            </w:r>
          </w:p>
        </w:tc>
      </w:tr>
      <w:tr>
        <w:tc>
          <w:tcPr>
            <w:tcW w:type="dxa" w:w="2835"/>
          </w:tcPr>
          <w:p>
            <w:pPr>
              <w:spacing w:after="0"/>
              <w:jc w:val="left"/>
            </w:pPr>
            <w:r/>
            <w:r>
              <w:rPr>
                <w:color w:val="1A1A1A"/>
                <w:sz w:val="15"/>
              </w:rPr>
              <w:t>Payer at the most recent visit</w:t>
            </w:r>
          </w:p>
        </w:tc>
        <w:tc>
          <w:tcPr>
            <w:tcW w:type="dxa" w:w="1814"/>
          </w:tcPr>
          <w:p>
            <w:pPr>
              <w:spacing w:after="0"/>
              <w:jc w:val="center"/>
            </w:pPr>
            <w:r/>
            <w:r>
              <w:rPr>
                <w:color w:val="1A1A1A"/>
                <w:sz w:val="15"/>
              </w:rPr>
              <w:t>NO</w:t>
            </w:r>
          </w:p>
        </w:tc>
        <w:tc>
          <w:tcPr>
            <w:tcW w:type="dxa" w:w="1814"/>
          </w:tcPr>
          <w:p>
            <w:pPr>
              <w:spacing w:after="0"/>
              <w:jc w:val="center"/>
            </w:pPr>
            <w:r/>
            <w:r>
              <w:rPr>
                <w:color w:val="1A1A1A"/>
                <w:sz w:val="15"/>
              </w:rPr>
              <w:t>--</w:t>
            </w:r>
          </w:p>
        </w:tc>
        <w:tc>
          <w:tcPr>
            <w:tcW w:type="dxa" w:w="3175"/>
          </w:tcPr>
          <w:p>
            <w:pPr>
              <w:spacing w:after="0"/>
              <w:jc w:val="center"/>
            </w:pPr>
            <w:r/>
            <w:r>
              <w:rPr>
                <w:color w:val="1A1A1A"/>
                <w:sz w:val="15"/>
              </w:rPr>
              <w:t>The reviewer's payment question is unanswerable with these data</w:t>
            </w:r>
          </w:p>
        </w:tc>
      </w:tr>
      <w:tr>
        <w:tc>
          <w:tcPr>
            <w:tcW w:type="dxa" w:w="2835"/>
          </w:tcPr>
          <w:p>
            <w:pPr>
              <w:spacing w:after="0"/>
              <w:jc w:val="left"/>
            </w:pPr>
            <w:r/>
            <w:r>
              <w:rPr>
                <w:color w:val="1A1A1A"/>
                <w:sz w:val="15"/>
              </w:rPr>
              <w:t>Out-of-pocket amount / copayment</w:t>
            </w:r>
          </w:p>
        </w:tc>
        <w:tc>
          <w:tcPr>
            <w:tcW w:type="dxa" w:w="1814"/>
          </w:tcPr>
          <w:p>
            <w:pPr>
              <w:spacing w:after="0"/>
              <w:jc w:val="center"/>
            </w:pPr>
            <w:r/>
            <w:r>
              <w:rPr>
                <w:color w:val="1A1A1A"/>
                <w:sz w:val="15"/>
              </w:rPr>
              <w:t>NO</w:t>
            </w:r>
          </w:p>
        </w:tc>
        <w:tc>
          <w:tcPr>
            <w:tcW w:type="dxa" w:w="1814"/>
          </w:tcPr>
          <w:p>
            <w:pPr>
              <w:spacing w:after="0"/>
              <w:jc w:val="center"/>
            </w:pPr>
            <w:r/>
            <w:r>
              <w:rPr>
                <w:color w:val="1A1A1A"/>
                <w:sz w:val="15"/>
              </w:rPr>
              <w:t>--</w:t>
            </w:r>
          </w:p>
        </w:tc>
        <w:tc>
          <w:tcPr>
            <w:tcW w:type="dxa" w:w="3175"/>
          </w:tcPr>
          <w:p>
            <w:pPr>
              <w:spacing w:after="0"/>
              <w:jc w:val="center"/>
            </w:pPr>
            <w:r/>
            <w:r>
              <w:rPr>
                <w:color w:val="1A1A1A"/>
                <w:sz w:val="15"/>
              </w:rPr>
              <w:t>No expenditure item anywhere in the instrument</w:t>
            </w:r>
          </w:p>
        </w:tc>
      </w:tr>
      <w:tr>
        <w:tc>
          <w:tcPr>
            <w:tcW w:type="dxa" w:w="2835"/>
          </w:tcPr>
          <w:p>
            <w:pPr>
              <w:spacing w:after="0"/>
              <w:jc w:val="left"/>
            </w:pPr>
            <w:r/>
            <w:r>
              <w:rPr>
                <w:color w:val="1A1A1A"/>
                <w:sz w:val="15"/>
              </w:rPr>
              <w:t>Employment status</w:t>
            </w:r>
          </w:p>
        </w:tc>
        <w:tc>
          <w:tcPr>
            <w:tcW w:type="dxa" w:w="1814"/>
          </w:tcPr>
          <w:p>
            <w:pPr>
              <w:spacing w:after="0"/>
              <w:jc w:val="center"/>
            </w:pPr>
            <w:r/>
            <w:r>
              <w:rPr>
                <w:color w:val="1A1A1A"/>
                <w:sz w:val="15"/>
              </w:rPr>
              <w:t>NO</w:t>
            </w:r>
          </w:p>
        </w:tc>
        <w:tc>
          <w:tcPr>
            <w:tcW w:type="dxa" w:w="1814"/>
          </w:tcPr>
          <w:p>
            <w:pPr>
              <w:spacing w:after="0"/>
              <w:jc w:val="center"/>
            </w:pPr>
            <w:r/>
            <w:r>
              <w:rPr>
                <w:color w:val="1A1A1A"/>
                <w:sz w:val="15"/>
              </w:rPr>
              <w:t>--</w:t>
            </w:r>
          </w:p>
        </w:tc>
        <w:tc>
          <w:tcPr>
            <w:tcW w:type="dxa" w:w="3175"/>
          </w:tcPr>
          <w:p>
            <w:pPr>
              <w:spacing w:after="0"/>
              <w:jc w:val="center"/>
            </w:pPr>
            <w:r/>
            <w:r>
              <w:rPr>
                <w:color w:val="1A1A1A"/>
                <w:sz w:val="15"/>
              </w:rPr>
              <w:t>SSS membership is not evidence of current salaried employment</w:t>
            </w:r>
          </w:p>
        </w:tc>
      </w:tr>
      <w:tr>
        <w:tc>
          <w:tcPr>
            <w:tcW w:type="dxa" w:w="2835"/>
          </w:tcPr>
          <w:p>
            <w:pPr>
              <w:spacing w:after="0"/>
              <w:jc w:val="left"/>
            </w:pPr>
            <w:r/>
            <w:r>
              <w:rPr>
                <w:color w:val="1A1A1A"/>
                <w:sz w:val="15"/>
              </w:rPr>
              <w:t>Borrowed/sold assets for care, ever (Q31)</w:t>
            </w:r>
          </w:p>
        </w:tc>
        <w:tc>
          <w:tcPr>
            <w:tcW w:type="dxa" w:w="1814"/>
          </w:tcPr>
          <w:p>
            <w:pPr>
              <w:spacing w:after="0"/>
              <w:jc w:val="center"/>
            </w:pPr>
            <w:r/>
            <w:r>
              <w:rPr>
                <w:color w:val="1A1A1A"/>
                <w:sz w:val="15"/>
              </w:rPr>
              <w:t>YES</w:t>
            </w:r>
          </w:p>
        </w:tc>
        <w:tc>
          <w:tcPr>
            <w:tcW w:type="dxa" w:w="1814"/>
          </w:tcPr>
          <w:p>
            <w:pPr>
              <w:spacing w:after="0"/>
              <w:jc w:val="center"/>
            </w:pPr>
            <w:r/>
            <w:r>
              <w:rPr>
                <w:color w:val="1A1A1A"/>
                <w:sz w:val="15"/>
              </w:rPr>
              <w:t>borrowed_ever</w:t>
            </w:r>
          </w:p>
        </w:tc>
        <w:tc>
          <w:tcPr>
            <w:tcW w:type="dxa" w:w="3175"/>
          </w:tcPr>
          <w:p>
            <w:pPr>
              <w:spacing w:after="0"/>
              <w:jc w:val="center"/>
            </w:pPr>
            <w:r/>
            <w:r>
              <w:rPr>
                <w:color w:val="1A1A1A"/>
                <w:sz w:val="15"/>
              </w:rPr>
              <w:t>Lifetime recall; not attributed to any provider</w:t>
            </w:r>
          </w:p>
        </w:tc>
      </w:tr>
    </w:tbl>
    <w:p>
      <w:pPr>
        <w:spacing w:before="200" w:after="60"/>
      </w:pPr>
      <w:r>
        <w:rPr>
          <w:b/>
          <w:color w:val="1A1A1A"/>
          <w:sz w:val="19"/>
        </w:rPr>
        <w:t xml:space="preserve">Table 12.  </w:t>
      </w:r>
      <w:r>
        <w:rPr>
          <w:color w:val="1A1A1A"/>
          <w:sz w:val="19"/>
        </w:rPr>
        <w:t>Observed profiles of regular private-hospital users.</w:t>
      </w:r>
    </w:p>
    <w:p>
      <w:pPr>
        <w:spacing w:before="40" w:after="220"/>
      </w:pPr>
      <w:r>
        <w:rPr>
          <w:i/>
          <w:color w:val="606060"/>
          <w:sz w:val="16"/>
        </w:rPr>
        <w:t>Declared subgroups, not clusters. No unsupervised clustering was applied to 127 respondents and no names, biographies, expenditure amounts or motivations are invented. Cells are n/N (%).</w:t>
      </w:r>
    </w:p>
    <w:tbl>
      <w:tblPr>
        <w:tblW w:type="auto" w:w="0"/>
        <w:jc w:val="center"/>
        <w:tblLayout w:type="fixed"/>
        <w:tblLook w:firstColumn="1" w:firstRow="1" w:lastColumn="0" w:lastRow="0" w:noHBand="0" w:noVBand="1" w:val="04A0"/>
        <w:tblBorders>
          <w:top w:val="single" w:sz="8" w:color="808080"/>
          <w:bottom w:val="single" w:sz="8" w:color="808080"/>
          <w:insideH w:val="single" w:sz="4" w:color="D8D8D8"/>
          <w:left w:val="none"/>
          <w:right w:val="none"/>
          <w:insideV w:val="none"/>
        </w:tblBorders>
        <w:tblLayout w:type="fixed"/>
      </w:tblPr>
      <w:tblGrid>
        <w:gridCol w:w="1928"/>
        <w:gridCol w:w="1928"/>
        <w:gridCol w:w="1928"/>
        <w:gridCol w:w="1928"/>
        <w:gridCol w:w="1928"/>
      </w:tblGrid>
      <w:tr>
        <w:tc>
          <w:tcPr>
            <w:tcW w:type="dxa" w:w="3175"/>
            <w:shd w:val="clear" w:fill="F2F2F0"/>
          </w:tcPr>
          <w:p>
            <w:pPr>
              <w:spacing w:after="0"/>
              <w:jc w:val="left"/>
            </w:pPr>
            <w:r/>
            <w:r>
              <w:rPr>
                <w:b/>
                <w:color w:val="1A1A1A"/>
                <w:sz w:val="14"/>
              </w:rPr>
              <w:t>Characteristic</w:t>
            </w:r>
          </w:p>
        </w:tc>
        <w:tc>
          <w:tcPr>
            <w:tcW w:type="dxa" w:w="1625"/>
            <w:shd w:val="clear" w:fill="F2F2F0"/>
          </w:tcPr>
          <w:p>
            <w:pPr>
              <w:spacing w:after="0"/>
              <w:jc w:val="center"/>
            </w:pPr>
            <w:r/>
            <w:r>
              <w:rPr>
                <w:b/>
                <w:color w:val="1A1A1A"/>
                <w:sz w:val="14"/>
              </w:rPr>
              <w:t>SSS member,</w:t>
            </w:r>
          </w:p>
          <w:p>
            <w:pPr>
              <w:spacing w:after="0"/>
              <w:jc w:val="center"/>
            </w:pPr>
            <w:r>
              <w:rPr>
                <w:b/>
                <w:color w:val="1A1A1A"/>
                <w:sz w:val="14"/>
              </w:rPr>
              <w:t>no private insurance</w:t>
            </w:r>
          </w:p>
        </w:tc>
        <w:tc>
          <w:tcPr>
            <w:tcW w:type="dxa" w:w="1625"/>
            <w:shd w:val="clear" w:fill="F2F2F0"/>
          </w:tcPr>
          <w:p>
            <w:pPr>
              <w:spacing w:after="0"/>
              <w:jc w:val="center"/>
            </w:pPr>
            <w:r/>
            <w:r>
              <w:rPr>
                <w:b/>
                <w:color w:val="1A1A1A"/>
                <w:sz w:val="14"/>
              </w:rPr>
              <w:t>SSS member,</w:t>
            </w:r>
          </w:p>
          <w:p>
            <w:pPr>
              <w:spacing w:after="0"/>
              <w:jc w:val="center"/>
            </w:pPr>
            <w:r>
              <w:rPr>
                <w:b/>
                <w:color w:val="1A1A1A"/>
                <w:sz w:val="14"/>
              </w:rPr>
              <w:t>also owns private insurance</w:t>
            </w:r>
          </w:p>
        </w:tc>
        <w:tc>
          <w:tcPr>
            <w:tcW w:type="dxa" w:w="1625"/>
            <w:shd w:val="clear" w:fill="F2F2F0"/>
          </w:tcPr>
          <w:p>
            <w:pPr>
              <w:spacing w:after="0"/>
              <w:jc w:val="center"/>
            </w:pPr>
            <w:r/>
            <w:r>
              <w:rPr>
                <w:b/>
                <w:color w:val="1A1A1A"/>
                <w:sz w:val="14"/>
              </w:rPr>
              <w:t>UCS member</w:t>
            </w:r>
          </w:p>
        </w:tc>
        <w:tc>
          <w:tcPr>
            <w:tcW w:type="dxa" w:w="1587"/>
            <w:shd w:val="clear" w:fill="F2F2F0"/>
          </w:tcPr>
          <w:p>
            <w:pPr>
              <w:spacing w:after="0"/>
              <w:jc w:val="center"/>
            </w:pPr>
            <w:r/>
            <w:r>
              <w:rPr>
                <w:b/>
                <w:color w:val="1A1A1A"/>
                <w:sz w:val="14"/>
              </w:rPr>
              <w:t>CSMBS member</w:t>
            </w:r>
          </w:p>
        </w:tc>
      </w:tr>
      <w:tr>
        <w:tc>
          <w:tcPr>
            <w:tcW w:type="dxa" w:w="3175"/>
          </w:tcPr>
          <w:p>
            <w:pPr>
              <w:spacing w:after="0"/>
              <w:jc w:val="left"/>
            </w:pPr>
            <w:r/>
            <w:r>
              <w:rPr>
                <w:color w:val="1A1A1A"/>
                <w:sz w:val="14"/>
              </w:rPr>
              <w:t>n</w:t>
            </w:r>
          </w:p>
        </w:tc>
        <w:tc>
          <w:tcPr>
            <w:tcW w:type="dxa" w:w="1625"/>
          </w:tcPr>
          <w:p>
            <w:pPr>
              <w:spacing w:after="0"/>
              <w:jc w:val="center"/>
            </w:pPr>
            <w:r/>
            <w:r>
              <w:rPr>
                <w:color w:val="1A1A1A"/>
                <w:sz w:val="14"/>
              </w:rPr>
              <w:t>66</w:t>
            </w:r>
          </w:p>
        </w:tc>
        <w:tc>
          <w:tcPr>
            <w:tcW w:type="dxa" w:w="1625"/>
          </w:tcPr>
          <w:p>
            <w:pPr>
              <w:spacing w:after="0"/>
              <w:jc w:val="center"/>
            </w:pPr>
            <w:r/>
            <w:r>
              <w:rPr>
                <w:color w:val="1A1A1A"/>
                <w:sz w:val="14"/>
              </w:rPr>
              <w:t>22</w:t>
            </w:r>
          </w:p>
        </w:tc>
        <w:tc>
          <w:tcPr>
            <w:tcW w:type="dxa" w:w="1625"/>
          </w:tcPr>
          <w:p>
            <w:pPr>
              <w:spacing w:after="0"/>
              <w:jc w:val="center"/>
            </w:pPr>
            <w:r/>
            <w:r>
              <w:rPr>
                <w:color w:val="1A1A1A"/>
                <w:sz w:val="14"/>
              </w:rPr>
              <w:t>33</w:t>
            </w:r>
          </w:p>
        </w:tc>
        <w:tc>
          <w:tcPr>
            <w:tcW w:type="dxa" w:w="1587"/>
          </w:tcPr>
          <w:p>
            <w:pPr>
              <w:spacing w:after="0"/>
              <w:jc w:val="center"/>
            </w:pPr>
            <w:r/>
            <w:r>
              <w:rPr>
                <w:color w:val="1A1A1A"/>
                <w:sz w:val="14"/>
              </w:rPr>
              <w:t>5</w:t>
            </w:r>
          </w:p>
        </w:tc>
      </w:tr>
      <w:tr>
        <w:tc>
          <w:tcPr>
            <w:tcW w:type="dxa" w:w="3175"/>
          </w:tcPr>
          <w:p>
            <w:pPr>
              <w:spacing w:after="0"/>
              <w:jc w:val="left"/>
            </w:pPr>
            <w:r/>
            <w:r>
              <w:rPr>
                <w:color w:val="1A1A1A"/>
                <w:sz w:val="14"/>
              </w:rPr>
              <w:t>% of private-hospital users</w:t>
            </w:r>
          </w:p>
        </w:tc>
        <w:tc>
          <w:tcPr>
            <w:tcW w:type="dxa" w:w="1625"/>
          </w:tcPr>
          <w:p>
            <w:pPr>
              <w:spacing w:after="0"/>
              <w:jc w:val="center"/>
            </w:pPr>
            <w:r/>
            <w:r>
              <w:rPr>
                <w:color w:val="1A1A1A"/>
                <w:sz w:val="14"/>
              </w:rPr>
              <w:t>52.0</w:t>
            </w:r>
          </w:p>
        </w:tc>
        <w:tc>
          <w:tcPr>
            <w:tcW w:type="dxa" w:w="1625"/>
          </w:tcPr>
          <w:p>
            <w:pPr>
              <w:spacing w:after="0"/>
              <w:jc w:val="center"/>
            </w:pPr>
            <w:r/>
            <w:r>
              <w:rPr>
                <w:color w:val="1A1A1A"/>
                <w:sz w:val="14"/>
              </w:rPr>
              <w:t>17.3</w:t>
            </w:r>
          </w:p>
        </w:tc>
        <w:tc>
          <w:tcPr>
            <w:tcW w:type="dxa" w:w="1625"/>
          </w:tcPr>
          <w:p>
            <w:pPr>
              <w:spacing w:after="0"/>
              <w:jc w:val="center"/>
            </w:pPr>
            <w:r/>
            <w:r>
              <w:rPr>
                <w:color w:val="1A1A1A"/>
                <w:sz w:val="14"/>
              </w:rPr>
              <w:t>26.0</w:t>
            </w:r>
          </w:p>
        </w:tc>
        <w:tc>
          <w:tcPr>
            <w:tcW w:type="dxa" w:w="1587"/>
          </w:tcPr>
          <w:p>
            <w:pPr>
              <w:spacing w:after="0"/>
              <w:jc w:val="center"/>
            </w:pPr>
            <w:r/>
            <w:r>
              <w:rPr>
                <w:color w:val="1A1A1A"/>
                <w:sz w:val="14"/>
              </w:rPr>
              <w:t>3.9</w:t>
            </w:r>
          </w:p>
        </w:tc>
      </w:tr>
      <w:tr>
        <w:tc>
          <w:tcPr>
            <w:tcW w:type="dxa" w:w="3175"/>
          </w:tcPr>
          <w:p>
            <w:pPr>
              <w:spacing w:after="0"/>
              <w:jc w:val="left"/>
            </w:pPr>
            <w:r/>
            <w:r>
              <w:rPr>
                <w:color w:val="1A1A1A"/>
                <w:sz w:val="14"/>
              </w:rPr>
              <w:t>Median age band</w:t>
            </w:r>
          </w:p>
        </w:tc>
        <w:tc>
          <w:tcPr>
            <w:tcW w:type="dxa" w:w="1625"/>
          </w:tcPr>
          <w:p>
            <w:pPr>
              <w:spacing w:after="0"/>
              <w:jc w:val="center"/>
            </w:pPr>
            <w:r/>
            <w:r>
              <w:rPr>
                <w:color w:val="1A1A1A"/>
                <w:sz w:val="14"/>
              </w:rPr>
              <w:t>40-49</w:t>
            </w:r>
          </w:p>
        </w:tc>
        <w:tc>
          <w:tcPr>
            <w:tcW w:type="dxa" w:w="1625"/>
          </w:tcPr>
          <w:p>
            <w:pPr>
              <w:spacing w:after="0"/>
              <w:jc w:val="center"/>
            </w:pPr>
            <w:r/>
            <w:r>
              <w:rPr>
                <w:color w:val="1A1A1A"/>
                <w:sz w:val="14"/>
              </w:rPr>
              <w:t>30-39</w:t>
            </w:r>
          </w:p>
        </w:tc>
        <w:tc>
          <w:tcPr>
            <w:tcW w:type="dxa" w:w="1625"/>
          </w:tcPr>
          <w:p>
            <w:pPr>
              <w:spacing w:after="0"/>
              <w:jc w:val="center"/>
            </w:pPr>
            <w:r/>
            <w:r>
              <w:rPr>
                <w:color w:val="1A1A1A"/>
                <w:sz w:val="14"/>
              </w:rPr>
              <w:t>60-69</w:t>
            </w:r>
          </w:p>
        </w:tc>
        <w:tc>
          <w:tcPr>
            <w:tcW w:type="dxa" w:w="1587"/>
          </w:tcPr>
          <w:p>
            <w:pPr>
              <w:spacing w:after="0"/>
              <w:jc w:val="center"/>
            </w:pPr>
            <w:r/>
            <w:r>
              <w:rPr>
                <w:color w:val="1A1A1A"/>
                <w:sz w:val="14"/>
              </w:rPr>
              <w:t>30-39</w:t>
            </w:r>
          </w:p>
        </w:tc>
      </w:tr>
      <w:tr>
        <w:tc>
          <w:tcPr>
            <w:tcW w:type="dxa" w:w="3175"/>
          </w:tcPr>
          <w:p>
            <w:pPr>
              <w:spacing w:after="0"/>
              <w:jc w:val="left"/>
            </w:pPr>
            <w:r/>
            <w:r>
              <w:rPr>
                <w:color w:val="1A1A1A"/>
                <w:sz w:val="14"/>
              </w:rPr>
              <w:t>Female</w:t>
            </w:r>
          </w:p>
        </w:tc>
        <w:tc>
          <w:tcPr>
            <w:tcW w:type="dxa" w:w="1625"/>
          </w:tcPr>
          <w:p>
            <w:pPr>
              <w:spacing w:after="0"/>
              <w:jc w:val="center"/>
            </w:pPr>
            <w:r/>
            <w:r>
              <w:rPr>
                <w:color w:val="1A1A1A"/>
                <w:sz w:val="14"/>
              </w:rPr>
              <w:t>36/66 (55)</w:t>
            </w:r>
          </w:p>
        </w:tc>
        <w:tc>
          <w:tcPr>
            <w:tcW w:type="dxa" w:w="1625"/>
          </w:tcPr>
          <w:p>
            <w:pPr>
              <w:spacing w:after="0"/>
              <w:jc w:val="center"/>
            </w:pPr>
            <w:r/>
            <w:r>
              <w:rPr>
                <w:color w:val="1A1A1A"/>
                <w:sz w:val="14"/>
              </w:rPr>
              <w:t>12/22 (55)</w:t>
            </w:r>
          </w:p>
        </w:tc>
        <w:tc>
          <w:tcPr>
            <w:tcW w:type="dxa" w:w="1625"/>
          </w:tcPr>
          <w:p>
            <w:pPr>
              <w:spacing w:after="0"/>
              <w:jc w:val="center"/>
            </w:pPr>
            <w:r/>
            <w:r>
              <w:rPr>
                <w:color w:val="1A1A1A"/>
                <w:sz w:val="14"/>
              </w:rPr>
              <w:t>14/32 (44)</w:t>
            </w:r>
          </w:p>
        </w:tc>
        <w:tc>
          <w:tcPr>
            <w:tcW w:type="dxa" w:w="1587"/>
          </w:tcPr>
          <w:p>
            <w:pPr>
              <w:spacing w:after="0"/>
              <w:jc w:val="center"/>
            </w:pPr>
            <w:r/>
            <w:r>
              <w:rPr>
                <w:color w:val="1A1A1A"/>
                <w:sz w:val="14"/>
              </w:rPr>
              <w:t>3/5 (60)</w:t>
            </w:r>
          </w:p>
        </w:tc>
      </w:tr>
      <w:tr>
        <w:tc>
          <w:tcPr>
            <w:tcW w:type="dxa" w:w="3175"/>
          </w:tcPr>
          <w:p>
            <w:pPr>
              <w:spacing w:after="0"/>
              <w:jc w:val="left"/>
            </w:pPr>
            <w:r/>
            <w:r>
              <w:rPr>
                <w:color w:val="1A1A1A"/>
                <w:sz w:val="14"/>
              </w:rPr>
              <w:t>Municipal</w:t>
            </w:r>
          </w:p>
        </w:tc>
        <w:tc>
          <w:tcPr>
            <w:tcW w:type="dxa" w:w="1625"/>
          </w:tcPr>
          <w:p>
            <w:pPr>
              <w:spacing w:after="0"/>
              <w:jc w:val="center"/>
            </w:pPr>
            <w:r/>
            <w:r>
              <w:rPr>
                <w:color w:val="1A1A1A"/>
                <w:sz w:val="14"/>
              </w:rPr>
              <w:t>29/66 (44)</w:t>
            </w:r>
          </w:p>
        </w:tc>
        <w:tc>
          <w:tcPr>
            <w:tcW w:type="dxa" w:w="1625"/>
          </w:tcPr>
          <w:p>
            <w:pPr>
              <w:spacing w:after="0"/>
              <w:jc w:val="center"/>
            </w:pPr>
            <w:r/>
            <w:r>
              <w:rPr>
                <w:color w:val="1A1A1A"/>
                <w:sz w:val="14"/>
              </w:rPr>
              <w:t>12/22 (55)</w:t>
            </w:r>
          </w:p>
        </w:tc>
        <w:tc>
          <w:tcPr>
            <w:tcW w:type="dxa" w:w="1625"/>
          </w:tcPr>
          <w:p>
            <w:pPr>
              <w:spacing w:after="0"/>
              <w:jc w:val="center"/>
            </w:pPr>
            <w:r/>
            <w:r>
              <w:rPr>
                <w:color w:val="1A1A1A"/>
                <w:sz w:val="14"/>
              </w:rPr>
              <w:t>17/33 (52)</w:t>
            </w:r>
          </w:p>
        </w:tc>
        <w:tc>
          <w:tcPr>
            <w:tcW w:type="dxa" w:w="1587"/>
          </w:tcPr>
          <w:p>
            <w:pPr>
              <w:spacing w:after="0"/>
              <w:jc w:val="center"/>
            </w:pPr>
            <w:r/>
            <w:r>
              <w:rPr>
                <w:color w:val="1A1A1A"/>
                <w:sz w:val="14"/>
              </w:rPr>
              <w:t>5/5 (100)</w:t>
            </w:r>
          </w:p>
        </w:tc>
      </w:tr>
      <w:tr>
        <w:tc>
          <w:tcPr>
            <w:tcW w:type="dxa" w:w="3175"/>
          </w:tcPr>
          <w:p>
            <w:pPr>
              <w:spacing w:after="0"/>
              <w:jc w:val="left"/>
            </w:pPr>
            <w:r/>
            <w:r>
              <w:rPr>
                <w:color w:val="1A1A1A"/>
                <w:sz w:val="14"/>
              </w:rPr>
              <w:t>Upper-secondary +</w:t>
            </w:r>
          </w:p>
        </w:tc>
        <w:tc>
          <w:tcPr>
            <w:tcW w:type="dxa" w:w="1625"/>
          </w:tcPr>
          <w:p>
            <w:pPr>
              <w:spacing w:after="0"/>
              <w:jc w:val="center"/>
            </w:pPr>
            <w:r/>
            <w:r>
              <w:rPr>
                <w:color w:val="1A1A1A"/>
                <w:sz w:val="14"/>
              </w:rPr>
              <w:t>61/66 (92)</w:t>
            </w:r>
          </w:p>
        </w:tc>
        <w:tc>
          <w:tcPr>
            <w:tcW w:type="dxa" w:w="1625"/>
          </w:tcPr>
          <w:p>
            <w:pPr>
              <w:spacing w:after="0"/>
              <w:jc w:val="center"/>
            </w:pPr>
            <w:r/>
            <w:r>
              <w:rPr>
                <w:color w:val="1A1A1A"/>
                <w:sz w:val="14"/>
              </w:rPr>
              <w:t>19/22 (86)</w:t>
            </w:r>
          </w:p>
        </w:tc>
        <w:tc>
          <w:tcPr>
            <w:tcW w:type="dxa" w:w="1625"/>
          </w:tcPr>
          <w:p>
            <w:pPr>
              <w:spacing w:after="0"/>
              <w:jc w:val="center"/>
            </w:pPr>
            <w:r/>
            <w:r>
              <w:rPr>
                <w:color w:val="1A1A1A"/>
                <w:sz w:val="14"/>
              </w:rPr>
              <w:t>26/33 (79)</w:t>
            </w:r>
          </w:p>
        </w:tc>
        <w:tc>
          <w:tcPr>
            <w:tcW w:type="dxa" w:w="1587"/>
          </w:tcPr>
          <w:p>
            <w:pPr>
              <w:spacing w:after="0"/>
              <w:jc w:val="center"/>
            </w:pPr>
            <w:r/>
            <w:r>
              <w:rPr>
                <w:color w:val="1A1A1A"/>
                <w:sz w:val="14"/>
              </w:rPr>
              <w:t>4/5 (80)</w:t>
            </w:r>
          </w:p>
        </w:tc>
      </w:tr>
      <w:tr>
        <w:tc>
          <w:tcPr>
            <w:tcW w:type="dxa" w:w="3175"/>
          </w:tcPr>
          <w:p>
            <w:pPr>
              <w:spacing w:after="0"/>
              <w:jc w:val="left"/>
            </w:pPr>
            <w:r/>
            <w:r>
              <w:rPr>
                <w:color w:val="1A1A1A"/>
                <w:sz w:val="14"/>
              </w:rPr>
              <w:t>Income 30k+</w:t>
            </w:r>
          </w:p>
        </w:tc>
        <w:tc>
          <w:tcPr>
            <w:tcW w:type="dxa" w:w="1625"/>
          </w:tcPr>
          <w:p>
            <w:pPr>
              <w:spacing w:after="0"/>
              <w:jc w:val="center"/>
            </w:pPr>
            <w:r/>
            <w:r>
              <w:rPr>
                <w:color w:val="1A1A1A"/>
                <w:sz w:val="14"/>
              </w:rPr>
              <w:t>37/66 (56)</w:t>
            </w:r>
          </w:p>
        </w:tc>
        <w:tc>
          <w:tcPr>
            <w:tcW w:type="dxa" w:w="1625"/>
          </w:tcPr>
          <w:p>
            <w:pPr>
              <w:spacing w:after="0"/>
              <w:jc w:val="center"/>
            </w:pPr>
            <w:r/>
            <w:r>
              <w:rPr>
                <w:color w:val="1A1A1A"/>
                <w:sz w:val="14"/>
              </w:rPr>
              <w:t>7/22 (32)</w:t>
            </w:r>
          </w:p>
        </w:tc>
        <w:tc>
          <w:tcPr>
            <w:tcW w:type="dxa" w:w="1625"/>
          </w:tcPr>
          <w:p>
            <w:pPr>
              <w:spacing w:after="0"/>
              <w:jc w:val="center"/>
            </w:pPr>
            <w:r/>
            <w:r>
              <w:rPr>
                <w:color w:val="1A1A1A"/>
                <w:sz w:val="14"/>
              </w:rPr>
              <w:t>15/33 (45)</w:t>
            </w:r>
          </w:p>
        </w:tc>
        <w:tc>
          <w:tcPr>
            <w:tcW w:type="dxa" w:w="1587"/>
          </w:tcPr>
          <w:p>
            <w:pPr>
              <w:spacing w:after="0"/>
              <w:jc w:val="center"/>
            </w:pPr>
            <w:r/>
            <w:r>
              <w:rPr>
                <w:color w:val="1A1A1A"/>
                <w:sz w:val="14"/>
              </w:rPr>
              <w:t>5/5 (100)</w:t>
            </w:r>
          </w:p>
        </w:tc>
      </w:tr>
      <w:tr>
        <w:tc>
          <w:tcPr>
            <w:tcW w:type="dxa" w:w="3175"/>
          </w:tcPr>
          <w:p>
            <w:pPr>
              <w:spacing w:after="0"/>
              <w:jc w:val="left"/>
            </w:pPr>
            <w:r/>
            <w:r>
              <w:rPr>
                <w:color w:val="1A1A1A"/>
                <w:sz w:val="14"/>
              </w:rPr>
              <w:t>Chose provider for insurance coverage</w:t>
            </w:r>
          </w:p>
        </w:tc>
        <w:tc>
          <w:tcPr>
            <w:tcW w:type="dxa" w:w="1625"/>
          </w:tcPr>
          <w:p>
            <w:pPr>
              <w:spacing w:after="0"/>
              <w:jc w:val="center"/>
            </w:pPr>
            <w:r/>
            <w:r>
              <w:rPr>
                <w:color w:val="1A1A1A"/>
                <w:sz w:val="14"/>
              </w:rPr>
              <w:t>29/66 (44)</w:t>
            </w:r>
          </w:p>
        </w:tc>
        <w:tc>
          <w:tcPr>
            <w:tcW w:type="dxa" w:w="1625"/>
          </w:tcPr>
          <w:p>
            <w:pPr>
              <w:spacing w:after="0"/>
              <w:jc w:val="center"/>
            </w:pPr>
            <w:r/>
            <w:r>
              <w:rPr>
                <w:color w:val="1A1A1A"/>
                <w:sz w:val="14"/>
              </w:rPr>
              <w:t>7/22 (32)</w:t>
            </w:r>
          </w:p>
        </w:tc>
        <w:tc>
          <w:tcPr>
            <w:tcW w:type="dxa" w:w="1625"/>
          </w:tcPr>
          <w:p>
            <w:pPr>
              <w:spacing w:after="0"/>
              <w:jc w:val="center"/>
            </w:pPr>
            <w:r/>
            <w:r>
              <w:rPr>
                <w:color w:val="1A1A1A"/>
                <w:sz w:val="14"/>
              </w:rPr>
              <w:t>6/33 (18)</w:t>
            </w:r>
          </w:p>
        </w:tc>
        <w:tc>
          <w:tcPr>
            <w:tcW w:type="dxa" w:w="1587"/>
          </w:tcPr>
          <w:p>
            <w:pPr>
              <w:spacing w:after="0"/>
              <w:jc w:val="center"/>
            </w:pPr>
            <w:r/>
            <w:r>
              <w:rPr>
                <w:color w:val="1A1A1A"/>
                <w:sz w:val="14"/>
              </w:rPr>
              <w:t>1/5 (20)</w:t>
            </w:r>
          </w:p>
        </w:tc>
      </w:tr>
      <w:tr>
        <w:tc>
          <w:tcPr>
            <w:tcW w:type="dxa" w:w="3175"/>
          </w:tcPr>
          <w:p>
            <w:pPr>
              <w:spacing w:after="0"/>
              <w:jc w:val="left"/>
            </w:pPr>
            <w:r/>
            <w:r>
              <w:rPr>
                <w:color w:val="1A1A1A"/>
                <w:sz w:val="14"/>
              </w:rPr>
              <w:t>Chose provider for short wait</w:t>
            </w:r>
          </w:p>
        </w:tc>
        <w:tc>
          <w:tcPr>
            <w:tcW w:type="dxa" w:w="1625"/>
          </w:tcPr>
          <w:p>
            <w:pPr>
              <w:spacing w:after="0"/>
              <w:jc w:val="center"/>
            </w:pPr>
            <w:r/>
            <w:r>
              <w:rPr>
                <w:color w:val="1A1A1A"/>
                <w:sz w:val="14"/>
              </w:rPr>
              <w:t>10/66 (15)</w:t>
            </w:r>
          </w:p>
        </w:tc>
        <w:tc>
          <w:tcPr>
            <w:tcW w:type="dxa" w:w="1625"/>
          </w:tcPr>
          <w:p>
            <w:pPr>
              <w:spacing w:after="0"/>
              <w:jc w:val="center"/>
            </w:pPr>
            <w:r/>
            <w:r>
              <w:rPr>
                <w:color w:val="1A1A1A"/>
                <w:sz w:val="14"/>
              </w:rPr>
              <w:t>3/22 (14)</w:t>
            </w:r>
          </w:p>
        </w:tc>
        <w:tc>
          <w:tcPr>
            <w:tcW w:type="dxa" w:w="1625"/>
          </w:tcPr>
          <w:p>
            <w:pPr>
              <w:spacing w:after="0"/>
              <w:jc w:val="center"/>
            </w:pPr>
            <w:r/>
            <w:r>
              <w:rPr>
                <w:color w:val="1A1A1A"/>
                <w:sz w:val="14"/>
              </w:rPr>
              <w:t>17/33 (52)</w:t>
            </w:r>
          </w:p>
        </w:tc>
        <w:tc>
          <w:tcPr>
            <w:tcW w:type="dxa" w:w="1587"/>
          </w:tcPr>
          <w:p>
            <w:pPr>
              <w:spacing w:after="0"/>
              <w:jc w:val="center"/>
            </w:pPr>
            <w:r/>
            <w:r>
              <w:rPr>
                <w:color w:val="1A1A1A"/>
                <w:sz w:val="14"/>
              </w:rPr>
              <w:t>2/5 (40)</w:t>
            </w:r>
          </w:p>
        </w:tc>
      </w:tr>
      <w:tr>
        <w:tc>
          <w:tcPr>
            <w:tcW w:type="dxa" w:w="3175"/>
          </w:tcPr>
          <w:p>
            <w:pPr>
              <w:spacing w:after="0"/>
              <w:jc w:val="left"/>
            </w:pPr>
            <w:r/>
            <w:r>
              <w:rPr>
                <w:color w:val="1A1A1A"/>
                <w:sz w:val="14"/>
              </w:rPr>
              <w:t>Admitted overnight</w:t>
            </w:r>
          </w:p>
        </w:tc>
        <w:tc>
          <w:tcPr>
            <w:tcW w:type="dxa" w:w="1625"/>
          </w:tcPr>
          <w:p>
            <w:pPr>
              <w:spacing w:after="0"/>
              <w:jc w:val="center"/>
            </w:pPr>
            <w:r/>
            <w:r>
              <w:rPr>
                <w:color w:val="1A1A1A"/>
                <w:sz w:val="14"/>
              </w:rPr>
              <w:t>25/66 (38)</w:t>
            </w:r>
          </w:p>
        </w:tc>
        <w:tc>
          <w:tcPr>
            <w:tcW w:type="dxa" w:w="1625"/>
          </w:tcPr>
          <w:p>
            <w:pPr>
              <w:spacing w:after="0"/>
              <w:jc w:val="center"/>
            </w:pPr>
            <w:r/>
            <w:r>
              <w:rPr>
                <w:color w:val="1A1A1A"/>
                <w:sz w:val="14"/>
              </w:rPr>
              <w:t>4/22 (18)</w:t>
            </w:r>
          </w:p>
        </w:tc>
        <w:tc>
          <w:tcPr>
            <w:tcW w:type="dxa" w:w="1625"/>
          </w:tcPr>
          <w:p>
            <w:pPr>
              <w:spacing w:after="0"/>
              <w:jc w:val="center"/>
            </w:pPr>
            <w:r/>
            <w:r>
              <w:rPr>
                <w:color w:val="1A1A1A"/>
                <w:sz w:val="14"/>
              </w:rPr>
              <w:t>7/33 (21)</w:t>
            </w:r>
          </w:p>
        </w:tc>
        <w:tc>
          <w:tcPr>
            <w:tcW w:type="dxa" w:w="1587"/>
          </w:tcPr>
          <w:p>
            <w:pPr>
              <w:spacing w:after="0"/>
              <w:jc w:val="center"/>
            </w:pPr>
            <w:r/>
            <w:r>
              <w:rPr>
                <w:color w:val="1A1A1A"/>
                <w:sz w:val="14"/>
              </w:rPr>
              <w:t>1/5 (20)</w:t>
            </w:r>
          </w:p>
        </w:tc>
      </w:tr>
      <w:tr>
        <w:tc>
          <w:tcPr>
            <w:tcW w:type="dxa" w:w="3175"/>
          </w:tcPr>
          <w:p>
            <w:pPr>
              <w:spacing w:after="0"/>
              <w:jc w:val="left"/>
            </w:pPr>
            <w:r/>
            <w:r>
              <w:rPr>
                <w:color w:val="1A1A1A"/>
                <w:sz w:val="14"/>
              </w:rPr>
              <w:t>Unmet need</w:t>
            </w:r>
          </w:p>
        </w:tc>
        <w:tc>
          <w:tcPr>
            <w:tcW w:type="dxa" w:w="1625"/>
          </w:tcPr>
          <w:p>
            <w:pPr>
              <w:spacing w:after="0"/>
              <w:jc w:val="center"/>
            </w:pPr>
            <w:r/>
            <w:r>
              <w:rPr>
                <w:color w:val="1A1A1A"/>
                <w:sz w:val="14"/>
              </w:rPr>
              <w:t>5/66 (8)</w:t>
            </w:r>
          </w:p>
        </w:tc>
        <w:tc>
          <w:tcPr>
            <w:tcW w:type="dxa" w:w="1625"/>
          </w:tcPr>
          <w:p>
            <w:pPr>
              <w:spacing w:after="0"/>
              <w:jc w:val="center"/>
            </w:pPr>
            <w:r/>
            <w:r>
              <w:rPr>
                <w:color w:val="1A1A1A"/>
                <w:sz w:val="14"/>
              </w:rPr>
              <w:t>5/22 (23)</w:t>
            </w:r>
          </w:p>
        </w:tc>
        <w:tc>
          <w:tcPr>
            <w:tcW w:type="dxa" w:w="1625"/>
          </w:tcPr>
          <w:p>
            <w:pPr>
              <w:spacing w:after="0"/>
              <w:jc w:val="center"/>
            </w:pPr>
            <w:r/>
            <w:r>
              <w:rPr>
                <w:color w:val="1A1A1A"/>
                <w:sz w:val="14"/>
              </w:rPr>
              <w:t>11/33 (33)</w:t>
            </w:r>
          </w:p>
        </w:tc>
        <w:tc>
          <w:tcPr>
            <w:tcW w:type="dxa" w:w="1587"/>
          </w:tcPr>
          <w:p>
            <w:pPr>
              <w:spacing w:after="0"/>
              <w:jc w:val="center"/>
            </w:pPr>
            <w:r/>
            <w:r>
              <w:rPr>
                <w:color w:val="1A1A1A"/>
                <w:sz w:val="14"/>
              </w:rPr>
              <w:t>0/5 (0)</w:t>
            </w:r>
          </w:p>
        </w:tc>
      </w:tr>
      <w:tr>
        <w:tc>
          <w:tcPr>
            <w:tcW w:type="dxa" w:w="3175"/>
          </w:tcPr>
          <w:p>
            <w:pPr>
              <w:spacing w:after="0"/>
              <w:jc w:val="left"/>
            </w:pPr>
            <w:r/>
            <w:r>
              <w:rPr>
                <w:color w:val="1A1A1A"/>
                <w:sz w:val="14"/>
              </w:rPr>
              <w:t>Borrowed for care (ever)</w:t>
            </w:r>
          </w:p>
        </w:tc>
        <w:tc>
          <w:tcPr>
            <w:tcW w:type="dxa" w:w="1625"/>
          </w:tcPr>
          <w:p>
            <w:pPr>
              <w:spacing w:after="0"/>
              <w:jc w:val="center"/>
            </w:pPr>
            <w:r/>
            <w:r>
              <w:rPr>
                <w:color w:val="1A1A1A"/>
                <w:sz w:val="14"/>
              </w:rPr>
              <w:t>2/66 (3)</w:t>
            </w:r>
          </w:p>
        </w:tc>
        <w:tc>
          <w:tcPr>
            <w:tcW w:type="dxa" w:w="1625"/>
          </w:tcPr>
          <w:p>
            <w:pPr>
              <w:spacing w:after="0"/>
              <w:jc w:val="center"/>
            </w:pPr>
            <w:r/>
            <w:r>
              <w:rPr>
                <w:color w:val="1A1A1A"/>
                <w:sz w:val="14"/>
              </w:rPr>
              <w:t>3/22 (14)</w:t>
            </w:r>
          </w:p>
        </w:tc>
        <w:tc>
          <w:tcPr>
            <w:tcW w:type="dxa" w:w="1625"/>
          </w:tcPr>
          <w:p>
            <w:pPr>
              <w:spacing w:after="0"/>
              <w:jc w:val="center"/>
            </w:pPr>
            <w:r/>
            <w:r>
              <w:rPr>
                <w:color w:val="1A1A1A"/>
                <w:sz w:val="14"/>
              </w:rPr>
              <w:t>0/33 (0)</w:t>
            </w:r>
          </w:p>
        </w:tc>
        <w:tc>
          <w:tcPr>
            <w:tcW w:type="dxa" w:w="1587"/>
          </w:tcPr>
          <w:p>
            <w:pPr>
              <w:spacing w:after="0"/>
              <w:jc w:val="center"/>
            </w:pPr>
            <w:r/>
            <w:r>
              <w:rPr>
                <w:color w:val="1A1A1A"/>
                <w:sz w:val="14"/>
              </w:rPr>
              <w:t>0/5 (0)</w:t>
            </w:r>
          </w:p>
        </w:tc>
      </w:tr>
      <w:tr>
        <w:tc>
          <w:tcPr>
            <w:tcW w:type="dxa" w:w="3175"/>
          </w:tcPr>
          <w:p>
            <w:pPr>
              <w:spacing w:after="0"/>
              <w:jc w:val="left"/>
            </w:pPr>
            <w:r/>
            <w:r>
              <w:rPr>
                <w:color w:val="1A1A1A"/>
                <w:sz w:val="14"/>
              </w:rPr>
              <w:t>Rates facility very good/excellent</w:t>
            </w:r>
          </w:p>
        </w:tc>
        <w:tc>
          <w:tcPr>
            <w:tcW w:type="dxa" w:w="1625"/>
          </w:tcPr>
          <w:p>
            <w:pPr>
              <w:spacing w:after="0"/>
              <w:jc w:val="center"/>
            </w:pPr>
            <w:r/>
            <w:r>
              <w:rPr>
                <w:color w:val="1A1A1A"/>
                <w:sz w:val="14"/>
              </w:rPr>
              <w:t>41/66 (62)</w:t>
            </w:r>
          </w:p>
        </w:tc>
        <w:tc>
          <w:tcPr>
            <w:tcW w:type="dxa" w:w="1625"/>
          </w:tcPr>
          <w:p>
            <w:pPr>
              <w:spacing w:after="0"/>
              <w:jc w:val="center"/>
            </w:pPr>
            <w:r/>
            <w:r>
              <w:rPr>
                <w:color w:val="1A1A1A"/>
                <w:sz w:val="14"/>
              </w:rPr>
              <w:t>8/22 (36)</w:t>
            </w:r>
          </w:p>
        </w:tc>
        <w:tc>
          <w:tcPr>
            <w:tcW w:type="dxa" w:w="1625"/>
          </w:tcPr>
          <w:p>
            <w:pPr>
              <w:spacing w:after="0"/>
              <w:jc w:val="center"/>
            </w:pPr>
            <w:r/>
            <w:r>
              <w:rPr>
                <w:color w:val="1A1A1A"/>
                <w:sz w:val="14"/>
              </w:rPr>
              <w:t>21/33 (64)</w:t>
            </w:r>
          </w:p>
        </w:tc>
        <w:tc>
          <w:tcPr>
            <w:tcW w:type="dxa" w:w="1587"/>
          </w:tcPr>
          <w:p>
            <w:pPr>
              <w:spacing w:after="0"/>
              <w:jc w:val="center"/>
            </w:pPr>
            <w:r/>
            <w:r>
              <w:rPr>
                <w:color w:val="1A1A1A"/>
                <w:sz w:val="14"/>
              </w:rPr>
              <w:t>3/5 (60)</w:t>
            </w:r>
          </w:p>
        </w:tc>
      </w:tr>
      <w:tr>
        <w:tc>
          <w:tcPr>
            <w:tcW w:type="dxa" w:w="3175"/>
          </w:tcPr>
          <w:p>
            <w:pPr>
              <w:spacing w:after="0"/>
              <w:jc w:val="left"/>
            </w:pPr>
            <w:r/>
            <w:r>
              <w:rPr>
                <w:color w:val="1A1A1A"/>
                <w:sz w:val="14"/>
              </w:rPr>
              <w:t>High activation</w:t>
            </w:r>
          </w:p>
        </w:tc>
        <w:tc>
          <w:tcPr>
            <w:tcW w:type="dxa" w:w="1625"/>
          </w:tcPr>
          <w:p>
            <w:pPr>
              <w:spacing w:after="0"/>
              <w:jc w:val="center"/>
            </w:pPr>
            <w:r/>
            <w:r>
              <w:rPr>
                <w:color w:val="1A1A1A"/>
                <w:sz w:val="14"/>
              </w:rPr>
              <w:t>58/66 (88)</w:t>
            </w:r>
          </w:p>
        </w:tc>
        <w:tc>
          <w:tcPr>
            <w:tcW w:type="dxa" w:w="1625"/>
          </w:tcPr>
          <w:p>
            <w:pPr>
              <w:spacing w:after="0"/>
              <w:jc w:val="center"/>
            </w:pPr>
            <w:r/>
            <w:r>
              <w:rPr>
                <w:color w:val="1A1A1A"/>
                <w:sz w:val="14"/>
              </w:rPr>
              <w:t>17/22 (77)</w:t>
            </w:r>
          </w:p>
        </w:tc>
        <w:tc>
          <w:tcPr>
            <w:tcW w:type="dxa" w:w="1625"/>
          </w:tcPr>
          <w:p>
            <w:pPr>
              <w:spacing w:after="0"/>
              <w:jc w:val="center"/>
            </w:pPr>
            <w:r/>
            <w:r>
              <w:rPr>
                <w:color w:val="1A1A1A"/>
                <w:sz w:val="14"/>
              </w:rPr>
              <w:t>31/33 (94)</w:t>
            </w:r>
          </w:p>
        </w:tc>
        <w:tc>
          <w:tcPr>
            <w:tcW w:type="dxa" w:w="1587"/>
          </w:tcPr>
          <w:p>
            <w:pPr>
              <w:spacing w:after="0"/>
              <w:jc w:val="center"/>
            </w:pPr>
            <w:r/>
            <w:r>
              <w:rPr>
                <w:color w:val="1A1A1A"/>
                <w:sz w:val="14"/>
              </w:rPr>
              <w:t>5/5 (100)</w:t>
            </w:r>
          </w:p>
        </w:tc>
      </w:tr>
      <w:tr>
        <w:tc>
          <w:tcPr>
            <w:tcW w:type="dxa" w:w="3175"/>
          </w:tcPr>
          <w:p>
            <w:pPr>
              <w:spacing w:after="0"/>
              <w:jc w:val="left"/>
            </w:pPr>
            <w:r/>
            <w:r>
              <w:rPr>
                <w:color w:val="1A1A1A"/>
                <w:sz w:val="14"/>
              </w:rPr>
              <w:t>Health secure</w:t>
            </w:r>
          </w:p>
        </w:tc>
        <w:tc>
          <w:tcPr>
            <w:tcW w:type="dxa" w:w="1625"/>
          </w:tcPr>
          <w:p>
            <w:pPr>
              <w:spacing w:after="0"/>
              <w:jc w:val="center"/>
            </w:pPr>
            <w:r/>
            <w:r>
              <w:rPr>
                <w:color w:val="1A1A1A"/>
                <w:sz w:val="14"/>
              </w:rPr>
              <w:t>43/66 (65)</w:t>
            </w:r>
          </w:p>
        </w:tc>
        <w:tc>
          <w:tcPr>
            <w:tcW w:type="dxa" w:w="1625"/>
          </w:tcPr>
          <w:p>
            <w:pPr>
              <w:spacing w:after="0"/>
              <w:jc w:val="center"/>
            </w:pPr>
            <w:r/>
            <w:r>
              <w:rPr>
                <w:color w:val="1A1A1A"/>
                <w:sz w:val="14"/>
              </w:rPr>
              <w:t>17/22 (77)</w:t>
            </w:r>
          </w:p>
        </w:tc>
        <w:tc>
          <w:tcPr>
            <w:tcW w:type="dxa" w:w="1625"/>
          </w:tcPr>
          <w:p>
            <w:pPr>
              <w:spacing w:after="0"/>
              <w:jc w:val="center"/>
            </w:pPr>
            <w:r/>
            <w:r>
              <w:rPr>
                <w:color w:val="1A1A1A"/>
                <w:sz w:val="14"/>
              </w:rPr>
              <w:t>25/33 (76)</w:t>
            </w:r>
          </w:p>
        </w:tc>
        <w:tc>
          <w:tcPr>
            <w:tcW w:type="dxa" w:w="1587"/>
          </w:tcPr>
          <w:p>
            <w:pPr>
              <w:spacing w:after="0"/>
              <w:jc w:val="center"/>
            </w:pPr>
            <w:r/>
            <w:r>
              <w:rPr>
                <w:color w:val="1A1A1A"/>
                <w:sz w:val="14"/>
              </w:rPr>
              <w:t>5/5 (100)</w:t>
            </w:r>
          </w:p>
        </w:tc>
      </w:tr>
    </w:tbl>
    <w:p>
      <w:pPr>
        <w:spacing w:after="140"/>
        <w:jc w:val="both"/>
      </w:pPr>
      <w:r>
        <w:rPr>
          <w:b w:val="0"/>
          <w:i w:val="0"/>
          <w:color w:val="1A1A1A"/>
          <w:sz w:val="21"/>
        </w:rPr>
        <w:t>One further boundary matters. Regular private-hospital users are not a sample of the private-hospital market. A different and overlapping population — respondents whose most recent visit was to a private hospital (n = 202) — is 58.4% Social Security rather than 69.3%, and reports admission at 20.8% rather than 29.1%. Episodic private-hospital use during a recall period is not measurable at all, because Q32 and Q33 capture only the single most recent visit. Nothing in this report describes cash-paying patients, inpatients as a population, or international patients.</w:t>
      </w:r>
    </w:p>
    <w:p>
      <w:pPr>
        <w:pStyle w:val="Heading1"/>
        <w:spacing w:before="280" w:after="100"/>
      </w:pPr>
      <w:r>
        <w:rPr>
          <w:rFonts w:ascii="Calibri" w:hAnsi="Calibri"/>
          <w:b/>
          <w:color w:val="1A1A1A"/>
          <w:sz w:val="30"/>
        </w:rPr>
        <w:t>8. Thailand in international context</w:t>
      </w:r>
    </w:p>
    <w:p>
      <w:pPr>
        <w:spacing w:after="140"/>
        <w:jc w:val="both"/>
      </w:pPr>
      <w:r>
        <w:rPr>
          <w:b w:val="0"/>
          <w:i w:val="0"/>
          <w:color w:val="1A1A1A"/>
          <w:sz w:val="21"/>
        </w:rPr>
        <w:t>The comparison usually drawn between Thailand and India is between two different indicators. The widely quoted 84.1% for India is confidence in getting good-quality care, taken from Figure 2A of Kruk et al. (2024). India’s health security — confidence in both getting and affording care — is 69.2%, and the 15-country average is 48.8%.</w:t>
      </w:r>
    </w:p>
    <w:p>
      <w:pPr>
        <w:spacing w:after="140"/>
        <w:jc w:val="both"/>
      </w:pPr>
      <w:r>
        <w:rPr>
          <w:b w:val="0"/>
          <w:i w:val="0"/>
          <w:color w:val="1A1A1A"/>
          <w:sz w:val="21"/>
        </w:rPr>
        <w:t>On that indicator Thailand is 64.4% (95% CI 62.2–66.4): 15.6 percentage points above the multi-country average and 4.8 points below India. The premise that Thailand sits notably low on health security is not supported by the source data.</w:t>
      </w:r>
    </w:p>
    <w:p>
      <w:pPr>
        <w:spacing w:after="140"/>
        <w:jc w:val="both"/>
      </w:pPr>
      <w:r>
        <w:rPr>
          <w:b w:val="0"/>
          <w:i w:val="0"/>
          <w:color w:val="1A1A1A"/>
          <w:sz w:val="21"/>
        </w:rPr>
        <w:t>The measure is respondents’ confidence that, if they became seriously ill, they could obtain good-quality care and afford it. It is subjective and conditioned on a hypothetical. A lower value does not demonstrate worse financial protection, access or clinical outcomes. India’s age eligibility, geographic coverage, fieldwork dates, survey mode, weighting and uncertainty could not be verified from the materials available, so differences in expectations, sample composition, timing, mode or translation remain hypotheses to investigate rather than demonstrated causes of the remaining gap. Objective indicators — catastrophic and impoverishing health expenditure, effective coverage, unmet need from household surveys — could triangulate the finding, but they measure different things and cannot replace it.</w:t>
      </w:r>
    </w:p>
    <w:p>
      <w:pPr>
        <w:spacing w:before="160" w:after="60"/>
        <w:jc w:val="center"/>
      </w:pPr>
      <w:r>
        <w:drawing>
          <wp:inline xmlns:a="http://schemas.openxmlformats.org/drawingml/2006/main" xmlns:pic="http://schemas.openxmlformats.org/drawingml/2006/picture">
            <wp:extent cx="5976000" cy="2673792"/>
            <wp:docPr id="7" name="Picture 7"/>
            <wp:cNvGraphicFramePr>
              <a:graphicFrameLocks noChangeAspect="1"/>
            </wp:cNvGraphicFramePr>
            <a:graphic>
              <a:graphicData uri="http://schemas.openxmlformats.org/drawingml/2006/picture">
                <pic:pic>
                  <pic:nvPicPr>
                    <pic:cNvPr id="0" name="Figure 7 - Thailand vs India health security.png"/>
                    <pic:cNvPicPr/>
                  </pic:nvPicPr>
                  <pic:blipFill>
                    <a:blip r:embed="rId15"/>
                    <a:stretch>
                      <a:fillRect/>
                    </a:stretch>
                  </pic:blipFill>
                  <pic:spPr>
                    <a:xfrm>
                      <a:off x="0" y="0"/>
                      <a:ext cx="5976000" cy="2673792"/>
                    </a:xfrm>
                    <a:prstGeom prst="rect"/>
                  </pic:spPr>
                </pic:pic>
              </a:graphicData>
            </a:graphic>
          </wp:inline>
        </w:drawing>
      </w:r>
    </w:p>
    <w:p>
      <w:pPr>
        <w:spacing w:before="200" w:after="60"/>
      </w:pPr>
      <w:r>
        <w:rPr>
          <w:b/>
          <w:color w:val="1A1A1A"/>
          <w:sz w:val="19"/>
        </w:rPr>
        <w:t xml:space="preserve">Figure 7.  </w:t>
      </w:r>
      <w:r>
        <w:rPr>
          <w:color w:val="1A1A1A"/>
          <w:sz w:val="19"/>
        </w:rPr>
        <w:t>Health security: Thailand, India and the 15-country PVS average.</w:t>
      </w:r>
    </w:p>
    <w:p>
      <w:pPr>
        <w:spacing w:before="40" w:after="220"/>
      </w:pPr>
      <w:r>
        <w:rPr>
          <w:i/>
          <w:color w:val="606060"/>
          <w:sz w:val="16"/>
        </w:rPr>
        <w:t>India and average values read from Kruk et al. (2024) Lancet Global Health, Figure 2A. Thailand’s intervals are Wilson 95% intervals on the unweighted achieved sample.</w:t>
      </w:r>
    </w:p>
    <w:p>
      <w:r>
        <w:br w:type="page"/>
      </w:r>
    </w:p>
    <w:p>
      <w:pPr>
        <w:pStyle w:val="Heading1"/>
        <w:spacing w:before="280" w:after="100"/>
      </w:pPr>
      <w:r>
        <w:rPr>
          <w:rFonts w:ascii="Calibri" w:hAnsi="Calibri"/>
          <w:b/>
          <w:color w:val="1A1A1A"/>
          <w:sz w:val="30"/>
        </w:rPr>
        <w:t>9. What this suggests</w:t>
      </w:r>
    </w:p>
    <w:p>
      <w:pPr>
        <w:spacing w:after="140"/>
        <w:jc w:val="both"/>
      </w:pPr>
      <w:r>
        <w:rPr>
          <w:b w:val="0"/>
          <w:i w:val="0"/>
          <w:color w:val="1A1A1A"/>
          <w:sz w:val="21"/>
        </w:rPr>
        <w:t>Taken together, the findings point in a consistent direction, and it is not the direction the public debate about private hospitals usually assumes.</w:t>
      </w:r>
    </w:p>
    <w:p>
      <w:pPr>
        <w:pStyle w:val="Heading3"/>
        <w:spacing w:before="200" w:after="100"/>
      </w:pPr>
      <w:r>
        <w:rPr>
          <w:rFonts w:ascii="Calibri" w:hAnsi="Calibri"/>
          <w:b/>
          <w:color w:val="1A1A1A"/>
          <w:sz w:val="22"/>
        </w:rPr>
        <w:t>The private sector here is an extension of public financing, not an alternative to it</w:t>
      </w:r>
    </w:p>
    <w:p>
      <w:pPr>
        <w:spacing w:after="140"/>
        <w:jc w:val="both"/>
      </w:pPr>
      <w:r>
        <w:rPr>
          <w:b w:val="0"/>
          <w:i w:val="0"/>
          <w:color w:val="1A1A1A"/>
          <w:sz w:val="21"/>
        </w:rPr>
        <w:t>Seven in ten regular private-hospital users hold Social Security; insurance coverage is the reason they most often give for choosing their provider; low cost is almost never mentioned; and their household incomes are middling rather than high. Read alongside the fact that Social Security members register with a contracted main hospital that may be public or private, the most economical explanation is that a large part of what looks like private purchasing is scheme-assigned registration. This survey cannot prove that — it never asks where anyone is registered — but any account that treats private-hospital growth as discretionary buying by the affluent will misidentify both who these patients are and what would change their behaviour. The policy lever is the contract, not the price.</w:t>
      </w:r>
    </w:p>
    <w:p>
      <w:pPr>
        <w:pStyle w:val="Heading3"/>
        <w:spacing w:before="200" w:after="100"/>
      </w:pPr>
      <w:r>
        <w:rPr>
          <w:rFonts w:ascii="Calibri" w:hAnsi="Calibri"/>
          <w:b/>
          <w:color w:val="1A1A1A"/>
          <w:sz w:val="22"/>
        </w:rPr>
        <w:t>The gap that public hospitals need to close is a service gap, not a clinical one</w:t>
      </w:r>
    </w:p>
    <w:p>
      <w:pPr>
        <w:spacing w:after="140"/>
        <w:jc w:val="both"/>
      </w:pPr>
      <w:r>
        <w:rPr>
          <w:b w:val="0"/>
          <w:i w:val="0"/>
          <w:color w:val="1A1A1A"/>
          <w:sz w:val="21"/>
        </w:rPr>
        <w:t>Users of private hospitals report better experiences on waiting, scheduling, consultation length, continuity and interpersonal treatment — differences of 15 to 27 percentage points — while reporting no detectable difference in the provider’s knowledge and skill or in the readiness of equipment and supplies. This is a claim about perceptions, not about clinical outcomes, and it cuts both ways: it gives no support to the idea that private hospitals are clinically superior, and it locates the public sector’s perceived weakness precisely. For public hospital outpatient departments — the group that is consistently least satisfied on almost every measure in this report — the improvement agenda indicated here is waiting, appointment access, consultation time and continuity of records, rather than equipment or staff competence.</w:t>
      </w:r>
    </w:p>
    <w:p>
      <w:pPr>
        <w:pStyle w:val="Heading3"/>
        <w:spacing w:before="200" w:after="100"/>
      </w:pPr>
      <w:r>
        <w:rPr>
          <w:rFonts w:ascii="Calibri" w:hAnsi="Calibri"/>
          <w:b/>
          <w:color w:val="1A1A1A"/>
          <w:sz w:val="22"/>
        </w:rPr>
        <w:t>Prevention is not where the public–private difference lies</w:t>
      </w:r>
    </w:p>
    <w:p>
      <w:pPr>
        <w:spacing w:after="140"/>
        <w:jc w:val="both"/>
      </w:pPr>
      <w:r>
        <w:rPr>
          <w:b w:val="0"/>
          <w:i w:val="0"/>
          <w:color w:val="1A1A1A"/>
          <w:sz w:val="21"/>
        </w:rPr>
        <w:t>On eight screening and prevention items, private-hospital users and public hospital users are statistically indistinguishable. If there is a prevention concern in these data it attaches to pharmacies used as a regular first contact, where blood-pressure measurement runs about twenty-seven points below every other group, and to the 488 respondents with no usual source of care at all, who sit lowest on every item. Both are questions about primary care coverage, not about private hospitals. A practical implication for the analysis itself: clinics and pharmacies should not be reported as a single "private primary" category, because combining them conceals this.</w:t>
      </w:r>
    </w:p>
    <w:p>
      <w:pPr>
        <w:pStyle w:val="Heading3"/>
        <w:spacing w:before="200" w:after="100"/>
      </w:pPr>
      <w:r>
        <w:rPr>
          <w:rFonts w:ascii="Calibri" w:hAnsi="Calibri"/>
          <w:b/>
          <w:color w:val="1A1A1A"/>
          <w:sz w:val="22"/>
        </w:rPr>
        <w:t>Higher admission is the finding that should drive the next piece of work</w:t>
      </w:r>
    </w:p>
    <w:p>
      <w:pPr>
        <w:spacing w:after="140"/>
        <w:jc w:val="both"/>
      </w:pPr>
      <w:r>
        <w:rPr>
          <w:b w:val="0"/>
          <w:i w:val="0"/>
          <w:color w:val="1A1A1A"/>
          <w:sz w:val="21"/>
        </w:rPr>
        <w:t>It is the largest adjusted difference outside the experience ratings, it appears in the group reporting the best health, and it survives adjustment for chronic illness, unmet need and visit volume. It is also the finding this survey is least able to interpret, because the questionnaire never records where an admission occurred. Whether it reflects lower admission thresholds, case mix the survey cannot see, or the incentives facing contracted providers is not answerable here and is answerable with claims data. Of everything in this report, this is the item most worth the cost of linkage.</w:t>
      </w:r>
    </w:p>
    <w:p>
      <w:pPr>
        <w:pStyle w:val="Heading3"/>
        <w:spacing w:before="200" w:after="100"/>
      </w:pPr>
      <w:r>
        <w:rPr>
          <w:rFonts w:ascii="Calibri" w:hAnsi="Calibri"/>
          <w:b/>
          <w:color w:val="1A1A1A"/>
          <w:sz w:val="22"/>
        </w:rPr>
        <w:t>Better encounters do not appear to add up to confidence in the system</w:t>
      </w:r>
    </w:p>
    <w:p>
      <w:pPr>
        <w:spacing w:after="140"/>
        <w:jc w:val="both"/>
      </w:pPr>
      <w:r>
        <w:rPr>
          <w:b w:val="0"/>
          <w:i w:val="0"/>
          <w:color w:val="1A1A1A"/>
          <w:sz w:val="21"/>
        </w:rPr>
        <w:t>Private-hospital users rate their own provider markedly higher and are no more confident about the health system, its direction, or their own health security. A substantial minority in every group rates their own facility highly while remaining unsure they could get and afford care if seriously ill, and health security tracks patient activation — a characteristic of the person — more visibly than it tracks provider type. The cautious reading is that improving the experience of individual encounters, which the private sector demonstrably does on these measures, is not by itself a route to population confidence. The design cannot test that causal claim, and the confidence intervals are wide enough to accommodate a real difference this survey was too small to detect.</w:t>
      </w:r>
    </w:p>
    <w:p>
      <w:pPr>
        <w:pStyle w:val="Heading3"/>
        <w:spacing w:before="200" w:after="100"/>
      </w:pPr>
      <w:r>
        <w:rPr>
          <w:rFonts w:ascii="Calibri" w:hAnsi="Calibri"/>
          <w:b/>
          <w:color w:val="1A1A1A"/>
          <w:sz w:val="22"/>
        </w:rPr>
        <w:t>And the largest gap is that nobody was asked about money</w:t>
      </w:r>
    </w:p>
    <w:p>
      <w:pPr>
        <w:spacing w:after="140"/>
        <w:jc w:val="both"/>
      </w:pPr>
      <w:r>
        <w:rPr>
          <w:b w:val="0"/>
          <w:i w:val="0"/>
          <w:color w:val="1A1A1A"/>
          <w:sz w:val="21"/>
        </w:rPr>
        <w:t>No question in this instrument identifies who paid for any encounter, how much, whether a copayment applied, or whether private insurance was used. For a programme of work aimed at regulating private hospitals — where price transparency, billing practice and patient liability are central — that is the binding constraint. It is straightforward to fix in a future round.</w:t>
      </w:r>
    </w:p>
    <w:p>
      <w:pPr>
        <w:pStyle w:val="Heading2"/>
        <w:spacing w:before="280" w:after="100"/>
      </w:pPr>
      <w:r>
        <w:rPr>
          <w:rFonts w:ascii="Calibri" w:hAnsi="Calibri"/>
          <w:b/>
          <w:color w:val="1A1A1A"/>
          <w:sz w:val="25"/>
        </w:rPr>
        <w:t>Candidate questions for private-hospital oversight</w:t>
      </w:r>
    </w:p>
    <w:p>
      <w:pPr>
        <w:spacing w:after="140"/>
        <w:jc w:val="both"/>
      </w:pPr>
      <w:r>
        <w:rPr>
          <w:b w:val="0"/>
          <w:i w:val="0"/>
          <w:color w:val="1A1A1A"/>
          <w:sz w:val="21"/>
        </w:rPr>
        <w:t>The following follow from the findings above. None is a proven effective policy, and none describes what Thai law currently requires — current or study-period rules must be verified from authoritative sources before being asserted.</w:t>
      </w:r>
    </w:p>
    <w:p>
      <w:pPr>
        <w:pStyle w:val="ListBullet"/>
        <w:spacing w:after="80"/>
      </w:pPr>
      <w:r>
        <w:rPr>
          <w:b/>
          <w:color w:val="1A1A1A"/>
          <w:sz w:val="21"/>
        </w:rPr>
        <w:t xml:space="preserve">Contracted-provider experience by payer. </w:t>
      </w:r>
      <w:r>
        <w:rPr>
          <w:color w:val="1A1A1A"/>
          <w:sz w:val="21"/>
        </w:rPr>
        <w:t>Most regular private-hospital users arrive holding a public entitlement. Should contracted-provider performance be monitored separately by payer? Needs registration records, contract terms and claims data.</w:t>
      </w:r>
    </w:p>
    <w:p>
      <w:pPr>
        <w:pStyle w:val="ListBullet"/>
        <w:spacing w:after="80"/>
      </w:pPr>
      <w:r>
        <w:rPr>
          <w:b/>
          <w:color w:val="1A1A1A"/>
          <w:sz w:val="21"/>
        </w:rPr>
        <w:t xml:space="preserve">Service-process standards, monitored separately from clinical ones. </w:t>
      </w:r>
      <w:r>
        <w:rPr>
          <w:color w:val="1A1A1A"/>
          <w:sz w:val="21"/>
        </w:rPr>
        <w:t>The measured differences are in waiting, appointment access, consultation time and continuity. Service-process standards could be monitored separately from clinical standards, using standardised patient-experience items in routine licensing returns.</w:t>
      </w:r>
    </w:p>
    <w:p>
      <w:pPr>
        <w:pStyle w:val="ListBullet"/>
        <w:spacing w:after="80"/>
      </w:pPr>
      <w:r>
        <w:rPr>
          <w:b/>
          <w:color w:val="1A1A1A"/>
          <w:sz w:val="21"/>
        </w:rPr>
        <w:t xml:space="preserve">Two distinct waiting indicators. </w:t>
      </w:r>
      <w:r>
        <w:rPr>
          <w:color w:val="1A1A1A"/>
          <w:sz w:val="21"/>
        </w:rPr>
        <w:t>The wait at the facility and the wait to obtain an appointment behave very differently and should be published as two indicators. This survey records ordered categories, not durations; facility administrative data would be needed.</w:t>
      </w:r>
    </w:p>
    <w:p>
      <w:pPr>
        <w:pStyle w:val="ListBullet"/>
        <w:spacing w:after="80"/>
      </w:pPr>
      <w:r>
        <w:rPr>
          <w:b/>
          <w:color w:val="1A1A1A"/>
          <w:sz w:val="21"/>
        </w:rPr>
        <w:t xml:space="preserve">Admission rates, investigated with claims and clinical data. </w:t>
      </w:r>
      <w:r>
        <w:rPr>
          <w:color w:val="1A1A1A"/>
          <w:sz w:val="21"/>
        </w:rPr>
        <w:t>Higher self-reported admission in the healthiest group is the priority for follow-up, by facility, payer and case mix. The survey cannot establish where an admission occurred or whether it was necessary.</w:t>
      </w:r>
    </w:p>
    <w:p>
      <w:pPr>
        <w:pStyle w:val="ListBullet"/>
        <w:spacing w:after="80"/>
      </w:pPr>
      <w:r>
        <w:rPr>
          <w:b/>
          <w:color w:val="1A1A1A"/>
          <w:sz w:val="21"/>
        </w:rPr>
        <w:t xml:space="preserve">Patient payment and billing transparency — currently unmeasurable. </w:t>
      </w:r>
      <w:r>
        <w:rPr>
          <w:color w:val="1A1A1A"/>
          <w:sz w:val="21"/>
        </w:rPr>
        <w:t>A payer and out-of-pocket module, or claims linkage, is required before patient-payment or billing-transparency questions can be answered at all.</w:t>
      </w:r>
    </w:p>
    <w:p>
      <w:pPr>
        <w:pStyle w:val="ListBullet"/>
        <w:spacing w:after="80"/>
      </w:pPr>
      <w:r>
        <w:rPr>
          <w:b/>
          <w:color w:val="1A1A1A"/>
          <w:sz w:val="21"/>
        </w:rPr>
        <w:t xml:space="preserve">Complaints and adverse events, linked to a facility. </w:t>
      </w:r>
      <w:r>
        <w:rPr>
          <w:color w:val="1A1A1A"/>
          <w:sz w:val="21"/>
        </w:rPr>
        <w:t>Perceived medical error and felt discrimination are recorded without a facility identifier and without a recall window, so neither can be attributed to any provider. Linking complaint and incident reporting to a facility identifier would make them measurable.</w:t>
      </w:r>
    </w:p>
    <w:p>
      <w:pPr>
        <w:pStyle w:val="ListBullet"/>
        <w:spacing w:after="80"/>
      </w:pPr>
      <w:r>
        <w:rPr>
          <w:b/>
          <w:color w:val="1A1A1A"/>
          <w:sz w:val="21"/>
        </w:rPr>
        <w:t xml:space="preserve">The preventive role of pharmacies. </w:t>
      </w:r>
      <w:r>
        <w:rPr>
          <w:color w:val="1A1A1A"/>
          <w:sz w:val="21"/>
        </w:rPr>
        <w:t>Pharmacies serving as a regular first contact show markedly lower preventive-service receipt. What preventive role, if any, should attach to that? Needs pharmacy service-scope data.</w:t>
      </w:r>
    </w:p>
    <w:p>
      <w:r>
        <w:br w:type="page"/>
      </w:r>
    </w:p>
    <w:p>
      <w:pPr>
        <w:pStyle w:val="Heading1"/>
        <w:spacing w:before="280" w:after="100"/>
      </w:pPr>
      <w:r>
        <w:rPr>
          <w:rFonts w:ascii="Calibri" w:hAnsi="Calibri"/>
          <w:b/>
          <w:color w:val="1A1A1A"/>
          <w:sz w:val="30"/>
        </w:rPr>
        <w:t>Limitations</w:t>
      </w:r>
    </w:p>
    <w:p>
      <w:pPr>
        <w:spacing w:after="140"/>
        <w:jc w:val="both"/>
      </w:pPr>
      <w:r>
        <w:rPr>
          <w:b w:val="0"/>
          <w:i w:val="0"/>
          <w:color w:val="1A1A1A"/>
          <w:sz w:val="21"/>
        </w:rPr>
        <w:t>Final recruitment was quota-based convenience within PPS-selected subdistricts, so selection probabilities are unknown, no valid design weights exist, and no conventional response rate can be computed — no recruitment disposition records were located. Matching the sampling plan on region, municipality and age is a useful check but is not evidence that selection bias is absent, and the sex quota was not met. Because one province was sampled per health region, province-level strata are single-PSU and design-based variance is not estimable at that level; the subdistrict-clustered standard errors used here are an approximation, not design-based inference. All estimates are unweighted.</w:t>
      </w:r>
    </w:p>
    <w:p>
      <w:pPr>
        <w:spacing w:after="140"/>
        <w:jc w:val="both"/>
      </w:pPr>
      <w:r>
        <w:rPr>
          <w:b w:val="0"/>
          <w:i w:val="0"/>
          <w:color w:val="1A1A1A"/>
          <w:sz w:val="21"/>
        </w:rPr>
        <w:t>The private-hospital group contains 127 respondents and the private clinic and pharmacy group 142 (82 clinic, 60 pharmacy), so intervals are wide and several contrasts are indeterminate rather than null. Benjamini–Hochberg adjustment is applied within each outcome family and both raw and adjusted p-values are reported; no outcome was dropped for being null. Adjustment addresses measured confounding only — it does not address the convenience selection, the unmeasured insurance-routing mechanism, or sparse cells, and adjusted estimates are not automatically a more reliable guide to which differences are real.</w:t>
      </w:r>
    </w:p>
    <w:p>
      <w:pPr>
        <w:spacing w:after="140"/>
        <w:jc w:val="both"/>
      </w:pPr>
      <w:r>
        <w:rPr>
          <w:b w:val="0"/>
          <w:i w:val="0"/>
          <w:color w:val="1A1A1A"/>
          <w:sz w:val="21"/>
        </w:rPr>
        <w:t>All measures are self-reported, most without a recall window and none validated against records. The design is cross-sectional, so every provider-group result is an association rather than an effect. Several things are simply not measured: who paid for any encounter and how much, employment status, the registered or contracted provider, the facility at which an admission occurred, and health literacy — the instrument contains no literacy item, and patient activation and education are different constructs that should not stand in for it. The two expectation vignettes (Q48, Q49) were fielded but analysed in no report, and remain the only direct route to the expectations arm of the PVS framework.</w:t>
      </w:r>
    </w:p>
    <w:p>
      <w:pPr>
        <w:pStyle w:val="Heading2"/>
        <w:spacing w:before="280" w:after="100"/>
      </w:pPr>
      <w:r>
        <w:rPr>
          <w:rFonts w:ascii="Calibri" w:hAnsi="Calibri"/>
          <w:b/>
          <w:color w:val="1A1A1A"/>
          <w:sz w:val="25"/>
        </w:rPr>
        <w:t>About this edition</w:t>
      </w:r>
    </w:p>
    <w:p>
      <w:pPr>
        <w:spacing w:after="140"/>
        <w:jc w:val="both"/>
      </w:pPr>
      <w:r>
        <w:rPr>
          <w:b w:val="0"/>
          <w:i w:val="0"/>
          <w:color w:val="1A1A1A"/>
          <w:sz w:val="21"/>
        </w:rPr>
        <w:t>This edition consolidates the original subgroup analysis with a subsequent audit of the cohort definition, variable coding, denominators, attribution and inference, and supersedes the earlier draft of the same title. Substantive changes to previously reported numbers include a corrected self-rated-health coding (78.8% rather than 54.9% report good or better health), corrected age denominators, recall periods taken from the fielded instrument rather than from the report text, explicit handling of "not applicable" response codes, sex-restricted denominators for breast and cervical screening, and the addition of cluster-robust standard errors, marginal predicted probabilities and multiplicity adjustment. Two results reported as significant in the earlier draft do not survive: perceived provider knowledge and the rating of the private system.</w:t>
      </w:r>
    </w:p>
    <w:p>
      <w:pPr>
        <w:spacing w:after="140"/>
        <w:jc w:val="both"/>
      </w:pPr>
      <w:r>
        <w:rPr>
          <w:b w:val="0"/>
          <w:i/>
          <w:color w:val="606060"/>
          <w:sz w:val="20"/>
        </w:rPr>
        <w:t>The analysis code is in src/pvs/. Regenerated tables and figures are written to output/; the approved September release is preserved in results/2026-09/. Every figure and table here is generated from the analysis exports; no value is typed independently.</w:t>
      </w:r>
    </w:p>
    <w:p>
      <w:pPr>
        <w:pStyle w:val="Heading2"/>
        <w:spacing w:before="280" w:after="100"/>
      </w:pPr>
      <w:r>
        <w:rPr>
          <w:rFonts w:ascii="Calibri" w:hAnsi="Calibri"/>
          <w:b/>
          <w:color w:val="1A1A1A"/>
          <w:sz w:val="25"/>
        </w:rPr>
        <w:t>References</w:t>
      </w:r>
    </w:p>
    <w:p>
      <w:pPr>
        <w:spacing w:after="140"/>
        <w:jc w:val="both"/>
      </w:pPr>
      <w:r>
        <w:rPr>
          <w:b w:val="0"/>
          <w:i w:val="0"/>
          <w:color w:val="1A1A1A"/>
          <w:sz w:val="19"/>
        </w:rPr>
        <w:t>1. Kruk ME, Kapoor NR, Lewis TP, et al. Population confidence in the health system in 15 countries: results from the first round of the People’s Voice Survey. Lancet Glob Health. 2024;12(1):e100–e111.</w:t>
      </w:r>
    </w:p>
    <w:p>
      <w:pPr>
        <w:spacing w:after="140"/>
        <w:jc w:val="both"/>
      </w:pPr>
      <w:r>
        <w:rPr>
          <w:b w:val="0"/>
          <w:i w:val="0"/>
          <w:color w:val="1A1A1A"/>
          <w:sz w:val="19"/>
        </w:rPr>
        <w:t>2. Lewis TP, Kapoor NR, Aryal A, et al. Measuring people’s views on health system performance: design and development of the People’s Voice Survey. PLoS Med. 2023;20(12):e1004294.</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