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18"/>
        </w:rPr>
        <w:t>表1 孙光荣中和学术思想专题知识图谱本体概念类型及实例数</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134"/>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本体层</w:t>
            </w:r>
          </w:p>
        </w:tc>
        <w:tc>
          <w:tcPr>
            <w:tcW w:type="dxa" w:w="124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概念类型</w:t>
            </w:r>
          </w:p>
        </w:tc>
        <w:tc>
          <w:tcPr>
            <w:tcW w:type="dxa" w:w="2381"/>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英文名</w:t>
            </w:r>
          </w:p>
        </w:tc>
        <w:tc>
          <w:tcPr>
            <w:tcW w:type="dxa" w:w="1020"/>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实体数/个</w:t>
            </w:r>
          </w:p>
        </w:tc>
        <w:tc>
          <w:tcPr>
            <w:tcW w:type="dxa" w:w="850"/>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占比/%</w:t>
            </w:r>
          </w:p>
        </w:tc>
        <w:tc>
          <w:tcPr>
            <w:tcW w:type="dxa" w:w="2268"/>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主要知识来源（占比）</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中和思想层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中和思想</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ZhongheThought</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0.09</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孙光荣原创（100%）</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学术观点</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AcademicViewpoint</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847</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4.38</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孙光荣原创（73%）</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心法要诀</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ClinicalMaxim</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120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0.62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孙光荣原创（87%）</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名言</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Maxim</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247</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1.28</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经典引文（100%）</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辨证论治层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症状</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Symptom</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2 523</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13.04</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中医通识（55%）</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舌象</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TongueSign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2.01</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中医通识（57%）</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脉象</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PulseSign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177</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孙光荣原创（50%）</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疾病</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Disease</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1 059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5.47</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中医通识（49%）</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证候</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SyndromePattern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1 372</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7.09</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中医通识（61%）</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病因</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Etiology</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699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3.61</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中医通识（77%）</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病机</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Pathomechanism</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1 073</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5.55</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中医通识（58%）</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治则</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TreatmentPrinciple</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643</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3.32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中医通识（79%）</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治法</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TreatmentMethod</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1 090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5.64</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孙光荣原创（44%）</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方药配伍层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方剂</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Formula</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1 199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6.20</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中医通识（42%）</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处方</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Prescription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318</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1.64</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孙光荣原创（98%）</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新方</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NewFormula</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619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3.20</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他人临床报道（74%）</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三联药组</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HerbTriplet</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820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4.24</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孙光荣原创（100%）</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药对</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HerbPair</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0.21</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孙光荣原创（82%）</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中药</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Herb</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921</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4.76</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孙光荣原创（38%）</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外用制剂</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ExternalPreparation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739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中医通识（53%）</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食疗方</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DietaryTherapy</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0.00</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医案诊次层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医案</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CaseRecord</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189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0.98</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孙光荣原创（84%）</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诊次</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Visit</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332</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孙光荣原创（95%）</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患者特征</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PatientProfile</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0.88</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孙光荣原创（89%）</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养生康复层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养生法</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HealthPreservationMethod</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333</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经典引文（56%）</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康复技术</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RehabilitationTechnique</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1 009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5.22</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他人临床报道（45%）</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美容适应证</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CosmeticIndication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357</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1.85</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孙光荣编纂（43%）</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传承溯源层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经典文献</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ClassicalText</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675</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3.49</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经典引文（64%）</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医家</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Physician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665</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3.44</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他人临床报道（74%）</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学派</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School</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0.04</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孙光荣原创（100%）</w:t>
            </w:r>
          </w:p>
        </w:tc>
      </w:tr>
      <w:tr>
        <w:tc>
          <w:tcPr>
            <w:tcW w:type="dxa" w:w="113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文献出处</w:t>
            </w:r>
          </w:p>
        </w:tc>
        <w:tc>
          <w:tcPr>
            <w:tcW w:type="dxa" w:w="238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SourceCitation</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693</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3.58</w:t>
            </w:r>
          </w:p>
        </w:tc>
        <w:tc>
          <w:tcPr>
            <w:tcW w:type="dxa" w:w="226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他人临床报道（85%）</w:t>
            </w:r>
          </w:p>
        </w:tc>
      </w:tr>
      <w:tr>
        <w:tc>
          <w:tcPr>
            <w:tcW w:type="dxa" w:w="1134"/>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合计</w:t>
            </w:r>
          </w:p>
        </w:tc>
        <w:tc>
          <w:tcPr>
            <w:tcW w:type="dxa" w:w="124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31 类</w:t>
            </w:r>
          </w:p>
        </w:tc>
        <w:tc>
          <w:tcPr>
            <w:tcW w:type="dxa" w:w="2381"/>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r>
          </w:p>
        </w:tc>
        <w:tc>
          <w:tcPr>
            <w:tcW w:type="dxa" w:w="1020"/>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19 343</w:t>
            </w:r>
          </w:p>
        </w:tc>
        <w:tc>
          <w:tcPr>
            <w:tcW w:type="dxa" w:w="850"/>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100.00</w:t>
            </w:r>
          </w:p>
        </w:tc>
        <w:tc>
          <w:tcPr>
            <w:tcW w:type="dxa" w:w="2268"/>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r>
          </w:p>
        </w:tc>
      </w:tr>
    </w:tbl>
    <w:p>
      <w:r>
        <w:rPr>
          <w:rFonts w:ascii="Times New Roman" w:hAnsi="Times New Roman" w:eastAsia="宋体"/>
          <w:b w:val="0"/>
          <w:sz w:val="15"/>
        </w:rPr>
        <w:t>注：“食疗方”类型已在本体中定义，当前版本图谱暂无实例。</w:t>
      </w:r>
    </w:p>
    <w:p/>
    <w:p>
      <w:pPr>
        <w:jc w:val="center"/>
      </w:pPr>
      <w:r>
        <w:rPr>
          <w:rFonts w:ascii="Times New Roman" w:hAnsi="Times New Roman" w:eastAsia="黑体"/>
          <w:b/>
          <w:sz w:val="18"/>
        </w:rPr>
        <w:t>表2 知识图谱关系类型、典型定义域/值域及实例数</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361"/>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关系</w:t>
            </w:r>
          </w:p>
        </w:tc>
        <w:tc>
          <w:tcPr>
            <w:tcW w:type="dxa" w:w="2154"/>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英文名</w:t>
            </w:r>
          </w:p>
        </w:tc>
        <w:tc>
          <w:tcPr>
            <w:tcW w:type="dxa" w:w="3175"/>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典型定义域→值域（占比）</w:t>
            </w:r>
          </w:p>
        </w:tc>
        <w:tc>
          <w:tcPr>
            <w:tcW w:type="dxa" w:w="1020"/>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实例数/条</w:t>
            </w:r>
          </w:p>
        </w:tc>
        <w:tc>
          <w:tcPr>
            <w:tcW w:type="dxa" w:w="90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待审率/%</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见症</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hasSymptom</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证候→症状（42%）</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3 244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主治</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treats</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方剂→证候（22%）</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1 859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技术主治</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techniqueTreats</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康复技术→疾病（47%）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1 773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药出典</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herbSourceText</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中药→经典文献（47%）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1 767</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含药</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containsHerb</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新方→中药（51%）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1 736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含药组</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containsTriplet</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处方→三联药组（87%）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1 312</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明机立法</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establishesMethod</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证候→治法（44%）</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1 207</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病之证型</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syndromeOfDisease</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证候→疾病（91%）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949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7.3</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药组含药</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tripletHasMember</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三联药组→中药（100%）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872</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方术来源</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hasSourceCitation</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新方→文献出处（36%）</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818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倡自</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proposedBy</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学术观点→医家（42%）</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817</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1.2</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审证求因</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attributedToEtiology</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疾病→病因（41%）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785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求因明机</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explainedByMechanism</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证候→病机（50%）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656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舌象所见</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presentsTongueSign</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证候→舌象（51%）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632</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脉象所见</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presentsPulseSign</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诊次→脉象（48%）</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575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2.6</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立法组方</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methodUsesFormula</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治法→方剂（57%）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574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美容主治</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indicatedForCosmetic</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中药→美容适应证（67%）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563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原作者</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originallyAuthoredBy</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新方→医家（55%）</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538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功效</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hasFunction</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三联药组→治法（73%）</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516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论及</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viewpointAbout</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学术观点→疾病（30%）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441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8.6</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病机演变</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mechanismLeadsTo</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病机→病机（88%）</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438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1.8</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引经据典</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cites</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学术观点→经典文献（25%）</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423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加减</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modifiesPrescription</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方剂→中药（73%）</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360</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辨证为</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diagnosedAsSyndrome</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诊次→证候（55%）</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309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14.2</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处方</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prescribed</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诊次→处方（93%）</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303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4.3</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阐发</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commentsOn</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学术观点→名言（75%）</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292</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治则指导治法</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principleGuidesMethod</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治则→治法（63%）</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286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37.4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引自</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quotesFrom</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名言→经典文献（91%）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264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行养生法</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practicesMethod</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学术观点→养生法（57%）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246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含诊次</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hasVisit</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医案→诊次（100%）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236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病案病名</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caseDiagnosesDisease</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医案→疾病（69%）</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194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6.2</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病案患者</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caseOfPatient</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医案→患者特征（98%）</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165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2.4</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以方为基</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basedOnFormula</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处方→方剂（67%）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16.9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医案示</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caseIllustrates</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医案→学术观点（48%）</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药对含药</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pairHasMember</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药对→中药（100%）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思想含治则</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thoughtHasPrinciple</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中和思想→治则（43%）</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渊源</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derivedFrom</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方剂→经典文献（31%）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10.9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要诀所述</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maximExpresses</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心法要诀→学术观点（27%）</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8.9</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属学派</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belongsToSchool</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医家→学派（100%）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治则见于药组</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realizedByTriplet</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治则→三联药组（71%）</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师承</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studiedUnder</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医家→医家（100%）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编纂者</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compiledBy</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经典文献→医家（92%）</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12</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8.3</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易以</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substitutesFor</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中药→中药（100%）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药组基于药对</w:t>
            </w:r>
          </w:p>
        </w:tc>
        <w:tc>
          <w:tcPr>
            <w:tcW w:type="dxa" w:w="215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tripletExtendsPair</w:t>
            </w:r>
          </w:p>
        </w:tc>
        <w:tc>
          <w:tcPr>
            <w:tcW w:type="dxa" w:w="317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三联药组→药对（100%）</w:t>
            </w:r>
          </w:p>
        </w:tc>
        <w:tc>
          <w:tcPr>
            <w:tcW w:type="dxa" w:w="102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1361"/>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合计</w:t>
            </w:r>
          </w:p>
        </w:tc>
        <w:tc>
          <w:tcPr>
            <w:tcW w:type="dxa" w:w="2154"/>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44 类</w:t>
            </w:r>
          </w:p>
        </w:tc>
        <w:tc>
          <w:tcPr>
            <w:tcW w:type="dxa" w:w="3175"/>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r>
          </w:p>
        </w:tc>
        <w:tc>
          <w:tcPr>
            <w:tcW w:type="dxa" w:w="1020"/>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25 713</w:t>
            </w:r>
          </w:p>
        </w:tc>
        <w:tc>
          <w:tcPr>
            <w:tcW w:type="dxa" w:w="90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3.1</w:t>
            </w:r>
          </w:p>
        </w:tc>
      </w:tr>
    </w:tbl>
    <w:p>
      <w:r>
        <w:rPr>
          <w:rFonts w:ascii="Times New Roman" w:hAnsi="Times New Roman" w:eastAsia="宋体"/>
          <w:b w:val="0"/>
          <w:sz w:val="15"/>
        </w:rPr>
        <w:t>注：待审率指未通过本体定义域/值域一致性校验、在图谱中标记为“待审”的关系比例。</w:t>
      </w:r>
    </w:p>
    <w:p/>
    <w:p>
      <w:pPr>
        <w:jc w:val="center"/>
      </w:pPr>
      <w:r>
        <w:rPr>
          <w:rFonts w:ascii="Times New Roman" w:hAnsi="Times New Roman" w:eastAsia="黑体"/>
          <w:b/>
          <w:sz w:val="18"/>
        </w:rPr>
        <w:t>表3 文献来源、文本块与关系知识来源构成</w:t>
      </w:r>
    </w:p>
    <w:tbl>
      <w:tblPr>
        <w:tblW w:type="auto" w:w="0"/>
        <w:jc w:val="center"/>
        <w:tblLayout w:type="fixed"/>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56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编号</w:t>
            </w:r>
          </w:p>
        </w:tc>
        <w:tc>
          <w:tcPr>
            <w:tcW w:type="dxa" w:w="2494"/>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文献</w:t>
            </w:r>
          </w:p>
        </w:tc>
        <w:tc>
          <w:tcPr>
            <w:tcW w:type="dxa" w:w="794"/>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文本块/个</w:t>
            </w:r>
          </w:p>
        </w:tc>
        <w:tc>
          <w:tcPr>
            <w:tcW w:type="dxa" w:w="794"/>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实体数/个</w:t>
            </w:r>
          </w:p>
        </w:tc>
        <w:tc>
          <w:tcPr>
            <w:tcW w:type="dxa" w:w="794"/>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关系数/条</w:t>
            </w:r>
          </w:p>
        </w:tc>
        <w:tc>
          <w:tcPr>
            <w:tcW w:type="dxa" w:w="73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孙光荣原创/%</w:t>
            </w:r>
          </w:p>
        </w:tc>
        <w:tc>
          <w:tcPr>
            <w:tcW w:type="dxa" w:w="73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孙光荣编纂/%</w:t>
            </w:r>
          </w:p>
        </w:tc>
        <w:tc>
          <w:tcPr>
            <w:tcW w:type="dxa" w:w="73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经典引文/%</w:t>
            </w:r>
          </w:p>
        </w:tc>
        <w:tc>
          <w:tcPr>
            <w:tcW w:type="dxa" w:w="850"/>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他人临床报道/%</w:t>
            </w:r>
          </w:p>
        </w:tc>
        <w:tc>
          <w:tcPr>
            <w:tcW w:type="dxa" w:w="73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中医通识/%</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D1</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国医大师孙光荣中和思想与临证经验集萃</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155</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1 954</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2 067</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100.0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D2</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孙光荣医案解读</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86</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2 337</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3 447</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100.0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D3</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医道中和-国医大师孙光荣临证心法要诀</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152</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2 551</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3 185</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100.0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D4</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中华经典养生名言录</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164</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1 071</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982</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42.4</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57.0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0.4</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D5</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中医康复研究</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261</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3 751</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3 810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4.9</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17.1</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48.8</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29.2</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D6</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炎症的中医辨治</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639</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7 284</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8 259</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1.9</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93.5</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D7</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'91中医新方妙术</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218</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2 091</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2 321</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1.6</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97.0</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1.2</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D8</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精方妙药与美容</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59</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1 153</w:t>
            </w:r>
          </w:p>
        </w:tc>
        <w:tc>
          <w:tcPr>
            <w:tcW w:type="dxa" w:w="794"/>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1 642</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26.9</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60.0</w:t>
            </w:r>
          </w:p>
        </w:tc>
        <w:tc>
          <w:tcPr>
            <w:tcW w:type="dxa" w:w="850"/>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w:t>
            </w:r>
          </w:p>
        </w:tc>
        <w:tc>
          <w:tcPr>
            <w:tcW w:type="dxa" w:w="73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11.5</w:t>
            </w:r>
          </w:p>
        </w:tc>
      </w:tr>
      <w:tr>
        <w:tc>
          <w:tcPr>
            <w:tcW w:type="dxa" w:w="56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合计</w:t>
            </w:r>
          </w:p>
        </w:tc>
        <w:tc>
          <w:tcPr>
            <w:tcW w:type="dxa" w:w="2494"/>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r>
          </w:p>
        </w:tc>
        <w:tc>
          <w:tcPr>
            <w:tcW w:type="dxa" w:w="794"/>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1 734</w:t>
            </w:r>
          </w:p>
        </w:tc>
        <w:tc>
          <w:tcPr>
            <w:tcW w:type="dxa" w:w="794"/>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19 343</w:t>
            </w:r>
          </w:p>
        </w:tc>
        <w:tc>
          <w:tcPr>
            <w:tcW w:type="dxa" w:w="794"/>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25 713</w:t>
            </w:r>
          </w:p>
        </w:tc>
        <w:tc>
          <w:tcPr>
            <w:tcW w:type="dxa" w:w="73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35.7</w:t>
            </w:r>
          </w:p>
        </w:tc>
        <w:tc>
          <w:tcPr>
            <w:tcW w:type="dxa" w:w="73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3.4</w:t>
            </w:r>
          </w:p>
        </w:tc>
        <w:tc>
          <w:tcPr>
            <w:tcW w:type="dxa" w:w="73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9.3</w:t>
            </w:r>
          </w:p>
        </w:tc>
        <w:tc>
          <w:tcPr>
            <w:tcW w:type="dxa" w:w="850"/>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16.3</w:t>
            </w:r>
          </w:p>
        </w:tc>
        <w:tc>
          <w:tcPr>
            <w:tcW w:type="dxa" w:w="73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35.2</w:t>
            </w:r>
          </w:p>
        </w:tc>
      </w:tr>
    </w:tbl>
    <w:p>
      <w:r>
        <w:rPr>
          <w:rFonts w:ascii="Times New Roman" w:hAnsi="Times New Roman" w:eastAsia="宋体"/>
          <w:b w:val="0"/>
          <w:sz w:val="15"/>
        </w:rPr>
        <w:t>注：同一实体可出现于多部文献，故各文献实体数之和大于实体总数；知识来源比例按关系实例计算。</w:t>
      </w:r>
    </w:p>
    <w:p/>
    <w:p>
      <w:pPr>
        <w:jc w:val="center"/>
      </w:pPr>
      <w:r>
        <w:rPr>
          <w:rFonts w:ascii="Times New Roman" w:hAnsi="Times New Roman" w:eastAsia="黑体"/>
          <w:b/>
          <w:sz w:val="18"/>
        </w:rPr>
        <w:t>表4 知识图谱规模、拓扑与质量指标</w:t>
      </w:r>
    </w:p>
    <w:tbl>
      <w:tblPr>
        <w:tblW w:type="auto" w:w="0"/>
        <w:jc w:val="center"/>
        <w:tblLayout w:type="fixed"/>
        <w:tblLook w:firstColumn="1" w:firstRow="1" w:lastColumn="0" w:lastRow="0" w:noHBand="0" w:noVBand="1" w:val="04A0"/>
      </w:tblPr>
      <w:tblGrid>
        <w:gridCol w:w="4819"/>
        <w:gridCol w:w="4819"/>
      </w:tblGrid>
      <w:tr>
        <w:tc>
          <w:tcPr>
            <w:tcW w:type="dxa" w:w="3402"/>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指标</w:t>
            </w:r>
          </w:p>
        </w:tc>
        <w:tc>
          <w:tcPr>
            <w:tcW w:type="dxa" w:w="4535"/>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数值</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实体数 / 关系数</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19 343 / 25 713</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本体概念类型 / 关系类型</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31 / 44</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文献 / 文本块</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8 / 1 734</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带原文佐证的关系</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25 709（99.98%）</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实体异名</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1 889 条（1 470 个实体）</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平均度 / 中位度 / 最大度</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2.66 / 1 / 463（孙光荣）</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度为 1 的叶节点占比</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58.4%</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连通分量数 / 最大连通分量</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1 004 / 15 839（81.9%）</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度分布幂律拟合 α（x_min, KS）</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3.10（20, 0.082）</w:t>
            </w:r>
          </w:p>
        </w:tc>
      </w:tr>
      <w:tr>
        <w:tc>
          <w:tcPr>
            <w:tcW w:type="dxa" w:w="3402"/>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“待审”关系</w:t>
            </w:r>
          </w:p>
        </w:tc>
        <w:tc>
          <w:tcPr>
            <w:tcW w:type="dxa" w:w="4535"/>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801（3.1%）</w:t>
            </w:r>
          </w:p>
        </w:tc>
      </w:tr>
      <w:tr>
        <w:tc>
          <w:tcPr>
            <w:tcW w:type="dxa" w:w="3402"/>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抽样审校严格精度</w:t>
            </w:r>
          </w:p>
        </w:tc>
        <w:tc>
          <w:tcPr>
            <w:tcW w:type="dxa" w:w="4535"/>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v1 84.9%（n=119）；v2 81.7%（n=60）</w:t>
            </w:r>
          </w:p>
        </w:tc>
      </w:tr>
    </w:tbl>
    <w:p/>
    <w:p>
      <w:pPr>
        <w:jc w:val="center"/>
      </w:pPr>
      <w:r>
        <w:rPr>
          <w:rFonts w:ascii="Times New Roman" w:hAnsi="Times New Roman" w:eastAsia="黑体"/>
          <w:b/>
          <w:sz w:val="18"/>
        </w:rPr>
        <w:t>表5 孙光荣中和学术思想核心概念及其治则、渊源与出处</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701"/>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中和思想概念</w:t>
            </w:r>
          </w:p>
        </w:tc>
        <w:tc>
          <w:tcPr>
            <w:tcW w:type="dxa" w:w="2608"/>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所含治则</w:t>
            </w:r>
          </w:p>
        </w:tc>
        <w:tc>
          <w:tcPr>
            <w:tcW w:type="dxa" w:w="2041"/>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学术渊源（经典/医家）</w:t>
            </w:r>
          </w:p>
        </w:tc>
        <w:tc>
          <w:tcPr>
            <w:tcW w:type="dxa" w:w="1701"/>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相关心法要诀/名言</w:t>
            </w:r>
          </w:p>
        </w:tc>
        <w:tc>
          <w:tcPr>
            <w:tcW w:type="dxa" w:w="1247"/>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出处编号</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中和学术思想</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上静—中和—下畅；存正抑邪；存正抗邪；存正抗邪达中和；平升降；扶正祛邪；扶正祛邪畅中和；护正防邪；护正防邪固中和；清、平、轻、巧、灵；衡出入；调气血；贵阳贱阴</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中庸、中藏经、虞书·大禹谟、说文、伤寒论、金匮要略、难经、黄帝内经、朱丹溪、李东垣</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D1#c0000、D3#c0004、D3#c0005、D3#c0008</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中和观</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周易·象传·乾、国语·郑语、礼记·中庸、论语·子路、论语·学而、道德经</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D1#c0006</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以调和阴阳为核心的中和治疗观</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先察阴阳气血升降出入,调之使平；实则泻之,虚则补之；补其不足,损其有余；调气血,平升降,衡出入</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素问·五常政大论、素问·六元正纪大论、素问·四气调神大论、素问·至真要大论、金匮要略</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D1#c0010</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中和组方</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中病即止,不滥伐无过；从顺其宜,病人乐于接受；谨守病机,以平为期；遵经方之旨,不泥经方用药</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三效:速效、高效、长效；三求:求稳、求准、求灵；继承不泥古,创新不离宗</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D1#c0072</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中和医学学术思想</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慈悲为本、仁爱为先、一视同仁、中和乃根；扶正祛邪益中和；调气血</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上善,中和,下畅；谨察阴阳之所在而调之,以平为期</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D1#c0012</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调和阴阳的治疗思想</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调和阴阳；重视阴阳对立统一、调和平衡</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中藏经·人法于天地论第一、中藏经·阴阳大要调神论第二</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D3#c0022</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小儿组方用药尤以中和为贵</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医述·幼科集要</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D1#c0142</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三联药组秉承阴阳平衡与天地人三才</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D1#c0036</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中藏经</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调之使平,平即中和</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D3#c0009</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中和思想</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素问·四气调神大论</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D1#c0011、D1#c0016</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中和辨证方法</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五脏调和、扶正祛邪</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D3#c0010</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审辨燮和</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D1#c0109、D3#c0093</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明经晰纬</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D3#c0006</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调和肝脾、安养心神</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调和肝脾、安养心神</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D3#c0065</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阴阳平和（中和之人）</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阴阳者天地之道也万物之纲纪变化之父母生杀之本始神明之府也治病必求于本</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D4#c0017</w:t>
            </w:r>
          </w:p>
        </w:tc>
      </w:tr>
      <w:tr>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养德与养生达于中正和谐、不偏不倚之境</w:t>
            </w:r>
          </w:p>
        </w:tc>
        <w:tc>
          <w:tcPr>
            <w:tcW w:type="dxa" w:w="2608"/>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天地之大德曰生</w:t>
            </w:r>
          </w:p>
        </w:tc>
        <w:tc>
          <w:tcPr>
            <w:tcW w:type="dxa" w:w="124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D4#c0047</w:t>
            </w:r>
          </w:p>
        </w:tc>
      </w:tr>
      <w:tr>
        <w:tc>
          <w:tcPr>
            <w:tcW w:type="dxa" w:w="1701"/>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内心柔软 不争强好胜 恬淡虚无 精神内守 为神强</w:t>
            </w:r>
          </w:p>
        </w:tc>
        <w:tc>
          <w:tcPr>
            <w:tcW w:type="dxa" w:w="2608"/>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w:t>
            </w:r>
          </w:p>
        </w:tc>
        <w:tc>
          <w:tcPr>
            <w:tcW w:type="dxa" w:w="2041"/>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w:t>
            </w:r>
          </w:p>
        </w:tc>
        <w:tc>
          <w:tcPr>
            <w:tcW w:type="dxa" w:w="1701"/>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柔弱畏威神强也 鼓怒骋志气强也</w:t>
            </w:r>
          </w:p>
        </w:tc>
        <w:tc>
          <w:tcPr>
            <w:tcW w:type="dxa" w:w="1247"/>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D4#c0091</w:t>
            </w:r>
          </w:p>
        </w:tc>
      </w:tr>
    </w:tbl>
    <w:p>
      <w:r>
        <w:rPr>
          <w:rFonts w:ascii="Times New Roman" w:hAnsi="Times New Roman" w:eastAsia="宋体"/>
          <w:b w:val="0"/>
          <w:sz w:val="15"/>
        </w:rPr>
        <w:t>注：按关联度降序排列；出处编号格式为“文献编号#文本块编号”，可在图谱中直接回溯原文。</w:t>
      </w:r>
    </w:p>
    <w:p/>
    <w:p>
      <w:pPr>
        <w:jc w:val="center"/>
      </w:pPr>
      <w:r>
        <w:rPr>
          <w:rFonts w:ascii="Times New Roman" w:hAnsi="Times New Roman" w:eastAsia="黑体"/>
          <w:b/>
          <w:sz w:val="18"/>
        </w:rPr>
        <w:t>表6 孙光荣医案处方高频药物关联规则（前 16 条）</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56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序号</w:t>
            </w:r>
          </w:p>
        </w:tc>
        <w:tc>
          <w:tcPr>
            <w:tcW w:type="dxa" w:w="2494"/>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前项</w:t>
            </w:r>
          </w:p>
        </w:tc>
        <w:tc>
          <w:tcPr>
            <w:tcW w:type="dxa" w:w="124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后项</w:t>
            </w:r>
          </w:p>
        </w:tc>
        <w:tc>
          <w:tcPr>
            <w:tcW w:type="dxa" w:w="90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频数/首</w:t>
            </w:r>
          </w:p>
        </w:tc>
        <w:tc>
          <w:tcPr>
            <w:tcW w:type="dxa" w:w="90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支持度</w:t>
            </w:r>
          </w:p>
        </w:tc>
        <w:tc>
          <w:tcPr>
            <w:tcW w:type="dxa" w:w="90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置信度</w:t>
            </w:r>
          </w:p>
        </w:tc>
        <w:tc>
          <w:tcPr>
            <w:tcW w:type="dxa" w:w="907"/>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提升度</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炒枣仁</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云茯神</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0.328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0.979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2.81</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云茯神</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炒枣仁</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0.328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0.941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2.81</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明天麻</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制首乌</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39</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0.134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0.951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4.93</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4</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法半夏</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广陈皮</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0.131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0.927</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6.11</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广陈皮</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法半夏</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0.131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0.864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6.11</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6</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益母草</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制香附</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0.131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0.826</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5.57</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制香附</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益母草</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0.131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0.884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5.57</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8</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猫爪草</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山慈菇</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0.114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0.943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3.55</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明天麻</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生甘草</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0.114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0.805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1.39</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10</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炒枣仁+西洋参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生甘草</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0.114</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0.805</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1.39</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11</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制远志</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石菖蒲</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30</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0.103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0.968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7.20</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12</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龙眼肉</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炒枣仁</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30</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0.103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0.811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2.42</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13</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龙眼肉</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云茯神</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30</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0.103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0.811</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2.33</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上肉桂</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净水蛭</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0.097</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0.903</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9.35</w:t>
            </w:r>
          </w:p>
        </w:tc>
      </w:tr>
      <w:tr>
        <w:tc>
          <w:tcPr>
            <w:tcW w:type="dxa" w:w="56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15</w:t>
            </w:r>
          </w:p>
        </w:tc>
        <w:tc>
          <w:tcPr>
            <w:tcW w:type="dxa" w:w="2494"/>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净水蛭</w:t>
            </w:r>
          </w:p>
        </w:tc>
        <w:tc>
          <w:tcPr>
            <w:tcW w:type="dxa" w:w="124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上肉桂</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28</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0.097</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1.000</w:t>
            </w:r>
          </w:p>
        </w:tc>
        <w:tc>
          <w:tcPr>
            <w:tcW w:type="dxa" w:w="907"/>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9.35</w:t>
            </w:r>
          </w:p>
        </w:tc>
      </w:tr>
      <w:tr>
        <w:tc>
          <w:tcPr>
            <w:tcW w:type="dxa" w:w="56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16</w:t>
            </w:r>
          </w:p>
        </w:tc>
        <w:tc>
          <w:tcPr>
            <w:tcW w:type="dxa" w:w="2494"/>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半枝莲</w:t>
            </w:r>
          </w:p>
        </w:tc>
        <w:tc>
          <w:tcPr>
            <w:tcW w:type="dxa" w:w="124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白花蛇舌草</w:t>
            </w:r>
          </w:p>
        </w:tc>
        <w:tc>
          <w:tcPr>
            <w:tcW w:type="dxa" w:w="90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27</w:t>
            </w:r>
          </w:p>
        </w:tc>
        <w:tc>
          <w:tcPr>
            <w:tcW w:type="dxa" w:w="90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0.093</w:t>
            </w:r>
          </w:p>
        </w:tc>
        <w:tc>
          <w:tcPr>
            <w:tcW w:type="dxa" w:w="90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0.964</w:t>
            </w:r>
          </w:p>
        </w:tc>
        <w:tc>
          <w:tcPr>
            <w:tcW w:type="dxa" w:w="907"/>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7.36</w:t>
            </w:r>
          </w:p>
        </w:tc>
      </w:tr>
    </w:tbl>
    <w:p>
      <w:r>
        <w:rPr>
          <w:rFonts w:ascii="Times New Roman" w:hAnsi="Times New Roman" w:eastAsia="宋体"/>
          <w:b w:val="0"/>
          <w:sz w:val="15"/>
        </w:rPr>
        <w:t>注：N=290 首医案处方；阈值：支持度≥0.08、置信度≥0.80、提升度≥1.30；生黄芪（85.2%）、紫丹参（84.5%）几乎见于全部处方，作为核心药对单列，不参与规则挖掘；已剔除被更短前项覆盖的冗余规则。</w:t>
      </w:r>
    </w:p>
    <w:p/>
    <w:p>
      <w:pPr>
        <w:jc w:val="center"/>
      </w:pPr>
      <w:r>
        <w:rPr>
          <w:rFonts w:ascii="Times New Roman" w:hAnsi="Times New Roman" w:eastAsia="黑体"/>
          <w:b/>
          <w:sz w:val="18"/>
        </w:rPr>
        <w:t>表7 不同检索方案的检索效果比较</w:t>
      </w:r>
    </w:p>
    <w:tbl>
      <w:tblPr>
        <w:tblW w:type="auto" w:w="0"/>
        <w:jc w:val="center"/>
        <w:tblLayout w:type="fixed"/>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1587"/>
            <w:tcBorders>
              <w:top w:val="single" w:sz="12" w:space="0" w:color="000000"/>
              <w:left w:val="nil" w:sz="0" w:space="0" w:color="000000"/>
              <w:bottom w:val="single" w:sz="6" w:space="0" w:color="000000"/>
              <w:right w:val="nil" w:sz="0" w:space="0" w:color="000000"/>
            </w:tcBorders>
          </w:tcPr>
          <w:p>
            <w:pPr>
              <w:spacing w:before="20" w:after="20"/>
              <w:jc w:val="left"/>
            </w:pPr>
            <w:r/>
            <w:r>
              <w:rPr>
                <w:rFonts w:ascii="Times New Roman" w:hAnsi="Times New Roman" w:eastAsia="宋体"/>
                <w:b/>
                <w:sz w:val="15"/>
              </w:rPr>
              <w:t>方案</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Hit@1</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Hit@5</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Hit@10</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Hit@20</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Recall@20</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MRR</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类型数</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类型熵</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最大类型占比</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实质佐证占比</w:t>
            </w:r>
          </w:p>
        </w:tc>
        <w:tc>
          <w:tcPr>
            <w:tcW w:type="dxa" w:w="709"/>
            <w:tcBorders>
              <w:top w:val="single" w:sz="12" w:space="0" w:color="000000"/>
              <w:left w:val="nil" w:sz="0" w:space="0" w:color="000000"/>
              <w:bottom w:val="single" w:sz="6" w:space="0" w:color="000000"/>
              <w:right w:val="nil" w:sz="0" w:space="0" w:color="000000"/>
            </w:tcBorders>
          </w:tcPr>
          <w:p>
            <w:pPr>
              <w:spacing w:before="20" w:after="20"/>
              <w:jc w:val="center"/>
            </w:pPr>
            <w:r/>
            <w:r>
              <w:rPr>
                <w:rFonts w:ascii="Times New Roman" w:hAnsi="Times New Roman" w:eastAsia="宋体"/>
                <w:b/>
                <w:sz w:val="15"/>
              </w:rPr>
              <w:t>时延/ms</w:t>
            </w:r>
          </w:p>
        </w:tc>
      </w:tr>
      <w:tr>
        <w:tc>
          <w:tcPr>
            <w:tcW w:type="dxa" w:w="158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M1 文本块BM25</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0.064</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0.192</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0.316</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0.415</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0.392</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0.137</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19.2</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0.810</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0.298</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0.773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w:t>
            </w:r>
          </w:p>
        </w:tc>
      </w:tr>
      <w:tr>
        <w:tc>
          <w:tcPr>
            <w:tcW w:type="dxa" w:w="158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M2 佐证句BM25</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0.419</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0.833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0.893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0.949</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0.935</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0.598</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14.5</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0.706</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0.416</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0.812</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0.3</w:t>
            </w:r>
          </w:p>
        </w:tc>
      </w:tr>
      <w:tr>
        <w:tc>
          <w:tcPr>
            <w:tcW w:type="dxa" w:w="158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M3 实体+一跳</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0.504</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0.906</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0.949</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0.953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0.950</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0.680</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9.5</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0.668</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0.493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0.836</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1.8</w:t>
            </w:r>
          </w:p>
        </w:tc>
      </w:tr>
      <w:tr>
        <w:tc>
          <w:tcPr>
            <w:tcW w:type="dxa" w:w="1587"/>
            <w:tcBorders>
              <w:top w:val="nil" w:sz="0" w:space="0" w:color="000000"/>
              <w:left w:val="nil" w:sz="0" w:space="0" w:color="000000"/>
              <w:bottom w:val="nil" w:sz="0" w:space="0" w:color="000000"/>
              <w:right w:val="nil" w:sz="0" w:space="0" w:color="000000"/>
            </w:tcBorders>
          </w:tcPr>
          <w:p>
            <w:pPr>
              <w:spacing w:before="20" w:after="20"/>
              <w:jc w:val="left"/>
            </w:pPr>
            <w:r/>
            <w:r>
              <w:rPr>
                <w:rFonts w:ascii="Times New Roman" w:hAnsi="Times New Roman" w:eastAsia="宋体"/>
                <w:b w:val="0"/>
                <w:sz w:val="15"/>
              </w:rPr>
              <w:t>M4 本文(无轮转)</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0.393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0.850</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0.927</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0.979</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0.964</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0.592</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16.6</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0.793</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0.288</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0.877</w:t>
            </w:r>
          </w:p>
        </w:tc>
        <w:tc>
          <w:tcPr>
            <w:tcW w:type="dxa" w:w="709"/>
            <w:tcBorders>
              <w:top w:val="nil" w:sz="0" w:space="0" w:color="000000"/>
              <w:left w:val="nil" w:sz="0" w:space="0" w:color="000000"/>
              <w:bottom w:val="nil" w:sz="0" w:space="0" w:color="000000"/>
              <w:right w:val="nil" w:sz="0" w:space="0" w:color="000000"/>
            </w:tcBorders>
          </w:tcPr>
          <w:p>
            <w:pPr>
              <w:spacing w:before="20" w:after="20"/>
              <w:jc w:val="center"/>
            </w:pPr>
            <w:r/>
            <w:r>
              <w:rPr>
                <w:rFonts w:ascii="Times New Roman" w:hAnsi="Times New Roman" w:eastAsia="宋体"/>
                <w:b w:val="0"/>
                <w:sz w:val="15"/>
              </w:rPr>
              <w:t>3.2</w:t>
            </w:r>
          </w:p>
        </w:tc>
      </w:tr>
      <w:tr>
        <w:tc>
          <w:tcPr>
            <w:tcW w:type="dxa" w:w="1587"/>
            <w:tcBorders>
              <w:top w:val="nil" w:sz="0" w:space="0" w:color="000000"/>
              <w:left w:val="nil" w:sz="0" w:space="0" w:color="000000"/>
              <w:bottom w:val="single" w:sz="12" w:space="0" w:color="000000"/>
              <w:right w:val="nil" w:sz="0" w:space="0" w:color="000000"/>
            </w:tcBorders>
          </w:tcPr>
          <w:p>
            <w:pPr>
              <w:spacing w:before="20" w:after="20"/>
              <w:jc w:val="left"/>
            </w:pPr>
            <w:r/>
            <w:r>
              <w:rPr>
                <w:rFonts w:ascii="Times New Roman" w:hAnsi="Times New Roman" w:eastAsia="宋体"/>
                <w:b w:val="0"/>
                <w:sz w:val="15"/>
              </w:rPr>
              <w:t>M5 本文(完整)</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0.393</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0.850</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0.927</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0.979</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0.964</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0.592</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17.2</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0.816</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0.237</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0.868</w:t>
            </w:r>
          </w:p>
        </w:tc>
        <w:tc>
          <w:tcPr>
            <w:tcW w:type="dxa" w:w="709"/>
            <w:tcBorders>
              <w:top w:val="nil" w:sz="0" w:space="0" w:color="000000"/>
              <w:left w:val="nil" w:sz="0" w:space="0" w:color="000000"/>
              <w:bottom w:val="single" w:sz="12" w:space="0" w:color="000000"/>
              <w:right w:val="nil" w:sz="0" w:space="0" w:color="000000"/>
            </w:tcBorders>
          </w:tcPr>
          <w:p>
            <w:pPr>
              <w:spacing w:before="20" w:after="20"/>
              <w:jc w:val="center"/>
            </w:pPr>
            <w:r/>
            <w:r>
              <w:rPr>
                <w:rFonts w:ascii="Times New Roman" w:hAnsi="Times New Roman" w:eastAsia="宋体"/>
                <w:b w:val="0"/>
                <w:sz w:val="15"/>
              </w:rPr>
              <w:t>3.3</w:t>
            </w:r>
          </w:p>
        </w:tc>
      </w:tr>
    </w:tbl>
    <w:p>
      <w:r>
        <w:rPr>
          <w:rFonts w:ascii="Times New Roman" w:hAnsi="Times New Roman" w:eastAsia="宋体"/>
          <w:b w:val="0"/>
          <w:sz w:val="15"/>
        </w:rPr>
        <w:t>注：Hit@k、Recall@20、MRR 基于模板问答集（n=234）；类型数、类型熵、最大类型占比、实质佐证占比基于开放问题集（n=30，取前 120 条关系）；时延为单次检索中位数（云端容器 CPU，不含大模型生成）。M4、M5 在模板问答集上排序结果一致。</w:t>
      </w:r>
    </w:p>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