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16"/>
        </w:rPr>
        <w:t>Extended Data Table 3 | The deterministic safety rules</w:t>
      </w:r>
    </w:p>
    <w:tbl>
      <w:tblPr>
        <w:tblW w:type="auto" w:w="0"/>
        <w:tblLayout w:type="fixed"/>
        <w:tblLook w:firstColumn="1" w:firstRow="1" w:lastColumn="0" w:lastRow="0" w:noHBand="0" w:noVBand="1" w:val="04A0"/>
      </w:tblPr>
      <w:tblGrid>
        <w:gridCol w:w="2493"/>
        <w:gridCol w:w="2493"/>
        <w:gridCol w:w="2493"/>
        <w:gridCol w:w="2493"/>
      </w:tblGrid>
      <w:tr>
        <w:tc>
          <w:tcPr>
            <w:tcW w:type="dxa" w:w="2608"/>
            <w:tcBorders>
              <w:top w:val="single" w:sz="8" w:color="000000"/>
              <w:left w:val="nil"/>
              <w:bottom w:val="single" w:sz="4" w:color="000000"/>
              <w:right w:val="nil"/>
            </w:tcBorders>
          </w:tcPr>
          <w:p>
            <w:r/>
            <w:r>
              <w:rPr>
                <w:b/>
                <w:sz w:val="14"/>
              </w:rPr>
              <w:t>Finding</w:t>
            </w:r>
          </w:p>
        </w:tc>
        <w:tc>
          <w:tcPr>
            <w:tcW w:type="dxa" w:w="850"/>
            <w:tcBorders>
              <w:top w:val="single" w:sz="8" w:color="000000"/>
              <w:left w:val="nil"/>
              <w:bottom w:val="single" w:sz="4" w:color="000000"/>
              <w:right w:val="nil"/>
            </w:tcBorders>
          </w:tcPr>
          <w:p>
            <w:r/>
            <w:r>
              <w:rPr>
                <w:b/>
                <w:sz w:val="14"/>
              </w:rPr>
              <w:t>Severity*</w:t>
            </w:r>
          </w:p>
        </w:tc>
        <w:tc>
          <w:tcPr>
            <w:tcW w:type="dxa" w:w="4649"/>
            <w:tcBorders>
              <w:top w:val="single" w:sz="8" w:color="000000"/>
              <w:left w:val="nil"/>
              <w:bottom w:val="single" w:sz="4" w:color="000000"/>
              <w:right w:val="nil"/>
            </w:tcBorders>
          </w:tcPr>
          <w:p>
            <w:r/>
            <w:r>
              <w:rPr>
                <w:b/>
                <w:sz w:val="14"/>
              </w:rPr>
              <w:t>What the rule checks</w:t>
            </w:r>
          </w:p>
        </w:tc>
        <w:tc>
          <w:tcPr>
            <w:tcW w:type="dxa" w:w="1020"/>
            <w:tcBorders>
              <w:top w:val="single" w:sz="8" w:color="000000"/>
              <w:left w:val="nil"/>
              <w:bottom w:val="single" w:sz="4" w:color="000000"/>
              <w:right w:val="nil"/>
            </w:tcBorders>
          </w:tcPr>
          <w:p>
            <w:r/>
            <w:r>
              <w:rPr>
                <w:b/>
                <w:sz w:val="14"/>
              </w:rPr>
              <w:t>Audit probes (n)†</w:t>
            </w:r>
          </w:p>
        </w:tc>
      </w:tr>
      <w:tr>
        <w:tc>
          <w:tcPr>
            <w:tcW w:type="dxa" w:w="2608"/>
            <w:tcBorders>
              <w:top w:val="nil"/>
              <w:left w:val="nil"/>
              <w:bottom w:val="nil"/>
              <w:right w:val="nil"/>
            </w:tcBorders>
          </w:tcPr>
          <w:p>
            <w:r/>
            <w:r>
              <w:rPr>
                <w:b w:val="0"/>
                <w:sz w:val="14"/>
              </w:rPr>
              <w:t>N3_NO_SURGERY</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No resection proposed for N3 disease</w:t>
            </w:r>
          </w:p>
        </w:tc>
        <w:tc>
          <w:tcPr>
            <w:tcW w:type="dxa" w:w="1020"/>
            <w:tcBorders>
              <w:top w:val="nil"/>
              <w:left w:val="nil"/>
              <w:bottom w:val="nil"/>
              <w:right w:val="nil"/>
            </w:tcBorders>
          </w:tcPr>
          <w:p>
            <w:r/>
            <w:r>
              <w:rPr>
                <w:b w:val="0"/>
                <w:sz w:val="14"/>
              </w:rPr>
              <w:t>2</w:t>
            </w:r>
          </w:p>
        </w:tc>
      </w:tr>
      <w:tr>
        <w:tc>
          <w:tcPr>
            <w:tcW w:type="dxa" w:w="2608"/>
            <w:tcBorders>
              <w:top w:val="nil"/>
              <w:left w:val="nil"/>
              <w:bottom w:val="nil"/>
              <w:right w:val="nil"/>
            </w:tcBorders>
          </w:tcPr>
          <w:p>
            <w:r/>
            <w:r>
              <w:rPr>
                <w:b w:val="0"/>
                <w:sz w:val="14"/>
              </w:rPr>
              <w:t>DRIVER_EXCLUDES_PERIOP_IO</w:t>
            </w:r>
          </w:p>
        </w:tc>
        <w:tc>
          <w:tcPr>
            <w:tcW w:type="dxa" w:w="850"/>
            <w:tcBorders>
              <w:top w:val="nil"/>
              <w:left w:val="nil"/>
              <w:bottom w:val="nil"/>
              <w:right w:val="nil"/>
            </w:tcBorders>
          </w:tcPr>
          <w:p>
            <w:r/>
            <w:r>
              <w:rPr>
                <w:b w:val="0"/>
                <w:sz w:val="14"/>
              </w:rPr>
              <w:t>block/warn</w:t>
            </w:r>
          </w:p>
        </w:tc>
        <w:tc>
          <w:tcPr>
            <w:tcW w:type="dxa" w:w="4649"/>
            <w:tcBorders>
              <w:top w:val="nil"/>
              <w:left w:val="nil"/>
              <w:bottom w:val="nil"/>
              <w:right w:val="nil"/>
            </w:tcBorders>
          </w:tcPr>
          <w:p>
            <w:r/>
            <w:r>
              <w:rPr>
                <w:b w:val="0"/>
                <w:sz w:val="14"/>
              </w:rPr>
              <w:t>No perioperative or adjuvant immunotherapy with an EGFR or ALK alteration</w:t>
            </w:r>
          </w:p>
        </w:tc>
        <w:tc>
          <w:tcPr>
            <w:tcW w:type="dxa" w:w="1020"/>
            <w:tcBorders>
              <w:top w:val="nil"/>
              <w:left w:val="nil"/>
              <w:bottom w:val="nil"/>
              <w:right w:val="nil"/>
            </w:tcBorders>
          </w:tcPr>
          <w:p>
            <w:r/>
            <w:r>
              <w:rPr>
                <w:b w:val="0"/>
                <w:sz w:val="14"/>
              </w:rPr>
              <w:t>0</w:t>
            </w:r>
          </w:p>
        </w:tc>
      </w:tr>
      <w:tr>
        <w:tc>
          <w:tcPr>
            <w:tcW w:type="dxa" w:w="2608"/>
            <w:tcBorders>
              <w:top w:val="nil"/>
              <w:left w:val="nil"/>
              <w:bottom w:val="nil"/>
              <w:right w:val="nil"/>
            </w:tcBorders>
          </w:tcPr>
          <w:p>
            <w:r/>
            <w:r>
              <w:rPr>
                <w:b w:val="0"/>
                <w:sz w:val="14"/>
              </w:rPr>
              <w:t>EGFR_VARIANT_MISMATCH</w:t>
            </w:r>
          </w:p>
        </w:tc>
        <w:tc>
          <w:tcPr>
            <w:tcW w:type="dxa" w:w="850"/>
            <w:tcBorders>
              <w:top w:val="nil"/>
              <w:left w:val="nil"/>
              <w:bottom w:val="nil"/>
              <w:right w:val="nil"/>
            </w:tcBorders>
          </w:tcPr>
          <w:p>
            <w:r/>
            <w:r>
              <w:rPr>
                <w:b w:val="0"/>
                <w:sz w:val="14"/>
              </w:rPr>
              <w:t>block/warn</w:t>
            </w:r>
          </w:p>
        </w:tc>
        <w:tc>
          <w:tcPr>
            <w:tcW w:type="dxa" w:w="4649"/>
            <w:tcBorders>
              <w:top w:val="nil"/>
              <w:left w:val="nil"/>
              <w:bottom w:val="nil"/>
              <w:right w:val="nil"/>
            </w:tcBorders>
          </w:tcPr>
          <w:p>
            <w:r/>
            <w:r>
              <w:rPr>
                <w:b w:val="0"/>
                <w:sz w:val="14"/>
              </w:rPr>
              <w:t>An EGFR-directed regimen matches the reported variant class (exon 20, C797S, uncommon)</w:t>
            </w:r>
          </w:p>
        </w:tc>
        <w:tc>
          <w:tcPr>
            <w:tcW w:type="dxa" w:w="1020"/>
            <w:tcBorders>
              <w:top w:val="nil"/>
              <w:left w:val="nil"/>
              <w:bottom w:val="nil"/>
              <w:right w:val="nil"/>
            </w:tcBorders>
          </w:tcPr>
          <w:p>
            <w:r/>
            <w:r>
              <w:rPr>
                <w:b w:val="0"/>
                <w:sz w:val="14"/>
              </w:rPr>
              <w:t>2</w:t>
            </w:r>
          </w:p>
        </w:tc>
      </w:tr>
      <w:tr>
        <w:tc>
          <w:tcPr>
            <w:tcW w:type="dxa" w:w="2608"/>
            <w:tcBorders>
              <w:top w:val="nil"/>
              <w:left w:val="nil"/>
              <w:bottom w:val="nil"/>
              <w:right w:val="nil"/>
            </w:tcBorders>
          </w:tcPr>
          <w:p>
            <w:r/>
            <w:r>
              <w:rPr>
                <w:b w:val="0"/>
                <w:sz w:val="14"/>
              </w:rPr>
              <w:t>EGFR_III_CONSOLIDATION</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EGFR-mutant unresectable stage III: osimertinib (LAURA), not durvalumab, consolidation</w:t>
            </w:r>
          </w:p>
        </w:tc>
        <w:tc>
          <w:tcPr>
            <w:tcW w:type="dxa" w:w="1020"/>
            <w:tcBorders>
              <w:top w:val="nil"/>
              <w:left w:val="nil"/>
              <w:bottom w:val="nil"/>
              <w:right w:val="nil"/>
            </w:tcBorders>
          </w:tcPr>
          <w:p>
            <w:r/>
            <w:r>
              <w:rPr>
                <w:b w:val="0"/>
                <w:sz w:val="14"/>
              </w:rPr>
              <w:t>1</w:t>
            </w:r>
          </w:p>
        </w:tc>
      </w:tr>
      <w:tr>
        <w:tc>
          <w:tcPr>
            <w:tcW w:type="dxa" w:w="2608"/>
            <w:tcBorders>
              <w:top w:val="nil"/>
              <w:left w:val="nil"/>
              <w:bottom w:val="nil"/>
              <w:right w:val="nil"/>
            </w:tcBorders>
          </w:tcPr>
          <w:p>
            <w:r/>
            <w:r>
              <w:rPr>
                <w:b w:val="0"/>
                <w:sz w:val="14"/>
              </w:rPr>
              <w:t>NO_CONCURRENT_DURVALUMAB</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Durvalumab follows chemoradiation; it is never concurrent</w:t>
            </w:r>
          </w:p>
        </w:tc>
        <w:tc>
          <w:tcPr>
            <w:tcW w:type="dxa" w:w="1020"/>
            <w:tcBorders>
              <w:top w:val="nil"/>
              <w:left w:val="nil"/>
              <w:bottom w:val="nil"/>
              <w:right w:val="nil"/>
            </w:tcBorders>
          </w:tcPr>
          <w:p>
            <w:r/>
            <w:r>
              <w:rPr>
                <w:b w:val="0"/>
                <w:sz w:val="14"/>
              </w:rPr>
              <w:t>1</w:t>
            </w:r>
          </w:p>
        </w:tc>
      </w:tr>
      <w:tr>
        <w:tc>
          <w:tcPr>
            <w:tcW w:type="dxa" w:w="2608"/>
            <w:tcBorders>
              <w:top w:val="nil"/>
              <w:left w:val="nil"/>
              <w:bottom w:val="nil"/>
              <w:right w:val="nil"/>
            </w:tcBorders>
          </w:tcPr>
          <w:p>
            <w:r/>
            <w:r>
              <w:rPr>
                <w:b w:val="0"/>
                <w:sz w:val="14"/>
              </w:rPr>
              <w:t>NO_RT_DOSE_ESCALATION</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Thoracic radiotherapy dose above the definitive standard (RTOG 0617)</w:t>
            </w:r>
          </w:p>
        </w:tc>
        <w:tc>
          <w:tcPr>
            <w:tcW w:type="dxa" w:w="1020"/>
            <w:tcBorders>
              <w:top w:val="nil"/>
              <w:left w:val="nil"/>
              <w:bottom w:val="nil"/>
              <w:right w:val="nil"/>
            </w:tcBorders>
          </w:tcPr>
          <w:p>
            <w:r/>
            <w:r>
              <w:rPr>
                <w:b w:val="0"/>
                <w:sz w:val="14"/>
              </w:rPr>
              <w:t>0</w:t>
            </w:r>
          </w:p>
        </w:tc>
      </w:tr>
      <w:tr>
        <w:tc>
          <w:tcPr>
            <w:tcW w:type="dxa" w:w="2608"/>
            <w:tcBorders>
              <w:top w:val="nil"/>
              <w:left w:val="nil"/>
              <w:bottom w:val="nil"/>
              <w:right w:val="nil"/>
            </w:tcBorders>
          </w:tcPr>
          <w:p>
            <w:r/>
            <w:r>
              <w:rPr>
                <w:b w:val="0"/>
                <w:sz w:val="14"/>
              </w:rPr>
              <w:t>TRIAL_EDITION_MIGRATION</w:t>
            </w:r>
          </w:p>
        </w:tc>
        <w:tc>
          <w:tcPr>
            <w:tcW w:type="dxa" w:w="850"/>
            <w:tcBorders>
              <w:top w:val="nil"/>
              <w:left w:val="nil"/>
              <w:bottom w:val="nil"/>
              <w:right w:val="nil"/>
            </w:tcBorders>
          </w:tcPr>
          <w:p>
            <w:r/>
            <w:r>
              <w:rPr>
                <w:b w:val="0"/>
                <w:sz w:val="14"/>
              </w:rPr>
              <w:t>warn</w:t>
            </w:r>
          </w:p>
        </w:tc>
        <w:tc>
          <w:tcPr>
            <w:tcW w:type="dxa" w:w="4649"/>
            <w:tcBorders>
              <w:top w:val="nil"/>
              <w:left w:val="nil"/>
              <w:bottom w:val="nil"/>
              <w:right w:val="nil"/>
            </w:tcBorders>
          </w:tcPr>
          <w:p>
            <w:r/>
            <w:r>
              <w:rPr>
                <w:b w:val="0"/>
                <w:sz w:val="14"/>
              </w:rPr>
              <w:t>A cited trial enrolled the case's stage; edition migration and extrapolation flagged</w:t>
            </w:r>
          </w:p>
        </w:tc>
        <w:tc>
          <w:tcPr>
            <w:tcW w:type="dxa" w:w="1020"/>
            <w:tcBorders>
              <w:top w:val="nil"/>
              <w:left w:val="nil"/>
              <w:bottom w:val="nil"/>
              <w:right w:val="nil"/>
            </w:tcBorders>
          </w:tcPr>
          <w:p>
            <w:r/>
            <w:r>
              <w:rPr>
                <w:b w:val="0"/>
                <w:sz w:val="14"/>
              </w:rPr>
              <w:t>0</w:t>
            </w:r>
          </w:p>
        </w:tc>
      </w:tr>
      <w:tr>
        <w:tc>
          <w:tcPr>
            <w:tcW w:type="dxa" w:w="2608"/>
            <w:tcBorders>
              <w:top w:val="nil"/>
              <w:left w:val="nil"/>
              <w:bottom w:val="nil"/>
              <w:right w:val="nil"/>
            </w:tcBorders>
          </w:tcPr>
          <w:p>
            <w:r/>
            <w:r>
              <w:rPr>
                <w:b w:val="0"/>
                <w:sz w:val="14"/>
              </w:rPr>
              <w:t>TRIAL_STAGE_EXTRAPOLATION</w:t>
            </w:r>
          </w:p>
        </w:tc>
        <w:tc>
          <w:tcPr>
            <w:tcW w:type="dxa" w:w="850"/>
            <w:tcBorders>
              <w:top w:val="nil"/>
              <w:left w:val="nil"/>
              <w:bottom w:val="nil"/>
              <w:right w:val="nil"/>
            </w:tcBorders>
          </w:tcPr>
          <w:p>
            <w:r/>
            <w:r>
              <w:rPr>
                <w:b w:val="0"/>
                <w:sz w:val="14"/>
              </w:rPr>
              <w:t>warn</w:t>
            </w:r>
          </w:p>
        </w:tc>
        <w:tc>
          <w:tcPr>
            <w:tcW w:type="dxa" w:w="4649"/>
            <w:tcBorders>
              <w:top w:val="nil"/>
              <w:left w:val="nil"/>
              <w:bottom w:val="nil"/>
              <w:right w:val="nil"/>
            </w:tcBorders>
          </w:tcPr>
          <w:p>
            <w:r/>
            <w:r>
              <w:rPr>
                <w:b w:val="0"/>
                <w:sz w:val="14"/>
              </w:rPr>
              <w:t>(same rule)</w:t>
            </w:r>
          </w:p>
        </w:tc>
        <w:tc>
          <w:tcPr>
            <w:tcW w:type="dxa" w:w="1020"/>
            <w:tcBorders>
              <w:top w:val="nil"/>
              <w:left w:val="nil"/>
              <w:bottom w:val="nil"/>
              <w:right w:val="nil"/>
            </w:tcBorders>
          </w:tcPr>
          <w:p>
            <w:r/>
            <w:r>
              <w:rPr>
                <w:b w:val="0"/>
                <w:sz w:val="14"/>
              </w:rPr>
              <w:t>0</w:t>
            </w:r>
          </w:p>
        </w:tc>
      </w:tr>
      <w:tr>
        <w:tc>
          <w:tcPr>
            <w:tcW w:type="dxa" w:w="2608"/>
            <w:tcBorders>
              <w:top w:val="nil"/>
              <w:left w:val="nil"/>
              <w:bottom w:val="nil"/>
              <w:right w:val="nil"/>
            </w:tcBorders>
          </w:tcPr>
          <w:p>
            <w:r/>
            <w:r>
              <w:rPr>
                <w:b w:val="0"/>
                <w:sz w:val="14"/>
              </w:rPr>
              <w:t>TRIAL_STAGE_BOUNDARY</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(same rule)</w:t>
            </w:r>
          </w:p>
        </w:tc>
        <w:tc>
          <w:tcPr>
            <w:tcW w:type="dxa" w:w="1020"/>
            <w:tcBorders>
              <w:top w:val="nil"/>
              <w:left w:val="nil"/>
              <w:bottom w:val="nil"/>
              <w:right w:val="nil"/>
            </w:tcBorders>
          </w:tcPr>
          <w:p>
            <w:r/>
            <w:r>
              <w:rPr>
                <w:b w:val="0"/>
                <w:sz w:val="14"/>
              </w:rPr>
              <w:t>2</w:t>
            </w:r>
          </w:p>
        </w:tc>
      </w:tr>
      <w:tr>
        <w:tc>
          <w:tcPr>
            <w:tcW w:type="dxa" w:w="2608"/>
            <w:tcBorders>
              <w:top w:val="nil"/>
              <w:left w:val="nil"/>
              <w:bottom w:val="nil"/>
              <w:right w:val="nil"/>
            </w:tcBorders>
          </w:tcPr>
          <w:p>
            <w:r/>
            <w:r>
              <w:rPr>
                <w:b w:val="0"/>
                <w:sz w:val="14"/>
              </w:rPr>
              <w:t>STAGE0_NO_SYSTEMIC</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No systemic therapy for stage 0</w:t>
            </w:r>
          </w:p>
        </w:tc>
        <w:tc>
          <w:tcPr>
            <w:tcW w:type="dxa" w:w="1020"/>
            <w:tcBorders>
              <w:top w:val="nil"/>
              <w:left w:val="nil"/>
              <w:bottom w:val="nil"/>
              <w:right w:val="nil"/>
            </w:tcBorders>
          </w:tcPr>
          <w:p>
            <w:r/>
            <w:r>
              <w:rPr>
                <w:b w:val="0"/>
                <w:sz w:val="14"/>
              </w:rPr>
              <w:t>0</w:t>
            </w:r>
          </w:p>
        </w:tc>
      </w:tr>
      <w:tr>
        <w:tc>
          <w:tcPr>
            <w:tcW w:type="dxa" w:w="2608"/>
            <w:tcBorders>
              <w:top w:val="nil"/>
              <w:left w:val="nil"/>
              <w:bottom w:val="nil"/>
              <w:right w:val="nil"/>
            </w:tcBorders>
          </w:tcPr>
          <w:p>
            <w:r/>
            <w:r>
              <w:rPr>
                <w:b w:val="0"/>
                <w:sz w:val="14"/>
              </w:rPr>
              <w:t>INDICATION_UNDECLARED</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Every regimen meets its declared, machine-executable indication; undeclared ones flagged</w:t>
            </w:r>
          </w:p>
        </w:tc>
        <w:tc>
          <w:tcPr>
            <w:tcW w:type="dxa" w:w="1020"/>
            <w:tcBorders>
              <w:top w:val="nil"/>
              <w:left w:val="nil"/>
              <w:bottom w:val="nil"/>
              <w:right w:val="nil"/>
            </w:tcBorders>
          </w:tcPr>
          <w:p>
            <w:r/>
            <w:r>
              <w:rPr>
                <w:b w:val="0"/>
                <w:sz w:val="14"/>
              </w:rPr>
              <w:t>1</w:t>
            </w:r>
          </w:p>
        </w:tc>
      </w:tr>
      <w:tr>
        <w:tc>
          <w:tcPr>
            <w:tcW w:type="dxa" w:w="2608"/>
            <w:tcBorders>
              <w:top w:val="nil"/>
              <w:left w:val="nil"/>
              <w:bottom w:val="nil"/>
              <w:right w:val="nil"/>
            </w:tcBorders>
          </w:tcPr>
          <w:p>
            <w:r/>
            <w:r>
              <w:rPr>
                <w:b w:val="0"/>
                <w:sz w:val="14"/>
              </w:rPr>
              <w:t>INDICATION_PREDICATE</w:t>
            </w:r>
          </w:p>
        </w:tc>
        <w:tc>
          <w:tcPr>
            <w:tcW w:type="dxa" w:w="850"/>
            <w:tcBorders>
              <w:top w:val="nil"/>
              <w:left w:val="nil"/>
              <w:bottom w:val="nil"/>
              <w:right w:val="nil"/>
            </w:tcBorders>
          </w:tcPr>
          <w:p>
            <w:r/>
            <w:r>
              <w:rPr>
                <w:b w:val="0"/>
                <w:sz w:val="14"/>
              </w:rPr>
              <w:t>block/warn</w:t>
            </w:r>
          </w:p>
        </w:tc>
        <w:tc>
          <w:tcPr>
            <w:tcW w:type="dxa" w:w="4649"/>
            <w:tcBorders>
              <w:top w:val="nil"/>
              <w:left w:val="nil"/>
              <w:bottom w:val="nil"/>
              <w:right w:val="nil"/>
            </w:tcBorders>
          </w:tcPr>
          <w:p>
            <w:r/>
            <w:r>
              <w:rPr>
                <w:b w:val="0"/>
                <w:sz w:val="14"/>
              </w:rPr>
              <w:t>(same rule)</w:t>
            </w:r>
          </w:p>
        </w:tc>
        <w:tc>
          <w:tcPr>
            <w:tcW w:type="dxa" w:w="1020"/>
            <w:tcBorders>
              <w:top w:val="nil"/>
              <w:left w:val="nil"/>
              <w:bottom w:val="nil"/>
              <w:right w:val="nil"/>
            </w:tcBorders>
          </w:tcPr>
          <w:p>
            <w:r/>
            <w:r>
              <w:rPr>
                <w:b w:val="0"/>
                <w:sz w:val="14"/>
              </w:rPr>
              <w:t>11</w:t>
            </w:r>
          </w:p>
        </w:tc>
      </w:tr>
      <w:tr>
        <w:tc>
          <w:tcPr>
            <w:tcW w:type="dxa" w:w="2608"/>
            <w:tcBorders>
              <w:top w:val="nil"/>
              <w:left w:val="nil"/>
              <w:bottom w:val="nil"/>
              <w:right w:val="nil"/>
            </w:tcBorders>
          </w:tcPr>
          <w:p>
            <w:r/>
            <w:r>
              <w:rPr>
                <w:b w:val="0"/>
                <w:sz w:val="14"/>
              </w:rPr>
              <w:t>DRIVER_FIRST_LINE</w:t>
            </w:r>
          </w:p>
        </w:tc>
        <w:tc>
          <w:tcPr>
            <w:tcW w:type="dxa" w:w="850"/>
            <w:tcBorders>
              <w:top w:val="nil"/>
              <w:left w:val="nil"/>
              <w:bottom w:val="nil"/>
              <w:right w:val="nil"/>
            </w:tcBorders>
          </w:tcPr>
          <w:p>
            <w:r/>
            <w:r>
              <w:rPr>
                <w:b w:val="0"/>
                <w:sz w:val="14"/>
              </w:rPr>
              <w:t>block/warn</w:t>
            </w:r>
          </w:p>
        </w:tc>
        <w:tc>
          <w:tcPr>
            <w:tcW w:type="dxa" w:w="4649"/>
            <w:tcBorders>
              <w:top w:val="nil"/>
              <w:left w:val="nil"/>
              <w:bottom w:val="nil"/>
              <w:right w:val="nil"/>
            </w:tcBorders>
          </w:tcPr>
          <w:p>
            <w:r/>
            <w:r>
              <w:rPr>
                <w:b w:val="0"/>
                <w:sz w:val="14"/>
              </w:rPr>
              <w:t>Stage IV with an actionable driver: driver-directed first line, not immunotherapy</w:t>
            </w:r>
          </w:p>
        </w:tc>
        <w:tc>
          <w:tcPr>
            <w:tcW w:type="dxa" w:w="1020"/>
            <w:tcBorders>
              <w:top w:val="nil"/>
              <w:left w:val="nil"/>
              <w:bottom w:val="nil"/>
              <w:right w:val="nil"/>
            </w:tcBorders>
          </w:tcPr>
          <w:p>
            <w:r/>
            <w:r>
              <w:rPr>
                <w:b w:val="0"/>
                <w:sz w:val="14"/>
              </w:rPr>
              <w:t>2</w:t>
            </w:r>
          </w:p>
        </w:tc>
      </w:tr>
      <w:tr>
        <w:tc>
          <w:tcPr>
            <w:tcW w:type="dxa" w:w="2608"/>
            <w:tcBorders>
              <w:top w:val="nil"/>
              <w:left w:val="nil"/>
              <w:bottom w:val="nil"/>
              <w:right w:val="nil"/>
            </w:tcBorders>
          </w:tcPr>
          <w:p>
            <w:r/>
            <w:r>
              <w:rPr>
                <w:b w:val="0"/>
                <w:sz w:val="14"/>
              </w:rPr>
              <w:t>OPTION_DRUG_UNBOUND</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An option named after a systemic drug carries a library regimen</w:t>
            </w:r>
          </w:p>
        </w:tc>
        <w:tc>
          <w:tcPr>
            <w:tcW w:type="dxa" w:w="1020"/>
            <w:tcBorders>
              <w:top w:val="nil"/>
              <w:left w:val="nil"/>
              <w:bottom w:val="nil"/>
              <w:right w:val="nil"/>
            </w:tcBorders>
          </w:tcPr>
          <w:p>
            <w:r/>
            <w:r>
              <w:rPr>
                <w:b w:val="0"/>
                <w:sz w:val="14"/>
              </w:rPr>
              <w:t>2</w:t>
            </w:r>
          </w:p>
        </w:tc>
      </w:tr>
      <w:tr>
        <w:tc>
          <w:tcPr>
            <w:tcW w:type="dxa" w:w="2608"/>
            <w:tcBorders>
              <w:top w:val="nil"/>
              <w:left w:val="nil"/>
              <w:bottom w:val="nil"/>
              <w:right w:val="nil"/>
            </w:tcBorders>
          </w:tcPr>
          <w:p>
            <w:r/>
            <w:r>
              <w:rPr>
                <w:b w:val="0"/>
                <w:sz w:val="14"/>
              </w:rPr>
              <w:t>CONSOLIDATION_WITHOUT_CRT</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Consolidation (PACIFIC, LAURA) only after chemoradiation</w:t>
            </w:r>
          </w:p>
        </w:tc>
        <w:tc>
          <w:tcPr>
            <w:tcW w:type="dxa" w:w="1020"/>
            <w:tcBorders>
              <w:top w:val="nil"/>
              <w:left w:val="nil"/>
              <w:bottom w:val="nil"/>
              <w:right w:val="nil"/>
            </w:tcBorders>
          </w:tcPr>
          <w:p>
            <w:r/>
            <w:r>
              <w:rPr>
                <w:b w:val="0"/>
                <w:sz w:val="14"/>
              </w:rPr>
              <w:t>1</w:t>
            </w:r>
          </w:p>
        </w:tc>
      </w:tr>
      <w:tr>
        <w:tc>
          <w:tcPr>
            <w:tcW w:type="dxa" w:w="2608"/>
            <w:tcBorders>
              <w:top w:val="nil"/>
              <w:left w:val="nil"/>
              <w:bottom w:val="nil"/>
              <w:right w:val="nil"/>
            </w:tcBorders>
          </w:tcPr>
          <w:p>
            <w:r/>
            <w:r>
              <w:rPr>
                <w:b w:val="0"/>
                <w:sz w:val="14"/>
              </w:rPr>
              <w:t>PROGRESSION_SAME_DRUG</w:t>
            </w:r>
          </w:p>
        </w:tc>
        <w:tc>
          <w:tcPr>
            <w:tcW w:type="dxa" w:w="850"/>
            <w:tcBorders>
              <w:top w:val="nil"/>
              <w:left w:val="nil"/>
              <w:bottom w:val="nil"/>
              <w:right w:val="nil"/>
            </w:tcBorders>
          </w:tcPr>
          <w:p>
            <w:r/>
            <w:r>
              <w:rPr>
                <w:b w:val="0"/>
                <w:sz w:val="14"/>
              </w:rPr>
              <w:t>warn</w:t>
            </w:r>
          </w:p>
        </w:tc>
        <w:tc>
          <w:tcPr>
            <w:tcW w:type="dxa" w:w="4649"/>
            <w:tcBorders>
              <w:top w:val="nil"/>
              <w:left w:val="nil"/>
              <w:bottom w:val="nil"/>
              <w:right w:val="nil"/>
            </w:tcBorders>
          </w:tcPr>
          <w:p>
            <w:r/>
            <w:r>
              <w:rPr>
                <w:b w:val="0"/>
                <w:sz w:val="14"/>
              </w:rPr>
              <w:t>Re-proposing a drug the disease progressed on</w:t>
            </w:r>
          </w:p>
        </w:tc>
        <w:tc>
          <w:tcPr>
            <w:tcW w:type="dxa" w:w="1020"/>
            <w:tcBorders>
              <w:top w:val="nil"/>
              <w:left w:val="nil"/>
              <w:bottom w:val="nil"/>
              <w:right w:val="nil"/>
            </w:tcBorders>
          </w:tcPr>
          <w:p>
            <w:r/>
            <w:r>
              <w:rPr>
                <w:b w:val="0"/>
                <w:sz w:val="14"/>
              </w:rPr>
              <w:t>3</w:t>
            </w:r>
          </w:p>
        </w:tc>
      </w:tr>
      <w:tr>
        <w:tc>
          <w:tcPr>
            <w:tcW w:type="dxa" w:w="2608"/>
            <w:tcBorders>
              <w:top w:val="nil"/>
              <w:left w:val="nil"/>
              <w:bottom w:val="nil"/>
              <w:right w:val="nil"/>
            </w:tcBorders>
          </w:tcPr>
          <w:p>
            <w:r/>
            <w:r>
              <w:rPr>
                <w:b w:val="0"/>
                <w:sz w:val="14"/>
              </w:rPr>
              <w:t>CNS_UNTREATED_SYMPTOMATIC</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Symptomatic untreated brain or leptomeningeal metastases are addressed first</w:t>
            </w:r>
          </w:p>
        </w:tc>
        <w:tc>
          <w:tcPr>
            <w:tcW w:type="dxa" w:w="1020"/>
            <w:tcBorders>
              <w:top w:val="nil"/>
              <w:left w:val="nil"/>
              <w:bottom w:val="nil"/>
              <w:right w:val="nil"/>
            </w:tcBorders>
          </w:tcPr>
          <w:p>
            <w:r/>
            <w:r>
              <w:rPr>
                <w:b w:val="0"/>
                <w:sz w:val="14"/>
              </w:rPr>
              <w:t>2</w:t>
            </w:r>
          </w:p>
        </w:tc>
      </w:tr>
      <w:tr>
        <w:tc>
          <w:tcPr>
            <w:tcW w:type="dxa" w:w="2608"/>
            <w:tcBorders>
              <w:top w:val="nil"/>
              <w:left w:val="nil"/>
              <w:bottom w:val="nil"/>
              <w:right w:val="nil"/>
            </w:tcBorders>
          </w:tcPr>
          <w:p>
            <w:r/>
            <w:r>
              <w:rPr>
                <w:b w:val="0"/>
                <w:sz w:val="14"/>
              </w:rPr>
              <w:t>CNS_TNM_INCONSISTENT</w:t>
            </w:r>
          </w:p>
        </w:tc>
        <w:tc>
          <w:tcPr>
            <w:tcW w:type="dxa" w:w="850"/>
            <w:tcBorders>
              <w:top w:val="nil"/>
              <w:left w:val="nil"/>
              <w:bottom w:val="nil"/>
              <w:right w:val="nil"/>
            </w:tcBorders>
          </w:tcPr>
          <w:p>
            <w:r/>
            <w:r>
              <w:rPr>
                <w:b w:val="0"/>
                <w:sz w:val="14"/>
              </w:rPr>
              <w:t>warn</w:t>
            </w:r>
          </w:p>
        </w:tc>
        <w:tc>
          <w:tcPr>
            <w:tcW w:type="dxa" w:w="4649"/>
            <w:tcBorders>
              <w:top w:val="nil"/>
              <w:left w:val="nil"/>
              <w:bottom w:val="nil"/>
              <w:right w:val="nil"/>
            </w:tcBorders>
          </w:tcPr>
          <w:p>
            <w:r/>
            <w:r>
              <w:rPr>
                <w:b w:val="0"/>
                <w:sz w:val="14"/>
              </w:rPr>
              <w:t>CNS metastases on record while the descriptors say M0</w:t>
            </w:r>
          </w:p>
        </w:tc>
        <w:tc>
          <w:tcPr>
            <w:tcW w:type="dxa" w:w="1020"/>
            <w:tcBorders>
              <w:top w:val="nil"/>
              <w:left w:val="nil"/>
              <w:bottom w:val="nil"/>
              <w:right w:val="nil"/>
            </w:tcBorders>
          </w:tcPr>
          <w:p>
            <w:r/>
            <w:r>
              <w:rPr>
                <w:b w:val="0"/>
                <w:sz w:val="14"/>
              </w:rPr>
              <w:t>1</w:t>
            </w:r>
          </w:p>
        </w:tc>
      </w:tr>
      <w:tr>
        <w:tc>
          <w:tcPr>
            <w:tcW w:type="dxa" w:w="2608"/>
            <w:tcBorders>
              <w:top w:val="nil"/>
              <w:left w:val="nil"/>
              <w:bottom w:val="nil"/>
              <w:right w:val="nil"/>
            </w:tcBorders>
          </w:tcPr>
          <w:p>
            <w:r/>
            <w:r>
              <w:rPr>
                <w:b w:val="0"/>
                <w:sz w:val="14"/>
              </w:rPr>
              <w:t>METASTASIS_TNM_INCONSISTENT</w:t>
            </w:r>
          </w:p>
        </w:tc>
        <w:tc>
          <w:tcPr>
            <w:tcW w:type="dxa" w:w="850"/>
            <w:tcBorders>
              <w:top w:val="nil"/>
              <w:left w:val="nil"/>
              <w:bottom w:val="nil"/>
              <w:right w:val="nil"/>
            </w:tcBorders>
          </w:tcPr>
          <w:p>
            <w:r/>
            <w:r>
              <w:rPr>
                <w:b w:val="0"/>
                <w:sz w:val="14"/>
              </w:rPr>
              <w:t>warn</w:t>
            </w:r>
          </w:p>
        </w:tc>
        <w:tc>
          <w:tcPr>
            <w:tcW w:type="dxa" w:w="4649"/>
            <w:tcBorders>
              <w:top w:val="nil"/>
              <w:left w:val="nil"/>
              <w:bottom w:val="nil"/>
              <w:right w:val="nil"/>
            </w:tcBorders>
          </w:tcPr>
          <w:p>
            <w:r/>
            <w:r>
              <w:rPr>
                <w:b w:val="0"/>
                <w:sz w:val="14"/>
              </w:rPr>
              <w:t>(same rule)</w:t>
            </w:r>
          </w:p>
        </w:tc>
        <w:tc>
          <w:tcPr>
            <w:tcW w:type="dxa" w:w="1020"/>
            <w:tcBorders>
              <w:top w:val="nil"/>
              <w:left w:val="nil"/>
              <w:bottom w:val="nil"/>
              <w:right w:val="nil"/>
            </w:tcBorders>
          </w:tcPr>
          <w:p>
            <w:r/>
            <w:r>
              <w:rPr>
                <w:b w:val="0"/>
                <w:sz w:val="14"/>
              </w:rPr>
              <w:t>0</w:t>
            </w:r>
          </w:p>
        </w:tc>
      </w:tr>
      <w:tr>
        <w:tc>
          <w:tcPr>
            <w:tcW w:type="dxa" w:w="2608"/>
            <w:tcBorders>
              <w:top w:val="nil"/>
              <w:left w:val="nil"/>
              <w:bottom w:val="nil"/>
              <w:right w:val="nil"/>
            </w:tcBorders>
          </w:tcPr>
          <w:p>
            <w:r/>
            <w:r>
              <w:rPr>
                <w:b w:val="0"/>
                <w:sz w:val="14"/>
              </w:rPr>
              <w:t>ORGAN_FUNCTION_GATE</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Organ-function and comorbidity gates of each regimen</w:t>
            </w:r>
          </w:p>
        </w:tc>
        <w:tc>
          <w:tcPr>
            <w:tcW w:type="dxa" w:w="1020"/>
            <w:tcBorders>
              <w:top w:val="nil"/>
              <w:left w:val="nil"/>
              <w:bottom w:val="nil"/>
              <w:right w:val="nil"/>
            </w:tcBorders>
          </w:tcPr>
          <w:p>
            <w:r/>
            <w:r>
              <w:rPr>
                <w:b w:val="0"/>
                <w:sz w:val="14"/>
              </w:rPr>
              <w:t>3</w:t>
            </w:r>
          </w:p>
        </w:tc>
      </w:tr>
      <w:tr>
        <w:tc>
          <w:tcPr>
            <w:tcW w:type="dxa" w:w="2608"/>
            <w:tcBorders>
              <w:top w:val="nil"/>
              <w:left w:val="nil"/>
              <w:bottom w:val="nil"/>
              <w:right w:val="nil"/>
            </w:tcBorders>
          </w:tcPr>
          <w:p>
            <w:r/>
            <w:r>
              <w:rPr>
                <w:b w:val="0"/>
                <w:sz w:val="14"/>
              </w:rPr>
              <w:t>ICI_COMORBIDITY_CAUTION</w:t>
            </w:r>
          </w:p>
        </w:tc>
        <w:tc>
          <w:tcPr>
            <w:tcW w:type="dxa" w:w="850"/>
            <w:tcBorders>
              <w:top w:val="nil"/>
              <w:left w:val="nil"/>
              <w:bottom w:val="nil"/>
              <w:right w:val="nil"/>
            </w:tcBorders>
          </w:tcPr>
          <w:p>
            <w:r/>
            <w:r>
              <w:rPr>
                <w:b w:val="0"/>
                <w:sz w:val="14"/>
              </w:rPr>
              <w:t>warn</w:t>
            </w:r>
          </w:p>
        </w:tc>
        <w:tc>
          <w:tcPr>
            <w:tcW w:type="dxa" w:w="4649"/>
            <w:tcBorders>
              <w:top w:val="nil"/>
              <w:left w:val="nil"/>
              <w:bottom w:val="nil"/>
              <w:right w:val="nil"/>
            </w:tcBorders>
          </w:tcPr>
          <w:p>
            <w:r/>
            <w:r>
              <w:rPr>
                <w:b w:val="0"/>
                <w:sz w:val="14"/>
              </w:rPr>
              <w:t>Checkpoint inhibitor with interstitial lung disease or active autoimmune disease</w:t>
            </w:r>
          </w:p>
        </w:tc>
        <w:tc>
          <w:tcPr>
            <w:tcW w:type="dxa" w:w="1020"/>
            <w:tcBorders>
              <w:top w:val="nil"/>
              <w:left w:val="nil"/>
              <w:bottom w:val="nil"/>
              <w:right w:val="nil"/>
            </w:tcBorders>
          </w:tcPr>
          <w:p>
            <w:r/>
            <w:r>
              <w:rPr>
                <w:b w:val="0"/>
                <w:sz w:val="14"/>
              </w:rPr>
              <w:t>0</w:t>
            </w:r>
          </w:p>
        </w:tc>
      </w:tr>
      <w:tr>
        <w:tc>
          <w:tcPr>
            <w:tcW w:type="dxa" w:w="2608"/>
            <w:tcBorders>
              <w:top w:val="nil"/>
              <w:left w:val="nil"/>
              <w:bottom w:val="nil"/>
              <w:right w:val="nil"/>
            </w:tcBorders>
          </w:tcPr>
          <w:p>
            <w:r/>
            <w:r>
              <w:rPr>
                <w:b w:val="0"/>
                <w:sz w:val="14"/>
              </w:rPr>
              <w:t>PS_GATE</w:t>
            </w:r>
          </w:p>
        </w:tc>
        <w:tc>
          <w:tcPr>
            <w:tcW w:type="dxa" w:w="850"/>
            <w:tcBorders>
              <w:top w:val="nil"/>
              <w:left w:val="nil"/>
              <w:bottom w:val="nil"/>
              <w:right w:val="nil"/>
            </w:tcBorders>
          </w:tcPr>
          <w:p>
            <w:r/>
            <w:r>
              <w:rPr>
                <w:b w:val="0"/>
                <w:sz w:val="14"/>
              </w:rPr>
              <w:t>warn</w:t>
            </w:r>
          </w:p>
        </w:tc>
        <w:tc>
          <w:tcPr>
            <w:tcW w:type="dxa" w:w="4649"/>
            <w:tcBorders>
              <w:top w:val="nil"/>
              <w:left w:val="nil"/>
              <w:bottom w:val="nil"/>
              <w:right w:val="nil"/>
            </w:tcBorders>
          </w:tcPr>
          <w:p>
            <w:r/>
            <w:r>
              <w:rPr>
                <w:b w:val="0"/>
                <w:sz w:val="14"/>
              </w:rPr>
              <w:t>Performance status fits concurrent chemoradiation or perioperative therapy</w:t>
            </w:r>
          </w:p>
        </w:tc>
        <w:tc>
          <w:tcPr>
            <w:tcW w:type="dxa" w:w="1020"/>
            <w:tcBorders>
              <w:top w:val="nil"/>
              <w:left w:val="nil"/>
              <w:bottom w:val="nil"/>
              <w:right w:val="nil"/>
            </w:tcBorders>
          </w:tcPr>
          <w:p>
            <w:r/>
            <w:r>
              <w:rPr>
                <w:b w:val="0"/>
                <w:sz w:val="14"/>
              </w:rPr>
              <w:t>0</w:t>
            </w:r>
          </w:p>
        </w:tc>
      </w:tr>
      <w:tr>
        <w:tc>
          <w:tcPr>
            <w:tcW w:type="dxa" w:w="2608"/>
            <w:tcBorders>
              <w:top w:val="nil"/>
              <w:left w:val="nil"/>
              <w:bottom w:val="nil"/>
              <w:right w:val="nil"/>
            </w:tcBorders>
          </w:tcPr>
          <w:p>
            <w:r/>
            <w:r>
              <w:rPr>
                <w:b w:val="0"/>
                <w:sz w:val="14"/>
              </w:rPr>
              <w:t>BIOMARKER_GAP</w:t>
            </w:r>
          </w:p>
        </w:tc>
        <w:tc>
          <w:tcPr>
            <w:tcW w:type="dxa" w:w="850"/>
            <w:tcBorders>
              <w:top w:val="nil"/>
              <w:left w:val="nil"/>
              <w:bottom w:val="nil"/>
              <w:right w:val="nil"/>
            </w:tcBorders>
          </w:tcPr>
          <w:p>
            <w:r/>
            <w:r>
              <w:rPr>
                <w:b w:val="0"/>
                <w:sz w:val="14"/>
              </w:rPr>
              <w:t>block</w:t>
            </w:r>
          </w:p>
        </w:tc>
        <w:tc>
          <w:tcPr>
            <w:tcW w:type="dxa" w:w="4649"/>
            <w:tcBorders>
              <w:top w:val="nil"/>
              <w:left w:val="nil"/>
              <w:bottom w:val="nil"/>
              <w:right w:val="nil"/>
            </w:tcBorders>
          </w:tcPr>
          <w:p>
            <w:r/>
            <w:r>
              <w:rPr>
                <w:b w:val="0"/>
                <w:sz w:val="14"/>
              </w:rPr>
              <w:t>Tier-A biomarkers are known before systemic therapy</w:t>
            </w:r>
          </w:p>
        </w:tc>
        <w:tc>
          <w:tcPr>
            <w:tcW w:type="dxa" w:w="1020"/>
            <w:tcBorders>
              <w:top w:val="nil"/>
              <w:left w:val="nil"/>
              <w:bottom w:val="nil"/>
              <w:right w:val="nil"/>
            </w:tcBorders>
          </w:tcPr>
          <w:p>
            <w:r/>
            <w:r>
              <w:rPr>
                <w:b w:val="0"/>
                <w:sz w:val="14"/>
              </w:rPr>
              <w:t>0</w:t>
            </w:r>
          </w:p>
        </w:tc>
      </w:tr>
      <w:tr>
        <w:tc>
          <w:tcPr>
            <w:tcW w:type="dxa" w:w="2608"/>
            <w:tcBorders>
              <w:top w:val="nil"/>
              <w:left w:val="nil"/>
              <w:bottom w:val="single" w:sz="8" w:color="000000"/>
              <w:right w:val="nil"/>
            </w:tcBorders>
          </w:tcPr>
          <w:p>
            <w:r/>
            <w:r>
              <w:rPr>
                <w:b w:val="0"/>
                <w:sz w:val="14"/>
              </w:rPr>
              <w:t>DOSE_IN_MODEL_OUTPUT</w:t>
            </w:r>
          </w:p>
        </w:tc>
        <w:tc>
          <w:tcPr>
            <w:tcW w:type="dxa" w:w="850"/>
            <w:tcBorders>
              <w:top w:val="nil"/>
              <w:left w:val="nil"/>
              <w:bottom w:val="single" w:sz="8" w:color="000000"/>
              <w:right w:val="nil"/>
            </w:tcBorders>
          </w:tcPr>
          <w:p>
            <w:r/>
            <w:r>
              <w:rPr>
                <w:b w:val="0"/>
                <w:sz w:val="14"/>
              </w:rPr>
              <w:t>block</w:t>
            </w:r>
          </w:p>
        </w:tc>
        <w:tc>
          <w:tcPr>
            <w:tcW w:type="dxa" w:w="4649"/>
            <w:tcBorders>
              <w:top w:val="nil"/>
              <w:left w:val="nil"/>
              <w:bottom w:val="single" w:sz="8" w:color="000000"/>
              <w:right w:val="nil"/>
            </w:tcBorders>
          </w:tcPr>
          <w:p>
            <w:r/>
            <w:r>
              <w:rPr>
                <w:b w:val="0"/>
                <w:sz w:val="14"/>
              </w:rPr>
              <w:t>No dose figures in model-authored text</w:t>
            </w:r>
          </w:p>
        </w:tc>
        <w:tc>
          <w:tcPr>
            <w:tcW w:type="dxa" w:w="1020"/>
            <w:tcBorders>
              <w:top w:val="nil"/>
              <w:left w:val="nil"/>
              <w:bottom w:val="single" w:sz="8" w:color="000000"/>
              <w:right w:val="nil"/>
            </w:tcBorders>
          </w:tcPr>
          <w:p>
            <w:r/>
            <w:r>
              <w:rPr>
                <w:b w:val="0"/>
                <w:sz w:val="14"/>
              </w:rPr>
              <w:t>0</w:t>
            </w:r>
          </w:p>
        </w:tc>
      </w:tr>
    </w:tbl>
    <w:p>
      <w:r>
        <w:rPr>
          <w:sz w:val="13"/>
        </w:rPr>
        <w:t>The 20 rules raise 24 finding identifiers; '(same rule)' marks a further identifier raised by the rule in the row above.</w:t>
      </w:r>
    </w:p>
    <w:p>
      <w:r>
        <w:rPr>
          <w:sz w:val="13"/>
        </w:rPr>
        <w:t>*Severity is the rule's own grading. In governed mode a block finding stops release (after the bounded repair loop). In full autonomy (agent mode's default) the rules run after the consult as part of the independent audit and are not returned to the model; in kernel-assisted mode they run as an advisory stop hook.</w:t>
      </w:r>
    </w:p>
    <w:p>
      <w:r>
        <w:rPr>
          <w:sz w:val="13"/>
        </w:rPr>
        <w:t>†Gold-standard audit probes (n = 28; deliberately unsafe plans given directly to the rule engine) that raised the finding; a probe may raise several.</w:t>
      </w:r>
    </w:p>
    <w:p>
      <w:r>
        <w:rPr>
          <w:sz w:val="13"/>
        </w:rPr>
        <w:t>CNS, central nervous system; ICI, immune checkpoint inhibitor.</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