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6"/>
        </w:rPr>
        <w:t>Extended Data Table 3 | The deterministic safety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Finding</w:t>
            </w:r>
          </w:p>
        </w:tc>
        <w:tc>
          <w:tcPr>
            <w:tcW w:type="dxa" w:w="85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Severity*</w:t>
            </w:r>
          </w:p>
        </w:tc>
        <w:tc>
          <w:tcPr>
            <w:tcW w:type="dxa" w:w="4649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What the rule checks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Audit probes (n)†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N3_NO_SURGERY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 resection proposed for N3 disease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DRIVER_EXCLUDES_PERIOP_IO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block/warn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 perioperative or adjuvant immunotherapy with an EGFR or ALK alteration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EGFR_VARIANT_MISMATCH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block/warn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An EGFR-directed regimen matches the reported variant class (exon 20, C797S, uncommon)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EGFR_III_CONSOLIDATION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EGFR-mutant unresectable stage III: osimertinib (LAURA), not durvalumab, consolidation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NO_CONCURRENT_DURVALUMAB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Durvalumab follows chemoradiation; it is never concurrent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NO_RT_DOSE_ESCALATION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Thoracic radiotherapy dose above the definitive standard (RTOG 0617)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TRIAL_EDITION_MIGRATION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warn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A cited trial enrolled the case's stage; edition migration and extrapolation flagged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TRIAL_STAGE_EXTRAPOLATION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warn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(same rule)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TRIAL_STAGE_BOUNDARY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(same rule)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STAGE0_NO_SYSTEMIC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 systemic therapy for stage 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INDICATION_UNDECLARED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Every regimen meets its declared, machine-executable indication; undeclared ones flagged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INDICATION_PREDICATE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block/warn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(same rule)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DRIVER_FIRST_LINE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block/warn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Stage IV with an actionable driver: driver-directed first line, not immunotherapy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OPTION_DRUG_UNBOUND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An option named after a systemic drug carries a library regimen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CONSOLIDATION_WITHOUT_CRT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Consolidation (PACIFIC, LAURA) only after chemoradiation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PROGRESSION_SAME_DRUG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warn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Re-proposing a drug the disease progressed on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CNS_UNTREATED_SYMPTOMATIC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Symptomatic untreated brain or leptomeningeal metastases are addressed first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CNS_TNM_INCONSISTENT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warn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CNS metastases on record while the descriptors say M0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ORGAN_FUNCTION_GATE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Organ-function and comorbidity gates of each regimen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ICI_COMORBIDITY_CAUTION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warn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Checkpoint inhibitor with interstitial lung disease or active autoimmune disease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PS_GATE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warn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Performance status fits concurrent chemoradiation or perioperative therapy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BIOMARKER_GAP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Tier-A biomarkers are known before systemic therapy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DOSE_IN_MODEL_OUTPUT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block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No dose figures in model-authored text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</w:tbl>
    <w:p>
      <w:r>
        <w:rPr>
          <w:sz w:val="13"/>
        </w:rPr>
        <w:t>The 20 rules raise 23 finding identifiers; '(same rule)' marks a further identifier raised by the rule in the row above.</w:t>
      </w:r>
    </w:p>
    <w:p>
      <w:r>
        <w:rPr>
          <w:sz w:val="13"/>
        </w:rPr>
        <w:t>*Severity is the rule's own grading. In governed mode a block finding stops release (after the bounded repair loop); in agent mode every finding is advisory and returns to the model, which must revise or justify an override.</w:t>
      </w:r>
    </w:p>
    <w:p>
      <w:r>
        <w:rPr>
          <w:sz w:val="13"/>
        </w:rPr>
        <w:t>†Gold-standard audit probes (n = 28; deliberately unsafe plans given directly to the rule engine) that raised the finding; a probe may raise several.</w:t>
      </w:r>
    </w:p>
    <w:p>
      <w:r>
        <w:rPr>
          <w:sz w:val="13"/>
        </w:rPr>
        <w:t>CNS, central nervous system; ICI, immune checkpoint inhibitor.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