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Extended Data Table 1 | Gold-standard evaluation of the governed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1701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Cases (k/n)</w:t>
            </w:r>
          </w:p>
        </w:tc>
        <w:tc>
          <w:tcPr>
            <w:tcW w:type="dxa" w:w="2608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Proportion, % (95% CI)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Staging accuracy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40/40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100.0 (91.2–100.0)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Routing accuracy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11/11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100.0 (71.5–100.0)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Regimen accuracy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35/35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100.0 (90.0–100.0)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Safety-clean rate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42/42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100.0 (91.6–100.0)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Unsafe-release rate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0/35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0.0 (0.0–10.0)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Error taxonomy, all classes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0 errors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</w:tbl>
    <w:p>
      <w:r>
        <w:rPr>
          <w:sz w:val="13"/>
        </w:rPr>
        <w:t>The set has 70 cases: 42 end-to-end pipeline cases and 28 audit probes (deliberately unsafe plans given directly to the rule engine). Unsafe-release rate counts audit probes (0/28) and withholding pipeline cases (0/7).</w:t>
      </w:r>
    </w:p>
    <w:p>
      <w:r>
        <w:rPr>
          <w:sz w:val="13"/>
        </w:rPr>
        <w:t>95% CI, exact Clopper–Pearson interval. Cases were written by the developers; dual clinician adjudication is pending (70 of 70 unadjudicated).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