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Table 1 | Components of the agent runtime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Concern</w:t>
            </w:r>
          </w:p>
        </w:tc>
        <w:tc>
          <w:tcPr>
            <w:tcW w:type="dxa" w:w="2381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Pattern in mainstream agent runtimes</w:t>
            </w:r>
          </w:p>
        </w:tc>
        <w:tc>
          <w:tcPr>
            <w:tcW w:type="dxa" w:w="5556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Implementation in NSCLC-Agent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Tool abstraction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Typed tools; per-agent toolsets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JSON-schema tools with parallel-safety and terminal flags; each agent sees its own filtered toolset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Agent loop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One ReAct loop for every agent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Shared loop for the lead and specialists; concurrent read-only calls*; ordered writers; terminal tool last; history repaired on interruption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Planning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To-do / plan tool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update_plan: consult plan kept across turns and shown to the model each turn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Sub-agents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Agents as tools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delegate: 7 specialists, each with its own context, prompt and read-only allow-list; structured reports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Hooks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Prompt / post-tool / stop hooks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8 deterministic, individually switchable hooks hold every clinical safety net; all advisory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Memory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Instruction files; memory proposals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NSCLC.md in every system prompt; remember proposes, the clinician decides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Context management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Token accounting; compaction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Provider-neutral estimate; model-written summary of earlier turns near the window (deterministic fallback)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Checkpoints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Rewind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Snapshot before every turn of messages, case notes, plan and evidence ledger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Commands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Slash commands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15 commands, one definition for CLI and web (/mdt, /plan, /review, /rewind …)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Extensibility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Model Context Protocol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Streamable-HTTP client (JSON or SSE replies, session ids); tools named mcp__server__tool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Interruption; headless use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Stop; stream-json</w:t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Ctrl-C or Stop ends the turn with a valid transcript; one JSON event per line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Settings outside the transcript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Role and configuration come from the caller; session files are re-validated and grant nothing</w:t>
            </w:r>
          </w:p>
        </w:tc>
      </w:tr>
    </w:tbl>
    <w:p>
      <w:r>
        <w:rPr>
          <w:sz w:val="13"/>
        </w:rPr>
        <w:t>*Concurrent natively (thread pool of up to six workers); serial in the browser (WebAssembly).</w:t>
      </w:r>
    </w:p>
    <w:p>
      <w:r>
        <w:rPr>
          <w:sz w:val="13"/>
        </w:rPr>
        <w:t>CLI, command-line interface; ReAct, reasoning and acting; SSE, server-sent events.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