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基於條文級規則挖掘與自主審核的《傷寒論》方證規律挖掘：以桂枝湯類方證為例</w:t>
      </w:r>
    </w:p>
    <w:p>
      <w:r/>
    </w:p>
    <w:p>
      <w:pPr>
        <w:pStyle w:val="Heading2"/>
      </w:pPr>
      <w:r>
        <w:t xml:space="preserve">摘要</w:t>
      </w:r>
    </w:p>
    <w:p>
      <w:r/>
    </w:p>
    <w:p>
      <w:r>
        <w:t xml:space="preserve">目的：將《傷寒論》宋本條文轉化為可回源、可審核的結構化規則體系，並以桂枝湯類方證為例驗證方法可行性。</w:t>
      </w:r>
    </w:p>
    <w:p>
      <w:r>
        <w:t xml:space="preserve">方法：以宋本（趙開美本）現代編號398條為唯一原文證據層（A層），桂林古本等為異文層（B層），成無己注為注釋層（C層）；經條文切分、否定感知實體抽取、條文級初始規則抽取，再通過 Schema 校驗、證據回源驗證、語義審查、對抗式批評（ShanghanCritic）、自動修復與共識評級六道閘門完成自主審核。</w:t>
      </w:r>
    </w:p>
    <w:p>
      <w:r>
        <w:t xml:space="preserve">結果：共獲得初始規則1501條（gold 579、silver 861、bronze 61），方證規則113個，誤治傳變路徑60條，鑒別規則64組；高頻方劑為桂枝湯、小柴胡湯、大承氣湯、四逆湯、麻黃湯。證據分層聲明：原文事實逐條錨定條文編號（A層）；聚合統計、注家一致度與模型評測屬派生指標，錨定其數據資產與代碼指紋（D/E層），不以單條條文冒充依據。</w:t>
      </w:r>
    </w:p>
    <w:p>
      <w:r>
        <w:t xml:space="preserve">結論：條文級證據回源 + 模型自主審核可在不犧牲可追溯性的前提下規模化提取《傷寒論》知識，為方證研究、知識圖譜與臨床輔助提供可驗證的數據底座。</w:t>
      </w:r>
    </w:p>
    <w:p>
      <w:r>
        <w:t xml:space="preserve">關鍵詞：傷寒論；方證對應；六經辨證；知識圖譜；規則挖掘；證據回源</w:t>
      </w:r>
    </w:p>
    <w:p>
      <w:r/>
    </w:p>
    <w:p>
      <w:pPr>
        <w:pStyle w:val="Heading2"/>
      </w:pPr>
      <w:r>
        <w:t xml:space="preserve">1 引言</w:t>
      </w:r>
    </w:p>
    <w:p>
      <w:r/>
    </w:p>
    <w:p>
      <w:r>
        <w:t xml:space="preserve">《傷寒論》以六經統病、以方證相應，其條文之間存在並列、遞進、誤治轉變、鑒別與禁忌等強結構關係。既往數字化工作多止於全文檢索或人工標註，缺少「規則必須回到原文」的硬性約束。本文提出 Hermes-Shanghanlun 框架，把每一條原文轉化為可追蹤規則，使每一個方證判斷都能回到條文編號。</w:t>
      </w:r>
    </w:p>
    <w:p>
      <w:r/>
    </w:p>
    <w:p>
      <w:pPr>
        <w:pStyle w:val="Heading2"/>
      </w:pPr>
      <w:r>
        <w:t xml:space="preserve">2 數據</w:t>
      </w:r>
    </w:p>
    <w:p>
      <w:r/>
    </w:p>
    <w:p>
      <w:r>
        <w:t xml:space="preserve">宋本條文 398 條（含霍亂、陰陽易差後勞復附篇），六經分佈如下：</w:t>
      </w:r>
    </w:p>
    <w:p>
      <w:r/>
    </w:p>
    <w:p>
      <w:pPr>
        <w:pStyle w:val="Mono"/>
      </w:pPr>
      <w:r>
        <w:t xml:space="preserve">六經　條文數</w:t>
      </w:r>
    </w:p>
    <w:p>
      <w:pPr>
        <w:pStyle w:val="Mono"/>
      </w:pPr>
      <w:r>
        <w:t xml:space="preserve">太陽病　178</w:t>
      </w:r>
    </w:p>
    <w:p>
      <w:pPr>
        <w:pStyle w:val="Mono"/>
      </w:pPr>
      <w:r>
        <w:t xml:space="preserve">陽明病　84</w:t>
      </w:r>
    </w:p>
    <w:p>
      <w:pPr>
        <w:pStyle w:val="Mono"/>
      </w:pPr>
      <w:r>
        <w:t xml:space="preserve">厥陰病　56</w:t>
      </w:r>
    </w:p>
    <w:p>
      <w:pPr>
        <w:pStyle w:val="Mono"/>
      </w:pPr>
      <w:r>
        <w:t xml:space="preserve">少陰病　45</w:t>
      </w:r>
    </w:p>
    <w:p>
      <w:pPr>
        <w:pStyle w:val="Mono"/>
      </w:pPr>
      <w:r>
        <w:t xml:space="preserve">少陽病　10</w:t>
      </w:r>
    </w:p>
    <w:p>
      <w:pPr>
        <w:pStyle w:val="Mono"/>
      </w:pPr>
      <w:r>
        <w:t xml:space="preserve">霍亂病　10</w:t>
      </w:r>
    </w:p>
    <w:p>
      <w:pPr>
        <w:pStyle w:val="Mono"/>
      </w:pPr>
      <w:r>
        <w:t xml:space="preserve">太陰病　8</w:t>
      </w:r>
    </w:p>
    <w:p>
      <w:pPr>
        <w:pStyle w:val="Mono"/>
      </w:pPr>
      <w:r>
        <w:t xml:space="preserve">陰陽易差後勞復病　7</w:t>
      </w:r>
    </w:p>
    <w:p>
      <w:r/>
    </w:p>
    <w:p>
      <w:pPr>
        <w:pStyle w:val="Heading2"/>
      </w:pPr>
      <w:r>
        <w:t xml:space="preserve">3 方法</w:t>
      </w:r>
    </w:p>
    <w:p>
      <w:r/>
    </w:p>
    <w:p>
      <w:pPr>
        <w:pStyle w:val="Heading3"/>
      </w:pPr>
      <w:r>
        <w:t xml:space="preserve">3.1 語料與版本分層</w:t>
      </w:r>
    </w:p>
    <w:p>
      <w:r>
        <w:t xml:space="preserve">主底本為《傷寒論（宋本）》（明·趙開美刻本，現代通行編號 1–398），</w:t>
      </w:r>
    </w:p>
    <w:p>
      <w:r>
        <w:t xml:space="preserve">另納入宋本辨脈法、傷寒例與可/不可諸篇作為輔助條文層。版本策略：A層宋本原文、</w:t>
      </w:r>
    </w:p>
    <w:p>
      <w:r>
        <w:t xml:space="preserve">B層異文（桂林古本、千金翼方版）、C層注釋（成無己《註解傷寒論》等）、</w:t>
      </w:r>
    </w:p>
    <w:p>
      <w:r>
        <w:t xml:space="preserve">D層後世類方歸納（《傷寒論類方》）、E層模型解釋。合併規則永不覆蓋初始條文規則。</w:t>
      </w:r>
    </w:p>
    <w:p>
      <w:r/>
    </w:p>
    <w:p>
      <w:pPr>
        <w:pStyle w:val="Heading3"/>
      </w:pPr>
      <w:r>
        <w:t xml:space="preserve">3.2 條文切分與實體抽取</w:t>
      </w:r>
    </w:p>
    <w:p>
      <w:r>
        <w:t xml:space="preserve">以 &lt;#/&gt; 編號標記切分條文，&lt;F&gt; 塊解析方劑組成（含 &lt;l&gt; 劑量炮製）與煎服法。</w:t>
      </w:r>
    </w:p>
    <w:p>
      <w:r>
        <w:t xml:space="preserve">實體抽取採用最長優先、否定感知匹配（「不惡寒」不得落入「惡寒」），</w:t>
      </w:r>
    </w:p>
    <w:p>
      <w:r>
        <w:t xml:space="preserve">覆蓋六經、病名、症狀、脈象、方劑、藥物、劑量、治法、禁忌、誤治、傳變、預後十二類。</w:t>
      </w:r>
    </w:p>
    <w:p>
      <w:r/>
    </w:p>
    <w:p>
      <w:pPr>
        <w:pStyle w:val="Heading3"/>
      </w:pPr>
      <w:r>
        <w:t xml:space="preserve">3.3 初始規則抽取</w:t>
      </w:r>
    </w:p>
    <w:p>
      <w:r>
        <w:t xml:space="preserve">逐條抽取 InitialRule，禁止跨條歸納；處方強度按原文用語分級</w:t>
      </w:r>
    </w:p>
    <w:p>
      <w:r>
        <w:t xml:space="preserve">（主之＞宜＞屬＞與＞可與），證據片段保存逐字原文。</w:t>
      </w:r>
    </w:p>
    <w:p>
      <w:r/>
    </w:p>
    <w:p>
      <w:pPr>
        <w:pStyle w:val="Heading3"/>
      </w:pPr>
      <w:r>
        <w:t xml:space="preserve">3.4 自主審核流水線</w:t>
      </w:r>
    </w:p>
    <w:p>
      <w:r>
        <w:t xml:space="preserve">SchemaValidator → EvidenceVerifier（證據逐字回源、方-條對應、條件落文）→</w:t>
      </w:r>
    </w:p>
    <w:p>
      <w:r>
        <w:t xml:space="preserve">SemanticReviewer（六經/規則類型/強度一致性）→ ShanghanCritic</w:t>
      </w:r>
    </w:p>
    <w:p>
      <w:r>
        <w:t xml:space="preserve">（後世術語混入、禁忌遺漏、可與誇大、主之擴域、中風/傷寒混淆、</w:t>
      </w:r>
    </w:p>
    <w:p>
      <w:r>
        <w:t xml:space="preserve">少陰寒化/熱化混淆、陽明經/腑混淆）→ AutoRepair（單輪修復後復檢）→</w:t>
      </w:r>
    </w:p>
    <w:p>
      <w:r>
        <w:t xml:space="preserve">ConsensusJudge + ReleaseGate（gold ≥ 0.9 / silver ≥ 0.78 / bronze ≥ 0.62）。</w:t>
      </w:r>
    </w:p>
    <w:p>
      <w:r/>
    </w:p>
    <w:p>
      <w:pPr>
        <w:pStyle w:val="Heading3"/>
      </w:pPr>
      <w:r>
        <w:t xml:space="preserve">3.5 規則層級</w:t>
      </w:r>
    </w:p>
    <w:p>
      <w:r>
        <w:t xml:space="preserve">InitialRule → FormulaPatternRule → SixChannelRule → TherapyRule →</w:t>
      </w:r>
    </w:p>
    <w:p>
      <w:r>
        <w:t xml:space="preserve">MistreatmentTransformationRule → MergedShanghanRule；另建 ClauseRelation</w:t>
      </w:r>
    </w:p>
    <w:p>
      <w:r>
        <w:t xml:space="preserve">圖譜（同方族/鑒別/誤治傳變/禁忌/傳變/異文/注釋支持七類邊）。</w:t>
      </w:r>
    </w:p>
    <w:p>
      <w:r/>
    </w:p>
    <w:p>
      <w:pPr>
        <w:pStyle w:val="Heading2"/>
      </w:pPr>
      <w:r>
        <w:t xml:space="preserve">4 結果</w:t>
      </w:r>
    </w:p>
    <w:p>
      <w:r/>
    </w:p>
    <w:p>
      <w:r/>
    </w:p>
    <w:p>
      <w:r/>
    </w:p>
    <w:p>
      <w:pPr>
        <w:pStyle w:val="Heading3"/>
      </w:pPr>
      <w:r>
        <w:t xml:space="preserve">4.0 圖組導覽</w:t>
      </w:r>
    </w:p>
    <w:p>
      <w:r>
        <w:t xml:space="preserve">如 Fig.1 所示，六經—主方的隸屬結構呈強分化：太陽方最多、厥陰最少（回答：六經各自以哪些方劑為主治骨幹？）；如 Fig.2 所示，桂枝湯/麻黃湯等基方輻射出多層加減家族（回答：經方加減關係構成怎樣的家族樹？）；如 Fig.3 所示，桂枝湯類獨大；前 10 方覆蓋大部分載方條文（回答：哪些方劑在宋本正文中載方條文最多？）；如 Fig.4 所示，方證條文為主體，誤治/禁忌/脈證/預後構成次級主題（回答：條文主題在六經內如何分佈？）。</w:t>
      </w:r>
    </w:p>
    <w:p>
      <w:r/>
    </w:p>
    <w:p>
      <w:pPr>
        <w:pStyle w:val="Heading3"/>
      </w:pPr>
      <w:r>
        <w:t xml:space="preserve">4.1 規則庫總體</w:t>
      </w:r>
    </w:p>
    <w:p>
      <w:r>
        <w:t xml:space="preserve">共 1501 條初始規則：formula_pattern_rule 303條、therapy_selection_rule 236條、prognosis_rule 212條、mistreatment_rule 134條、administration_rule 113條、formula_composition_rule 112條、dosage_processing_rule 112條、pulse_symptom_rule 89條。分級：gold 579 / silver 861 / bronze 61。</w:t>
      </w:r>
    </w:p>
    <w:p>
      <w:r/>
    </w:p>
    <w:p>
      <w:pPr>
        <w:pStyle w:val="Heading3"/>
      </w:pPr>
      <w:r>
        <w:t xml:space="preserve">4.2 高頻方劑</w:t>
      </w:r>
    </w:p>
    <w:p>
      <w:pPr>
        <w:pStyle w:val="Mono"/>
      </w:pPr>
      <w:r>
        <w:t xml:space="preserve">方劑　條文數</w:t>
      </w:r>
    </w:p>
    <w:p>
      <w:pPr>
        <w:pStyle w:val="Mono"/>
      </w:pPr>
      <w:r>
        <w:t xml:space="preserve">桂枝湯　26</w:t>
      </w:r>
    </w:p>
    <w:p>
      <w:pPr>
        <w:pStyle w:val="Mono"/>
      </w:pPr>
      <w:r>
        <w:t xml:space="preserve">小柴胡湯　20</w:t>
      </w:r>
    </w:p>
    <w:p>
      <w:pPr>
        <w:pStyle w:val="Mono"/>
      </w:pPr>
      <w:r>
        <w:t xml:space="preserve">大承氣湯　19</w:t>
      </w:r>
    </w:p>
    <w:p>
      <w:pPr>
        <w:pStyle w:val="Mono"/>
      </w:pPr>
      <w:r>
        <w:t xml:space="preserve">四逆湯　12</w:t>
      </w:r>
    </w:p>
    <w:p>
      <w:pPr>
        <w:pStyle w:val="Mono"/>
      </w:pPr>
      <w:r>
        <w:t xml:space="preserve">麻黃湯　9</w:t>
      </w:r>
    </w:p>
    <w:p>
      <w:pPr>
        <w:pStyle w:val="Mono"/>
      </w:pPr>
      <w:r>
        <w:t xml:space="preserve">調胃承氣湯　8</w:t>
      </w:r>
    </w:p>
    <w:p>
      <w:pPr>
        <w:pStyle w:val="Mono"/>
      </w:pPr>
      <w:r>
        <w:t xml:space="preserve">五苓散　8</w:t>
      </w:r>
    </w:p>
    <w:p>
      <w:pPr>
        <w:pStyle w:val="Mono"/>
      </w:pPr>
      <w:r>
        <w:t xml:space="preserve">小承氣湯　7</w:t>
      </w:r>
    </w:p>
    <w:p>
      <w:pPr>
        <w:pStyle w:val="Mono"/>
      </w:pPr>
      <w:r>
        <w:t xml:space="preserve">梔子豉湯　6</w:t>
      </w:r>
    </w:p>
    <w:p>
      <w:pPr>
        <w:pStyle w:val="Mono"/>
      </w:pPr>
      <w:r>
        <w:t xml:space="preserve">白虎加人參湯　5</w:t>
      </w:r>
    </w:p>
    <w:p>
      <w:r/>
    </w:p>
    <w:p>
      <w:r>
        <w:t xml:space="preserve">（分佈與計數口徑見 Fig.3 及其圖例。）</w:t>
      </w:r>
    </w:p>
    <w:p>
      <w:r/>
    </w:p>
    <w:p>
      <w:pPr>
        <w:pStyle w:val="Heading3"/>
      </w:pPr>
      <w:r>
        <w:t xml:space="preserve">4.3 方證規則示例</w:t>
      </w:r>
    </w:p>
    <w:p>
      <w:pPr>
        <w:pStyle w:val="Mono"/>
      </w:pPr>
      <w:r>
        <w:t xml:space="preserve">方劑　核心證　核心脈　條文　等級</w:t>
      </w:r>
    </w:p>
    <w:p>
      <w:pPr>
        <w:pStyle w:val="Mono"/>
      </w:pPr>
      <w:r>
        <w:t xml:space="preserve">柴胡桂枝乾薑湯　胸脅滿、小便不利、渴、頭汗出　—　SHL_SONGBEN_0147　silver</w:t>
      </w:r>
    </w:p>
    <w:p>
      <w:pPr>
        <w:pStyle w:val="Mono"/>
      </w:pPr>
      <w:r>
        <w:t xml:space="preserve">柴胡桂枝湯　發熱、微惡寒、嘔、心下支結　—　SHL_SONGBEN_0146、SHL_SONGBEN_AUX_0176　gold</w:t>
      </w:r>
    </w:p>
    <w:p>
      <w:pPr>
        <w:pStyle w:val="Mono"/>
      </w:pPr>
      <w:r>
        <w:t xml:space="preserve">桂枝二越婢一湯　　—　SHL_SONGBEN_0027　silver</w:t>
      </w:r>
    </w:p>
    <w:p>
      <w:pPr>
        <w:pStyle w:val="Mono"/>
      </w:pPr>
      <w:r>
        <w:t xml:space="preserve">桂枝二麻黃一湯　　—　SHL_SONGBEN_0025、SHL_SONGBEN_AUX_0234　silver</w:t>
      </w:r>
    </w:p>
    <w:p>
      <w:pPr>
        <w:pStyle w:val="Mono"/>
      </w:pPr>
      <w:r>
        <w:t xml:space="preserve">桂枝人參湯　心下痞硬　—　SHL_SONGBEN_0163　silver</w:t>
      </w:r>
    </w:p>
    <w:p>
      <w:pPr>
        <w:pStyle w:val="Mono"/>
      </w:pPr>
      <w:r>
        <w:t xml:space="preserve">桂枝加厚朴杏子湯　微喘　—　SHL_SONGBEN_0043、SHL_SONGBEN_AUX_0223　gold</w:t>
      </w:r>
    </w:p>
    <w:p>
      <w:r/>
    </w:p>
    <w:p>
      <w:pPr>
        <w:pStyle w:val="Heading2"/>
      </w:pPr>
      <w:r>
        <w:t xml:space="preserve">5 方證各論（規則庫直採，逐段錨定條文）</w:t>
      </w:r>
    </w:p>
    <w:p>
      <w:r/>
    </w:p>
    <w:p>
      <w:r>
        <w:t xml:space="preserve">桂枝湯（太陽病、陽明病、太陰病、厥陰病、霍亂病；支持條文 33 條：SHL_SONGBEN_0012、SHL_SONGBEN_0013、SHL_SONGBEN_0015、SHL_SONGBEN_0018等）。 其核心證候為發熱、汗出、頭痛、嗇嗇惡寒、淅淅惡風、翕翕發熱，核心脈象陽浮而陰弱、浮。 兼證可見氣上衝、反煩不解、大汗出、不大便、衄、心下痞。 首見於 SHL_SONGBEN_0012：「太陽中風，陽浮而陰弱，陽浮者，熱自發，陰弱者，汗自出。嗇嗇惡寒，淅淅惡風，翕翕發熱，鼻鳴乾嘔者，桂枝湯主之。」。 其方由桂枝（三兩，去皮）、芍藥（三兩）、甘草（二兩，炙）、生薑（三兩，切）、大棗（十二枚，擘）組成；服法要點：服一升。服已須臾，歠熱稀粥一升餘，以助藥力。溫覆令一時許，遍身漐漐微似有汗者益佳……。 加減演化方面，加厚朴、杏仁成桂枝加厚朴杏子湯；加大黃成桂枝加大黃湯；加（調量）成桂枝加桂湯。 與麻黃湯之鑒別，其獨有指徵在汗出、嗇嗇惡寒、淅淅惡風（證據：SHL_SONGBEN_0012、SHL_SONGBEN_0013、SHL_SONGBEN_0015等）。 與桂枝加葛根湯之鑒別，其獨有指徵在發熱、汗出、頭痛（證據：SHL_SONGBEN_0012、SHL_SONGBEN_0013、SHL_SONGBEN_0014等）。</w:t>
      </w:r>
    </w:p>
    <w:p>
      <w:r/>
    </w:p>
    <w:p>
      <w:r>
        <w:t xml:space="preserve">（本節每一事實均可由所附條文編號回源；方證歸納屬 D 層，原文節選屬 A 層。）</w:t>
      </w:r>
    </w:p>
    <w:p>
      <w:r/>
    </w:p>
    <w:p>
      <w:pPr>
        <w:pStyle w:val="Heading2"/>
      </w:pPr>
      <w:r>
        <w:t xml:space="preserve">6 計量結果分述（確定性敘述層）</w:t>
      </w:r>
    </w:p>
    <w:p>
      <w:r/>
    </w:p>
    <w:p>
      <w:r>
        <w:t xml:space="preserve">證候頻次方面，全書最高頻的表現為「發熱」（62 條），其後依次為汗出（49）、下利（40）、惡寒（26）、厥（26）、譫語（26）。高頻榜由表證與胃腸道表現主導，這與太陽病篇幅最大、誤治變證多累及中焦的篇章結構一致；頻次口徑為條文計數，同條多次出現不重複計。</w:t>
      </w:r>
    </w:p>
    <w:p>
      <w:r>
        <w:t xml:space="preserve">脈象方面，浮（26）、微（15）、浮緊（11）、沉（10）、數（7） 為最常見記載；浮脈居首與表證主導的篇章結構互為印證，微、細等虛脈集中出現於三陰篇。</w:t>
      </w:r>
    </w:p>
    <w:p>
      <w:r>
        <w:t xml:space="preserve">方-症共現網絡共 658 條邊，最強邊為 桂枝湯—汗出（7 條同現），其後有 小柴胡湯—嘔（7）；大承氣湯—燥屎（6）；大承氣湯—發熱（5）；大承氣湯—不大便（5） 等構成骨幹。共現以條文為單位統計，反映原文中方與證的同現結構，而非療效斷言。</w:t>
      </w:r>
    </w:p>
    <w:p>
      <w:r>
        <w:t xml:space="preserve">以連接度計，網絡樞紐方為 小柴胡湯（度 48）、大承氣湯（度 39）、桂枝湯（度 33）、四逆湯（度 28）、梔子豉湯（度 24）。樞紐度高者多為主治面寬、兼證豐富之方，亦是鑒別診斷的高頻參照系。</w:t>
      </w:r>
    </w:p>
    <w:p>
      <w:r>
        <w:t xml:space="preserve">六經篇幅分佈為：太陽病 178 條、陽明病 84 條、厥陰病 56 條、少陰病 45 條、少陽病 10 條、霍亂病 10 條、太陰病 8 條、陰陽易差後勞復病 7 條。太陽病篇獨大是《傷寒論》詳於表證、詳於誤治的文本事實，也是遮方預測等評測任務難度不均的來源之一。</w:t>
      </w:r>
    </w:p>
    <w:p>
      <w:r>
        <w:t xml:space="preserve">家族樹方面，桂枝湯族收錄加減方最多（11 個），其後為 桂枝去芍藥湯（2）、四逆湯（1）、桂枝加芍藥湯（1）。「量變致新方」（藥味不變、僅劑量變者）在圖譜中作為一等關係單獨標記，體現經方以劑量界定方界的特點。</w:t>
      </w:r>
    </w:p>
    <w:p>
      <w:r>
        <w:t xml:space="preserve">（本節數字直採 research/ 計量資產，屬 D 層派生統計；逐項對應的 CSV 與 SVG 圖見圖表清單。）</w:t>
      </w:r>
    </w:p>
    <w:p>
      <w:r/>
    </w:p>
    <w:p>
      <w:pPr>
        <w:pStyle w:val="Heading2"/>
      </w:pPr>
      <w:r>
        <w:t xml:space="preserve">7 誤治傳變分述</w:t>
      </w:r>
    </w:p>
    <w:p>
      <w:r/>
    </w:p>
    <w:p>
      <w:r>
        <w:t xml:space="preserve">火逆（7 條路徑）：變證譜包括驚狂、煩躁、奔豚、吐逆、煩躁、譫語、壞病、譫語等；救逆方涉及四逆湯、小柴胡湯、桂枝加桂湯、桂枝去芍藥加蜀漆牡蠣龍骨救逆湯、桂枝甘草龍骨牡蠣湯、梔子豉湯。證據條文：SHL_SONGBEN_0029、SHL_SONGBEN_0112、SHL_SONGBEN_0117、SHL_SONGBEN_0118、SHL_SONGBEN_0221等。</w:t>
      </w:r>
    </w:p>
    <w:p>
      <w:r/>
    </w:p>
    <w:p>
      <w:r>
        <w:t xml:space="preserve">誤下（32 條路徑）：變證譜包括結胸、痞證、協熱利、虛煩、氣上衝等；救逆方涉及乾薑附子湯、乾薑黃芩黃連人參湯、五苓散、大承氣湯、大柴胡湯、大陷胸丸。證據條文：SHL_SONGBEN_0015、SHL_SONGBEN_0021、SHL_SONGBEN_0028、SHL_SONGBEN_0034、SHL_SONGBEN_0043等。</w:t>
      </w:r>
    </w:p>
    <w:p>
      <w:r/>
    </w:p>
    <w:p>
      <w:r>
        <w:t xml:space="preserve">誤吐（8 條路徑）：變證譜包括虛煩、譫語、變證、心下痞、痞、心中懊憹、懊憹、虛煩等；救逆方涉及大承氣湯、小承氣湯、旋覆代赭湯、梔子生薑豉湯、梔子豉湯、白虎加人參湯。證據條文：SHL_SONGBEN_0067、SHL_SONGBEN_0076、SHL_SONGBEN_0161、SHL_SONGBEN_0168、SHL_SONGBEN_0212等。</w:t>
      </w:r>
    </w:p>
    <w:p>
      <w:r/>
    </w:p>
    <w:p>
      <w:r>
        <w:t xml:space="preserve">誤汗（13 條路徑）：變證譜包括亡陽厥逆、心陽虛悸、奔豚/欲作奔豚、胃中乾煩躁、變證等；救逆方涉及乾薑附子湯、五苓散、厚朴生薑半夏甘草人參湯、四逆湯、大陷胸湯、大黃黃連瀉心湯。證據條文：SHL_SONGBEN_0029、SHL_SONGBEN_0061、SHL_SONGBEN_0062、SHL_SONGBEN_0063、SHL_SONGBEN_0064等。</w:t>
      </w:r>
    </w:p>
    <w:p>
      <w:r/>
    </w:p>
    <w:p>
      <w:r>
        <w:t xml:space="preserve">（誤治→變證→救逆為條文級路徑歸納；多步連續誤治屬組合推演，文中不作原文連續敘述使用。）</w:t>
      </w:r>
    </w:p>
    <w:p>
      <w:r/>
    </w:p>
    <w:p>
      <w:pPr>
        <w:pStyle w:val="Heading2"/>
      </w:pPr>
      <w:r>
        <w:t xml:space="preserve">8 討論</w:t>
      </w:r>
    </w:p>
    <w:p>
      <w:r/>
    </w:p>
    <w:p>
      <w:r>
        <w:t xml:space="preserve">（1）證據邊界。本研究嚴格區分原文直述與後世歸納：如「營衛不和」屬後世</w:t>
      </w:r>
    </w:p>
    <w:p>
      <w:r>
        <w:t xml:space="preserve">病機術語，批評器將其攔截出規則主體並降級為模型解釋層；「可與」與「主之」</w:t>
      </w:r>
    </w:p>
    <w:p>
      <w:r>
        <w:t xml:space="preserve">的證據強度差異被顯式建模，避免將斟酌之辭讀作必用之訓。</w:t>
      </w:r>
    </w:p>
    <w:p>
      <w:r>
        <w:t xml:space="preserve">（2）版本異文的影響。B層對齊顯示宋本與桂本在部分條文存在用字差異，</w:t>
      </w:r>
    </w:p>
    <w:p>
      <w:r>
        <w:t xml:space="preserve">規則層僅以宋本為準、異文以 VariantRule 並行記錄，供版本學研究取用。</w:t>
      </w:r>
    </w:p>
    <w:p>
      <w:r>
        <w:t xml:space="preserve">（3）侷限。實體詞典覆蓋率有限，個別罕見證候表達可能漏標；</w:t>
      </w:r>
    </w:p>
    <w:p>
      <w:r>
        <w:t xml:space="preserve">亞型命名（如太陽蓄水）屬後世歸納框架，雖逐一錨定條文，仍不宜回讀為仲景原意；</w:t>
      </w:r>
    </w:p>
    <w:p>
      <w:r>
        <w:t xml:space="preserve">自動審核可保證「不偽造證據」，但不能替代學科專家對歸納合理性的終審。</w:t>
      </w:r>
    </w:p>
    <w:p>
      <w:r>
        <w:t xml:space="preserve">（4）應用。規則庫已編譯為六經、方證、誤治、禁忌、鑒別等 Skill，</w:t>
      </w:r>
    </w:p>
    <w:p>
      <w:r>
        <w:t xml:space="preserve">可服務醫師輔助（標註輔助性質）、科研挖掘（共現網絡、知識圖譜）與教學練習；</w:t>
      </w:r>
    </w:p>
    <w:p>
      <w:r>
        <w:t xml:space="preserve">患者端嚴格禁用診斷與處方功能。</w:t>
      </w:r>
    </w:p>
    <w:p>
      <w:r/>
    </w:p>
    <w:p>
      <w:pPr>
        <w:pStyle w:val="Heading2"/>
      </w:pPr>
      <w:r>
        <w:t xml:space="preserve">9 結論</w:t>
      </w:r>
    </w:p>
    <w:p>
      <w:r/>
    </w:p>
    <w:p>
      <w:r>
        <w:t xml:space="preserve">以條文為最小證據單位、以自主審核為質量閘門的 Hermes 流水線，能夠將</w:t>
      </w:r>
    </w:p>
    <w:p>
      <w:r>
        <w:t xml:space="preserve">《傷寒論》整書轉化為層級化、可回源、可調用的規則系統；所有方證判斷</w:t>
      </w:r>
    </w:p>
    <w:p>
      <w:r>
        <w:t xml:space="preserve">均可回到條文，所有歸納均標明證據層級，為中醫古籍的可計算化提供了</w:t>
      </w:r>
    </w:p>
    <w:p>
      <w:r>
        <w:t xml:space="preserve">一條可複製的路徑。</w:t>
      </w:r>
    </w:p>
    <w:p>
      <w:r/>
    </w:p>
    <w:p>
      <w:pPr>
        <w:pStyle w:val="Heading2"/>
      </w:pPr>
      <w:r>
        <w:t xml:space="preserve">圖例（Figure Legends）</w:t>
      </w:r>
    </w:p>
    <w:p>
      <w:r/>
    </w:p>
    <w:p>
      <w:r/>
    </w:p>
    <w:p>
      <w:r/>
    </w:p>
    <w:p>
      <w:r>
        <w:t xml:space="preserve">Fig.1｜六經—方劑分佈圖 (a) 每經列其主方（按載方條文數，前 4）。n：n=六經規則全部主方邊（見 source data）。數據來源：six_channel_rules（D 層歸納，錨定 A 層條文）。誤差/統計定義：無誤差條（確定性計數）。證據層級：D（錨定 A）。Source Data：source_data/Fig1a_channel_formula.csv。</w:t>
      </w:r>
    </w:p>
    <w:p>
      <w:r/>
    </w:p>
    <w:p>
      <w:r>
        <w:t xml:space="preserve">Fig.2｜方劑家族樹 (a) 有向邊：基方→加減方。n：n=全部加減關係邊（見 source data）。數據來源：formula_rules（A 層組成派生）。誤差/統計定義：無誤差條（確定性關係）。證據層級：A-derived。Source Data：source_data/Fig2a_family_edges.csv。</w:t>
      </w:r>
    </w:p>
    <w:p>
      <w:r/>
    </w:p>
    <w:p>
      <w:r>
        <w:t xml:space="preserve">Fig.3｜宋本正文中各方劑的載方條文數（前 10） (a) 橫條=載方條文數；一條條文含多方時分別計數。n：n=398 條正文（分母：全部原文條文）。數據來源：宋本正文 A 層直計。誤差/統計定義：無誤差條（全量計數，非抽樣）。證據層級：A。Source Data：source_data/Fig3a_formula_frequency.csv。</w:t>
      </w:r>
    </w:p>
    <w:p>
      <w:r/>
    </w:p>
    <w:p>
      <w:r>
        <w:t xml:space="preserve">Fig.4｜條文主題聚類圖 (a) 六經 × 六類主題的條文分桶（樣例條文號）。n：n=398 條正文（每條入唯一主題桶）。數據來源：宋本正文條文（A 層直計）。誤差/統計定義：無誤差條（確定性分桶）。證據層級：A-derived。Source Data：source_data/Fig4a_clause_topics.csv。</w:t>
      </w:r>
    </w:p>
    <w:p>
      <w:r/>
    </w:p>
    <w:p>
      <w:pPr>
        <w:pStyle w:val="Heading2"/>
      </w:pPr>
      <w:r>
        <w:t xml:space="preserve">圖表清單</w:t>
      </w:r>
    </w:p>
    <w:p>
      <w:r/>
    </w:p>
    <w:p>
      <w:r>
        <w:t xml:space="preserve">• Fig.1 六經—方劑分佈圖 (fig_channel_formula.mmd.md)</w:t>
      </w:r>
    </w:p>
    <w:p>
      <w:r>
        <w:t xml:space="preserve">• Fig.2 方劑家族樹 (fig_formula_family.dot)</w:t>
      </w:r>
    </w:p>
    <w:p>
      <w:r>
        <w:t xml:space="preserve">• Fig.3 宋本正文中各方劑的載方條文數（前 10） (fig_formula_frequency.svg)</w:t>
      </w:r>
    </w:p>
    <w:p>
      <w:r>
        <w:t xml:space="preserve">• Fig.4 條文主題聚類圖 (fig_clause_topics.mmd.md)</w:t>
      </w:r>
    </w:p>
    <w:p>
      <w:r>
        <w:t xml:space="preserve">• Table 1 規則分級統計 (table1_rule_levels.csv)</w:t>
      </w:r>
    </w:p>
    <w:p>
      <w:r>
        <w:t xml:space="preserve">• Table 2 方劑頻次表 (table2_formula_frequency.csv)</w:t>
      </w:r>
    </w:p>
    <w:p>
      <w:r>
        <w:t xml:space="preserve">• Table 3 規則類型統計 (table3_rule_types.csv)</w:t>
      </w:r>
    </w:p>
    <w:p>
      <w:r>
        <w:t xml:space="preserve">• Table 4 版本異文對比表 (table4_variant_comparison.csv)</w:t>
      </w:r>
    </w:p>
    <w:p>
      <w:r/>
    </w:p>
    <w:p>
      <w:pPr>
        <w:pStyle w:val="Heading2"/>
      </w:pPr>
      <w:r>
        <w:t xml:space="preserve">參考文獻</w:t>
      </w:r>
    </w:p>
    <w:p>
      <w:r/>
    </w:p>
    <w:p>
      <w:r>
        <w:t xml:space="preserve">[1] 張仲景. 傷寒論（宋本，明·趙開美校刻）. 東漢.</w:t>
      </w:r>
    </w:p>
    <w:p>
      <w:r>
        <w:t xml:space="preserve">[2] 張仲景. 傷寒雜病論（桂林古本）. 桂林羅哲初手抄本.</w:t>
      </w:r>
    </w:p>
    <w:p>
      <w:r>
        <w:t xml:space="preserve">[3] 成無己. 註解傷寒論. 金·皇統四年(1144).</w:t>
      </w:r>
    </w:p>
    <w:p>
      <w:r>
        <w:t xml:space="preserve">[4] 徐大椿. 傷寒論類方. 清.</w:t>
      </w:r>
    </w:p>
    <w:p>
      <w:r>
        <w:t xml:space="preserve">[5] 吳謙等. 醫宗金鑒·訂正仲景全書傷寒論注. 清·乾隆.</w:t>
      </w:r>
    </w:p>
    <w:p>
      <w:r>
        <w:t xml:space="preserve">[6] Robertson S, Zaragoza H. The Probabilistic Relevance Framework: BM25 and Beyond. Found Trends Inf Retr. 2009.</w:t>
      </w:r>
    </w:p>
    <w:p>
      <w:r>
        <w:t xml:space="preserve">[7] 本研究數據與代碼：data/shanghan/（規則庫、審計日誌、圖表源文件）.</w:t>
      </w:r>
    </w:p>
    <w:p>
      <w:r/>
    </w:p>
    <w:p>
      <w:pPr>
        <w:pStyle w:val="Heading2"/>
      </w:pPr>
      <w:r>
        <w:t xml:space="preserve">Cover Letter</w:t>
      </w:r>
    </w:p>
    <w:p>
      <w:r/>
    </w:p>
    <w:p>
      <w:r>
        <w:t xml:space="preserve">尊敬的編輯：</w:t>
      </w:r>
    </w:p>
    <w:p>
      <w:r/>
    </w:p>
    <w:p>
      <w:r>
        <w:t xml:space="preserve">茲投稿論文《基於條文級規則挖掘與自主審核的《傷寒論》方證規律挖掘：以桂枝湯類方證為例》。本研究首次將「逐字證據回源 + 對抗式自主審核」</w:t>
      </w:r>
    </w:p>
    <w:p>
      <w:r>
        <w:t xml:space="preserve">引入《傷寒論》全書規則挖掘，產出 1501 條分級規則並全部</w:t>
      </w:r>
    </w:p>
    <w:p>
      <w:r>
        <w:t xml:space="preserve">附帶條文證據鏈，數據與代碼完全公開可復現。本文未一稿多投，所有作者</w:t>
      </w:r>
    </w:p>
    <w:p>
      <w:r>
        <w:t xml:space="preserve">同意投稿。懇請審閱。</w:t>
      </w:r>
    </w:p>
    <w:p>
      <w:r/>
    </w:p>
    <w:p>
      <w:r>
        <w:t xml:space="preserve">通訊作者敬上</w:t>
      </w:r>
    </w:p>
    <w:p>
      <w:r>
        <w:t xml:space="preserve">（稿件修訂 rev_13691a661479；語料指紋見 paper_meta.json——日期於投稿時填寫）</w:t>
      </w:r>
    </w:p>
    <w:p>
      <w:r/>
    </w:p>
    <w:p>
      <w:pPr>
        <w:pStyle w:val="Heading2"/>
      </w:pPr>
      <w:r>
        <w:t xml:space="preserve">Supplementary Materials</w:t>
      </w:r>
    </w:p>
    <w:p>
      <w:r/>
    </w:p>
    <w:p>
      <w:r>
        <w:t xml:space="preserve">• S1 規則庫 rules_initial/initial_rules.jsonl</w:t>
      </w:r>
    </w:p>
    <w:p>
      <w:r>
        <w:t xml:space="preserve">• S2 審計日誌 audit/audit_log.jsonl</w:t>
      </w:r>
    </w:p>
    <w:p>
      <w:r>
        <w:t xml:space="preserve">• S3 條文關係圖 relations/clause_relations.jsonl</w:t>
      </w:r>
    </w:p>
    <w:p>
      <w:r>
        <w:t xml:space="preserve">• S4 共現網絡與家族樹 research/*.json</w:t>
      </w:r>
    </w:p>
    <w:p>
      <w:r>
        <w:t xml:space="preserve">• S5 Source Data source_data/（逐 panel CSV，見 figures_manifest.json）</w:t>
      </w:r>
    </w:p>
    <w:p>
      <w:r>
        <w:t xml:space="preserve">• S6 Figure QA figure_qa/qa_report.json（含 CVD 模擬 ΔE 實測）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1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7"/>
    </w:rPr>
  </w:style>
  <w:style w:type="paragraph" w:styleId="Heading3">
    <w:name w:val="heading 3"/>
    <w:basedOn w:val="Normal"/>
    <w:rPr>
      <w:b/>
      <w:sz w:val="24"/>
    </w:rPr>
  </w:style>
  <w:style w:type="paragraph" w:styleId="Mono">
    <w:name w:val="Mono"/>
    <w:basedOn w:val="Normal"/>
    <w:rPr>
      <w:rFonts w:ascii="Courier New" w:eastAsia="SimSun"/>
      <w:sz w:val="18"/>
    </w:rPr>
  </w:style>
</w:styles>
</file>