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Table 1 | </w:t>
      </w:r>
      <w:r>
        <w:rPr>
          <w:b/>
        </w:rPr>
        <w:t>The evaluations behind Figs. 1–7: the question each answers, its construction, the principal result and what it does not show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2" w:color="000000"/>
        </w:tblBorders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</w:tcPr>
          <w:p>
            <w:r>
              <w:rPr>
                <w:b/>
              </w:rPr>
              <w:t>Fig.</w:t>
            </w:r>
          </w:p>
        </w:tc>
        <w:tc>
          <w:tcPr>
            <w:tcW w:type="dxa" w:w="226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402"/>
          </w:tcPr>
          <w:p>
            <w:r>
              <w:rPr>
                <w:b/>
              </w:rPr>
              <w:t>Construction and data</w:t>
            </w:r>
          </w:p>
        </w:tc>
        <w:tc>
          <w:tcPr>
            <w:tcW w:type="dxa" w:w="5102"/>
          </w:tcPr>
          <w:p>
            <w:r>
              <w:rPr>
                <w:b/>
              </w:rPr>
              <w:t>Principal result</w:t>
            </w:r>
          </w:p>
        </w:tc>
        <w:tc>
          <w:tcPr>
            <w:tcW w:type="dxa" w:w="3798"/>
          </w:tcPr>
          <w:p>
            <w:r>
              <w:rPr>
                <w:b/>
              </w:rPr>
              <w:t>What it does not show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What does each plane hold, and what may the model do?</w:t>
            </w:r>
          </w:p>
        </w:tc>
        <w:tc>
          <w:tcPr>
            <w:tcW w:type="dxa" w:w="3402"/>
          </w:tcPr>
          <w:p>
            <w:r>
              <w:t>Counts read from the code at this commit; connectors' live-verification record</w:t>
            </w:r>
          </w:p>
        </w:tc>
        <w:tc>
          <w:tcPr>
            <w:tcW w:type="dxa" w:w="5102"/>
          </w:tcPr>
          <w:p>
            <w:r>
              <w:t>117 public sources with 444 typed operations, all 444 verified live (2026-09-17 to 2026-10-07); 150 native tools in 12 domains; 71 compiler diagnostics in 8 families; 19 claim codes</w:t>
            </w:r>
          </w:p>
        </w:tc>
        <w:tc>
          <w:tcPr>
            <w:tcW w:type="dxa" w:w="3798"/>
          </w:tcPr>
          <w:p>
            <w:r>
              <w:t>Isolation: components running in-process are not isolated, the bundled sandbox is a no-op, and the audit chain is tamper-evident, not tamper-proof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Can a prediction be released as a fact?</w:t>
            </w:r>
          </w:p>
        </w:tc>
        <w:tc>
          <w:tcPr>
            <w:tcW w:type="dxa" w:w="3402"/>
          </w:tcPr>
          <w:p>
            <w:r>
              <w:t>The kernel's design × claim matrix (16 designs × 8 claim kinds), checked against the compile-time table; 15 drafted claims through three end-to-end chains</w:t>
            </w:r>
          </w:p>
        </w:tc>
        <w:tc>
          <w:tcPr>
            <w:tcW w:type="dxa" w:w="5102"/>
          </w:tcPr>
          <w:p>
            <w:r>
              <w:t>An in-silico design licenses only a mechanism hypothesis; 5 of 15 drafted claims allowed and 10 refused, each with its codes; every verdict as the case expects (11 regenerated here)</w:t>
            </w:r>
          </w:p>
        </w:tc>
        <w:tc>
          <w:tcPr>
            <w:tcW w:type="dxa" w:w="3798"/>
          </w:tcPr>
          <w:p>
            <w:r>
              <w:t>That the matrix is right: it encodes a judgement about evidence that is enforced, not validated by an expert panel; the claims were drafted by people, not a model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Does the governance stop scientific errors, and which layer does it?</w:t>
            </w:r>
          </w:p>
        </w:tc>
        <w:tc>
          <w:tcPr>
            <w:tcW w:type="dxa" w:w="3402"/>
          </w:tcPr>
          <w:p>
            <w:r>
              <w:t>Mutation testing: 10 base outputs (6 Chinese, 4 English) × 26 error classes = 121 mutants; 5 gates; 14 configurations</w:t>
            </w:r>
          </w:p>
        </w:tc>
        <w:tc>
          <w:tcPr>
            <w:tcW w:type="dxa" w:w="5102"/>
          </w:tcPr>
          <w:p>
            <w:r>
              <w:t>Errors released: no governance 121/121 (100%; 95% CI 97–100%); domain layer 57/121 (47%; 95% CI 38–56%); kernel 7/121 (6%; 95% CI 3–11%); full stack 0/121 (0%; 95% CI 0–3%). Correct outputs refused: 0/10 in every configuration. Errors only one gate stops: output gate 42, ingest 10, claim contract 6, release path 1, licensing 0</w:t>
            </w:r>
          </w:p>
        </w:tc>
        <w:tc>
          <w:tcPr>
            <w:tcW w:type="dxa" w:w="3798"/>
          </w:tcPr>
          <w:p>
            <w:r>
              <w:t>Field error rates: cases and operators were written by the gates' authors; with no survivors left the benchmark guards against regression and no longer discriminates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Are the study-design labels the types rest on correct?</w:t>
            </w:r>
          </w:p>
        </w:tc>
        <w:tc>
          <w:tcPr>
            <w:tcW w:type="dxa" w:w="3402"/>
          </w:tcPr>
          <w:p>
            <w:r>
              <w:t>478 open-access abstracts (CC BY or CC0; 430 English, 48 Chinese) in 18 strata; reference: PubMed publication type; rules changed on dev (176), test (302) read once</w:t>
            </w:r>
          </w:p>
        </w:tc>
        <w:tc>
          <w:tcPr>
            <w:tcW w:type="dxa" w:w="5102"/>
          </w:tcPr>
          <w:p>
            <w:r>
              <w:t>Test: readings agreeing with PubMed 191/196 (97%; 95% CI 94–99%); studies typed 192/245 (78%; 95% CI 73–83%); negatives typed 4/57 (7%; 95% CI 3–17%); 5 wrong readings; hand-checked PCO values 23/30 (77%; 95% CI 59–88%)</w:t>
            </w:r>
          </w:p>
        </w:tc>
        <w:tc>
          <w:tcPr>
            <w:tcW w:type="dxa" w:w="3798"/>
          </w:tcPr>
          <w:p>
            <w:r>
              <w:t>Agreement with the truth: the reference is an indexer's label; the mix is stratified, not literature at large; one reader, not blinded, checked the PCO values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What does the 葛根芩连汤 network-pharmacology signal rest on?</w:t>
            </w:r>
          </w:p>
        </w:tc>
        <w:tc>
          <w:tcPr>
            <w:tcW w:type="dxa" w:w="3402"/>
          </w:tcPr>
          <w:p>
            <w:r>
              <w:t>1,792 constituents (NPASS, CMAUP, LOTUS); 391 assayed proteins; PubChem BioAssay 143,679 definitive results on 1,029 proteins; Reactome; Open Targets 26.09</w:t>
            </w:r>
          </w:p>
        </w:tc>
        <w:tc>
          <w:tcPr>
            <w:tcW w:type="dxa" w:w="5102"/>
          </w:tcPr>
          <w:p>
            <w:r>
              <w:t>Pathways significant: 66 of 1,684 against the whole annotation, 0 of 959 against assayed proteins. With inactives (472 proteins, 51,304 tests, 6.5% active) 9 pathways pass, six carried by cytochrome P450s (CYP1A2 136/205 active). Type 2 diabetes genes: fold 0.97 (P = 0.59) by genetics, 5.26 (P = 5.2 × 10⁻²⁶) by literature co-mention</w:t>
            </w:r>
          </w:p>
        </w:tc>
        <w:tc>
          <w:tcPr>
            <w:tcW w:type="dxa" w:w="3798"/>
          </w:tcPr>
          <w:p>
            <w:r>
              <w:t>A mechanism of action: inactives are rarely recorded, reporter panels are confounded by cytotoxicity and luciferase inhibition, and no result here is evidence of irrelevance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t>Do the released hypotheses survive hold-outs, and is berberine active at the exposure reached?</w:t>
            </w:r>
          </w:p>
        </w:tc>
        <w:tc>
          <w:tcPr>
            <w:tcW w:type="dxa" w:w="3402"/>
          </w:tcPr>
          <w:p>
            <w:r>
              <w:t>Hold-out of the 12 largest assay campaigns and of all CYP-panel screens (4,161 edges); rat pharmacokinetic group summaries (n = 10 per group); 128 active and 379 inactive ToxCast results</w:t>
            </w:r>
          </w:p>
        </w:tc>
        <w:tc>
          <w:tcPr>
            <w:tcW w:type="dxa" w:w="5102"/>
          </w:tcPr>
          <w:p>
            <w:r>
              <w:t>No pathway signal survives without the CYP panels (two untestable; one at q = 0.299). Formula vs 黄连 alone: AUC ratio 1.97 (90% CI 1.40–2.76), Cmax ratio 0.37 (90% CI 0.25–0.55); formula vs formula without 甘草: AUC ratio 2.61 (90% CI 1.80–3.79). 0 of 128 activities plausible at the measured Cmax (22–28 depend on the unknown unbound fraction, 100–106 implausible)</w:t>
            </w:r>
          </w:p>
        </w:tc>
        <w:tc>
          <w:tcPr>
            <w:tcW w:type="dxa" w:w="3798"/>
          </w:tcPr>
          <w:p>
            <w:r>
              <w:t>Efficacy, or a gut-lumen mechanism: these are group summaries in rats, the protocol is exploratory by its own record, and no gut concentration was measured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2268"/>
          </w:tcPr>
          <w:p>
            <w:r>
              <w:t>Does the inquiry engine find the true explanation, and stop?</w:t>
            </w:r>
          </w:p>
        </w:tc>
        <w:tc>
          <w:tcPr>
            <w:tcW w:type="dxa" w:w="3402"/>
          </w:tcPr>
          <w:p>
            <w:r>
              <w:t>Three planted worlds on the real 葛根芩连汤 herb layer; three explanations and a catch-all; seven analyses with predictions sealed before any run</w:t>
            </w:r>
          </w:p>
        </w:tc>
        <w:tc>
          <w:tcPr>
            <w:tcW w:type="dxa" w:w="5102"/>
          </w:tcPr>
          <w:p>
            <w:r>
              <w:t>3 of 3 true explanations accepted (posterior 0.974–0.976); mechanism claims released 1, 0, 0; network-pharmacology runs 45, 14 and 45 of 67; before any run the usual analysis is worth 0.06 bits, the assayed background 0.43</w:t>
            </w:r>
          </w:p>
        </w:tc>
        <w:tc>
          <w:tcPr>
            <w:tcW w:type="dxa" w:w="3798"/>
          </w:tcPr>
          <w:p>
            <w:r>
              <w:t>That it decides real questions well: the worlds were built to have an answer, the likelihoods are the proposer's commitments, and information gain looks one step ahead</w:t>
            </w:r>
          </w:p>
        </w:tc>
      </w:tr>
    </w:tbl>
    <w:p>
      <w:r>
        <w:rPr>
          <w:sz w:val="14"/>
        </w:rPr>
        <w:t>Proportions are given with Wilson score 95% confidence intervals (CI). Exposure ratios are ratios of published group means (n = 10 rats per group) with 90% CIs by the delta method on the log scale (t distribution, Welch–Satterthwaite degrees of freedom), the interval used for equivalence. P values in row 5 are one-sided hypergeometric, as reported by the pipeline and recomputed here from the counts. PCO, population, comparator and outcome. Cmax, peak plasma concentration; AUC, area under the concentration–time curve to the last sample. Sources for every number: manuscript/data (extracted from the code and committed results, or curated with the file and line each value is quoted from).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</dc:title>
  <dc:subject/>
  <dc:creator>TCMScience authors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