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Highlights</w:t>
      </w:r>
    </w:p>
    <w:p>
      <w:pPr>
        <w:numPr>
          <w:ilvl w:val="0"/>
          <w:numId w:val="1001"/>
        </w:numPr>
        <w:pStyle w:val="Compact"/>
      </w:pPr>
      <w:r>
        <w:t xml:space="preserve">A TCM discovery agent in which models propose, validators grade, experts approve.</w:t>
      </w:r>
    </w:p>
    <w:p>
      <w:pPr>
        <w:numPr>
          <w:ilvl w:val="0"/>
          <w:numId w:val="1001"/>
        </w:numPr>
        <w:pStyle w:val="Compact"/>
      </w:pPr>
      <w:r>
        <w:t xml:space="preserve">966 dated, layered witnesses of Chinese medical classics, 475 BCE–1949.</w:t>
      </w:r>
    </w:p>
    <w:p>
      <w:pPr>
        <w:numPr>
          <w:ilvl w:val="0"/>
          <w:numId w:val="1001"/>
        </w:numPr>
        <w:pStyle w:val="Compact"/>
      </w:pPr>
      <w:r>
        <w:t xml:space="preserve">Every claim must quote a dated witness verbatim and be stated by that quote.</w:t>
      </w:r>
    </w:p>
    <w:p>
      <w:pPr>
        <w:numPr>
          <w:ilvl w:val="0"/>
          <w:numId w:val="1001"/>
        </w:numPr>
        <w:pStyle w:val="Compact"/>
      </w:pPr>
      <w:r>
        <w:t xml:space="preserve">19 safety invariants hold; each breaks when its safeguard is removed.</w:t>
      </w:r>
    </w:p>
    <w:p>
      <w:pPr>
        <w:numPr>
          <w:ilvl w:val="0"/>
          <w:numId w:val="1001"/>
        </w:numPr>
        <w:pStyle w:val="Compact"/>
      </w:pPr>
      <w:r>
        <w:t xml:space="preserve">Blind temporal test: past rankings anticipate later links (P@10 0.168 vs 0.054).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Highlights</dc:title>
  <dc:creator/>
  <cp:keywords/>
  <dcterms:created xsi:type="dcterms:W3CDTF">2026-10-19T00:32:42Z</dcterms:created>
  <dcterms:modified xsi:type="dcterms:W3CDTF">2026-10-19T00:32:42Z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