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TaoChronos:</w:t>
      </w:r>
      <w:r>
        <w:t xml:space="preserve"> </w:t>
      </w:r>
      <w:r>
        <w:t xml:space="preserve">A</w:t>
      </w:r>
      <w:r>
        <w:t xml:space="preserve"> </w:t>
      </w:r>
      <w:r>
        <w:t xml:space="preserve">Reliable</w:t>
      </w:r>
      <w:r>
        <w:t xml:space="preserve"> </w:t>
      </w:r>
      <w:r>
        <w:t xml:space="preserve">Agent</w:t>
      </w:r>
      <w:r>
        <w:t xml:space="preserve"> </w:t>
      </w:r>
      <w:r>
        <w:t xml:space="preserve">for</w:t>
      </w:r>
      <w:r>
        <w:t xml:space="preserve"> </w:t>
      </w:r>
      <w:r>
        <w:t xml:space="preserve">Knowledge</w:t>
      </w:r>
      <w:r>
        <w:t xml:space="preserve"> </w:t>
      </w:r>
      <w:r>
        <w:t xml:space="preserve">Discovery</w:t>
      </w:r>
      <w:r>
        <w:t xml:space="preserve"> </w:t>
      </w:r>
      <w:r>
        <w:t xml:space="preserve">in</w:t>
      </w:r>
      <w:r>
        <w:t xml:space="preserve"> </w:t>
      </w:r>
      <w:r>
        <w:t xml:space="preserve">Traditional</w:t>
      </w:r>
      <w:r>
        <w:t xml:space="preserve"> </w:t>
      </w:r>
      <w:r>
        <w:t xml:space="preserve">Chinese</w:t>
      </w:r>
      <w:r>
        <w:t xml:space="preserve"> </w:t>
      </w:r>
      <w:r>
        <w:t xml:space="preserve">Medicine</w:t>
      </w:r>
    </w:p>
    <w:p>
      <w:pPr>
        <w:pStyle w:val="FirstParagraph"/>
      </w:pPr>
      <w:r>
        <w:rPr>
          <w:bCs/>
          <w:b/>
        </w:rPr>
        <w:t xml:space="preserve">Authors:</w:t>
      </w:r>
      <w:r>
        <w:t xml:space="preserve"> </w:t>
      </w:r>
      <w:r>
        <w:t xml:space="preserve">[Author 1]</w:t>
      </w:r>
      <w:r>
        <w:rPr>
          <w:vertAlign w:val="superscript"/>
        </w:rPr>
        <w:t xml:space="preserve">a,*</w:t>
      </w:r>
      <w:r>
        <w:t xml:space="preserve">, [Author 2]</w:t>
      </w:r>
      <w:r>
        <w:rPr>
          <w:vertAlign w:val="superscript"/>
        </w:rPr>
        <w:t xml:space="preserve">a</w:t>
      </w:r>
      <w:r>
        <w:t xml:space="preserve">, … [Corresponding author]</w:t>
      </w:r>
      <w:r>
        <w:rPr>
          <w:vertAlign w:val="superscript"/>
        </w:rPr>
        <w:t xml:space="preserve">a,*</w:t>
      </w:r>
    </w:p>
    <w:p>
      <w:pPr>
        <w:pStyle w:val="BodyText"/>
      </w:pPr>
      <w:r>
        <w:rPr>
          <w:vertAlign w:val="superscript"/>
        </w:rPr>
        <w:t xml:space="preserve">a</w:t>
      </w:r>
      <w:r>
        <w:t xml:space="preserve"> </w:t>
      </w:r>
      <w:r>
        <w:t xml:space="preserve">IMPF-AI (医哲未来人工智能研究院), [address].</w:t>
      </w:r>
      <w:r>
        <w:t xml:space="preserve"> </w:t>
      </w:r>
      <w:r>
        <w:t xml:space="preserve">*Corresponding author. E-mail address: [e-mail].</w:t>
      </w:r>
    </w:p>
    <w:p>
      <w:pPr>
        <w:pStyle w:val="BodyText"/>
      </w:pPr>
      <w:r>
        <w:rPr>
          <w:bCs/>
          <w:b/>
        </w:rPr>
        <w:t xml:space="preserve">Article type:</w:t>
      </w:r>
      <w:r>
        <w:t xml:space="preserve"> </w:t>
      </w:r>
      <w:r>
        <w:t xml:space="preserve">Research Article</w:t>
      </w:r>
    </w:p>
    <w:bookmarkStart w:id="20" w:name="abstract"/>
    <w:p>
      <w:pPr>
        <w:pStyle w:val="Heading1"/>
      </w:pPr>
      <w:r>
        <w:t xml:space="preserve">Abstract</w:t>
      </w:r>
    </w:p>
    <w:p>
      <w:pPr>
        <w:pStyle w:val="FirstParagraph"/>
      </w:pPr>
      <w:r>
        <w:t xml:space="preserve">Large language models (LLMs) can mine the classical literature of traditional Chinese medicine (TCM), yet what they</w:t>
      </w:r>
      <w:r>
        <w:t xml:space="preserve"> </w:t>
      </w:r>
      <w:r>
        <w:t xml:space="preserve">assert may misquote the texts, misread negations and conditions, count copies of one text as independent testimony,</w:t>
      </w:r>
      <w:r>
        <w:t xml:space="preserve"> </w:t>
      </w:r>
      <w:r>
        <w:t xml:space="preserve">equate historical with modern diseases, and resist checking without hindsight. We present TaoChronos, an agent for</w:t>
      </w:r>
      <w:r>
        <w:t xml:space="preserve"> </w:t>
      </w:r>
      <w:r>
        <w:t xml:space="preserve">knowledge discovery from the Chinese medical classics engineered so that reliability is a property of its</w:t>
      </w:r>
      <w:r>
        <w:t xml:space="preserve"> </w:t>
      </w:r>
      <w:r>
        <w:t xml:space="preserve">architecture rather than of its model: models and rules only propose, deterministic validators grade, and human</w:t>
      </w:r>
      <w:r>
        <w:t xml:space="preserve"> </w:t>
      </w:r>
      <w:r>
        <w:t xml:space="preserve">experts alone approve. Every state change is a typed event checked against the authority of its emitter; every claim</w:t>
      </w:r>
      <w:r>
        <w:t xml:space="preserve"> </w:t>
      </w:r>
      <w:r>
        <w:t xml:space="preserve">must quote a dated witness verbatim and be stated by that quote; and an executable research contract, fixed before</w:t>
      </w:r>
      <w:r>
        <w:t xml:space="preserve"> </w:t>
      </w:r>
      <w:r>
        <w:t xml:space="preserve">the first task, decides acceptance. On a corpus of 966 witnesses (123 million characters, 475 BCE–1949), TaoChronos</w:t>
      </w:r>
      <w:r>
        <w:t xml:space="preserve"> </w:t>
      </w:r>
      <w:r>
        <w:t xml:space="preserve">rejected 180 of 180 corrupted quotations, kept 19 of 19 safety invariants, each of which broke when its safeguard was</w:t>
      </w:r>
      <w:r>
        <w:t xml:space="preserve"> </w:t>
      </w:r>
      <w:r>
        <w:t xml:space="preserve">removed, and read 82 of 84 held-out hard interpretive cases correctly. In a blind temporal benchmark, rankings from</w:t>
      </w:r>
      <w:r>
        <w:t xml:space="preserve"> </w:t>
      </w:r>
      <w:r>
        <w:t xml:space="preserve">texts written before a cutoff anticipated links later physicians wrote (precision@10 0.168 vs 0.134 for popularity and</w:t>
      </w:r>
      <w:r>
        <w:t xml:space="preserve"> </w:t>
      </w:r>
      <w:r>
        <w:t xml:space="preserve">0.054 for chance;</w:t>
      </w:r>
      <w:r>
        <w:t xml:space="preserve"> </w:t>
      </w:r>
      <w:r>
        <w:rPr>
          <w:iCs/>
          <w:i/>
        </w:rPr>
        <w:t xml:space="preserve">P</w:t>
      </w:r>
      <w:r>
        <w:t xml:space="preserve"> </w:t>
      </w:r>
      <w:r>
        <w:t xml:space="preserve">= 2.4 × 10⁻¹⁶). All results were obtained without calling a language model.</w:t>
      </w:r>
    </w:p>
    <w:p>
      <w:pPr>
        <w:pStyle w:val="BodyText"/>
      </w:pPr>
      <w:r>
        <w:rPr>
          <w:bCs/>
          <w:b/>
        </w:rPr>
        <w:t xml:space="preserve">Keywords:</w:t>
      </w:r>
      <w:r>
        <w:t xml:space="preserve"> </w:t>
      </w:r>
      <w:r>
        <w:t xml:space="preserve">Traditional Chinese medicine; Large language model agents; Knowledge discovery; Provenance; Trustworthy</w:t>
      </w:r>
      <w:r>
        <w:t xml:space="preserve"> </w:t>
      </w:r>
      <w:r>
        <w:t xml:space="preserve">artificial intelligence</w:t>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The classical literature of traditional Chinese medicine (TCM) is one of the longest written records of clinical</w:t>
      </w:r>
      <w:r>
        <w:t xml:space="preserve"> </w:t>
      </w:r>
      <w:r>
        <w:t xml:space="preserve">observation, and it has yielded medicines: a fourth-century prescription in Ge Hong’s</w:t>
      </w:r>
      <w:r>
        <w:t xml:space="preserve"> </w:t>
      </w:r>
      <w:r>
        <w:rPr>
          <w:iCs/>
          <w:i/>
        </w:rPr>
        <w:t xml:space="preserve">Zhouhou beiji fang</w:t>
      </w:r>
      <w:r>
        <w:t xml:space="preserve"> </w:t>
      </w:r>
      <w:r>
        <w:t xml:space="preserve">suggested</w:t>
      </w:r>
      <w:r>
        <w:t xml:space="preserve"> </w:t>
      </w:r>
      <w:r>
        <w:t xml:space="preserve">the low-temperature extraction that led to artemisinin</w:t>
      </w:r>
      <w:r>
        <w:t xml:space="preserve"> </w:t>
      </w:r>
      <w:r>
        <w:t xml:space="preserve">[</w:t>
      </w:r>
      <w:hyperlink w:anchor="ref-tu2011artemisinin">
        <w:r>
          <w:rPr>
            <w:rStyle w:val="Hyperlink"/>
          </w:rPr>
          <w:t xml:space="preserve">1</w:t>
        </w:r>
      </w:hyperlink>
      <w:r>
        <w:t xml:space="preserve">]</w:t>
      </w:r>
      <w:r>
        <w:t xml:space="preserve">, and arsenic, a mineral drug of the</w:t>
      </w:r>
      <w:r>
        <w:t xml:space="preserve"> </w:t>
      </w:r>
      <w:r>
        <w:t xml:space="preserve">tradition, became a cure for acute promyelocytic leukemia</w:t>
      </w:r>
      <w:r>
        <w:t xml:space="preserve"> </w:t>
      </w:r>
      <w:r>
        <w:t xml:space="preserve">[</w:t>
      </w:r>
      <w:hyperlink w:anchor="ref-wang2008apl">
        <w:r>
          <w:rPr>
            <w:rStyle w:val="Hyperlink"/>
          </w:rPr>
          <w:t xml:space="preserve">2</w:t>
        </w:r>
      </w:hyperlink>
      <w:r>
        <w:t xml:space="preserve">]</w:t>
      </w:r>
      <w:r>
        <w:t xml:space="preserve">. Literature-based discovery joins what</w:t>
      </w:r>
      <w:r>
        <w:t xml:space="preserve"> </w:t>
      </w:r>
      <w:r>
        <w:t xml:space="preserve">different texts say</w:t>
      </w:r>
      <w:r>
        <w:t xml:space="preserve"> </w:t>
      </w:r>
      <w:r>
        <w:t xml:space="preserve">[</w:t>
      </w:r>
      <w:hyperlink w:anchor="ref-swanson1986fish">
        <w:r>
          <w:rPr>
            <w:rStyle w:val="Hyperlink"/>
          </w:rPr>
          <w:t xml:space="preserve">3</w:t>
        </w:r>
      </w:hyperlink>
      <w:r>
        <w:t xml:space="preserve">]</w:t>
      </w:r>
      <w:r>
        <w:t xml:space="preserve">, and machine reading of modern literature anticipates findings before they are</w:t>
      </w:r>
      <w:r>
        <w:t xml:space="preserve"> </w:t>
      </w:r>
      <w:r>
        <w:t xml:space="preserve">published</w:t>
      </w:r>
      <w:r>
        <w:t xml:space="preserve"> </w:t>
      </w:r>
      <w:r>
        <w:t xml:space="preserve">[</w:t>
      </w:r>
      <w:hyperlink w:anchor="ref-tshitoyan2019unsupervised">
        <w:r>
          <w:rPr>
            <w:rStyle w:val="Hyperlink"/>
          </w:rPr>
          <w:t xml:space="preserve">4</w:t>
        </w:r>
      </w:hyperlink>
      <w:r>
        <w:t xml:space="preserve">,</w:t>
      </w:r>
      <w:hyperlink w:anchor="ref-krenn2023forecasting">
        <w:r>
          <w:rPr>
            <w:rStyle w:val="Hyperlink"/>
          </w:rPr>
          <w:t xml:space="preserve">5</w:t>
        </w:r>
      </w:hyperlink>
      <w:r>
        <w:t xml:space="preserve">]</w:t>
      </w:r>
      <w:r>
        <w:t xml:space="preserve">. The TCM classics are harder: a passage survives in</w:t>
      </w:r>
      <w:r>
        <w:t xml:space="preserve"> </w:t>
      </w:r>
      <w:r>
        <w:t xml:space="preserve">witnesses that differ character by character, its date is often a range, commentaries accumulated over centuries,</w:t>
      </w:r>
      <w:r>
        <w:t xml:space="preserve"> </w:t>
      </w:r>
      <w:r>
        <w:t xml:space="preserve">names changed their meaning, and most of what later books say was copied from earlier ones.</w:t>
      </w:r>
    </w:p>
    <w:p>
      <w:pPr>
        <w:pStyle w:val="BodyText"/>
      </w:pPr>
      <w:r>
        <w:t xml:space="preserve">ZhongJingGPT, introduced in 2023 as the first large language model dedicated to TCM, fine-tuned general-purpose</w:t>
      </w:r>
      <w:r>
        <w:t xml:space="preserve"> </w:t>
      </w:r>
      <w:r>
        <w:t xml:space="preserve">models on instructions constructed from TCM expert knowledge</w:t>
      </w:r>
      <w:r>
        <w:t xml:space="preserve"> </w:t>
      </w:r>
      <w:r>
        <w:t xml:space="preserve">[</w:t>
      </w:r>
      <w:hyperlink w:anchor="ref-kang2025zhongjinggpt">
        <w:r>
          <w:rPr>
            <w:rStyle w:val="Hyperlink"/>
          </w:rPr>
          <w:t xml:space="preserve">6</w:t>
        </w:r>
      </w:hyperlink>
      <w:r>
        <w:t xml:space="preserve">,</w:t>
      </w:r>
      <w:hyperlink w:anchor="ref-cmlm2023zhongjing">
        <w:r>
          <w:rPr>
            <w:rStyle w:val="Hyperlink"/>
          </w:rPr>
          <w:t xml:space="preserve">7</w:t>
        </w:r>
      </w:hyperlink>
      <w:r>
        <w:t xml:space="preserve">]</w:t>
      </w:r>
      <w:r>
        <w:t xml:space="preserve">; Chinese</w:t>
      </w:r>
      <w:r>
        <w:t xml:space="preserve"> </w:t>
      </w:r>
      <w:r>
        <w:t xml:space="preserve">medical models</w:t>
      </w:r>
      <w:r>
        <w:t xml:space="preserve"> </w:t>
      </w:r>
      <w:r>
        <w:t xml:space="preserve">[</w:t>
      </w:r>
      <w:hyperlink w:anchor="ref-zhang2023huatuogpt">
        <w:r>
          <w:rPr>
            <w:rStyle w:val="Hyperlink"/>
          </w:rPr>
          <w:t xml:space="preserve">8</w:t>
        </w:r>
      </w:hyperlink>
      <w:r>
        <w:t xml:space="preserve">,</w:t>
      </w:r>
      <w:hyperlink w:anchor="ref-yang2024zhongjing">
        <w:r>
          <w:rPr>
            <w:rStyle w:val="Hyperlink"/>
          </w:rPr>
          <w:t xml:space="preserve">9</w:t>
        </w:r>
      </w:hyperlink>
      <w:r>
        <w:t xml:space="preserve">]</w:t>
      </w:r>
      <w:r>
        <w:t xml:space="preserve">, TCM benchmarks</w:t>
      </w:r>
      <w:r>
        <w:t xml:space="preserve"> </w:t>
      </w:r>
      <w:r>
        <w:t xml:space="preserve">[</w:t>
      </w:r>
      <w:hyperlink w:anchor="ref-yue2024tcmbench">
        <w:r>
          <w:rPr>
            <w:rStyle w:val="Hyperlink"/>
          </w:rPr>
          <w:t xml:space="preserve">10</w:t>
        </w:r>
      </w:hyperlink>
      <w:r>
        <w:t xml:space="preserve">]</w:t>
      </w:r>
      <w:r>
        <w:t xml:space="preserve"> </w:t>
      </w:r>
      <w:r>
        <w:t xml:space="preserve">and LLM-built knowledge</w:t>
      </w:r>
      <w:r>
        <w:t xml:space="preserve"> </w:t>
      </w:r>
      <w:r>
        <w:t xml:space="preserve">graphs of the ancient literature</w:t>
      </w:r>
      <w:r>
        <w:t xml:space="preserve"> </w:t>
      </w:r>
      <w:r>
        <w:t xml:space="preserve">[</w:t>
      </w:r>
      <w:hyperlink w:anchor="ref-li2025tcmrdkg">
        <w:r>
          <w:rPr>
            <w:rStyle w:val="Hyperlink"/>
          </w:rPr>
          <w:t xml:space="preserve">11</w:t>
        </w:r>
      </w:hyperlink>
      <w:r>
        <w:t xml:space="preserve">,</w:t>
      </w:r>
      <w:hyperlink w:anchor="ref-xiang2025kgclassics">
        <w:r>
          <w:rPr>
            <w:rStyle w:val="Hyperlink"/>
          </w:rPr>
          <w:t xml:space="preserve">12</w:t>
        </w:r>
      </w:hyperlink>
      <w:r>
        <w:t xml:space="preserve">]</w:t>
      </w:r>
      <w:r>
        <w:t xml:space="preserve"> </w:t>
      </w:r>
      <w:r>
        <w:t xml:space="preserve">followed. LLM agents now plan experiments and</w:t>
      </w:r>
      <w:r>
        <w:t xml:space="preserve"> </w:t>
      </w:r>
      <w:r>
        <w:t xml:space="preserve">propose and test hypotheses</w:t>
      </w:r>
      <w:r>
        <w:t xml:space="preserve"> </w:t>
      </w:r>
      <w:r>
        <w:t xml:space="preserve">[</w:t>
      </w:r>
      <w:hyperlink w:anchor="ref-boiko2023autonomous">
        <w:r>
          <w:rPr>
            <w:rStyle w:val="Hyperlink"/>
          </w:rPr>
          <w:t xml:space="preserve">13</w:t>
        </w:r>
      </w:hyperlink>
      <w:r>
        <w:t xml:space="preserve">–</w:t>
      </w:r>
      <w:hyperlink w:anchor="ref-lu2026endtoend">
        <w:r>
          <w:rPr>
            <w:rStyle w:val="Hyperlink"/>
          </w:rPr>
          <w:t xml:space="preserve">17</w:t>
        </w:r>
      </w:hyperlink>
      <w:r>
        <w:t xml:space="preserve">]</w:t>
      </w:r>
      <w:r>
        <w:t xml:space="preserve">. In these systems reliability rests largely on the model, and LLMs can state</w:t>
      </w:r>
      <w:r>
        <w:t xml:space="preserve"> </w:t>
      </w:r>
      <w:r>
        <w:t xml:space="preserve">fluent claims with unsupported citations</w:t>
      </w:r>
      <w:r>
        <w:t xml:space="preserve"> </w:t>
      </w:r>
      <w:r>
        <w:t xml:space="preserve">[</w:t>
      </w:r>
      <w:hyperlink w:anchor="ref-ji2023hallucination">
        <w:r>
          <w:rPr>
            <w:rStyle w:val="Hyperlink"/>
          </w:rPr>
          <w:t xml:space="preserve">18</w:t>
        </w:r>
      </w:hyperlink>
      <w:r>
        <w:t xml:space="preserve">–</w:t>
      </w:r>
      <w:hyperlink w:anchor="ref-thirunavukarasu2023llm">
        <w:r>
          <w:rPr>
            <w:rStyle w:val="Hyperlink"/>
          </w:rPr>
          <w:t xml:space="preserve">20</w:t>
        </w:r>
      </w:hyperlink>
      <w:r>
        <w:t xml:space="preserve">]</w:t>
      </w:r>
      <w:r>
        <w:t xml:space="preserve">. On historical</w:t>
      </w:r>
      <w:r>
        <w:t xml:space="preserve"> </w:t>
      </w:r>
      <w:r>
        <w:t xml:space="preserve">medical texts the failure modes are specific (Table 1).</w:t>
      </w:r>
    </w:p>
    <w:p>
      <w:pPr>
        <w:pStyle w:val="BodyText"/>
      </w:pPr>
      <w:r>
        <w:t xml:space="preserve">We argue that reliability must be engineered into the agent’s architecture. TaoChronos (道乃久) follows one principle,</w:t>
      </w:r>
      <w:r>
        <w:t xml:space="preserve"> </w:t>
      </w:r>
      <w:r>
        <w:rPr>
          <w:iCs/>
          <w:i/>
        </w:rPr>
        <w:t xml:space="preserve">deterministic harness, stochastic intelligence</w:t>
      </w:r>
      <w:r>
        <w:t xml:space="preserve">: state, permissions, verification, stopping and acceptance are</w:t>
      </w:r>
      <w:r>
        <w:t xml:space="preserve"> </w:t>
      </w:r>
      <w:r>
        <w:t xml:space="preserve">deterministic code, and intelligence — a language model or a rule-based procedure standing in for one — may only</w:t>
      </w:r>
      <w:r>
        <w:t xml:space="preserve"> </w:t>
      </w:r>
      <w:r>
        <w:t xml:space="preserve">propose. Our four contributions are:</w:t>
      </w:r>
    </w:p>
    <w:p>
      <w:pPr>
        <w:numPr>
          <w:ilvl w:val="0"/>
          <w:numId w:val="1001"/>
        </w:numPr>
        <w:pStyle w:val="Compact"/>
      </w:pPr>
      <w:r>
        <w:rPr>
          <w:bCs/>
          <w:b/>
        </w:rPr>
        <w:t xml:space="preserve">An agent architecture that separates proposal from verdict:</w:t>
      </w:r>
      <w:r>
        <w:t xml:space="preserve"> </w:t>
      </w:r>
      <w:r>
        <w:t xml:space="preserve">an event-sourced research object, authority by</w:t>
      </w:r>
      <w:r>
        <w:t xml:space="preserve"> </w:t>
      </w:r>
      <w:r>
        <w:t xml:space="preserve">principal over 61 event types, a permissioned tool mesh, hooks that require verbatim and semantically supported</w:t>
      </w:r>
      <w:r>
        <w:t xml:space="preserve"> </w:t>
      </w:r>
      <w:r>
        <w:t xml:space="preserve">quotations, nine epistemic gates and an executable research contract (Fig. 1).</w:t>
      </w:r>
    </w:p>
    <w:p>
      <w:pPr>
        <w:numPr>
          <w:ilvl w:val="0"/>
          <w:numId w:val="1001"/>
        </w:numPr>
        <w:pStyle w:val="Compact"/>
      </w:pPr>
      <w:r>
        <w:rPr>
          <w:bCs/>
          <w:b/>
        </w:rPr>
        <w:t xml:space="preserve">A dated, layered and license-tracked corpus</w:t>
      </w:r>
      <w:r>
        <w:t xml:space="preserve"> </w:t>
      </w:r>
      <w:r>
        <w:t xml:space="preserve">of 966 witnesses of 761 works (about 123 million characters,</w:t>
      </w:r>
      <w:r>
        <w:t xml:space="preserve"> </w:t>
      </w:r>
      <w:r>
        <w:t xml:space="preserve">2.05 million passages, 475 BCE–1949), with an openly licensed canon defined by the tradition’s own citations that</w:t>
      </w:r>
      <w:r>
        <w:t xml:space="preserve"> </w:t>
      </w:r>
      <w:r>
        <w:t xml:space="preserve">runs in a web browser (Fig. 2).</w:t>
      </w:r>
    </w:p>
    <w:p>
      <w:pPr>
        <w:numPr>
          <w:ilvl w:val="0"/>
          <w:numId w:val="1001"/>
        </w:numPr>
        <w:pStyle w:val="Compact"/>
      </w:pPr>
      <w:r>
        <w:rPr>
          <w:bCs/>
          <w:b/>
        </w:rPr>
        <w:t xml:space="preserve">A three-layer evaluation of reliability and research value:</w:t>
      </w:r>
      <w:r>
        <w:t xml:space="preserve"> </w:t>
      </w:r>
      <w:r>
        <w:t xml:space="preserve">safety invariants checked by mutation, hard</w:t>
      </w:r>
      <w:r>
        <w:t xml:space="preserve"> </w:t>
      </w:r>
      <w:r>
        <w:t xml:space="preserve">interpretive cases with unsafe errors counted apart in blind rounds, and a blind temporal benchmark in which</w:t>
      </w:r>
      <w:r>
        <w:t xml:space="preserve"> </w:t>
      </w:r>
      <w:r>
        <w:t xml:space="preserve">leakage is counted rather than assumed (Figs. 4 and 5).</w:t>
      </w:r>
    </w:p>
    <w:p>
      <w:pPr>
        <w:numPr>
          <w:ilvl w:val="0"/>
          <w:numId w:val="1001"/>
        </w:numPr>
        <w:pStyle w:val="Compact"/>
      </w:pPr>
      <w:r>
        <w:rPr>
          <w:bCs/>
          <w:b/>
        </w:rPr>
        <w:t xml:space="preserve">Guarded ancient–modern translation and full transparency:</w:t>
      </w:r>
      <w:r>
        <w:t xml:space="preserve"> </w:t>
      </w:r>
      <w:r>
        <w:t xml:space="preserve">phenotypic similarity to modern diseases through the</w:t>
      </w:r>
      <w:r>
        <w:t xml:space="preserve"> </w:t>
      </w:r>
      <w:r>
        <w:t xml:space="preserve">Human Phenotype Ontology</w:t>
      </w:r>
      <w:r>
        <w:t xml:space="preserve"> </w:t>
      </w:r>
      <w:r>
        <w:t xml:space="preserve">[</w:t>
      </w:r>
      <w:hyperlink w:anchor="ref-kohler2021hpo">
        <w:r>
          <w:rPr>
            <w:rStyle w:val="Hyperlink"/>
          </w:rPr>
          <w:t xml:space="preserve">21</w:t>
        </w:r>
      </w:hyperlink>
      <w:r>
        <w:t xml:space="preserve">]</w:t>
      </w:r>
      <w:r>
        <w:t xml:space="preserve">, never retrospective diagnosis, and a complete, replayable research run</w:t>
      </w:r>
      <w:r>
        <w:t xml:space="preserve"> </w:t>
      </w:r>
      <w:r>
        <w:t xml:space="preserve">released with its unrepaired failure analysis (Fig. 3).</w:t>
      </w:r>
    </w:p>
    <w:bookmarkEnd w:id="21"/>
    <w:bookmarkStart w:id="26" w:name="materials-and-methods"/>
    <w:p>
      <w:pPr>
        <w:pStyle w:val="Heading1"/>
      </w:pPr>
      <w:r>
        <w:rPr>
          <w:rStyle w:val="SectionNumber"/>
        </w:rPr>
        <w:t xml:space="preserve">2</w:t>
      </w:r>
      <w:r>
        <w:tab/>
      </w:r>
      <w:r>
        <w:t xml:space="preserve">Materials and methods</w:t>
      </w:r>
    </w:p>
    <w:bookmarkStart w:id="22" w:name="corpus"/>
    <w:p>
      <w:pPr>
        <w:pStyle w:val="Heading2"/>
      </w:pPr>
      <w:r>
        <w:rPr>
          <w:rStyle w:val="SectionNumber"/>
        </w:rPr>
        <w:t xml:space="preserve">2.1</w:t>
      </w:r>
      <w:r>
        <w:tab/>
      </w:r>
      <w:r>
        <w:t xml:space="preserve">Corpus</w:t>
      </w:r>
    </w:p>
    <w:p>
      <w:pPr>
        <w:pStyle w:val="FirstParagraph"/>
      </w:pPr>
      <w:r>
        <w:t xml:space="preserve">Transcriptions came from ten sources, among them the Kanseki Repository (the</w:t>
      </w:r>
      <w:r>
        <w:t xml:space="preserve"> </w:t>
      </w:r>
      <w:r>
        <w:rPr>
          <w:iCs/>
          <w:i/>
        </w:rPr>
        <w:t xml:space="preserve">Siku quanshu</w:t>
      </w:r>
      <w:r>
        <w:t xml:space="preserve"> </w:t>
      </w:r>
      <w:r>
        <w:t xml:space="preserve">medical section),</w:t>
      </w:r>
      <w:r>
        <w:t xml:space="preserve"> </w:t>
      </w:r>
      <w:r>
        <w:t xml:space="preserve">JiCheng (中醫笈成), CMETA (數位中醫校書郎), Wikisource and McGill University Library (Supplementary Table 13). Admission</w:t>
      </w:r>
      <w:r>
        <w:t xml:space="preserve"> </w:t>
      </w:r>
      <w:r>
        <w:t xml:space="preserve">removes contemporary publications and modern annotated editions; de-duplication against more trusted sources uses</w:t>
      </w:r>
      <w:r>
        <w:t xml:space="preserve"> </w:t>
      </w:r>
      <w:r>
        <w:t xml:space="preserve">normalized 12-character shingles, while independently collated transcriptions are kept as separate witnesses. Dating</w:t>
      </w:r>
      <w:r>
        <w:t xml:space="preserve"> </w:t>
      </w:r>
      <w:r>
        <w:t xml:space="preserve">is layer-aware: main text, commentaries, editors’ notes and later additions are dated apart, from curated overrides,</w:t>
      </w:r>
      <w:r>
        <w:t xml:space="preserve"> </w:t>
      </w:r>
      <w:r>
        <w:t xml:space="preserve">book records, dated prefaces (parsed with a table of reign eras), other witnesses and the author’s life; an undatable</w:t>
      </w:r>
      <w:r>
        <w:t xml:space="preserve"> </w:t>
      </w:r>
      <w:r>
        <w:t xml:space="preserve">witness is placed in the Qing (1644–1911), never earlier. Each passage keeps its book, edition, locator, date range,</w:t>
      </w:r>
      <w:r>
        <w:t xml:space="preserve"> </w:t>
      </w:r>
      <w:r>
        <w:t xml:space="preserve">layer, transcription source and license; normalization of variant forms is used for matching only. A work’s influence</w:t>
      </w:r>
      <w:r>
        <w:t xml:space="preserve"> </w:t>
      </w:r>
      <w:r>
        <w:t xml:space="preserve">is 10 log₂(1 + citing works) + 2 × (periods citing it) + 2 log₂(1 + citations) + 3 log₂(1 + witnesses) + 6 × (inclusion</w:t>
      </w:r>
      <w:r>
        <w:t xml:space="preserve"> </w:t>
      </w:r>
      <w:r>
        <w:t xml:space="preserve">in the</w:t>
      </w:r>
      <w:r>
        <w:t xml:space="preserve"> </w:t>
      </w:r>
      <w:r>
        <w:rPr>
          <w:iCs/>
          <w:i/>
        </w:rPr>
        <w:t xml:space="preserve">Siku quanshu</w:t>
      </w:r>
      <w:r>
        <w:t xml:space="preserve">); the openly licensed witnesses of the 535 ranked works (533 have one) form the web corpus</w:t>
      </w:r>
      <w:r>
        <w:t xml:space="preserve"> </w:t>
      </w:r>
      <w:r>
        <w:t xml:space="preserve">(553 witnesses, 10.46 million characters, 168,278 passages) used in Figs. 2e and 3.</w:t>
      </w:r>
    </w:p>
    <w:bookmarkEnd w:id="22"/>
    <w:bookmarkStart w:id="23" w:name="agent-architecture"/>
    <w:p>
      <w:pPr>
        <w:pStyle w:val="Heading2"/>
      </w:pPr>
      <w:r>
        <w:rPr>
          <w:rStyle w:val="SectionNumber"/>
        </w:rPr>
        <w:t xml:space="preserve">2.2</w:t>
      </w:r>
      <w:r>
        <w:tab/>
      </w:r>
      <w:r>
        <w:t xml:space="preserve">Agent architecture</w:t>
      </w:r>
    </w:p>
    <w:p>
      <w:pPr>
        <w:pStyle w:val="FirstParagraph"/>
      </w:pPr>
      <w:r>
        <w:t xml:space="preserve">The research object holds all scientific state and is changed only by a reducer applying typed events in</w:t>
      </w:r>
      <w:r>
        <w:t xml:space="preserve"> </w:t>
      </w:r>
      <w:r>
        <w:t xml:space="preserve">transactions; each event carries its principal (kernel, human, validator or agent), set from an identity object, and</w:t>
      </w:r>
      <w:r>
        <w:t xml:space="preserve"> </w:t>
      </w:r>
      <w:r>
        <w:t xml:space="preserve">the reducer refuses an event its principal may not emit (Fig. 1b). Agents propose; only validators grade gates,</w:t>
      </w:r>
      <w:r>
        <w:t xml:space="preserve"> </w:t>
      </w:r>
      <w:r>
        <w:t xml:space="preserve">scores and the contract; only a human sets gate G7 (expert approval); an objection closes only when a validator</w:t>
      </w:r>
      <w:r>
        <w:t xml:space="preserve"> </w:t>
      </w:r>
      <w:r>
        <w:t xml:space="preserve">re-runs its check or an expert decides. Sixteen agents (a Director and fifteen specialists, from Curator and</w:t>
      </w:r>
      <w:r>
        <w:t xml:space="preserve"> </w:t>
      </w:r>
      <w:r>
        <w:t xml:space="preserve">Philologist to Hypothesis agent and Skeptic) are configurations naming permissions, tools, context view, output</w:t>
      </w:r>
      <w:r>
        <w:t xml:space="preserve"> </w:t>
      </w:r>
      <w:r>
        <w:t xml:space="preserve">schema, model tier and budget; a deterministic procedure and a model produce the same typed output, verified by one</w:t>
      </w:r>
      <w:r>
        <w:t xml:space="preserve"> </w:t>
      </w:r>
      <w:r>
        <w:t xml:space="preserve">commit function. Each of 85 tools needs one of eight permissions; a scope guard and a result firewall wrap every call;</w:t>
      </w:r>
      <w:r>
        <w:t xml:space="preserve"> </w:t>
      </w:r>
      <w:r>
        <w:t xml:space="preserve">receipts form a hash chain. The state hash covers scientific fields only, so reruns, resumed and parallel runs agree.</w:t>
      </w:r>
    </w:p>
    <w:bookmarkEnd w:id="23"/>
    <w:bookmarkStart w:id="24" w:name="claims-readings-discovery-and-acceptance"/>
    <w:p>
      <w:pPr>
        <w:pStyle w:val="Heading2"/>
      </w:pPr>
      <w:r>
        <w:rPr>
          <w:rStyle w:val="SectionNumber"/>
        </w:rPr>
        <w:t xml:space="preserve">2.3</w:t>
      </w:r>
      <w:r>
        <w:tab/>
      </w:r>
      <w:r>
        <w:t xml:space="preserve">Claims, readings, discovery and acceptance</w:t>
      </w:r>
    </w:p>
    <w:p>
      <w:pPr>
        <w:pStyle w:val="FirstParagraph"/>
      </w:pPr>
      <w:r>
        <w:t xml:space="preserve">The Extractor turns passages into claim hyperedges, e.g. indicated_for(formula: 五苓散 | pulse: 浮, symptom: 小便不利,</w:t>
      </w:r>
      <w:r>
        <w:t xml:space="preserve"> </w:t>
      </w:r>
      <w:r>
        <w:t xml:space="preserve">symptom: 微热, disease: 消渴), with spans, negations and conditions. At commit the harness relocates every quotation in</w:t>
      </w:r>
      <w:r>
        <w:t xml:space="preserve"> </w:t>
      </w:r>
      <w:r>
        <w:t xml:space="preserve">its passage and a semantic-support reader checks that the quotation states the relation, reading cues, consequences,</w:t>
      </w:r>
      <w:r>
        <w:t xml:space="preserve"> </w:t>
      </w:r>
      <w:r>
        <w:t xml:space="preserve">pronouns, negations and the statement frame (speaker; asserted, reported or rejected stance); a contradicted claim is</w:t>
      </w:r>
      <w:r>
        <w:t xml:space="preserve"> </w:t>
      </w:r>
      <w:r>
        <w:t xml:space="preserve">refused, and a registry of textual cruxes harvested from commentaries makes doubtful clauses read as ambiguous. Five</w:t>
      </w:r>
      <w:r>
        <w:t xml:space="preserve"> </w:t>
      </w:r>
      <w:r>
        <w:t xml:space="preserve">engines propose: lost knowledge (D1), concept drift by Jensen–Shannon divergence with permutation tests (D2), formula</w:t>
      </w:r>
      <w:r>
        <w:t xml:space="preserve"> </w:t>
      </w:r>
      <w:r>
        <w:t xml:space="preserve">evolution (D3), hidden associations by Adamic–Adar link prediction</w:t>
      </w:r>
      <w:r>
        <w:t xml:space="preserve"> </w:t>
      </w:r>
      <w:r>
        <w:t xml:space="preserve">[</w:t>
      </w:r>
      <w:hyperlink w:anchor="ref-adamic2003friends">
        <w:r>
          <w:rPr>
            <w:rStyle w:val="Hyperlink"/>
          </w:rPr>
          <w:t xml:space="preserve">22</w:t>
        </w:r>
      </w:hyperlink>
      <w:r>
        <w:t xml:space="preserve">]</w:t>
      </w:r>
      <w:r>
        <w:t xml:space="preserve"> </w:t>
      </w:r>
      <w:r>
        <w:t xml:space="preserve">(D4) and contradictions (D5).</w:t>
      </w:r>
      <w:r>
        <w:t xml:space="preserve"> </w:t>
      </w:r>
      <w:r>
        <w:t xml:space="preserve">The Skeptic tries to refute each hypothesis</w:t>
      </w:r>
      <w:r>
        <w:t xml:space="preserve"> </w:t>
      </w:r>
      <w:r>
        <w:t xml:space="preserve">[</w:t>
      </w:r>
      <w:hyperlink w:anchor="ref-popper1959logic">
        <w:r>
          <w:rPr>
            <w:rStyle w:val="Hyperlink"/>
          </w:rPr>
          <w:t xml:space="preserve">23</w:t>
        </w:r>
      </w:hyperlink>
      <w:r>
        <w:t xml:space="preserve">]</w:t>
      </w:r>
      <w:r>
        <w:t xml:space="preserve">; for arguments from silence it searches the whole scope</w:t>
      </w:r>
      <w:r>
        <w:t xml:space="preserve"> </w:t>
      </w:r>
      <w:r>
        <w:t xml:space="preserve">for explicit supported statements, which raise hard, critical objections. Gates G0–G8 grade source, transcription,</w:t>
      </w:r>
      <w:r>
        <w:t xml:space="preserve"> </w:t>
      </w:r>
      <w:r>
        <w:t xml:space="preserve">philology, sense, claim provenance, independent source families, falsification, expert approval and modern evidence;</w:t>
      </w:r>
      <w:r>
        <w:t xml:space="preserve"> </w:t>
      </w:r>
      <w:r>
        <w:t xml:space="preserve">the contract judges each hypothesis on its current version as accepted, needing an expert, inconclusive or rejected.</w:t>
      </w:r>
    </w:p>
    <w:bookmarkEnd w:id="24"/>
    <w:bookmarkStart w:id="25" w:name="evaluation-design"/>
    <w:p>
      <w:pPr>
        <w:pStyle w:val="Heading2"/>
      </w:pPr>
      <w:r>
        <w:rPr>
          <w:rStyle w:val="SectionNumber"/>
        </w:rPr>
        <w:t xml:space="preserve">2.4</w:t>
      </w:r>
      <w:r>
        <w:tab/>
      </w:r>
      <w:r>
        <w:t xml:space="preserve">Evaluation design</w:t>
      </w:r>
    </w:p>
    <w:p>
      <w:pPr>
        <w:pStyle w:val="FirstParagraph"/>
      </w:pPr>
      <w:r>
        <w:t xml:space="preserve">Forty suites form three layers (Supplementary Table 1). (i) Nineteen invariants run as probes against the agent and</w:t>
      </w:r>
      <w:r>
        <w:t xml:space="preserve"> </w:t>
      </w:r>
      <w:r>
        <w:t xml:space="preserve">against six variants, each with one boundary deleted at run time</w:t>
      </w:r>
      <w:r>
        <w:t xml:space="preserve"> </w:t>
      </w:r>
      <w:r>
        <w:t xml:space="preserve">[</w:t>
      </w:r>
      <w:hyperlink w:anchor="ref-jia2011mutation">
        <w:r>
          <w:rPr>
            <w:rStyle w:val="Hyperlink"/>
          </w:rPr>
          <w:t xml:space="preserve">24</w:t>
        </w:r>
      </w:hyperlink>
      <w:r>
        <w:t xml:space="preserve">]</w:t>
      </w:r>
      <w:r>
        <w:t xml:space="preserve">. (ii) 107 hard interpretive cases</w:t>
      </w:r>
      <w:r>
        <w:t xml:space="preserve"> </w:t>
      </w:r>
      <w:r>
        <w:t xml:space="preserve">in eight classes (23 development, 84 held out, split fixed before the first run), unsafe errors counted apart, and</w:t>
      </w:r>
      <w:r>
        <w:t xml:space="preserve"> </w:t>
      </w:r>
      <w:r>
        <w:t xml:space="preserve">four blind rounds written before the rules that first read them. (iii) A blind temporal benchmark: the full corpus is</w:t>
      </w:r>
      <w:r>
        <w:t xml:space="preserve"> </w:t>
      </w:r>
      <w:r>
        <w:t xml:space="preserve">split at 1127 and 1368, a passage belonging to a side only if its whole date range does, with every read path bounded</w:t>
      </w:r>
      <w:r>
        <w:t xml:space="preserve"> </w:t>
      </w:r>
      <w:r>
        <w:t xml:space="preserve">in SQL; for each disease or symptom with 150–6,000 past and ≥ 300 future passages, unlinked formulas and drugs of its</w:t>
      </w:r>
      <w:r>
        <w:t xml:space="preserve"> </w:t>
      </w:r>
      <w:r>
        <w:t xml:space="preserve">past graph are ranked, and a candidate comes true when claims in ≥ 2 later books link it. Precision@</w:t>
      </w:r>
      <w:r>
        <w:rPr>
          <w:iCs/>
          <w:i/>
        </w:rPr>
        <w:t xml:space="preserve">k</w:t>
      </w:r>
      <w:r>
        <w:t xml:space="preserve"> </w:t>
      </w:r>
      <w:r>
        <w:t xml:space="preserve">has Wilson</w:t>
      </w:r>
      <w:r>
        <w:t xml:space="preserve"> </w:t>
      </w:r>
      <w:r>
        <w:t xml:space="preserve">intervals</w:t>
      </w:r>
      <w:r>
        <w:t xml:space="preserve"> </w:t>
      </w:r>
      <w:r>
        <w:t xml:space="preserve">[</w:t>
      </w:r>
      <w:hyperlink w:anchor="ref-wilson1927probable">
        <w:r>
          <w:rPr>
            <w:rStyle w:val="Hyperlink"/>
          </w:rPr>
          <w:t xml:space="preserve">25</w:t>
        </w:r>
      </w:hyperlink>
      <w:r>
        <w:t xml:space="preserve">]</w:t>
      </w:r>
      <w:r>
        <w:t xml:space="preserve">, mean average precision a 999-resample bootstrap interval, and paired comparisons</w:t>
      </w:r>
      <w:r>
        <w:t xml:space="preserve"> </w:t>
      </w:r>
      <w:r>
        <w:t xml:space="preserve">two-sided exact sign tests. Rules were written before the first run; all results used rules only.</w:t>
      </w:r>
    </w:p>
    <w:bookmarkEnd w:id="25"/>
    <w:bookmarkEnd w:id="26"/>
    <w:bookmarkStart w:id="32" w:name="results"/>
    <w:p>
      <w:pPr>
        <w:pStyle w:val="Heading1"/>
      </w:pPr>
      <w:r>
        <w:rPr>
          <w:rStyle w:val="SectionNumber"/>
        </w:rPr>
        <w:t xml:space="preserve">3</w:t>
      </w:r>
      <w:r>
        <w:tab/>
      </w:r>
      <w:r>
        <w:t xml:space="preserve">Results</w:t>
      </w:r>
    </w:p>
    <w:bookmarkStart w:id="27" w:name="a-dated-layered-corpus"/>
    <w:p>
      <w:pPr>
        <w:pStyle w:val="Heading2"/>
      </w:pPr>
      <w:r>
        <w:rPr>
          <w:rStyle w:val="SectionNumber"/>
        </w:rPr>
        <w:t xml:space="preserve">3.1</w:t>
      </w:r>
      <w:r>
        <w:tab/>
      </w:r>
      <w:r>
        <w:t xml:space="preserve">A dated, layered corpus</w:t>
      </w:r>
    </w:p>
    <w:p>
      <w:pPr>
        <w:pStyle w:val="FirstParagraph"/>
      </w:pPr>
      <w:r>
        <w:t xml:space="preserve">The store holds 966 witnesses, 537 dated to a single year; the basis of each date is recorded, from curation (329) to</w:t>
      </w:r>
      <w:r>
        <w:t xml:space="preserve"> </w:t>
      </w:r>
      <w:r>
        <w:t xml:space="preserve">signed prefaces (139); 104 undated witnesses are counted as Qing (Fig. 2). Records of 10,001 printed and manuscript</w:t>
      </w:r>
      <w:r>
        <w:t xml:space="preserve"> </w:t>
      </w:r>
      <w:r>
        <w:t xml:space="preserve">copies in eleven digitized collections link 179 works to physical witnesses (Supplementary Fig. 4). The openly</w:t>
      </w:r>
      <w:r>
        <w:t xml:space="preserve"> </w:t>
      </w:r>
      <w:r>
        <w:t xml:space="preserve">licensed texts of 533 of the 535 canon works form a web corpus of 553 witnesses that runs in the browser (Fig. 2e).</w:t>
      </w:r>
    </w:p>
    <w:bookmarkEnd w:id="27"/>
    <w:bookmarkStart w:id="28" w:name="one-research-question-end-to-end"/>
    <w:p>
      <w:pPr>
        <w:pStyle w:val="Heading2"/>
      </w:pPr>
      <w:r>
        <w:rPr>
          <w:rStyle w:val="SectionNumber"/>
        </w:rPr>
        <w:t xml:space="preserve">3.2</w:t>
      </w:r>
      <w:r>
        <w:tab/>
      </w:r>
      <w:r>
        <w:t xml:space="preserve">One research question, end to end</w:t>
      </w:r>
    </w:p>
    <w:p>
      <w:pPr>
        <w:pStyle w:val="FirstParagraph"/>
      </w:pPr>
      <w:r>
        <w:t xml:space="preserve">We asked how the composition and indications of Shenqi wan changed over time, with Shenqi wan and Liuwei dihuang wan as</w:t>
      </w:r>
      <w:r>
        <w:t xml:space="preserve"> </w:t>
      </w:r>
      <w:r>
        <w:t xml:space="preserve">focus terms and 消渴 = diabetes forbidden, on the open canon corpus (273 books, 1,620 passages; Fig. 3a). The run</w:t>
      </w:r>
      <w:r>
        <w:t xml:space="preserve"> </w:t>
      </w:r>
      <w:r>
        <w:t xml:space="preserve">planned 30 tasks in three rounds, wrote 678 events, called 143 tools (none refused) and no model; it extracted 935</w:t>
      </w:r>
      <w:r>
        <w:t xml:space="preserve"> </w:t>
      </w:r>
      <w:r>
        <w:t xml:space="preserve">claims and recorded 80 evidence and 13 counter-evidence records (Fig. 3b). Of 14 hypotheses, the Skeptic kept 2, sent</w:t>
      </w:r>
      <w:r>
        <w:t xml:space="preserve"> </w:t>
      </w:r>
      <w:r>
        <w:t xml:space="preserve">11 to be narrowed and rejected 1, raising 102 objections (Fig. 3c). Four await an expert: two meet every</w:t>
      </w:r>
      <w:r>
        <w:t xml:space="preserve"> </w:t>
      </w:r>
      <w:r>
        <w:t xml:space="preserve">machine-checkable criterion — restlessness (烦躁) with strangury (淋) as an indication of Liuwei dihuang wan, on two</w:t>
      </w:r>
      <w:r>
        <w:t xml:space="preserve"> </w:t>
      </w:r>
      <w:r>
        <w:t xml:space="preserve">independent families of Qing books (H1), and a Ming-to-Qing shift of 中风 from wind attack to stroke (H2) — and two</w:t>
      </w:r>
      <w:r>
        <w:t xml:space="preserve"> </w:t>
      </w:r>
      <w:r>
        <w:t xml:space="preserve">rest in part on a quotation that does not clearly state its claim. Nine were inconclusive, all short of two</w:t>
      </w:r>
      <w:r>
        <w:t xml:space="preserve"> </w:t>
      </w:r>
      <w:r>
        <w:t xml:space="preserve">independent families; the association of copious drinking and urine with Shenqi wan (H5) rests on six books that all</w:t>
      </w:r>
      <w:r>
        <w:t xml:space="preserve"> </w:t>
      </w:r>
      <w:r>
        <w:t xml:space="preserve">carry one</w:t>
      </w:r>
      <w:r>
        <w:t xml:space="preserve"> </w:t>
      </w:r>
      <w:r>
        <w:rPr>
          <w:iCs/>
          <w:i/>
        </w:rPr>
        <w:t xml:space="preserve">Jingui yaolüe</w:t>
      </w:r>
      <w:r>
        <w:t xml:space="preserve"> </w:t>
      </w:r>
      <w:r>
        <w:t xml:space="preserve">clause (Fig. 1c). One, that heat (热) and counterflow qi (上气) were not linked after 960</w:t>
      </w:r>
      <w:r>
        <w:t xml:space="preserve"> </w:t>
      </w:r>
      <w:r>
        <w:t xml:space="preserve">(R1), was rejected because three later books state the link (Fig. 3d,e). A second run wrote the same report.</w:t>
      </w:r>
    </w:p>
    <w:p>
      <w:pPr>
        <w:pStyle w:val="BodyText"/>
      </w:pPr>
      <w:r>
        <w:t xml:space="preserve">Reading every hypothesis against its evidence found six failure modes (Supplementary Fig. 1). The independence gate</w:t>
      </w:r>
      <w:r>
        <w:t xml:space="preserve"> </w:t>
      </w:r>
      <w:r>
        <w:t xml:space="preserve">merged books linked by any transcription or rephrasing, transitively, putting 36 of the 46 evidence books in one</w:t>
      </w:r>
      <w:r>
        <w:t xml:space="preserve"> </w:t>
      </w:r>
      <w:r>
        <w:t xml:space="preserve">family; with transcription links only, four failed hypotheses would rest on two or three families, though two (H5,</w:t>
      </w:r>
      <w:r>
        <w:t xml:space="preserve"> </w:t>
      </w:r>
      <w:r>
        <w:t xml:space="preserve">H13) do rest on copies of one clause. The rules read two items of one list as an association (R1), took drift</w:t>
      </w:r>
      <w:r>
        <w:t xml:space="preserve"> </w:t>
      </w:r>
      <w:r>
        <w:t xml:space="preserve">evidence from passages not naming 中风 and let three drifts whose permutation tests failed (</w:t>
      </w:r>
      <w:r>
        <w:rPr>
          <w:iCs/>
          <w:i/>
        </w:rPr>
        <w:t xml:space="preserve">P</w:t>
      </w:r>
      <w:r>
        <w:t xml:space="preserve"> </w:t>
      </w:r>
      <w:r>
        <w:t xml:space="preserve">= 0.66–0.98) reach the</w:t>
      </w:r>
      <w:r>
        <w:t xml:space="preserve"> </w:t>
      </w:r>
      <w:r>
        <w:t xml:space="preserve">expert as</w:t>
      </w:r>
      <w:r>
        <w:t xml:space="preserve"> </w:t>
      </w:r>
      <w:r>
        <w:t xml:space="preserve">‘</w:t>
      </w:r>
      <w:r>
        <w:t xml:space="preserve">exploratory</w:t>
      </w:r>
      <w:r>
        <w:t xml:space="preserve">’</w:t>
      </w:r>
      <w:r>
        <w:t xml:space="preserve">, read Xue Ji’s records of failed treatments as doctrine, did not merge hypotheses sharing</w:t>
      </w:r>
      <w:r>
        <w:t xml:space="preserve"> </w:t>
      </w:r>
      <w:r>
        <w:t xml:space="preserve">evidence and, on the sampled open corpus, missed the 1119 first record of Liuwei dihuang wan. None led to acceptance,</w:t>
      </w:r>
      <w:r>
        <w:t xml:space="preserve"> </w:t>
      </w:r>
      <w:r>
        <w:t xml:space="preserve">and the largest made the gate stricter, not looser; we report them unrepaired.</w:t>
      </w:r>
    </w:p>
    <w:bookmarkEnd w:id="28"/>
    <w:bookmarkStart w:id="29" w:name="quotations-boundaries-and-hard-readings"/>
    <w:p>
      <w:pPr>
        <w:pStyle w:val="Heading2"/>
      </w:pPr>
      <w:r>
        <w:rPr>
          <w:rStyle w:val="SectionNumber"/>
        </w:rPr>
        <w:t xml:space="preserve">3.3</w:t>
      </w:r>
      <w:r>
        <w:tab/>
      </w:r>
      <w:r>
        <w:t xml:space="preserve">Quotations, boundaries and hard readings</w:t>
      </w:r>
    </w:p>
    <w:p>
      <w:pPr>
        <w:pStyle w:val="FirstParagraph"/>
      </w:pPr>
      <w:r>
        <w:t xml:space="preserve">On 60 random passages, all verbatim quotations were accepted and all 180 corrupted ones (one character replaced,</w:t>
      </w:r>
      <w:r>
        <w:t xml:space="preserve"> </w:t>
      </w:r>
      <w:r>
        <w:t xml:space="preserve">random characters, shifted span) rejected (Fig. 4a). All 19 invariants held on the intact agent; each removed boundary</w:t>
      </w:r>
      <w:r>
        <w:t xml:space="preserve"> </w:t>
      </w:r>
      <w:r>
        <w:t xml:space="preserve">broke the invariant named for it and no other (127 of 133 cells held; Fig. 4b). The agent read 82 of 84 held-out hard</w:t>
      </w:r>
      <w:r>
        <w:t xml:space="preserve"> </w:t>
      </w:r>
      <w:r>
        <w:t xml:space="preserve">cases correctly (0.976); both errors were unsafe, textual cruxes the harvest does not find (Fig. 4c). Blind rounds</w:t>
      </w:r>
      <w:r>
        <w:t xml:space="preserve"> </w:t>
      </w:r>
      <w:r>
        <w:t xml:space="preserve">scored 43/53, 30/32, 7/10 (a new class of cruxes) and, after a registry of 127 cruxes was harvested from the</w:t>
      </w:r>
      <w:r>
        <w:t xml:space="preserve"> </w:t>
      </w:r>
      <w:r>
        <w:t xml:space="preserve">commentaries, 5/5 (Fig. 4d). On 25,000 full-corpus passages this second reader found 71 rule claims contradicted by</w:t>
      </w:r>
      <w:r>
        <w:t xml:space="preserve"> </w:t>
      </w:r>
      <w:r>
        <w:t xml:space="preserve">their own quotes; after the extractor was fixed, the 12 left are refused at commit.</w:t>
      </w:r>
    </w:p>
    <w:bookmarkEnd w:id="29"/>
    <w:bookmarkStart w:id="30" w:name="Xf62e82536c35400cb98fca9575053e7853f6c73"/>
    <w:p>
      <w:pPr>
        <w:pStyle w:val="Heading2"/>
      </w:pPr>
      <w:r>
        <w:rPr>
          <w:rStyle w:val="SectionNumber"/>
        </w:rPr>
        <w:t xml:space="preserve">3.4</w:t>
      </w:r>
      <w:r>
        <w:tab/>
      </w:r>
      <w:r>
        <w:t xml:space="preserve">Rankings from the past anticipate later links</w:t>
      </w:r>
    </w:p>
    <w:p>
      <w:pPr>
        <w:pStyle w:val="FirstParagraph"/>
      </w:pPr>
      <w:r>
        <w:t xml:space="preserve">In 189 topic–cutoff pairs with a link that came true (29,467 candidates, 1,314 true; base rate 4.5%), Adamic–Adar</w:t>
      </w:r>
      <w:r>
        <w:t xml:space="preserve"> </w:t>
      </w:r>
      <w:r>
        <w:t xml:space="preserve">reached precision@10 0.168 (95% CI 0.152–0.185) against 0.134 for popularity and 0.054 for chance, and mean average</w:t>
      </w:r>
      <w:r>
        <w:t xml:space="preserve"> </w:t>
      </w:r>
      <w:r>
        <w:t xml:space="preserve">precision 0.199 against 0.143 and 0.092 (Fig. 5b); it beat popularity in 149 pairs and lost in 39</w:t>
      </w:r>
      <w:r>
        <w:t xml:space="preserve"> </w:t>
      </w:r>
      <w:r>
        <w:t xml:space="preserve">(</w:t>
      </w:r>
      <w:r>
        <w:rPr>
          <w:iCs/>
          <w:i/>
        </w:rPr>
        <w:t xml:space="preserve">P</w:t>
      </w:r>
      <w:r>
        <w:t xml:space="preserve"> </w:t>
      </w:r>
      <w:r>
        <w:t xml:space="preserve">= 2.4 × 10⁻¹⁶; Fig. 5c). Leakage was zero. Run on the past view at 1368, the pipeline’s surviving held-out</w:t>
      </w:r>
      <w:r>
        <w:t xml:space="preserve"> </w:t>
      </w:r>
      <w:r>
        <w:t xml:space="preserve">predictions were discoveries (true and new) in 7 of 19 (0.37; 95% CI 0.19–0.59), after absence checks rejected two</w:t>
      </w:r>
      <w:r>
        <w:t xml:space="preserve"> </w:t>
      </w:r>
      <w:r>
        <w:t xml:space="preserve">wrong</w:t>
      </w:r>
      <w:r>
        <w:t xml:space="preserve"> </w:t>
      </w:r>
      <w:r>
        <w:t xml:space="preserve">‘</w:t>
      </w:r>
      <w:r>
        <w:t xml:space="preserve">lost</w:t>
      </w:r>
      <w:r>
        <w:t xml:space="preserve">’</w:t>
      </w:r>
      <w:r>
        <w:t xml:space="preserve"> </w:t>
      </w:r>
      <w:r>
        <w:t xml:space="preserve">and two already-written</w:t>
      </w:r>
      <w:r>
        <w:t xml:space="preserve"> </w:t>
      </w:r>
      <w:r>
        <w:t xml:space="preserve">‘</w:t>
      </w:r>
      <w:r>
        <w:t xml:space="preserve">hidden</w:t>
      </w:r>
      <w:r>
        <w:t xml:space="preserve">’</w:t>
      </w:r>
      <w:r>
        <w:t xml:space="preserve"> </w:t>
      </w:r>
      <w:r>
        <w:t xml:space="preserve">associations and no discovery (Fig. 5d). On the open canon corpus alone</w:t>
      </w:r>
      <w:r>
        <w:t xml:space="preserve"> </w:t>
      </w:r>
      <w:r>
        <w:t xml:space="preserve">(51 pairs, 109 true links) Adamic–Adar beat popularity (37/14,</w:t>
      </w:r>
      <w:r>
        <w:t xml:space="preserve"> </w:t>
      </w:r>
      <w:r>
        <w:rPr>
          <w:iCs/>
          <w:i/>
        </w:rPr>
        <w:t xml:space="preserve">P</w:t>
      </w:r>
      <w:r>
        <w:t xml:space="preserve"> </w:t>
      </w:r>
      <w:r>
        <w:t xml:space="preserve">= 0.0018) but not chance (19/32,</w:t>
      </w:r>
      <w:r>
        <w:t xml:space="preserve"> </w:t>
      </w:r>
      <w:r>
        <w:rPr>
          <w:iCs/>
          <w:i/>
        </w:rPr>
        <w:t xml:space="preserve">P</w:t>
      </w:r>
      <w:r>
        <w:t xml:space="preserve"> </w:t>
      </w:r>
      <w:r>
        <w:t xml:space="preserve">= 0.092;</w:t>
      </w:r>
      <w:r>
        <w:t xml:space="preserve"> </w:t>
      </w:r>
      <w:r>
        <w:t xml:space="preserve">Supplementary Fig. 3): the benchmark needs the full corpus.</w:t>
      </w:r>
    </w:p>
    <w:bookmarkEnd w:id="30"/>
    <w:bookmarkStart w:id="31" w:name="X6d30369ee00de8c250495ae672f603756fd14d9"/>
    <w:p>
      <w:pPr>
        <w:pStyle w:val="Heading2"/>
      </w:pPr>
      <w:r>
        <w:rPr>
          <w:rStyle w:val="SectionNumber"/>
        </w:rPr>
        <w:t xml:space="preserve">3.5</w:t>
      </w:r>
      <w:r>
        <w:tab/>
      </w:r>
      <w:r>
        <w:t xml:space="preserve">Generalization, the study layer and the bridge</w:t>
      </w:r>
    </w:p>
    <w:p>
      <w:pPr>
        <w:pStyle w:val="FirstParagraph"/>
      </w:pPr>
      <w:r>
        <w:t xml:space="preserve">Held-out data show where rules transfer (Supplementary Fig. 2, Supplementary Table 14): entity recognition fell from F1</w:t>
      </w:r>
      <w:r>
        <w:t xml:space="preserve"> </w:t>
      </w:r>
      <w:r>
        <w:t xml:space="preserve">0.99 to 0.78 and lost-text reconstruction from precision 0.86 to 0.32, while a learned punctuation model reached</w:t>
      </w:r>
      <w:r>
        <w:t xml:space="preserve"> </w:t>
      </w:r>
      <w:r>
        <w:t xml:space="preserve">boundary F1 0.767 on 55 held-out works (rules 0.235) without changing a character. The deterministic study layer</w:t>
      </w:r>
      <w:r>
        <w:t xml:space="preserve"> </w:t>
      </w:r>
      <w:r>
        <w:t xml:space="preserve">recovers dated taboo renamings (薯蓣 → 山药, 1000–1200; 玄参 → 元参, 1600–1800), the Qing rise of warm disease</w:t>
      </w:r>
      <w:r>
        <w:t xml:space="preserve"> </w:t>
      </w:r>
      <w:r>
        <w:t xml:space="preserve">(Cochran–Armitage</w:t>
      </w:r>
      <w:r>
        <w:t xml:space="preserve"> </w:t>
      </w:r>
      <w:r>
        <w:rPr>
          <w:iCs/>
          <w:i/>
        </w:rPr>
        <w:t xml:space="preserve">z</w:t>
      </w:r>
      <w:r>
        <w:t xml:space="preserve"> </w:t>
      </w:r>
      <w:r>
        <w:t xml:space="preserve">= 7.30</w:t>
      </w:r>
      <w:r>
        <w:t xml:space="preserve"> </w:t>
      </w:r>
      <w:r>
        <w:t xml:space="preserve">[</w:t>
      </w:r>
      <w:hyperlink w:anchor="ref-armitage1955tests">
        <w:r>
          <w:rPr>
            <w:rStyle w:val="Hyperlink"/>
          </w:rPr>
          <w:t xml:space="preserve">26</w:t>
        </w:r>
      </w:hyperlink>
      <w:r>
        <w:t xml:space="preserve">]</w:t>
      </w:r>
      <w:r>
        <w:t xml:space="preserve">) and the drug cores of classical formulas (Supplementary Fig. 5). The</w:t>
      </w:r>
      <w:r>
        <w:t xml:space="preserve"> </w:t>
      </w:r>
      <w:r>
        <w:t xml:space="preserve">ancient–modern bridge maps 168 ancient phenotypes onto 213 HPO terms with typed relations and 64 disease profiles at</w:t>
      </w:r>
      <w:r>
        <w:t xml:space="preserve"> </w:t>
      </w:r>
      <w:r>
        <w:t xml:space="preserve">qualitative levels; on 12 random held-out passages it reached F1 0.822 (precision 0.938, recall 0.732), and its</w:t>
      </w:r>
      <w:r>
        <w:t xml:space="preserve"> </w:t>
      </w:r>
      <w:r>
        <w:t xml:space="preserve">presentism guard handled 24 of 24 translation cases. Modern evidence is typed by design and population, and</w:t>
      </w:r>
      <w:r>
        <w:t xml:space="preserve"> </w:t>
      </w:r>
      <w:r>
        <w:t xml:space="preserve">real-world-data questions compile to one checked, read-only OMOP query</w:t>
      </w:r>
      <w:r>
        <w:t xml:space="preserve"> </w:t>
      </w:r>
      <w:r>
        <w:t xml:space="preserve">[</w:t>
      </w:r>
      <w:hyperlink w:anchor="ref-hripcsak2015ohdsi">
        <w:r>
          <w:rPr>
            <w:rStyle w:val="Hyperlink"/>
          </w:rPr>
          <w:t xml:space="preserve">27</w:t>
        </w:r>
      </w:hyperlink>
      <w:r>
        <w:t xml:space="preserve">]</w:t>
      </w:r>
      <w:r>
        <w:t xml:space="preserve">, never model-written SQL.</w:t>
      </w:r>
    </w:p>
    <w:bookmarkEnd w:id="31"/>
    <w:bookmarkEnd w:id="32"/>
    <w:bookmarkStart w:id="33" w:name="discussion"/>
    <w:p>
      <w:pPr>
        <w:pStyle w:val="Heading1"/>
      </w:pPr>
      <w:r>
        <w:rPr>
          <w:rStyle w:val="SectionNumber"/>
        </w:rPr>
        <w:t xml:space="preserve">4</w:t>
      </w:r>
      <w:r>
        <w:tab/>
      </w:r>
      <w:r>
        <w:t xml:space="preserve">Discussion</w:t>
      </w:r>
    </w:p>
    <w:p>
      <w:pPr>
        <w:pStyle w:val="FirstParagraph"/>
      </w:pPr>
      <w:r>
        <w:t xml:space="preserve">TaoChronos shows that the reliability of a discovery agent can be engineered and measured. The checks are code a model</w:t>
      </w:r>
      <w:r>
        <w:t xml:space="preserve"> </w:t>
      </w:r>
      <w:r>
        <w:t xml:space="preserve">cannot route around: a misquotation cannot be committed, an agent cannot approve its own hypothesis, a finished run is</w:t>
      </w:r>
      <w:r>
        <w:t xml:space="preserve"> </w:t>
      </w:r>
      <w:r>
        <w:t xml:space="preserve">not an accepted finding, and a test of foresight cannot read the future; each boundary was measured by deleting it.</w:t>
      </w:r>
      <w:r>
        <w:t xml:space="preserve"> </w:t>
      </w:r>
      <w:r>
        <w:t xml:space="preserve">The design complements TCM language models such as ZhongJingGPT</w:t>
      </w:r>
      <w:r>
        <w:t xml:space="preserve"> </w:t>
      </w:r>
      <w:r>
        <w:t xml:space="preserve">[</w:t>
      </w:r>
      <w:hyperlink w:anchor="ref-kang2025zhongjinggpt">
        <w:r>
          <w:rPr>
            <w:rStyle w:val="Hyperlink"/>
          </w:rPr>
          <w:t xml:space="preserve">6</w:t>
        </w:r>
      </w:hyperlink>
      <w:r>
        <w:t xml:space="preserve">]</w:t>
      </w:r>
      <w:r>
        <w:t xml:space="preserve">: a domain model can act as the</w:t>
      </w:r>
      <w:r>
        <w:t xml:space="preserve"> </w:t>
      </w:r>
      <w:r>
        <w:t xml:space="preserve">proposer inside the harness, where its claims meet the same checks. Because the kernel names no classic text, vendor</w:t>
      </w:r>
      <w:r>
        <w:t xml:space="preserve"> </w:t>
      </w:r>
      <w:r>
        <w:t xml:space="preserve">or database, the architecture can serve other written medical traditions.</w:t>
      </w:r>
    </w:p>
    <w:p>
      <w:pPr>
        <w:pStyle w:val="BodyText"/>
      </w:pPr>
      <w:r>
        <w:t xml:space="preserve">Five engineering lessons carry beyond TCM. First, authority belongs to identity objects, not strings: a principal set</w:t>
      </w:r>
      <w:r>
        <w:t xml:space="preserve"> </w:t>
      </w:r>
      <w:r>
        <w:t xml:space="preserve">by the session cannot be forged by an emitter that writes</w:t>
      </w:r>
      <w:r>
        <w:t xml:space="preserve"> </w:t>
      </w:r>
      <w:r>
        <w:t xml:space="preserve">“</w:t>
      </w:r>
      <w:r>
        <w:t xml:space="preserve">human</w:t>
      </w:r>
      <w:r>
        <w:t xml:space="preserve">”</w:t>
      </w:r>
      <w:r>
        <w:t xml:space="preserve">. Second, a quotation is located by the harness,</w:t>
      </w:r>
      <w:r>
        <w:t xml:space="preserve"> </w:t>
      </w:r>
      <w:r>
        <w:t xml:space="preserve">never trusted from its producer, and read for what it states, not only matched. Third, execution and acceptance are</w:t>
      </w:r>
      <w:r>
        <w:t xml:space="preserve"> </w:t>
      </w:r>
      <w:r>
        <w:t xml:space="preserve">different outcomes; a contract whose criteria name their judges and failure states keeps</w:t>
      </w:r>
      <w:r>
        <w:t xml:space="preserve"> </w:t>
      </w:r>
      <w:r>
        <w:t xml:space="preserve">“</w:t>
      </w:r>
      <w:r>
        <w:t xml:space="preserve">completed</w:t>
      </w:r>
      <w:r>
        <w:t xml:space="preserve">”</w:t>
      </w:r>
      <w:r>
        <w:t xml:space="preserve"> </w:t>
      </w:r>
      <w:r>
        <w:t xml:space="preserve">from meaning</w:t>
      </w:r>
      <w:r>
        <w:t xml:space="preserve"> </w:t>
      </w:r>
      <w:r>
        <w:t xml:space="preserve">“</w:t>
      </w:r>
      <w:r>
        <w:t xml:space="preserve">accepted</w:t>
      </w:r>
      <w:r>
        <w:t xml:space="preserve">”</w:t>
      </w:r>
      <w:r>
        <w:t xml:space="preserve">. Fourth, every safeguard should be tested by deleting it: a check whose removal breaks nothing is not shown</w:t>
      </w:r>
      <w:r>
        <w:t xml:space="preserve"> </w:t>
      </w:r>
      <w:r>
        <w:t xml:space="preserve">to work. Fifth, a temporal view must bound every read path, indexes and caches included, so that a test of foresight</w:t>
      </w:r>
      <w:r>
        <w:t xml:space="preserve"> </w:t>
      </w:r>
      <w:r>
        <w:t xml:space="preserve">counts leakage instead of assuming its absence.</w:t>
      </w:r>
    </w:p>
    <w:p>
      <w:pPr>
        <w:pStyle w:val="BodyText"/>
      </w:pPr>
      <w:r>
        <w:t xml:space="preserve">The temporal benchmark evaluates discovery without hindsight, and its verdict is narrow: rankings anticipate later</w:t>
      </w:r>
      <w:r>
        <w:t xml:space="preserve"> </w:t>
      </w:r>
      <w:r>
        <w:t xml:space="preserve">links well above popularity and chance</w:t>
      </w:r>
      <w:r>
        <w:t xml:space="preserve"> </w:t>
      </w:r>
      <w:r>
        <w:t xml:space="preserve">[</w:t>
      </w:r>
      <w:hyperlink w:anchor="ref-libennowell2007link">
        <w:r>
          <w:rPr>
            <w:rStyle w:val="Hyperlink"/>
          </w:rPr>
          <w:t xml:space="preserve">28</w:t>
        </w:r>
      </w:hyperlink>
      <w:r>
        <w:t xml:space="preserve">]</w:t>
      </w:r>
      <w:r>
        <w:t xml:space="preserve">, but anticipation is not efficacy, and about a third of</w:t>
      </w:r>
      <w:r>
        <w:t xml:space="preserve"> </w:t>
      </w:r>
      <w:r>
        <w:t xml:space="preserve">surviving predictions were discoveries. Limitations: most gold sets were written by the authors with the rules they</w:t>
      </w:r>
      <w:r>
        <w:t xml:space="preserve"> </w:t>
      </w:r>
      <w:r>
        <w:t xml:space="preserve">test, and held-out samples are small; model-assisted modes were not evaluated; the independence gate over-merges</w:t>
      </w:r>
      <w:r>
        <w:t xml:space="preserve"> </w:t>
      </w:r>
      <w:r>
        <w:t xml:space="preserve">source families (independence should be judged per claim), and a failed test of a hypothesis’s own statistic should</w:t>
      </w:r>
      <w:r>
        <w:t xml:space="preserve"> </w:t>
      </w:r>
      <w:r>
        <w:t xml:space="preserve">be a hard objection rather than narrowed away; the full corpus cannot be redistributed and the open subset</w:t>
      </w:r>
      <w:r>
        <w:t xml:space="preserve"> </w:t>
      </w:r>
      <w:r>
        <w:t xml:space="preserve">is too small for the benchmark; levels and verdicts are ordinal, not calibrated; and the transcriptions were not</w:t>
      </w:r>
      <w:r>
        <w:t xml:space="preserve"> </w:t>
      </w:r>
      <w:r>
        <w:t xml:space="preserve">collated by this project. TaoChronos gives no clinical or dosage advice.</w:t>
      </w:r>
    </w:p>
    <w:bookmarkEnd w:id="33"/>
    <w:bookmarkStart w:id="34" w:name="conclusions"/>
    <w:p>
      <w:pPr>
        <w:pStyle w:val="Heading1"/>
      </w:pPr>
      <w:r>
        <w:rPr>
          <w:rStyle w:val="SectionNumber"/>
        </w:rPr>
        <w:t xml:space="preserve">5</w:t>
      </w:r>
      <w:r>
        <w:tab/>
      </w:r>
      <w:r>
        <w:t xml:space="preserve">Conclusions</w:t>
      </w:r>
    </w:p>
    <w:p>
      <w:pPr>
        <w:pStyle w:val="FirstParagraph"/>
      </w:pPr>
      <w:r>
        <w:t xml:space="preserve">Reliability, for an agent that mines historical medical texts, is not a claim that the agent is right. It is a</w:t>
      </w:r>
      <w:r>
        <w:t xml:space="preserve"> </w:t>
      </w:r>
      <w:r>
        <w:t xml:space="preserve">guarantee about what the agent cannot do, a record from which every conclusion can be rebuilt, and a measure of how</w:t>
      </w:r>
      <w:r>
        <w:t xml:space="preserve"> </w:t>
      </w:r>
      <w:r>
        <w:t xml:space="preserve">often its proposals deserve a scholar’s time. TaoChronos provides all three, with code, open corpus, evaluation</w:t>
      </w:r>
      <w:r>
        <w:t xml:space="preserve"> </w:t>
      </w:r>
      <w:r>
        <w:t xml:space="preserve">suites, source data and a complete research record released for checking.</w:t>
      </w:r>
    </w:p>
    <w:bookmarkEnd w:id="34"/>
    <w:bookmarkStart w:id="50" w:name="figure-captions"/>
    <w:p>
      <w:pPr>
        <w:pStyle w:val="Heading1"/>
      </w:pPr>
      <w:r>
        <w:t xml:space="preserve">Figure captions</w:t>
      </w:r>
    </w:p>
    <w:p>
      <w:pPr>
        <w:pStyle w:val="FirstParagraph"/>
      </w:pPr>
      <w:r>
        <w:drawing>
          <wp:inline>
            <wp:extent cx="5334000" cy="4837871"/>
            <wp:effectExtent b="0" l="0" r="0" t="0"/>
            <wp:docPr descr="" title="" id="36" name="Picture"/>
            <a:graphic>
              <a:graphicData uri="http://schemas.openxmlformats.org/drawingml/2006/picture">
                <pic:pic>
                  <pic:nvPicPr>
                    <pic:cNvPr descr="../../build/figures/fig1_architecture.png" id="37" name="Picture"/>
                    <pic:cNvPicPr>
                      <a:picLocks noChangeArrowheads="1" noChangeAspect="1"/>
                    </pic:cNvPicPr>
                  </pic:nvPicPr>
                  <pic:blipFill>
                    <a:blip r:embed="rId35"/>
                    <a:stretch>
                      <a:fillRect/>
                    </a:stretch>
                  </pic:blipFill>
                  <pic:spPr bwMode="auto">
                    <a:xfrm>
                      <a:off x="0" y="0"/>
                      <a:ext cx="5334000" cy="4837871"/>
                    </a:xfrm>
                    <a:prstGeom prst="rect">
                      <a:avLst/>
                    </a:prstGeom>
                    <a:noFill/>
                    <a:ln w="9525">
                      <a:noFill/>
                      <a:headEnd/>
                      <a:tailEnd/>
                    </a:ln>
                  </pic:spPr>
                </pic:pic>
              </a:graphicData>
            </a:graphic>
          </wp:inline>
        </w:drawing>
      </w:r>
    </w:p>
    <w:p>
      <w:pPr>
        <w:pStyle w:val="BodyText"/>
      </w:pPr>
      <w:r>
        <w:rPr>
          <w:bCs/>
          <w:b/>
        </w:rPr>
        <w:t xml:space="preserve">Fig. 1.</w:t>
      </w:r>
      <w:r>
        <w:t xml:space="preserve"> </w:t>
      </w:r>
      <w:r>
        <w:t xml:space="preserve">TaoChronos: agents propose, validators grade, experts decide. (a) The agent by principal (rows) and stage</w:t>
      </w:r>
      <w:r>
        <w:t xml:space="preserve"> </w:t>
      </w:r>
      <w:r>
        <w:t xml:space="preserve">of a research round (columns); letters, permissions; filled circles, agents that may consult a model; vermilion, the</w:t>
      </w:r>
      <w:r>
        <w:t xml:space="preserve"> </w:t>
      </w:r>
      <w:r>
        <w:t xml:space="preserve">hooks; validators alone grade, and only the expert sets G7. (b) Event authority: which principals may emit each group</w:t>
      </w:r>
      <w:r>
        <w:t xml:space="preserve"> </w:t>
      </w:r>
      <w:r>
        <w:t xml:space="preserve">of the 61 event types. (c) One clause of the</w:t>
      </w:r>
      <w:r>
        <w:t xml:space="preserve"> </w:t>
      </w:r>
      <w:r>
        <w:rPr>
          <w:iCs/>
          <w:i/>
        </w:rPr>
        <w:t xml:space="preserve">Jingui yaolüe</w:t>
      </w:r>
      <w:r>
        <w:t xml:space="preserve"> </w:t>
      </w:r>
      <w:r>
        <w:t xml:space="preserve">in three witnesses aligned character by character, with</w:t>
      </w:r>
      <w:r>
        <w:t xml:space="preserve"> </w:t>
      </w:r>
      <w:r>
        <w:t xml:space="preserve">the provenance chain of one witness from claim to license.</w:t>
      </w:r>
    </w:p>
    <w:p>
      <w:pPr>
        <w:pStyle w:val="BodyText"/>
      </w:pPr>
      <w:r>
        <w:drawing>
          <wp:inline>
            <wp:extent cx="5334000" cy="4605850"/>
            <wp:effectExtent b="0" l="0" r="0" t="0"/>
            <wp:docPr descr="" title="" id="39" name="Picture"/>
            <a:graphic>
              <a:graphicData uri="http://schemas.openxmlformats.org/drawingml/2006/picture">
                <pic:pic>
                  <pic:nvPicPr>
                    <pic:cNvPr descr="../../build/figures/fig2_corpus.png" id="40" name="Picture"/>
                    <pic:cNvPicPr>
                      <a:picLocks noChangeArrowheads="1" noChangeAspect="1"/>
                    </pic:cNvPicPr>
                  </pic:nvPicPr>
                  <pic:blipFill>
                    <a:blip r:embed="rId38"/>
                    <a:stretch>
                      <a:fillRect/>
                    </a:stretch>
                  </pic:blipFill>
                  <pic:spPr bwMode="auto">
                    <a:xfrm>
                      <a:off x="0" y="0"/>
                      <a:ext cx="5334000" cy="4605850"/>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The corpus. (a) Construction from ten sources. (b) Witnesses per 25-year bin (n = 966; blue, the 740</w:t>
      </w:r>
      <w:r>
        <w:t xml:space="preserve"> </w:t>
      </w:r>
      <w:r>
        <w:t xml:space="preserve">witnesses of the 535 canon works). (c) Basis of dating; undated witnesses counted as Qing. (d) Influence score of the</w:t>
      </w:r>
      <w:r>
        <w:t xml:space="preserve"> </w:t>
      </w:r>
      <w:r>
        <w:t xml:space="preserve">canon works against composition date. (e) Characters kept per witness of the open web corpus against canon rank.</w:t>
      </w:r>
    </w:p>
    <w:p>
      <w:pPr>
        <w:pStyle w:val="BodyText"/>
      </w:pPr>
      <w:r>
        <w:drawing>
          <wp:inline>
            <wp:extent cx="5334000" cy="4897110"/>
            <wp:effectExtent b="0" l="0" r="0" t="0"/>
            <wp:docPr descr="" title="" id="42" name="Picture"/>
            <a:graphic>
              <a:graphicData uri="http://schemas.openxmlformats.org/drawingml/2006/picture">
                <pic:pic>
                  <pic:nvPicPr>
                    <pic:cNvPr descr="../../build/figures/fig3_end_to_end.png" id="43" name="Picture"/>
                    <pic:cNvPicPr>
                      <a:picLocks noChangeArrowheads="1" noChangeAspect="1"/>
                    </pic:cNvPicPr>
                  </pic:nvPicPr>
                  <pic:blipFill>
                    <a:blip r:embed="rId41"/>
                    <a:stretch>
                      <a:fillRect/>
                    </a:stretch>
                  </pic:blipFill>
                  <pic:spPr bwMode="auto">
                    <a:xfrm>
                      <a:off x="0" y="0"/>
                      <a:ext cx="5334000" cy="4897110"/>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One research question end to end (rules only). (a) Question and contract. (b) The 30 tasks by round and</w:t>
      </w:r>
      <w:r>
        <w:t xml:space="preserve"> </w:t>
      </w:r>
      <w:r>
        <w:t xml:space="preserve">agent; numbers, tool calls. (c) The 14 hypotheses through the Skeptic and the validators, and the 102 objections by</w:t>
      </w:r>
      <w:r>
        <w:t xml:space="preserve"> </w:t>
      </w:r>
      <w:r>
        <w:t xml:space="preserve">check. (d) Final hypotheses against gates and contract criteria. (e) Three outcomes with verbatim evidence. D1–D5,</w:t>
      </w:r>
      <w:r>
        <w:t xml:space="preserve"> </w:t>
      </w:r>
      <w:r>
        <w:t xml:space="preserve">discovery tracks.</w:t>
      </w:r>
    </w:p>
    <w:p>
      <w:pPr>
        <w:pStyle w:val="BodyText"/>
      </w:pPr>
      <w:r>
        <w:drawing>
          <wp:inline>
            <wp:extent cx="5334000" cy="3031074"/>
            <wp:effectExtent b="0" l="0" r="0" t="0"/>
            <wp:docPr descr="" title="" id="45" name="Picture"/>
            <a:graphic>
              <a:graphicData uri="http://schemas.openxmlformats.org/drawingml/2006/picture">
                <pic:pic>
                  <pic:nvPicPr>
                    <pic:cNvPr descr="../../build/figures/fig4_verification.png" id="46" name="Picture"/>
                    <pic:cNvPicPr>
                      <a:picLocks noChangeArrowheads="1" noChangeAspect="1"/>
                    </pic:cNvPicPr>
                  </pic:nvPicPr>
                  <pic:blipFill>
                    <a:blip r:embed="rId44"/>
                    <a:stretch>
                      <a:fillRect/>
                    </a:stretch>
                  </pic:blipFill>
                  <pic:spPr bwMode="auto">
                    <a:xfrm>
                      <a:off x="0" y="0"/>
                      <a:ext cx="5334000" cy="3031074"/>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Verification and safety. (a) Quotation checks on 60 random passages; lines, Wilson 95% CIs. (b) Nineteen</w:t>
      </w:r>
      <w:r>
        <w:t xml:space="preserve"> </w:t>
      </w:r>
      <w:r>
        <w:t xml:space="preserve">invariants on the intact agent and six variants with one boundary removed each (outlined, the invariant named for that</w:t>
      </w:r>
      <w:r>
        <w:t xml:space="preserve"> </w:t>
      </w:r>
      <w:r>
        <w:t xml:space="preserve">boundary). (c) 107 hard interpretive cases in eight classes; numbers, held-out correct. (d) Accuracy in four blind</w:t>
      </w:r>
      <w:r>
        <w:t xml:space="preserve"> </w:t>
      </w:r>
      <w:r>
        <w:t xml:space="preserve">rounds and on all held-out cases; lines, Wilson 95% CIs.</w:t>
      </w:r>
    </w:p>
    <w:p>
      <w:pPr>
        <w:pStyle w:val="BodyText"/>
      </w:pPr>
      <w:r>
        <w:drawing>
          <wp:inline>
            <wp:extent cx="5334000" cy="2796585"/>
            <wp:effectExtent b="0" l="0" r="0" t="0"/>
            <wp:docPr descr="" title="" id="48" name="Picture"/>
            <a:graphic>
              <a:graphicData uri="http://schemas.openxmlformats.org/drawingml/2006/picture">
                <pic:pic>
                  <pic:nvPicPr>
                    <pic:cNvPr descr="../../build/figures/fig5_research_value.png" id="49" name="Picture"/>
                    <pic:cNvPicPr>
                      <a:picLocks noChangeArrowheads="1" noChangeAspect="1"/>
                    </pic:cNvPicPr>
                  </pic:nvPicPr>
                  <pic:blipFill>
                    <a:blip r:embed="rId47"/>
                    <a:stretch>
                      <a:fillRect/>
                    </a:stretch>
                  </pic:blipFill>
                  <pic:spPr bwMode="auto">
                    <a:xfrm>
                      <a:off x="0" y="0"/>
                      <a:ext cx="5334000" cy="2796585"/>
                    </a:xfrm>
                    <a:prstGeom prst="rect">
                      <a:avLst/>
                    </a:prstGeom>
                    <a:noFill/>
                    <a:ln w="9525">
                      <a:noFill/>
                      <a:headEnd/>
                      <a:tailEnd/>
                    </a:ln>
                  </pic:spPr>
                </pic:pic>
              </a:graphicData>
            </a:graphic>
          </wp:inline>
        </w:drawing>
      </w:r>
    </w:p>
    <w:p>
      <w:pPr>
        <w:pStyle w:val="BodyText"/>
      </w:pPr>
      <w:r>
        <w:rPr>
          <w:bCs/>
          <w:b/>
        </w:rPr>
        <w:t xml:space="preserve">Fig. 5.</w:t>
      </w:r>
      <w:r>
        <w:t xml:space="preserve"> </w:t>
      </w:r>
      <w:r>
        <w:t xml:space="preserve">Research value. (a) The blind temporal benchmark. (b) Precision at 10 and 20 and mean average precision of</w:t>
      </w:r>
      <w:r>
        <w:t xml:space="preserve"> </w:t>
      </w:r>
      <w:r>
        <w:t xml:space="preserve">five rankers over 189 topic–cutoff pairs (95% CIs). (c) Paired comparisons of average precision, two-sided sign tests.</w:t>
      </w:r>
      <w:r>
        <w:t xml:space="preserve"> </w:t>
      </w:r>
      <w:r>
        <w:t xml:space="preserve">(d) Predictions of the whole pipeline at 1368 on four held-out topics borne out by later books (Wilson 95% CIs).</w:t>
      </w:r>
    </w:p>
    <w:p>
      <w:pPr>
        <w:pStyle w:val="BodyText"/>
      </w:pPr>
      <w:r>
        <w:rPr>
          <w:bCs/>
          <w:b/>
        </w:rPr>
        <w:t xml:space="preserve">Table 1 | Eight ways an agent can go wrong on the classical literature, the mechanism that stops each in TaoChronos, and the measured evidence that it does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Failure mode</w:t>
            </w:r>
          </w:p>
        </w:tc>
        <w:tc>
          <w:tcPr/>
          <w:p>
            <w:pPr>
              <w:pStyle w:val="Compact"/>
              <w:jc w:val="left"/>
            </w:pPr>
            <w:r>
              <w:t xml:space="preserve">Example in the classics</w:t>
            </w:r>
          </w:p>
        </w:tc>
        <w:tc>
          <w:tcPr/>
          <w:p>
            <w:pPr>
              <w:pStyle w:val="Compact"/>
              <w:jc w:val="left"/>
            </w:pPr>
            <w:r>
              <w:t xml:space="preserve">Mechanism in TaoChronos</w:t>
            </w:r>
          </w:p>
        </w:tc>
        <w:tc>
          <w:tcPr/>
          <w:p>
            <w:pPr>
              <w:pStyle w:val="Compact"/>
              <w:jc w:val="left"/>
            </w:pPr>
            <w:r>
              <w:t xml:space="preserve">Evidence in this study</w:t>
            </w:r>
          </w:p>
        </w:tc>
      </w:tr>
      <w:tr>
        <w:tc>
          <w:tcPr/>
          <w:p>
            <w:pPr>
              <w:pStyle w:val="Compact"/>
              <w:jc w:val="left"/>
            </w:pPr>
            <w:r>
              <w:t xml:space="preserve">Fabricated or altered quotation</w:t>
            </w:r>
          </w:p>
        </w:tc>
        <w:tc>
          <w:tcPr/>
          <w:p>
            <w:pPr>
              <w:pStyle w:val="Compact"/>
              <w:jc w:val="left"/>
            </w:pPr>
            <w:r>
              <w:t xml:space="preserve">A quote with one character changed, or the right words at the wrong place</w:t>
            </w:r>
          </w:p>
        </w:tc>
        <w:tc>
          <w:tcPr/>
          <w:p>
            <w:pPr>
              <w:pStyle w:val="Compact"/>
              <w:jc w:val="left"/>
            </w:pPr>
            <w:r>
              <w:t xml:space="preserve">The harness, not the producer, locates every quote in its passage at commit (verbatim, or after length-preserving variant normalization); the conversation client checks every cited passage</w:t>
            </w:r>
          </w:p>
        </w:tc>
        <w:tc>
          <w:tcPr/>
          <w:p>
            <w:pPr>
              <w:pStyle w:val="Compact"/>
              <w:jc w:val="left"/>
            </w:pPr>
            <w:r>
              <w:t xml:space="preserve">180/180 corrupted quotations rejected, 60/60 verbatim accepted; 100% of committed claims verbatim (Fig. 4a)</w:t>
            </w:r>
          </w:p>
        </w:tc>
      </w:tr>
      <w:tr>
        <w:tc>
          <w:tcPr/>
          <w:p>
            <w:pPr>
              <w:pStyle w:val="Compact"/>
              <w:jc w:val="left"/>
            </w:pPr>
            <w:r>
              <w:t xml:space="preserve">True quote, false reading</w:t>
            </w:r>
          </w:p>
        </w:tc>
        <w:tc>
          <w:tcPr/>
          <w:p>
            <w:pPr>
              <w:pStyle w:val="Compact"/>
              <w:jc w:val="left"/>
            </w:pPr>
            <w:r>
              <w:t xml:space="preserve">「不可发汗，宜桂枝汤」 (a prohibition beside a prescription); 「或曰…余曰非也」 (a view the author rejects)</w:t>
            </w:r>
          </w:p>
        </w:tc>
        <w:tc>
          <w:tcPr/>
          <w:p>
            <w:pPr>
              <w:pStyle w:val="Compact"/>
              <w:jc w:val="left"/>
            </w:pPr>
            <w:r>
              <w:t xml:space="preserve">Semantic-support hook reads each claim’s statement frame (speaker, stance, conditions, negations) and refuses a claim its quote contradicts; a registry of textual cruxes harvested from commentaries makes doubtful clauses read as ambiguous</w:t>
            </w:r>
          </w:p>
        </w:tc>
        <w:tc>
          <w:tcPr/>
          <w:p>
            <w:pPr>
              <w:pStyle w:val="Compact"/>
              <w:jc w:val="left"/>
            </w:pPr>
            <w:r>
              <w:t xml:space="preserve">Held-out hard cases 82/84, 2 unsafe; four blind rounds (Fig. 4c,d)</w:t>
            </w:r>
          </w:p>
        </w:tc>
      </w:tr>
      <w:tr>
        <w:tc>
          <w:tcPr/>
          <w:p>
            <w:pPr>
              <w:pStyle w:val="Compact"/>
              <w:jc w:val="left"/>
            </w:pPr>
            <w:r>
              <w:t xml:space="preserve">Copies counted as independent testimony</w:t>
            </w:r>
          </w:p>
        </w:tc>
        <w:tc>
          <w:tcPr/>
          <w:p>
            <w:pPr>
              <w:pStyle w:val="Compact"/>
              <w:jc w:val="left"/>
            </w:pPr>
            <w:r>
              <w:t xml:space="preserve">Five witnesses of one clause of the Jingui yaolüe and its copy in the Maijing</w:t>
            </w:r>
          </w:p>
        </w:tc>
        <w:tc>
          <w:tcPr/>
          <w:p>
            <w:pPr>
              <w:pStyle w:val="Compact"/>
              <w:jc w:val="left"/>
            </w:pPr>
            <w:r>
              <w:t xml:space="preserve">Gate G5 counts independent source families (author and transcription clusters), not books; the Skeptic checks transcription dependence and single sources</w:t>
            </w:r>
          </w:p>
        </w:tc>
        <w:tc>
          <w:tcPr/>
          <w:p>
            <w:pPr>
              <w:pStyle w:val="Compact"/>
              <w:jc w:val="left"/>
            </w:pPr>
            <w:r>
              <w:t xml:space="preserve">H5 held inconclusive on one family (Fig. 3e); an over-merging of families reported (Supplementary Fig. 1)</w:t>
            </w:r>
          </w:p>
        </w:tc>
      </w:tr>
      <w:tr>
        <w:tc>
          <w:tcPr/>
          <w:p>
            <w:pPr>
              <w:pStyle w:val="Compact"/>
              <w:jc w:val="left"/>
            </w:pPr>
            <w:r>
              <w:t xml:space="preserve">Anachronism (presentism)</w:t>
            </w:r>
          </w:p>
        </w:tc>
        <w:tc>
          <w:tcPr/>
          <w:p>
            <w:pPr>
              <w:pStyle w:val="Compact"/>
              <w:jc w:val="left"/>
            </w:pPr>
            <w:r>
              <w:t xml:space="preserve">Xiaoke 消渴 read as diabetes mellitus; shanghan 伤寒 read as typhoid</w:t>
            </w:r>
          </w:p>
        </w:tc>
        <w:tc>
          <w:tcPr/>
          <w:p>
            <w:pPr>
              <w:pStyle w:val="Compact"/>
              <w:jc w:val="left"/>
            </w:pPr>
            <w:r>
              <w:t xml:space="preserve">Anachronism guard at claim, hypothesis and graph-write hooks; the contract’s forbidden equivalences; the ancient–modern bridge states phenotypic similarity with typed relations, never a retrospective diagnosis</w:t>
            </w:r>
          </w:p>
        </w:tc>
        <w:tc>
          <w:tcPr/>
          <w:p>
            <w:pPr>
              <w:pStyle w:val="Compact"/>
              <w:jc w:val="left"/>
            </w:pPr>
            <w:r>
              <w:t xml:space="preserve">Statements 10/10, mappings 8/8, translations 24/24; agent-asserted equivalence blocked</w:t>
            </w:r>
          </w:p>
        </w:tc>
      </w:tr>
      <w:tr>
        <w:tc>
          <w:tcPr/>
          <w:p>
            <w:pPr>
              <w:pStyle w:val="Compact"/>
              <w:jc w:val="left"/>
            </w:pPr>
            <w:r>
              <w:t xml:space="preserve">Arguments from silence</w:t>
            </w:r>
          </w:p>
        </w:tc>
        <w:tc>
          <w:tcPr/>
          <w:p>
            <w:pPr>
              <w:pStyle w:val="Compact"/>
              <w:jc w:val="left"/>
            </w:pPr>
            <w:r>
              <w:t xml:space="preserve">An association called lost after 960 that a later book still states</w:t>
            </w:r>
          </w:p>
        </w:tc>
        <w:tc>
          <w:tcPr/>
          <w:p>
            <w:pPr>
              <w:pStyle w:val="Compact"/>
              <w:jc w:val="left"/>
            </w:pPr>
            <w:r>
              <w:t xml:space="preserve">The Skeptic searches the whole scope for explicit, supported statements; one later statement refutes a loss and any statement refutes a hidden link, as hard, critical objections no rewording can close</w:t>
            </w:r>
          </w:p>
        </w:tc>
        <w:tc>
          <w:tcPr/>
          <w:p>
            <w:pPr>
              <w:pStyle w:val="Compact"/>
              <w:jc w:val="left"/>
            </w:pPr>
            <w:r>
              <w:t xml:space="preserve">2 wrong lost and 2 already-written hidden associations rejected, and no discovery (Fig. 5d); R1 rejected (Fig. 3)</w:t>
            </w:r>
          </w:p>
        </w:tc>
      </w:tr>
      <w:tr>
        <w:tc>
          <w:tcPr/>
          <w:p>
            <w:pPr>
              <w:pStyle w:val="Compact"/>
              <w:jc w:val="left"/>
            </w:pPr>
            <w:r>
              <w:t xml:space="preserve">Self-grading and premature acceptance</w:t>
            </w:r>
          </w:p>
        </w:tc>
        <w:tc>
          <w:tcPr/>
          <w:p>
            <w:pPr>
              <w:pStyle w:val="Compact"/>
              <w:jc w:val="left"/>
            </w:pPr>
            <w:r>
              <w:t xml:space="preserve">A model closing its own objection, setting expert approval, or a finished run taken as an accepted finding</w:t>
            </w:r>
          </w:p>
        </w:tc>
        <w:tc>
          <w:tcPr/>
          <w:p>
            <w:pPr>
              <w:pStyle w:val="Compact"/>
              <w:jc w:val="left"/>
            </w:pPr>
            <w:r>
              <w:t xml:space="preserve">Every event carries its principal and the reducer refuses an event its principal may not emit (61 types); only validators grade, only a human sets G7; an executable contract judges acceptance</w:t>
            </w:r>
          </w:p>
        </w:tc>
        <w:tc>
          <w:tcPr/>
          <w:p>
            <w:pPr>
              <w:pStyle w:val="Compact"/>
              <w:jc w:val="left"/>
            </w:pPr>
            <w:r>
              <w:t xml:space="preserve">19/19 invariants held; each of 6 boundaries removed broke its invariant and no other (Fig. 4b)</w:t>
            </w:r>
          </w:p>
        </w:tc>
      </w:tr>
      <w:tr>
        <w:tc>
          <w:tcPr/>
          <w:p>
            <w:pPr>
              <w:pStyle w:val="Compact"/>
              <w:jc w:val="left"/>
            </w:pPr>
            <w:r>
              <w:t xml:space="preserve">Hindsight in testing foresight</w:t>
            </w:r>
          </w:p>
        </w:tc>
        <w:tc>
          <w:tcPr/>
          <w:p>
            <w:pPr>
              <w:pStyle w:val="Compact"/>
              <w:jc w:val="left"/>
            </w:pPr>
            <w:r>
              <w:t xml:space="preserve">A</w:t>
            </w:r>
            <w:r>
              <w:t xml:space="preserve"> </w:t>
            </w:r>
            <w:r>
              <w:t xml:space="preserve">‘</w:t>
            </w:r>
            <w:r>
              <w:t xml:space="preserve">prediction</w:t>
            </w:r>
            <w:r>
              <w:t xml:space="preserve">’</w:t>
            </w:r>
            <w:r>
              <w:t xml:space="preserve"> </w:t>
            </w:r>
            <w:r>
              <w:t xml:space="preserve">made after reading the books that later confirm it</w:t>
            </w:r>
          </w:p>
        </w:tc>
        <w:tc>
          <w:tcPr/>
          <w:p>
            <w:pPr>
              <w:pStyle w:val="Compact"/>
              <w:jc w:val="left"/>
            </w:pPr>
            <w:r>
              <w:t xml:space="preserve">Time-machine views bounded in SQL on every read path; passages that straddle the cutoff belong to neither side; leakage counted, not assumed</w:t>
            </w:r>
          </w:p>
        </w:tc>
        <w:tc>
          <w:tcPr/>
          <w:p>
            <w:pPr>
              <w:pStyle w:val="Compact"/>
              <w:jc w:val="left"/>
            </w:pPr>
            <w:r>
              <w:t xml:space="preserve">Leakage 0; precision@10 0.168 against 0.134 (popularity) and 0.054 (chance)† (Fig. 5)</w:t>
            </w:r>
          </w:p>
        </w:tc>
      </w:tr>
      <w:tr>
        <w:tc>
          <w:tcPr/>
          <w:p>
            <w:pPr>
              <w:pStyle w:val="Compact"/>
              <w:jc w:val="left"/>
            </w:pPr>
            <w:r>
              <w:t xml:space="preserve">Irreproducible runs</w:t>
            </w:r>
          </w:p>
        </w:tc>
        <w:tc>
          <w:tcPr/>
          <w:p>
            <w:pPr>
              <w:pStyle w:val="Compact"/>
              <w:jc w:val="left"/>
            </w:pPr>
            <w:r>
              <w:t xml:space="preserve">A result that cannot be rerun or audited step by step</w:t>
            </w:r>
          </w:p>
        </w:tc>
        <w:tc>
          <w:tcPr/>
          <w:p>
            <w:pPr>
              <w:pStyle w:val="Compact"/>
              <w:jc w:val="left"/>
            </w:pPr>
            <w:r>
              <w:t xml:space="preserve">Append-only event log replayed and hashed every round; tool-call receipts in a hash chain; recorded model responses replayed exactly</w:t>
            </w:r>
          </w:p>
        </w:tc>
        <w:tc>
          <w:tcPr/>
          <w:p>
            <w:pPr>
              <w:pStyle w:val="Compact"/>
              <w:jc w:val="left"/>
            </w:pPr>
            <w:r>
              <w:t xml:space="preserve">Resume after a crash at 4 of 4 points reaches the same state; reruns and parallel runs identical; the end-to-end report rewritten identically</w:t>
            </w:r>
          </w:p>
        </w:tc>
      </w:tr>
    </w:tbl>
    <w:p>
      <w:pPr>
        <w:pStyle w:val="BodyText"/>
      </w:pPr>
      <w:r>
        <w:t xml:space="preserve">Every mechanism is deterministic code that runs whether a language model or a rule produced the output; all evidence was measured with the rules alone (no model called).</w:t>
      </w:r>
    </w:p>
    <w:p>
      <w:pPr>
        <w:pStyle w:val="BodyText"/>
      </w:pPr>
      <w:r>
        <w:t xml:space="preserve">†Needs the full corpus store, which is not distributed; values from docs/evals.md. Other values were reproduced by</w:t>
      </w:r>
      <w:r>
        <w:t xml:space="preserve"> </w:t>
      </w:r>
      <w:r>
        <w:rPr>
          <w:rStyle w:val="VerbatimChar"/>
        </w:rPr>
        <w:t xml:space="preserve">taochronos eval</w:t>
      </w:r>
      <w:r>
        <w:t xml:space="preserve"> </w:t>
      </w:r>
      <w:r>
        <w:t xml:space="preserve">on the demonstration corpus.</w:t>
      </w:r>
    </w:p>
    <w:bookmarkEnd w:id="50"/>
    <w:bookmarkStart w:id="51" w:name="acknowledgments"/>
    <w:p>
      <w:pPr>
        <w:pStyle w:val="Heading1"/>
      </w:pPr>
      <w:r>
        <w:t xml:space="preserve">Acknowledgments</w:t>
      </w:r>
    </w:p>
    <w:p>
      <w:pPr>
        <w:pStyle w:val="FirstParagraph"/>
      </w:pPr>
      <w:r>
        <w:t xml:space="preserve">We thank the editors and volunteers of the Kanseki Repository, 中醫笈成, 數位中醫校書郎 CMETA, Wikisource, McGill</w:t>
      </w:r>
      <w:r>
        <w:t xml:space="preserve"> </w:t>
      </w:r>
      <w:r>
        <w:t xml:space="preserve">University Library and the Tōa Igaku Kyōkai. [Funding: grant numbers.]</w:t>
      </w:r>
    </w:p>
    <w:bookmarkEnd w:id="51"/>
    <w:bookmarkStart w:id="52" w:name="compliance-with-ethics-guidelines"/>
    <w:p>
      <w:pPr>
        <w:pStyle w:val="Heading1"/>
      </w:pPr>
      <w:r>
        <w:t xml:space="preserve">Compliance with ethics guidelines</w:t>
      </w:r>
    </w:p>
    <w:p>
      <w:pPr>
        <w:pStyle w:val="FirstParagraph"/>
      </w:pPr>
      <w:r>
        <w:t xml:space="preserve">[Author names] declare that they have no conflict of interest or financial conflicts to disclose. [Amend: IMPF-AI</w:t>
      </w:r>
      <w:r>
        <w:t xml:space="preserve"> </w:t>
      </w:r>
      <w:r>
        <w:t xml:space="preserve">operates the web deployment of TaoChronos; declare any relationship with ZhongJingGPT.] No human or animal subjects</w:t>
      </w:r>
      <w:r>
        <w:t xml:space="preserve"> </w:t>
      </w:r>
      <w:r>
        <w:t xml:space="preserve">were involved; the real-world-data path was tested on a synthetic database only.</w:t>
      </w:r>
    </w:p>
    <w:bookmarkEnd w:id="52"/>
    <w:bookmarkStart w:id="53" w:name="credit-authorship-contribution-statement"/>
    <w:p>
      <w:pPr>
        <w:pStyle w:val="Heading1"/>
      </w:pPr>
      <w:r>
        <w:t xml:space="preserve">CRediT authorship contribution statement</w:t>
      </w:r>
    </w:p>
    <w:p>
      <w:pPr>
        <w:pStyle w:val="FirstParagraph"/>
      </w:pPr>
      <w:r>
        <w:t xml:space="preserve">[Author 1]: Conceptualization, Software, Methodology, Writing – original draft. [Author 2]: Data curation,</w:t>
      </w:r>
      <w:r>
        <w:t xml:space="preserve"> </w:t>
      </w:r>
      <w:r>
        <w:t xml:space="preserve">Validation, Writing – review &amp; editing. [To be completed.]</w:t>
      </w:r>
    </w:p>
    <w:bookmarkEnd w:id="53"/>
    <w:bookmarkStart w:id="54" w:name="X071796dd6bc546c91e96cca1cf5ff96599de61f"/>
    <w:p>
      <w:pPr>
        <w:pStyle w:val="Heading1"/>
      </w:pPr>
      <w:r>
        <w:t xml:space="preserve">Declaration of generative AI and AI-assisted technologies in the writing process</w:t>
      </w:r>
    </w:p>
    <w:p>
      <w:pPr>
        <w:pStyle w:val="FirstParagraph"/>
      </w:pPr>
      <w:r>
        <w:t xml:space="preserve">[Declare here, as the journal requires, any use of generative AI in preparing this manuscript. No language model was</w:t>
      </w:r>
      <w:r>
        <w:t xml:space="preserve"> </w:t>
      </w:r>
      <w:r>
        <w:t xml:space="preserve">called in any analysis reported in this paper.]</w:t>
      </w:r>
    </w:p>
    <w:bookmarkEnd w:id="54"/>
    <w:bookmarkStart w:id="56" w:name="data-and-code-availability"/>
    <w:p>
      <w:pPr>
        <w:pStyle w:val="Heading1"/>
      </w:pPr>
      <w:r>
        <w:t xml:space="preserve">Data and code availability</w:t>
      </w:r>
    </w:p>
    <w:p>
      <w:pPr>
        <w:pStyle w:val="FirstParagraph"/>
      </w:pPr>
      <w:r>
        <w:t xml:space="preserve">Code, the open canon corpus, source catalogs with licenses, evaluation gold sets and the source data of every figure</w:t>
      </w:r>
      <w:r>
        <w:t xml:space="preserve"> </w:t>
      </w:r>
      <w:r>
        <w:t xml:space="preserve">are at</w:t>
      </w:r>
      <w:r>
        <w:t xml:space="preserve"> </w:t>
      </w:r>
      <w:hyperlink r:id="rId55">
        <w:r>
          <w:rPr>
            <w:rStyle w:val="Hyperlink"/>
          </w:rPr>
          <w:t xml:space="preserve">https://github.com/psknlr/TaoChronos</w:t>
        </w:r>
      </w:hyperlink>
      <w:r>
        <w:t xml:space="preserve"> </w:t>
      </w:r>
      <w:r>
        <w:t xml:space="preserve">([license]; version [tag/commit]). The full corpus store is not</w:t>
      </w:r>
      <w:r>
        <w:t xml:space="preserve"> </w:t>
      </w:r>
      <w:r>
        <w:t xml:space="preserve">redistributed because some sources forbid redistribution; it is rebuilt from the pinned sources (</w:t>
      </w:r>
      <w:r>
        <w:rPr>
          <w:rStyle w:val="VerbatimChar"/>
        </w:rPr>
        <w:t xml:space="preserve">docs/data.md</w:t>
      </w:r>
      <w:r>
        <w:t xml:space="preserve">).</w:t>
      </w:r>
    </w:p>
    <w:bookmarkEnd w:id="56"/>
    <w:bookmarkStart w:id="57" w:name="appendix-a.-supplementary-data"/>
    <w:p>
      <w:pPr>
        <w:pStyle w:val="Heading1"/>
      </w:pPr>
      <w:r>
        <w:t xml:space="preserve">Appendix A. Supplementary data</w:t>
      </w:r>
    </w:p>
    <w:p>
      <w:pPr>
        <w:pStyle w:val="FirstParagraph"/>
      </w:pPr>
      <w:r>
        <w:t xml:space="preserve">Supplementary data to this article (Supplementary Notes 1–4, Supplementary Figs. 1–5, Supplementary Tables 1–14 and</w:t>
      </w:r>
      <w:r>
        <w:t xml:space="preserve"> </w:t>
      </w:r>
      <w:r>
        <w:t xml:space="preserve">Supplementary Data 1–2) can be found online.</w:t>
      </w:r>
    </w:p>
    <w:bookmarkEnd w:id="57"/>
    <w:bookmarkStart w:id="114" w:name="references"/>
    <w:p>
      <w:pPr>
        <w:pStyle w:val="Heading1"/>
      </w:pPr>
      <w:r>
        <w:t xml:space="preserve">References</w:t>
      </w:r>
    </w:p>
    <w:bookmarkStart w:id="113" w:name="refs"/>
    <w:bookmarkStart w:id="59" w:name="ref-tu2011artemisinin"/>
    <w:p>
      <w:pPr>
        <w:pStyle w:val="Bibliography"/>
      </w:pPr>
      <w:r>
        <w:t xml:space="preserve">[1]</w:t>
      </w:r>
      <w:r>
        <w:t xml:space="preserve"> </w:t>
      </w:r>
      <w:r>
        <w:t xml:space="preserve">	</w:t>
      </w:r>
      <w:r>
        <w:t xml:space="preserve">Tu Y. The discovery of artemisinin (qinghaosu) and gifts from</w:t>
      </w:r>
      <w:r>
        <w:t xml:space="preserve"> </w:t>
      </w:r>
      <w:r>
        <w:t xml:space="preserve">Chinese</w:t>
      </w:r>
      <w:r>
        <w:t xml:space="preserve"> </w:t>
      </w:r>
      <w:r>
        <w:t xml:space="preserve">medicine. Nature Medicine 2011;17:1217–20.</w:t>
      </w:r>
      <w:r>
        <w:t xml:space="preserve"> </w:t>
      </w:r>
      <w:hyperlink r:id="rId58">
        <w:r>
          <w:rPr>
            <w:rStyle w:val="Hyperlink"/>
          </w:rPr>
          <w:t xml:space="preserve">https://doi.org/10.1038/nm.2471</w:t>
        </w:r>
      </w:hyperlink>
      <w:r>
        <w:t xml:space="preserve">.</w:t>
      </w:r>
    </w:p>
    <w:bookmarkEnd w:id="59"/>
    <w:bookmarkStart w:id="61" w:name="ref-wang2008apl"/>
    <w:p>
      <w:pPr>
        <w:pStyle w:val="Bibliography"/>
      </w:pPr>
      <w:r>
        <w:t xml:space="preserve">[2]</w:t>
      </w:r>
      <w:r>
        <w:t xml:space="preserve"> </w:t>
      </w:r>
      <w:r>
        <w:t xml:space="preserve">	</w:t>
      </w:r>
      <w:r>
        <w:t xml:space="preserve">Wang Z-Y, Chen Z. Acute promyelocytic leukemia: From highly fatal to highly curable. Blood 2008;111:2505–15.</w:t>
      </w:r>
      <w:r>
        <w:t xml:space="preserve"> </w:t>
      </w:r>
      <w:hyperlink r:id="rId60">
        <w:r>
          <w:rPr>
            <w:rStyle w:val="Hyperlink"/>
          </w:rPr>
          <w:t xml:space="preserve">https://doi.org/10.1182/blood-2007-07-102798</w:t>
        </w:r>
      </w:hyperlink>
      <w:r>
        <w:t xml:space="preserve">.</w:t>
      </w:r>
    </w:p>
    <w:bookmarkEnd w:id="61"/>
    <w:bookmarkStart w:id="63" w:name="ref-swanson1986fish"/>
    <w:p>
      <w:pPr>
        <w:pStyle w:val="Bibliography"/>
      </w:pPr>
      <w:r>
        <w:t xml:space="preserve">[3]</w:t>
      </w:r>
      <w:r>
        <w:t xml:space="preserve"> </w:t>
      </w:r>
      <w:r>
        <w:t xml:space="preserve">	</w:t>
      </w:r>
      <w:r>
        <w:t xml:space="preserve">Swanson DR. Fish oil,</w:t>
      </w:r>
      <w:r>
        <w:t xml:space="preserve"> </w:t>
      </w:r>
      <w:r>
        <w:t xml:space="preserve">Raynaud’s</w:t>
      </w:r>
      <w:r>
        <w:t xml:space="preserve"> </w:t>
      </w:r>
      <w:r>
        <w:t xml:space="preserve">syndrome, and undiscovered public knowledge. Perspectives in Biology and Medicine 1986;30:7–18.</w:t>
      </w:r>
      <w:r>
        <w:t xml:space="preserve"> </w:t>
      </w:r>
      <w:hyperlink r:id="rId62">
        <w:r>
          <w:rPr>
            <w:rStyle w:val="Hyperlink"/>
          </w:rPr>
          <w:t xml:space="preserve">https://doi.org/10.1353/pbm.1986.0087</w:t>
        </w:r>
      </w:hyperlink>
      <w:r>
        <w:t xml:space="preserve">.</w:t>
      </w:r>
    </w:p>
    <w:bookmarkEnd w:id="63"/>
    <w:bookmarkStart w:id="65" w:name="ref-tshitoyan2019unsupervised"/>
    <w:p>
      <w:pPr>
        <w:pStyle w:val="Bibliography"/>
      </w:pPr>
      <w:r>
        <w:t xml:space="preserve">[4]</w:t>
      </w:r>
      <w:r>
        <w:t xml:space="preserve"> </w:t>
      </w:r>
      <w:r>
        <w:t xml:space="preserve">	</w:t>
      </w:r>
      <w:r>
        <w:t xml:space="preserve">Tshitoyan V, Dagdelen J, Weston L, Dunn A, Rong Z, Kononova O, et al. Unsupervised word embeddings capture latent knowledge from materials science literature. Nature 2019;571:95–8.</w:t>
      </w:r>
      <w:r>
        <w:t xml:space="preserve"> </w:t>
      </w:r>
      <w:hyperlink r:id="rId64">
        <w:r>
          <w:rPr>
            <w:rStyle w:val="Hyperlink"/>
          </w:rPr>
          <w:t xml:space="preserve">https://doi.org/10.1038/s41586-019-1335-8</w:t>
        </w:r>
      </w:hyperlink>
      <w:r>
        <w:t xml:space="preserve">.</w:t>
      </w:r>
    </w:p>
    <w:bookmarkEnd w:id="65"/>
    <w:bookmarkStart w:id="67" w:name="ref-krenn2023forecasting"/>
    <w:p>
      <w:pPr>
        <w:pStyle w:val="Bibliography"/>
      </w:pPr>
      <w:r>
        <w:t xml:space="preserve">[5]</w:t>
      </w:r>
      <w:r>
        <w:t xml:space="preserve"> </w:t>
      </w:r>
      <w:r>
        <w:t xml:space="preserve">	</w:t>
      </w:r>
      <w:r>
        <w:t xml:space="preserve">Krenn M et al. Forecasting the future of artificial intelligence with machine learning-based link prediction in an exponentially growing knowledge network. Nature Machine Intelligence 2023;5:1326–35.</w:t>
      </w:r>
      <w:r>
        <w:t xml:space="preserve"> </w:t>
      </w:r>
      <w:hyperlink r:id="rId66">
        <w:r>
          <w:rPr>
            <w:rStyle w:val="Hyperlink"/>
          </w:rPr>
          <w:t xml:space="preserve">https://doi.org/10.1038/s42256-023-00735-0</w:t>
        </w:r>
      </w:hyperlink>
      <w:r>
        <w:t xml:space="preserve">.</w:t>
      </w:r>
    </w:p>
    <w:bookmarkEnd w:id="67"/>
    <w:bookmarkStart w:id="69" w:name="ref-kang2025zhongjinggpt"/>
    <w:p>
      <w:pPr>
        <w:pStyle w:val="Bibliography"/>
      </w:pPr>
      <w:r>
        <w:t xml:space="preserve">[6]</w:t>
      </w:r>
      <w:r>
        <w:t xml:space="preserve"> </w:t>
      </w:r>
      <w:r>
        <w:t xml:space="preserve">	</w:t>
      </w:r>
      <w:r>
        <w:t xml:space="preserve">Kang Y, Chang Y, Wu S, Wu X, Jiao Y, Fu J, et al.</w:t>
      </w:r>
      <w:r>
        <w:t xml:space="preserve"> </w:t>
      </w:r>
      <w:r>
        <w:t xml:space="preserve">ZhongJingGPT</w:t>
      </w:r>
      <w:r>
        <w:t xml:space="preserve">: An expert knowledge-guided language model for traditional</w:t>
      </w:r>
      <w:r>
        <w:t xml:space="preserve"> </w:t>
      </w:r>
      <w:r>
        <w:t xml:space="preserve">Chinese</w:t>
      </w:r>
      <w:r>
        <w:t xml:space="preserve"> </w:t>
      </w:r>
      <w:r>
        <w:t xml:space="preserve">medicine. Tsinghua Science and Technology 2025.</w:t>
      </w:r>
      <w:r>
        <w:t xml:space="preserve"> </w:t>
      </w:r>
      <w:hyperlink r:id="rId68">
        <w:r>
          <w:rPr>
            <w:rStyle w:val="Hyperlink"/>
          </w:rPr>
          <w:t xml:space="preserve">https://doi.org/10.26599/TST.2025.9010046</w:t>
        </w:r>
      </w:hyperlink>
      <w:r>
        <w:t xml:space="preserve">.</w:t>
      </w:r>
    </w:p>
    <w:bookmarkEnd w:id="69"/>
    <w:bookmarkStart w:id="71" w:name="ref-cmlm2023zhongjing"/>
    <w:p>
      <w:pPr>
        <w:pStyle w:val="Bibliography"/>
      </w:pPr>
      <w:r>
        <w:t xml:space="preserve">[7]</w:t>
      </w:r>
      <w:r>
        <w:t xml:space="preserve"> </w:t>
      </w:r>
      <w:r>
        <w:t xml:space="preserve">	</w:t>
      </w:r>
      <w:r>
        <w:t xml:space="preserve">CMLM-ZhongJing team.</w:t>
      </w:r>
      <w:r>
        <w:t xml:space="preserve"> </w:t>
      </w:r>
      <w:hyperlink r:id="rId70">
        <w:r>
          <w:rPr>
            <w:rStyle w:val="Hyperlink"/>
          </w:rPr>
          <w:t xml:space="preserve">CMLM-ZhongJing</w:t>
        </w:r>
        <w:r>
          <w:rPr>
            <w:rStyle w:val="Hyperlink"/>
          </w:rPr>
          <w:t xml:space="preserve">: The first-ever traditional</w:t>
        </w:r>
        <w:r>
          <w:rPr>
            <w:rStyle w:val="Hyperlink"/>
          </w:rPr>
          <w:t xml:space="preserve"> </w:t>
        </w:r>
        <w:r>
          <w:rPr>
            <w:rStyle w:val="Hyperlink"/>
          </w:rPr>
          <w:t xml:space="preserve">Chinese</w:t>
        </w:r>
        <w:r>
          <w:rPr>
            <w:rStyle w:val="Hyperlink"/>
          </w:rPr>
          <w:t xml:space="preserve"> </w:t>
        </w:r>
        <w:r>
          <w:rPr>
            <w:rStyle w:val="Hyperlink"/>
          </w:rPr>
          <w:t xml:space="preserve">medicine large language model</w:t>
        </w:r>
      </w:hyperlink>
      <w:r>
        <w:t xml:space="preserve"> </w:t>
      </w:r>
      <w:r>
        <w:t xml:space="preserve">2023.</w:t>
      </w:r>
    </w:p>
    <w:bookmarkEnd w:id="71"/>
    <w:bookmarkStart w:id="73" w:name="ref-zhang2023huatuogpt"/>
    <w:p>
      <w:pPr>
        <w:pStyle w:val="Bibliography"/>
      </w:pPr>
      <w:r>
        <w:t xml:space="preserve">[8]</w:t>
      </w:r>
      <w:r>
        <w:t xml:space="preserve"> </w:t>
      </w:r>
      <w:r>
        <w:t xml:space="preserve">	</w:t>
      </w:r>
      <w:r>
        <w:t xml:space="preserve">Zhang H, Chen J, Jiang F, et al.</w:t>
      </w:r>
      <w:r>
        <w:t xml:space="preserve"> </w:t>
      </w:r>
      <w:hyperlink r:id="rId72">
        <w:r>
          <w:rPr>
            <w:rStyle w:val="Hyperlink"/>
          </w:rPr>
          <w:t xml:space="preserve">HuatuoGPT</w:t>
        </w:r>
        <w:r>
          <w:rPr>
            <w:rStyle w:val="Hyperlink"/>
          </w:rPr>
          <w:t xml:space="preserve">, towards taming language model to be a doctor</w:t>
        </w:r>
      </w:hyperlink>
      <w:r>
        <w:t xml:space="preserve">. Findings of the association for computational linguistics: EMNLP 2023, 2023, p. 10859–85.</w:t>
      </w:r>
    </w:p>
    <w:bookmarkEnd w:id="73"/>
    <w:bookmarkStart w:id="75" w:name="ref-yang2024zhongjing"/>
    <w:p>
      <w:pPr>
        <w:pStyle w:val="Bibliography"/>
      </w:pPr>
      <w:r>
        <w:t xml:space="preserve">[9]</w:t>
      </w:r>
      <w:r>
        <w:t xml:space="preserve"> </w:t>
      </w:r>
      <w:r>
        <w:t xml:space="preserve">	</w:t>
      </w:r>
      <w:r>
        <w:t xml:space="preserve">Yang S, Zhao H, Zhu S, Zhou G, Xu H, Jia Y, et al. Zhongjing: Enhancing the</w:t>
      </w:r>
      <w:r>
        <w:t xml:space="preserve"> </w:t>
      </w:r>
      <w:r>
        <w:t xml:space="preserve">Chinese</w:t>
      </w:r>
      <w:r>
        <w:t xml:space="preserve"> </w:t>
      </w:r>
      <w:r>
        <w:t xml:space="preserve">medical capabilities of large language model through expert feedback and real-world multi-turn dialogue. Proceedings of the AAAI conference on artificial intelligence, vol. 38, 2024.</w:t>
      </w:r>
      <w:r>
        <w:t xml:space="preserve"> </w:t>
      </w:r>
      <w:hyperlink r:id="rId74">
        <w:r>
          <w:rPr>
            <w:rStyle w:val="Hyperlink"/>
          </w:rPr>
          <w:t xml:space="preserve">https://doi.org/10.1609/aaai.v38i17.29907</w:t>
        </w:r>
      </w:hyperlink>
      <w:r>
        <w:t xml:space="preserve">.</w:t>
      </w:r>
    </w:p>
    <w:bookmarkEnd w:id="75"/>
    <w:bookmarkStart w:id="77" w:name="ref-yue2024tcmbench"/>
    <w:p>
      <w:pPr>
        <w:pStyle w:val="Bibliography"/>
      </w:pPr>
      <w:r>
        <w:t xml:space="preserve">[10]</w:t>
      </w:r>
      <w:r>
        <w:t xml:space="preserve"> </w:t>
      </w:r>
      <w:r>
        <w:t xml:space="preserve">	</w:t>
      </w:r>
      <w:r>
        <w:t xml:space="preserve">Yue W, Wang X, Zhu W, Guan M, Zheng H, Wang P, et al.</w:t>
      </w:r>
      <w:r>
        <w:t xml:space="preserve"> </w:t>
      </w:r>
      <w:r>
        <w:t xml:space="preserve">TCMBench</w:t>
      </w:r>
      <w:r>
        <w:t xml:space="preserve">: A comprehensive benchmark for evaluating large language models in traditional</w:t>
      </w:r>
      <w:r>
        <w:t xml:space="preserve"> </w:t>
      </w:r>
      <w:r>
        <w:t xml:space="preserve">Chinese</w:t>
      </w:r>
      <w:r>
        <w:t xml:space="preserve"> </w:t>
      </w:r>
      <w:r>
        <w:t xml:space="preserve">medicine 2024.</w:t>
      </w:r>
      <w:r>
        <w:t xml:space="preserve"> </w:t>
      </w:r>
      <w:hyperlink r:id="rId76">
        <w:r>
          <w:rPr>
            <w:rStyle w:val="Hyperlink"/>
          </w:rPr>
          <w:t xml:space="preserve">https://doi.org/10.48550/arXiv.2406.01126</w:t>
        </w:r>
      </w:hyperlink>
      <w:r>
        <w:t xml:space="preserve">.</w:t>
      </w:r>
    </w:p>
    <w:bookmarkEnd w:id="77"/>
    <w:bookmarkStart w:id="79" w:name="ref-li2025tcmrdkg"/>
    <w:p>
      <w:pPr>
        <w:pStyle w:val="Bibliography"/>
      </w:pPr>
      <w:r>
        <w:t xml:space="preserve">[11]</w:t>
      </w:r>
      <w:r>
        <w:t xml:space="preserve"> </w:t>
      </w:r>
      <w:r>
        <w:t xml:space="preserve">	</w:t>
      </w:r>
      <w:r>
        <w:t xml:space="preserve">Li H, Xia C, Hou Y, Hu S, Liu Y, Jiang Q.</w:t>
      </w:r>
      <w:r>
        <w:t xml:space="preserve"> </w:t>
      </w:r>
      <w:r>
        <w:t xml:space="preserve">TCMRD-KG</w:t>
      </w:r>
      <w:r>
        <w:t xml:space="preserve">: Innovative design and development of rheumatology knowledge graph in ancient</w:t>
      </w:r>
      <w:r>
        <w:t xml:space="preserve"> </w:t>
      </w:r>
      <w:r>
        <w:t xml:space="preserve">Chinese</w:t>
      </w:r>
      <w:r>
        <w:t xml:space="preserve"> </w:t>
      </w:r>
      <w:r>
        <w:t xml:space="preserve">literature assisted by large language models. Frontiers in Pharmacology 2025;16:1535596.</w:t>
      </w:r>
      <w:r>
        <w:t xml:space="preserve"> </w:t>
      </w:r>
      <w:hyperlink r:id="rId78">
        <w:r>
          <w:rPr>
            <w:rStyle w:val="Hyperlink"/>
          </w:rPr>
          <w:t xml:space="preserve">https://doi.org/10.3389/fphar.2025.1535596</w:t>
        </w:r>
      </w:hyperlink>
      <w:r>
        <w:t xml:space="preserve">.</w:t>
      </w:r>
    </w:p>
    <w:bookmarkEnd w:id="79"/>
    <w:bookmarkStart w:id="81" w:name="ref-xiang2025kgclassics"/>
    <w:p>
      <w:pPr>
        <w:pStyle w:val="Bibliography"/>
      </w:pPr>
      <w:r>
        <w:t xml:space="preserve">[12]</w:t>
      </w:r>
      <w:r>
        <w:t xml:space="preserve"> </w:t>
      </w:r>
      <w:r>
        <w:t xml:space="preserve">	</w:t>
      </w:r>
      <w:r>
        <w:t xml:space="preserve">Xiang S, Lin H, Cai F, Jiang Z. Integrating knowledge graphs with ancient</w:t>
      </w:r>
      <w:r>
        <w:t xml:space="preserve"> </w:t>
      </w:r>
      <w:r>
        <w:t xml:space="preserve">Chinese</w:t>
      </w:r>
      <w:r>
        <w:t xml:space="preserve"> </w:t>
      </w:r>
      <w:r>
        <w:t xml:space="preserve">medicine classics: Challenges and future prospects of multi-agent system convergence. Chinese Medicine 2025.</w:t>
      </w:r>
      <w:r>
        <w:t xml:space="preserve"> </w:t>
      </w:r>
      <w:hyperlink r:id="rId80">
        <w:r>
          <w:rPr>
            <w:rStyle w:val="Hyperlink"/>
          </w:rPr>
          <w:t xml:space="preserve">https://doi.org/10.1186/s13020-025-01226-7</w:t>
        </w:r>
      </w:hyperlink>
      <w:r>
        <w:t xml:space="preserve">.</w:t>
      </w:r>
    </w:p>
    <w:bookmarkEnd w:id="81"/>
    <w:bookmarkStart w:id="83" w:name="ref-boiko2023autonomous"/>
    <w:p>
      <w:pPr>
        <w:pStyle w:val="Bibliography"/>
      </w:pPr>
      <w:r>
        <w:t xml:space="preserve">[13]</w:t>
      </w:r>
      <w:r>
        <w:t xml:space="preserve"> </w:t>
      </w:r>
      <w:r>
        <w:t xml:space="preserve">	</w:t>
      </w:r>
      <w:r>
        <w:t xml:space="preserve">Boiko DA, MacKnight R, Kline B, Gomes G. Autonomous chemical research with large language models. Nature 2023;624:570–8.</w:t>
      </w:r>
      <w:r>
        <w:t xml:space="preserve"> </w:t>
      </w:r>
      <w:hyperlink r:id="rId82">
        <w:r>
          <w:rPr>
            <w:rStyle w:val="Hyperlink"/>
          </w:rPr>
          <w:t xml:space="preserve">https://doi.org/10.1038/s41586-023-06792-0</w:t>
        </w:r>
      </w:hyperlink>
      <w:r>
        <w:t xml:space="preserve">.</w:t>
      </w:r>
    </w:p>
    <w:bookmarkEnd w:id="83"/>
    <w:bookmarkStart w:id="85" w:name="ref-gottweis2025coscientist"/>
    <w:p>
      <w:pPr>
        <w:pStyle w:val="Bibliography"/>
      </w:pPr>
      <w:r>
        <w:t xml:space="preserve">[14]</w:t>
      </w:r>
      <w:r>
        <w:t xml:space="preserve"> </w:t>
      </w:r>
      <w:r>
        <w:t xml:space="preserve">	</w:t>
      </w:r>
      <w:r>
        <w:t xml:space="preserve">Gottweis J et al. Towards an</w:t>
      </w:r>
      <w:r>
        <w:t xml:space="preserve"> </w:t>
      </w:r>
      <w:r>
        <w:t xml:space="preserve">AI</w:t>
      </w:r>
      <w:r>
        <w:t xml:space="preserve"> </w:t>
      </w:r>
      <w:r>
        <w:t xml:space="preserve">co-scientist 2025.</w:t>
      </w:r>
      <w:r>
        <w:t xml:space="preserve"> </w:t>
      </w:r>
      <w:hyperlink r:id="rId84">
        <w:r>
          <w:rPr>
            <w:rStyle w:val="Hyperlink"/>
          </w:rPr>
          <w:t xml:space="preserve">https://doi.org/10.48550/arXiv.2502.18864</w:t>
        </w:r>
      </w:hyperlink>
      <w:r>
        <w:t xml:space="preserve">.</w:t>
      </w:r>
    </w:p>
    <w:bookmarkEnd w:id="85"/>
    <w:bookmarkStart w:id="87" w:name="ref-swanson2025virtuallab"/>
    <w:p>
      <w:pPr>
        <w:pStyle w:val="Bibliography"/>
      </w:pPr>
      <w:r>
        <w:t xml:space="preserve">[15]</w:t>
      </w:r>
      <w:r>
        <w:t xml:space="preserve"> </w:t>
      </w:r>
      <w:r>
        <w:t xml:space="preserve">	</w:t>
      </w:r>
      <w:r>
        <w:t xml:space="preserve">Swanson K, Wu W, Bulaong NL, Pak JE, Zou J. The</w:t>
      </w:r>
      <w:r>
        <w:t xml:space="preserve"> </w:t>
      </w:r>
      <w:r>
        <w:t xml:space="preserve">Virtual Lab</w:t>
      </w:r>
      <w:r>
        <w:t xml:space="preserve"> </w:t>
      </w:r>
      <w:r>
        <w:t xml:space="preserve">of</w:t>
      </w:r>
      <w:r>
        <w:t xml:space="preserve"> </w:t>
      </w:r>
      <w:r>
        <w:t xml:space="preserve">AI</w:t>
      </w:r>
      <w:r>
        <w:t xml:space="preserve"> </w:t>
      </w:r>
      <w:r>
        <w:t xml:space="preserve">agents designs new</w:t>
      </w:r>
      <w:r>
        <w:t xml:space="preserve"> </w:t>
      </w:r>
      <w:r>
        <w:t xml:space="preserve">SARS-CoV-2</w:t>
      </w:r>
      <w:r>
        <w:t xml:space="preserve"> </w:t>
      </w:r>
      <w:r>
        <w:t xml:space="preserve">nanobodies. Nature 2025;646:716–23.</w:t>
      </w:r>
      <w:r>
        <w:t xml:space="preserve"> </w:t>
      </w:r>
      <w:hyperlink r:id="rId86">
        <w:r>
          <w:rPr>
            <w:rStyle w:val="Hyperlink"/>
          </w:rPr>
          <w:t xml:space="preserve">https://doi.org/10.1038/s41586-025-09442-9</w:t>
        </w:r>
      </w:hyperlink>
      <w:r>
        <w:t xml:space="preserve">.</w:t>
      </w:r>
    </w:p>
    <w:bookmarkEnd w:id="87"/>
    <w:bookmarkStart w:id="89" w:name="ref-huang2025popper"/>
    <w:p>
      <w:pPr>
        <w:pStyle w:val="Bibliography"/>
      </w:pPr>
      <w:r>
        <w:t xml:space="preserve">[16]</w:t>
      </w:r>
      <w:r>
        <w:t xml:space="preserve"> </w:t>
      </w:r>
      <w:r>
        <w:t xml:space="preserve">	</w:t>
      </w:r>
      <w:r>
        <w:t xml:space="preserve">Huang K, Jin Y, Li R, Li MY, Candès E, Leskovec J.</w:t>
      </w:r>
      <w:r>
        <w:t xml:space="preserve"> </w:t>
      </w:r>
      <w:hyperlink r:id="rId88">
        <w:r>
          <w:rPr>
            <w:rStyle w:val="Hyperlink"/>
          </w:rPr>
          <w:t xml:space="preserve">Automated hypothesis validation with agentic sequential falsifications</w:t>
        </w:r>
      </w:hyperlink>
      <w:r>
        <w:t xml:space="preserve">. Proceedings of the 42nd international conference on machine learning, vol. 267, 2025, p. 25372–437.</w:t>
      </w:r>
    </w:p>
    <w:bookmarkEnd w:id="89"/>
    <w:bookmarkStart w:id="91" w:name="ref-lu2026endtoend"/>
    <w:p>
      <w:pPr>
        <w:pStyle w:val="Bibliography"/>
      </w:pPr>
      <w:r>
        <w:t xml:space="preserve">[17]</w:t>
      </w:r>
      <w:r>
        <w:t xml:space="preserve"> </w:t>
      </w:r>
      <w:r>
        <w:t xml:space="preserve">	</w:t>
      </w:r>
      <w:r>
        <w:t xml:space="preserve">Lu C, Lu C, Lange RT, Yamada Y, Hu S, Foerster J, et al. Towards end-to-end automation of</w:t>
      </w:r>
      <w:r>
        <w:t xml:space="preserve"> </w:t>
      </w:r>
      <w:r>
        <w:t xml:space="preserve">AI</w:t>
      </w:r>
      <w:r>
        <w:t xml:space="preserve"> </w:t>
      </w:r>
      <w:r>
        <w:t xml:space="preserve">research. Nature 2026;651:914–9.</w:t>
      </w:r>
      <w:r>
        <w:t xml:space="preserve"> </w:t>
      </w:r>
      <w:hyperlink r:id="rId90">
        <w:r>
          <w:rPr>
            <w:rStyle w:val="Hyperlink"/>
          </w:rPr>
          <w:t xml:space="preserve">https://doi.org/10.1038/s41586-026-10265-5</w:t>
        </w:r>
      </w:hyperlink>
      <w:r>
        <w:t xml:space="preserve">.</w:t>
      </w:r>
    </w:p>
    <w:bookmarkEnd w:id="91"/>
    <w:bookmarkStart w:id="93" w:name="ref-ji2023hallucination"/>
    <w:p>
      <w:pPr>
        <w:pStyle w:val="Bibliography"/>
      </w:pPr>
      <w:r>
        <w:t xml:space="preserve">[18]</w:t>
      </w:r>
      <w:r>
        <w:t xml:space="preserve"> </w:t>
      </w:r>
      <w:r>
        <w:t xml:space="preserve">	</w:t>
      </w:r>
      <w:r>
        <w:t xml:space="preserve">Ji Z, Lee N, Frieske R, Yu T, Su D, Xu Y, et al. Survey of hallucination in natural language generation. ACM Computing Surveys 2023;55:1–38.</w:t>
      </w:r>
      <w:r>
        <w:t xml:space="preserve"> </w:t>
      </w:r>
      <w:hyperlink r:id="rId92">
        <w:r>
          <w:rPr>
            <w:rStyle w:val="Hyperlink"/>
          </w:rPr>
          <w:t xml:space="preserve">https://doi.org/10.1145/3571730</w:t>
        </w:r>
      </w:hyperlink>
      <w:r>
        <w:t xml:space="preserve">.</w:t>
      </w:r>
    </w:p>
    <w:bookmarkEnd w:id="93"/>
    <w:bookmarkStart w:id="95" w:name="ref-gao2023alce"/>
    <w:p>
      <w:pPr>
        <w:pStyle w:val="Bibliography"/>
      </w:pPr>
      <w:r>
        <w:t xml:space="preserve">[19]</w:t>
      </w:r>
      <w:r>
        <w:t xml:space="preserve"> </w:t>
      </w:r>
      <w:r>
        <w:t xml:space="preserve">	</w:t>
      </w:r>
      <w:r>
        <w:t xml:space="preserve">Gao T, Yen H, Yu J, Chen D. Enabling large language models to generate text with citations. Proceedings of the 2023 conference on empirical methods in natural language processing, 2023, p. 6465–88.</w:t>
      </w:r>
      <w:r>
        <w:t xml:space="preserve"> </w:t>
      </w:r>
      <w:hyperlink r:id="rId94">
        <w:r>
          <w:rPr>
            <w:rStyle w:val="Hyperlink"/>
          </w:rPr>
          <w:t xml:space="preserve">https://doi.org/10.18653/v1/2023.emnlp-main.398</w:t>
        </w:r>
      </w:hyperlink>
      <w:r>
        <w:t xml:space="preserve">.</w:t>
      </w:r>
    </w:p>
    <w:bookmarkEnd w:id="95"/>
    <w:bookmarkStart w:id="97" w:name="ref-thirunavukarasu2023llm"/>
    <w:p>
      <w:pPr>
        <w:pStyle w:val="Bibliography"/>
      </w:pPr>
      <w:r>
        <w:t xml:space="preserve">[20]</w:t>
      </w:r>
      <w:r>
        <w:t xml:space="preserve"> </w:t>
      </w:r>
      <w:r>
        <w:t xml:space="preserve">	</w:t>
      </w:r>
      <w:r>
        <w:t xml:space="preserve">Thirunavukarasu AJ, Ting DSJ, Elangovan K, Gutierrez L, Tan TF, Ting DSW. Large language models in medicine. Nature Medicine 2023;29:1930–40.</w:t>
      </w:r>
      <w:r>
        <w:t xml:space="preserve"> </w:t>
      </w:r>
      <w:hyperlink r:id="rId96">
        <w:r>
          <w:rPr>
            <w:rStyle w:val="Hyperlink"/>
          </w:rPr>
          <w:t xml:space="preserve">https://doi.org/10.1038/s41591-023-02448-8</w:t>
        </w:r>
      </w:hyperlink>
      <w:r>
        <w:t xml:space="preserve">.</w:t>
      </w:r>
    </w:p>
    <w:bookmarkEnd w:id="97"/>
    <w:bookmarkStart w:id="99" w:name="ref-kohler2021hpo"/>
    <w:p>
      <w:pPr>
        <w:pStyle w:val="Bibliography"/>
      </w:pPr>
      <w:r>
        <w:t xml:space="preserve">[21]</w:t>
      </w:r>
      <w:r>
        <w:t xml:space="preserve"> </w:t>
      </w:r>
      <w:r>
        <w:t xml:space="preserve">	</w:t>
      </w:r>
      <w:r>
        <w:t xml:space="preserve">Köhler S et al. The</w:t>
      </w:r>
      <w:r>
        <w:t xml:space="preserve"> </w:t>
      </w:r>
      <w:r>
        <w:t xml:space="preserve">Human Phenotype Ontology</w:t>
      </w:r>
      <w:r>
        <w:t xml:space="preserve"> </w:t>
      </w:r>
      <w:r>
        <w:t xml:space="preserve">in 2021. Nucleic Acids Research 2021;49:D1207–17.</w:t>
      </w:r>
      <w:r>
        <w:t xml:space="preserve"> </w:t>
      </w:r>
      <w:hyperlink r:id="rId98">
        <w:r>
          <w:rPr>
            <w:rStyle w:val="Hyperlink"/>
          </w:rPr>
          <w:t xml:space="preserve">https://doi.org/10.1093/nar/gkaa1043</w:t>
        </w:r>
      </w:hyperlink>
      <w:r>
        <w:t xml:space="preserve">.</w:t>
      </w:r>
    </w:p>
    <w:bookmarkEnd w:id="99"/>
    <w:bookmarkStart w:id="101" w:name="ref-adamic2003friends"/>
    <w:p>
      <w:pPr>
        <w:pStyle w:val="Bibliography"/>
      </w:pPr>
      <w:r>
        <w:t xml:space="preserve">[22]</w:t>
      </w:r>
      <w:r>
        <w:t xml:space="preserve"> </w:t>
      </w:r>
      <w:r>
        <w:t xml:space="preserve">	</w:t>
      </w:r>
      <w:r>
        <w:t xml:space="preserve">Adamic LA, Adar E. Friends and neighbors on the</w:t>
      </w:r>
      <w:r>
        <w:t xml:space="preserve"> </w:t>
      </w:r>
      <w:r>
        <w:t xml:space="preserve">Web</w:t>
      </w:r>
      <w:r>
        <w:t xml:space="preserve">. Social Networks 2003;25:211–30.</w:t>
      </w:r>
      <w:r>
        <w:t xml:space="preserve"> </w:t>
      </w:r>
      <w:hyperlink r:id="rId100">
        <w:r>
          <w:rPr>
            <w:rStyle w:val="Hyperlink"/>
          </w:rPr>
          <w:t xml:space="preserve">https://doi.org/10.1016/S0378-8733(03)00009-1</w:t>
        </w:r>
      </w:hyperlink>
      <w:r>
        <w:t xml:space="preserve">.</w:t>
      </w:r>
    </w:p>
    <w:bookmarkEnd w:id="101"/>
    <w:bookmarkStart w:id="102" w:name="ref-popper1959logic"/>
    <w:p>
      <w:pPr>
        <w:pStyle w:val="Bibliography"/>
      </w:pPr>
      <w:r>
        <w:t xml:space="preserve">[23]</w:t>
      </w:r>
      <w:r>
        <w:t xml:space="preserve"> </w:t>
      </w:r>
      <w:r>
        <w:t xml:space="preserve">	</w:t>
      </w:r>
      <w:r>
        <w:t xml:space="preserve">Popper KR. The logic of scientific discovery. London: Hutchinson; 1959.</w:t>
      </w:r>
    </w:p>
    <w:bookmarkEnd w:id="102"/>
    <w:bookmarkStart w:id="104" w:name="ref-jia2011mutation"/>
    <w:p>
      <w:pPr>
        <w:pStyle w:val="Bibliography"/>
      </w:pPr>
      <w:r>
        <w:t xml:space="preserve">[24]</w:t>
      </w:r>
      <w:r>
        <w:t xml:space="preserve"> </w:t>
      </w:r>
      <w:r>
        <w:t xml:space="preserve">	</w:t>
      </w:r>
      <w:r>
        <w:t xml:space="preserve">Jia Y, Harman M. An analysis and survey of the development of mutation testing. IEEE Transactions on Software Engineering 2011;37:649–78.</w:t>
      </w:r>
      <w:r>
        <w:t xml:space="preserve"> </w:t>
      </w:r>
      <w:hyperlink r:id="rId103">
        <w:r>
          <w:rPr>
            <w:rStyle w:val="Hyperlink"/>
          </w:rPr>
          <w:t xml:space="preserve">https://doi.org/10.1109/TSE.2010.62</w:t>
        </w:r>
      </w:hyperlink>
      <w:r>
        <w:t xml:space="preserve">.</w:t>
      </w:r>
    </w:p>
    <w:bookmarkEnd w:id="104"/>
    <w:bookmarkStart w:id="106" w:name="ref-wilson1927probable"/>
    <w:p>
      <w:pPr>
        <w:pStyle w:val="Bibliography"/>
      </w:pPr>
      <w:r>
        <w:t xml:space="preserve">[25]</w:t>
      </w:r>
      <w:r>
        <w:t xml:space="preserve"> </w:t>
      </w:r>
      <w:r>
        <w:t xml:space="preserve">	</w:t>
      </w:r>
      <w:r>
        <w:t xml:space="preserve">Wilson EB. Probable inference, the law of succession, and statistical inference. Journal of the American Statistical Association 1927;22:209–12.</w:t>
      </w:r>
      <w:r>
        <w:t xml:space="preserve"> </w:t>
      </w:r>
      <w:hyperlink r:id="rId105">
        <w:r>
          <w:rPr>
            <w:rStyle w:val="Hyperlink"/>
          </w:rPr>
          <w:t xml:space="preserve">https://doi.org/10.1080/01621459.1927.10502953</w:t>
        </w:r>
      </w:hyperlink>
      <w:r>
        <w:t xml:space="preserve">.</w:t>
      </w:r>
    </w:p>
    <w:bookmarkEnd w:id="106"/>
    <w:bookmarkStart w:id="108" w:name="ref-armitage1955tests"/>
    <w:p>
      <w:pPr>
        <w:pStyle w:val="Bibliography"/>
      </w:pPr>
      <w:r>
        <w:t xml:space="preserve">[26]</w:t>
      </w:r>
      <w:r>
        <w:t xml:space="preserve"> </w:t>
      </w:r>
      <w:r>
        <w:t xml:space="preserve">	</w:t>
      </w:r>
      <w:r>
        <w:t xml:space="preserve">Armitage P. Tests for linear trends in proportions and frequencies. Biometrics 1955;11:375–86.</w:t>
      </w:r>
      <w:r>
        <w:t xml:space="preserve"> </w:t>
      </w:r>
      <w:hyperlink r:id="rId107">
        <w:r>
          <w:rPr>
            <w:rStyle w:val="Hyperlink"/>
          </w:rPr>
          <w:t xml:space="preserve">https://doi.org/10.2307/3001775</w:t>
        </w:r>
      </w:hyperlink>
      <w:r>
        <w:t xml:space="preserve">.</w:t>
      </w:r>
    </w:p>
    <w:bookmarkEnd w:id="108"/>
    <w:bookmarkStart w:id="110" w:name="ref-hripcsak2015ohdsi"/>
    <w:p>
      <w:pPr>
        <w:pStyle w:val="Bibliography"/>
      </w:pPr>
      <w:r>
        <w:t xml:space="preserve">[27]</w:t>
      </w:r>
      <w:r>
        <w:t xml:space="preserve"> </w:t>
      </w:r>
      <w:r>
        <w:t xml:space="preserve">	</w:t>
      </w:r>
      <w:r>
        <w:t xml:space="preserve">Hripcsak G et al. Observational</w:t>
      </w:r>
      <w:r>
        <w:t xml:space="preserve"> </w:t>
      </w:r>
      <w:r>
        <w:t xml:space="preserve">Health Data Sciences and Informatics</w:t>
      </w:r>
      <w:r>
        <w:t xml:space="preserve"> </w:t>
      </w:r>
      <w:r>
        <w:t xml:space="preserve">(</w:t>
      </w:r>
      <w:r>
        <w:t xml:space="preserve">OHDSI</w:t>
      </w:r>
      <w:r>
        <w:t xml:space="preserve">): Opportunities for observational researchers. Studies in Health Technology and Informatics 2015;216:574–8.</w:t>
      </w:r>
      <w:r>
        <w:t xml:space="preserve"> </w:t>
      </w:r>
      <w:hyperlink r:id="rId109">
        <w:r>
          <w:rPr>
            <w:rStyle w:val="Hyperlink"/>
          </w:rPr>
          <w:t xml:space="preserve">https://doi.org/10.3233/978-1-61499-564-7-574</w:t>
        </w:r>
      </w:hyperlink>
      <w:r>
        <w:t xml:space="preserve">.</w:t>
      </w:r>
    </w:p>
    <w:bookmarkEnd w:id="110"/>
    <w:bookmarkStart w:id="112" w:name="ref-libennowell2007link"/>
    <w:p>
      <w:pPr>
        <w:pStyle w:val="Bibliography"/>
      </w:pPr>
      <w:r>
        <w:t xml:space="preserve">[28]</w:t>
      </w:r>
      <w:r>
        <w:t xml:space="preserve"> </w:t>
      </w:r>
      <w:r>
        <w:t xml:space="preserve">	</w:t>
      </w:r>
      <w:r>
        <w:t xml:space="preserve">Liben-Nowell D, Kleinberg J. The link-prediction problem for social networks. Journal of the American Society for Information Science and Technology 2007;58:1019–31.</w:t>
      </w:r>
      <w:r>
        <w:t xml:space="preserve"> </w:t>
      </w:r>
      <w:hyperlink r:id="rId111">
        <w:r>
          <w:rPr>
            <w:rStyle w:val="Hyperlink"/>
          </w:rPr>
          <w:t xml:space="preserve">https://doi.org/10.1002/asi.20591</w:t>
        </w:r>
      </w:hyperlink>
      <w:r>
        <w:t xml:space="preserve">.</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hyperlink" Id="rId72" Target="https://aclanthology.org/2023.findings-emnlp.725" TargetMode="External" /><Relationship Type="http://schemas.openxmlformats.org/officeDocument/2006/relationships/hyperlink" Id="rId111" Target="https://doi.org/10.1002/asi.20591" TargetMode="External" /><Relationship Type="http://schemas.openxmlformats.org/officeDocument/2006/relationships/hyperlink" Id="rId100" Target="https://doi.org/10.1016/S0378-8733(03)00009-1" TargetMode="External" /><Relationship Type="http://schemas.openxmlformats.org/officeDocument/2006/relationships/hyperlink" Id="rId58" Target="https://doi.org/10.1038/nm.2471" TargetMode="External" /><Relationship Type="http://schemas.openxmlformats.org/officeDocument/2006/relationships/hyperlink" Id="rId64" Target="https://doi.org/10.1038/s41586-019-1335-8" TargetMode="External" /><Relationship Type="http://schemas.openxmlformats.org/officeDocument/2006/relationships/hyperlink" Id="rId82" Target="https://doi.org/10.1038/s41586-023-06792-0" TargetMode="External" /><Relationship Type="http://schemas.openxmlformats.org/officeDocument/2006/relationships/hyperlink" Id="rId86" Target="https://doi.org/10.1038/s41586-025-09442-9" TargetMode="External" /><Relationship Type="http://schemas.openxmlformats.org/officeDocument/2006/relationships/hyperlink" Id="rId90" Target="https://doi.org/10.1038/s41586-026-10265-5" TargetMode="External" /><Relationship Type="http://schemas.openxmlformats.org/officeDocument/2006/relationships/hyperlink" Id="rId96" Target="https://doi.org/10.1038/s41591-023-02448-8" TargetMode="External" /><Relationship Type="http://schemas.openxmlformats.org/officeDocument/2006/relationships/hyperlink" Id="rId66" Target="https://doi.org/10.1038/s42256-023-00735-0" TargetMode="External" /><Relationship Type="http://schemas.openxmlformats.org/officeDocument/2006/relationships/hyperlink" Id="rId105" Target="https://doi.org/10.1080/01621459.1927.10502953" TargetMode="External" /><Relationship Type="http://schemas.openxmlformats.org/officeDocument/2006/relationships/hyperlink" Id="rId98" Target="https://doi.org/10.1093/nar/gkaa1043" TargetMode="External" /><Relationship Type="http://schemas.openxmlformats.org/officeDocument/2006/relationships/hyperlink" Id="rId103" Target="https://doi.org/10.1109/TSE.2010.62" TargetMode="External" /><Relationship Type="http://schemas.openxmlformats.org/officeDocument/2006/relationships/hyperlink" Id="rId92" Target="https://doi.org/10.1145/3571730" TargetMode="External" /><Relationship Type="http://schemas.openxmlformats.org/officeDocument/2006/relationships/hyperlink" Id="rId60" Target="https://doi.org/10.1182/blood-2007-07-102798" TargetMode="External" /><Relationship Type="http://schemas.openxmlformats.org/officeDocument/2006/relationships/hyperlink" Id="rId80" Target="https://doi.org/10.1186/s13020-025-01226-7" TargetMode="External" /><Relationship Type="http://schemas.openxmlformats.org/officeDocument/2006/relationships/hyperlink" Id="rId62" Target="https://doi.org/10.1353/pbm.1986.0087" TargetMode="External" /><Relationship Type="http://schemas.openxmlformats.org/officeDocument/2006/relationships/hyperlink" Id="rId74" Target="https://doi.org/10.1609/aaai.v38i17.29907" TargetMode="External" /><Relationship Type="http://schemas.openxmlformats.org/officeDocument/2006/relationships/hyperlink" Id="rId94" Target="https://doi.org/10.18653/v1/2023.emnlp-main.398" TargetMode="External" /><Relationship Type="http://schemas.openxmlformats.org/officeDocument/2006/relationships/hyperlink" Id="rId107" Target="https://doi.org/10.2307/3001775" TargetMode="External" /><Relationship Type="http://schemas.openxmlformats.org/officeDocument/2006/relationships/hyperlink" Id="rId68" Target="https://doi.org/10.26599/TST.2025.9010046" TargetMode="External" /><Relationship Type="http://schemas.openxmlformats.org/officeDocument/2006/relationships/hyperlink" Id="rId109" Target="https://doi.org/10.3233/978-1-61499-564-7-574" TargetMode="External" /><Relationship Type="http://schemas.openxmlformats.org/officeDocument/2006/relationships/hyperlink" Id="rId78" Target="https://doi.org/10.3389/fphar.2025.1535596" TargetMode="External" /><Relationship Type="http://schemas.openxmlformats.org/officeDocument/2006/relationships/hyperlink" Id="rId76" Target="https://doi.org/10.48550/arXiv.2406.01126" TargetMode="External" /><Relationship Type="http://schemas.openxmlformats.org/officeDocument/2006/relationships/hyperlink" Id="rId84" Target="https://doi.org/10.48550/arXiv.2502.18864" TargetMode="External" /><Relationship Type="http://schemas.openxmlformats.org/officeDocument/2006/relationships/hyperlink" Id="rId70" Target="https://github.com/pariskang/CMLM-ZhongJing" TargetMode="External" /><Relationship Type="http://schemas.openxmlformats.org/officeDocument/2006/relationships/hyperlink" Id="rId55" Target="https://github.com/psknlr/TaoChronos" TargetMode="External" /><Relationship Type="http://schemas.openxmlformats.org/officeDocument/2006/relationships/hyperlink" Id="rId88" Target="https://proceedings.mlr.press/v267/huang25n.html" TargetMode="External" /></Relationships>
</file>

<file path=word/_rels/footnotes.xml.rels><?xml version="1.0" encoding="UTF-8"?><Relationships xmlns="http://schemas.openxmlformats.org/package/2006/relationships"><Relationship Type="http://schemas.openxmlformats.org/officeDocument/2006/relationships/hyperlink" Id="rId72" Target="https://aclanthology.org/2023.findings-emnlp.725" TargetMode="External" /><Relationship Type="http://schemas.openxmlformats.org/officeDocument/2006/relationships/hyperlink" Id="rId111" Target="https://doi.org/10.1002/asi.20591" TargetMode="External" /><Relationship Type="http://schemas.openxmlformats.org/officeDocument/2006/relationships/hyperlink" Id="rId100" Target="https://doi.org/10.1016/S0378-8733(03)00009-1" TargetMode="External" /><Relationship Type="http://schemas.openxmlformats.org/officeDocument/2006/relationships/hyperlink" Id="rId58" Target="https://doi.org/10.1038/nm.2471" TargetMode="External" /><Relationship Type="http://schemas.openxmlformats.org/officeDocument/2006/relationships/hyperlink" Id="rId64" Target="https://doi.org/10.1038/s41586-019-1335-8" TargetMode="External" /><Relationship Type="http://schemas.openxmlformats.org/officeDocument/2006/relationships/hyperlink" Id="rId82" Target="https://doi.org/10.1038/s41586-023-06792-0" TargetMode="External" /><Relationship Type="http://schemas.openxmlformats.org/officeDocument/2006/relationships/hyperlink" Id="rId86" Target="https://doi.org/10.1038/s41586-025-09442-9" TargetMode="External" /><Relationship Type="http://schemas.openxmlformats.org/officeDocument/2006/relationships/hyperlink" Id="rId90" Target="https://doi.org/10.1038/s41586-026-10265-5" TargetMode="External" /><Relationship Type="http://schemas.openxmlformats.org/officeDocument/2006/relationships/hyperlink" Id="rId96" Target="https://doi.org/10.1038/s41591-023-02448-8" TargetMode="External" /><Relationship Type="http://schemas.openxmlformats.org/officeDocument/2006/relationships/hyperlink" Id="rId66" Target="https://doi.org/10.1038/s42256-023-00735-0" TargetMode="External" /><Relationship Type="http://schemas.openxmlformats.org/officeDocument/2006/relationships/hyperlink" Id="rId105" Target="https://doi.org/10.1080/01621459.1927.10502953" TargetMode="External" /><Relationship Type="http://schemas.openxmlformats.org/officeDocument/2006/relationships/hyperlink" Id="rId98" Target="https://doi.org/10.1093/nar/gkaa1043" TargetMode="External" /><Relationship Type="http://schemas.openxmlformats.org/officeDocument/2006/relationships/hyperlink" Id="rId103" Target="https://doi.org/10.1109/TSE.2010.62" TargetMode="External" /><Relationship Type="http://schemas.openxmlformats.org/officeDocument/2006/relationships/hyperlink" Id="rId92" Target="https://doi.org/10.1145/3571730" TargetMode="External" /><Relationship Type="http://schemas.openxmlformats.org/officeDocument/2006/relationships/hyperlink" Id="rId60" Target="https://doi.org/10.1182/blood-2007-07-102798" TargetMode="External" /><Relationship Type="http://schemas.openxmlformats.org/officeDocument/2006/relationships/hyperlink" Id="rId80" Target="https://doi.org/10.1186/s13020-025-01226-7" TargetMode="External" /><Relationship Type="http://schemas.openxmlformats.org/officeDocument/2006/relationships/hyperlink" Id="rId62" Target="https://doi.org/10.1353/pbm.1986.0087" TargetMode="External" /><Relationship Type="http://schemas.openxmlformats.org/officeDocument/2006/relationships/hyperlink" Id="rId74" Target="https://doi.org/10.1609/aaai.v38i17.29907" TargetMode="External" /><Relationship Type="http://schemas.openxmlformats.org/officeDocument/2006/relationships/hyperlink" Id="rId94" Target="https://doi.org/10.18653/v1/2023.emnlp-main.398" TargetMode="External" /><Relationship Type="http://schemas.openxmlformats.org/officeDocument/2006/relationships/hyperlink" Id="rId107" Target="https://doi.org/10.2307/3001775" TargetMode="External" /><Relationship Type="http://schemas.openxmlformats.org/officeDocument/2006/relationships/hyperlink" Id="rId68" Target="https://doi.org/10.26599/TST.2025.9010046" TargetMode="External" /><Relationship Type="http://schemas.openxmlformats.org/officeDocument/2006/relationships/hyperlink" Id="rId109" Target="https://doi.org/10.3233/978-1-61499-564-7-574" TargetMode="External" /><Relationship Type="http://schemas.openxmlformats.org/officeDocument/2006/relationships/hyperlink" Id="rId78" Target="https://doi.org/10.3389/fphar.2025.1535596" TargetMode="External" /><Relationship Type="http://schemas.openxmlformats.org/officeDocument/2006/relationships/hyperlink" Id="rId76" Target="https://doi.org/10.48550/arXiv.2406.01126" TargetMode="External" /><Relationship Type="http://schemas.openxmlformats.org/officeDocument/2006/relationships/hyperlink" Id="rId84" Target="https://doi.org/10.48550/arXiv.2502.18864" TargetMode="External" /><Relationship Type="http://schemas.openxmlformats.org/officeDocument/2006/relationships/hyperlink" Id="rId70" Target="https://github.com/pariskang/CMLM-ZhongJing" TargetMode="External" /><Relationship Type="http://schemas.openxmlformats.org/officeDocument/2006/relationships/hyperlink" Id="rId55" Target="https://github.com/psknlr/TaoChronos" TargetMode="External" /><Relationship Type="http://schemas.openxmlformats.org/officeDocument/2006/relationships/hyperlink" Id="rId88" Target="https://proceedings.mlr.press/v267/huang25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TaoChronos: A Reliable Agent for Knowledge Discovery in Traditional Chinese Medicine</dc:title>
  <dc:creator/>
  <dc:language>en-US</dc:language>
  <cp:keywords/>
  <dcterms:created xsi:type="dcterms:W3CDTF">2026-10-19T00:32:39Z</dcterms:created>
  <dcterms:modified xsi:type="dcterms:W3CDTF">2026-10-19T00:32:39Z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/home/user/TaoChronos/paper/manuscript/references.bib</vt:lpwstr>
  </property>
  <property fmtid="{D5CDD505-2E9C-101B-9397-08002B2CF9AE}" pid="3" name="csl">
    <vt:lpwstr>/home/user/TaoChronos/paper/manuscript/csl/elsevier-vancouver.csl</vt:lpwstr>
  </property>
  <property fmtid="{D5CDD505-2E9C-101B-9397-08002B2CF9AE}" pid="4" name="journal">
    <vt:lpwstr>Engineering (Research Article)</vt:lpwstr>
  </property>
  <property fmtid="{D5CDD505-2E9C-101B-9397-08002B2CF9AE}" pid="5" name="link-citations">
    <vt:lpwstr>True</vt:lpwstr>
  </property>
</Properties>
</file>