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Table 1 | </w:t>
      </w:r>
      <w:r>
        <w:rPr>
          <w:b/>
        </w:rPr>
        <w:t>Eight ways an agent can go wrong on the classical literature, the mechanism that stops each in TaoChronos, and the measured evidence that it does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tcBorders>
              <w:left w:val="nil"/>
              <w:right w:val="nil"/>
              <w:insideV w:val="nil"/>
              <w:insideH w:val="nil"/>
              <w:top w:val="single" w:sz="6" w:color="000000"/>
              <w:bottom w:val="single" w:sz="6" w:color="000000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Failure mode</w:t>
            </w:r>
          </w:p>
        </w:tc>
        <w:tc>
          <w:tcPr>
            <w:tcW w:type="dxa" w:w="3784"/>
            <w:tcBorders>
              <w:left w:val="nil"/>
              <w:right w:val="nil"/>
              <w:insideV w:val="nil"/>
              <w:insideH w:val="nil"/>
              <w:top w:val="single" w:sz="6" w:color="000000"/>
              <w:bottom w:val="single" w:sz="6" w:color="000000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Example in the classics</w:t>
            </w:r>
          </w:p>
        </w:tc>
        <w:tc>
          <w:tcPr>
            <w:tcW w:type="dxa" w:w="3784"/>
            <w:tcBorders>
              <w:left w:val="nil"/>
              <w:right w:val="nil"/>
              <w:insideV w:val="nil"/>
              <w:insideH w:val="nil"/>
              <w:top w:val="single" w:sz="6" w:color="000000"/>
              <w:bottom w:val="single" w:sz="6" w:color="000000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Mechanism in TaoChronos</w:t>
            </w:r>
          </w:p>
        </w:tc>
        <w:tc>
          <w:tcPr>
            <w:tcW w:type="dxa" w:w="3784"/>
            <w:tcBorders>
              <w:left w:val="nil"/>
              <w:right w:val="nil"/>
              <w:insideV w:val="nil"/>
              <w:insideH w:val="nil"/>
              <w:top w:val="single" w:sz="6" w:color="000000"/>
              <w:bottom w:val="single" w:sz="6" w:color="000000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Evidence in this study</w:t>
            </w:r>
          </w:p>
        </w:tc>
      </w:tr>
      <w:tr>
        <w:tc>
          <w:tcPr>
            <w:tcW w:type="dxa" w:w="3784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Fabricated or altered quotation</w:t>
            </w:r>
          </w:p>
        </w:tc>
        <w:tc>
          <w:tcPr>
            <w:tcW w:type="dxa" w:w="3784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 quote with one character changed, or the right words at the wrong place</w:t>
            </w:r>
          </w:p>
        </w:tc>
        <w:tc>
          <w:tcPr>
            <w:tcW w:type="dxa" w:w="3784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The harness, not the producer, locates every quote in its passage at commit (verbatim, or after length-preserving variant normalization); the conversation client checks every cited passage</w:t>
            </w:r>
          </w:p>
        </w:tc>
        <w:tc>
          <w:tcPr>
            <w:tcW w:type="dxa" w:w="3784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180/180 corrupted quotations rejected, 60/60 verbatim accepted; 100% of committed claims verbatim (Fig. 4a)</w:t>
            </w:r>
          </w:p>
        </w:tc>
      </w:tr>
      <w:tr>
        <w:tc>
          <w:tcPr>
            <w:tcW w:type="dxa" w:w="3784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True quote, false reading</w:t>
            </w:r>
          </w:p>
        </w:tc>
        <w:tc>
          <w:tcPr>
            <w:tcW w:type="dxa" w:w="3784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「不可发汗，宜桂枝汤」 (a prohibition beside a prescription); 「或曰…余曰非也」 (a view the author rejects)</w:t>
            </w:r>
          </w:p>
        </w:tc>
        <w:tc>
          <w:tcPr>
            <w:tcW w:type="dxa" w:w="3784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Semantic-support hook reads each claim's statement frame (speaker, stance, conditions, negations) and refuses a claim its quote contradicts; a registry of textual cruxes harvested from commentaries makes doubtful clauses read as ambiguous</w:t>
            </w:r>
          </w:p>
        </w:tc>
        <w:tc>
          <w:tcPr>
            <w:tcW w:type="dxa" w:w="3784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Held-out hard cases 82/84, 2 unsafe; four blind rounds (Fig. 4c,d)</w:t>
            </w:r>
          </w:p>
        </w:tc>
      </w:tr>
      <w:tr>
        <w:tc>
          <w:tcPr>
            <w:tcW w:type="dxa" w:w="3784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Copies counted as independent testimony</w:t>
            </w:r>
          </w:p>
        </w:tc>
        <w:tc>
          <w:tcPr>
            <w:tcW w:type="dxa" w:w="3784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Five witnesses of one clause of the Jingui yaolüe and its copy in the Maijing</w:t>
            </w:r>
          </w:p>
        </w:tc>
        <w:tc>
          <w:tcPr>
            <w:tcW w:type="dxa" w:w="3784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Gate G5 counts independent source families (author and transcription clusters), not books; the Skeptic checks transcription dependence and single sources</w:t>
            </w:r>
          </w:p>
        </w:tc>
        <w:tc>
          <w:tcPr>
            <w:tcW w:type="dxa" w:w="3784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H5 held inconclusive on one family (Fig. 3e); an over-merging of families reported (Supplementary Fig. 1)</w:t>
            </w:r>
          </w:p>
        </w:tc>
      </w:tr>
      <w:tr>
        <w:tc>
          <w:tcPr>
            <w:tcW w:type="dxa" w:w="3784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Anachronism (presentism)</w:t>
            </w:r>
          </w:p>
        </w:tc>
        <w:tc>
          <w:tcPr>
            <w:tcW w:type="dxa" w:w="3784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Xiaoke 消渴 read as diabetes mellitus; shanghan 伤寒 read as typhoid</w:t>
            </w:r>
          </w:p>
        </w:tc>
        <w:tc>
          <w:tcPr>
            <w:tcW w:type="dxa" w:w="3784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Anachronism guard at claim, hypothesis and graph-write hooks; the contract's forbidden equivalences; the ancient–modern bridge states phenotypic similarity with typed relations, never a retrospective diagnosis</w:t>
            </w:r>
          </w:p>
        </w:tc>
        <w:tc>
          <w:tcPr>
            <w:tcW w:type="dxa" w:w="3784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Statements 10/10, mappings 8/8, translations 24/24; agent-asserted equivalence blocked</w:t>
            </w:r>
          </w:p>
        </w:tc>
      </w:tr>
      <w:tr>
        <w:tc>
          <w:tcPr>
            <w:tcW w:type="dxa" w:w="3784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Arguments from silence</w:t>
            </w:r>
          </w:p>
        </w:tc>
        <w:tc>
          <w:tcPr>
            <w:tcW w:type="dxa" w:w="3784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An association called lost after 960 that a later book still states</w:t>
            </w:r>
          </w:p>
        </w:tc>
        <w:tc>
          <w:tcPr>
            <w:tcW w:type="dxa" w:w="3784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The Skeptic searches the whole scope for explicit, supported statements; one later statement refutes a loss and any statement refutes a hidden link, as hard, critical objections no rewording can close</w:t>
            </w:r>
          </w:p>
        </w:tc>
        <w:tc>
          <w:tcPr>
            <w:tcW w:type="dxa" w:w="3784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2 wrong lost and 2 already-written hidden associations rejected, and no discovery (Fig. 5d); R1 rejected (Fig. 3)</w:t>
            </w:r>
          </w:p>
        </w:tc>
      </w:tr>
      <w:tr>
        <w:tc>
          <w:tcPr>
            <w:tcW w:type="dxa" w:w="3784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Self-grading and premature acceptance</w:t>
            </w:r>
          </w:p>
        </w:tc>
        <w:tc>
          <w:tcPr>
            <w:tcW w:type="dxa" w:w="3784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 model closing its own objection, setting expert approval, or a finished run taken as an accepted finding</w:t>
            </w:r>
          </w:p>
        </w:tc>
        <w:tc>
          <w:tcPr>
            <w:tcW w:type="dxa" w:w="3784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Every event carries its principal and the reducer refuses an event its principal may not emit (61 types); only validators grade, only a human sets G7; an executable contract judges acceptance</w:t>
            </w:r>
          </w:p>
        </w:tc>
        <w:tc>
          <w:tcPr>
            <w:tcW w:type="dxa" w:w="3784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19/19 invariants held; each of 6 boundaries removed broke its invariant and no other (Fig. 4b)</w:t>
            </w:r>
          </w:p>
        </w:tc>
      </w:tr>
      <w:tr>
        <w:tc>
          <w:tcPr>
            <w:tcW w:type="dxa" w:w="3784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Hindsight in testing foresight</w:t>
            </w:r>
          </w:p>
        </w:tc>
        <w:tc>
          <w:tcPr>
            <w:tcW w:type="dxa" w:w="3784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 'prediction' made after reading the books that later confirm it</w:t>
            </w:r>
          </w:p>
        </w:tc>
        <w:tc>
          <w:tcPr>
            <w:tcW w:type="dxa" w:w="3784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Time-machine views bounded in SQL on every read path; passages that straddle the cutoff belong to neither side; leakage counted, not assumed</w:t>
            </w:r>
          </w:p>
        </w:tc>
        <w:tc>
          <w:tcPr>
            <w:tcW w:type="dxa" w:w="3784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Leakage 0; precision@10 0.168 against 0.134 (popularity) and 0.054 (chance)† (Fig. 5)</w:t>
            </w:r>
          </w:p>
        </w:tc>
      </w:tr>
      <w:tr>
        <w:tc>
          <w:tcPr>
            <w:tcW w:type="dxa" w:w="3784"/>
            <w:tcBorders>
              <w:left w:val="nil"/>
              <w:right w:val="nil"/>
              <w:insideV w:val="nil"/>
              <w:insideH w:val="nil"/>
              <w:top w:val="nil"/>
              <w:bottom w:val="single" w:sz="6" w:color="000000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Irreproducible runs</w:t>
            </w:r>
          </w:p>
        </w:tc>
        <w:tc>
          <w:tcPr>
            <w:tcW w:type="dxa" w:w="3784"/>
            <w:tcBorders>
              <w:left w:val="nil"/>
              <w:right w:val="nil"/>
              <w:insideV w:val="nil"/>
              <w:insideH w:val="nil"/>
              <w:top w:val="nil"/>
              <w:bottom w:val="single" w:sz="6" w:color="000000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 result that cannot be rerun or audited step by step</w:t>
            </w:r>
          </w:p>
        </w:tc>
        <w:tc>
          <w:tcPr>
            <w:tcW w:type="dxa" w:w="3784"/>
            <w:tcBorders>
              <w:left w:val="nil"/>
              <w:right w:val="nil"/>
              <w:insideV w:val="nil"/>
              <w:insideH w:val="nil"/>
              <w:top w:val="nil"/>
              <w:bottom w:val="single" w:sz="6" w:color="000000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Append-only event log replayed and hashed every round; tool-call receipts in a hash chain; recorded model responses replayed exactly</w:t>
            </w:r>
          </w:p>
        </w:tc>
        <w:tc>
          <w:tcPr>
            <w:tcW w:type="dxa" w:w="3784"/>
            <w:tcBorders>
              <w:left w:val="nil"/>
              <w:right w:val="nil"/>
              <w:insideV w:val="nil"/>
              <w:insideH w:val="nil"/>
              <w:top w:val="nil"/>
              <w:bottom w:val="single" w:sz="6" w:color="000000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Resume after a crash at 4 of 4 points reaches the same state; reruns and parallel runs identical; the end-to-end report rewritten identically</w:t>
            </w:r>
          </w:p>
        </w:tc>
      </w:tr>
    </w:tbl>
    <w:p>
      <w:pPr>
        <w:spacing w:after="40"/>
      </w:pPr>
      <w:r>
        <w:rPr>
          <w:sz w:val="15"/>
        </w:rPr>
        <w:t>Every mechanism is deterministic code that runs whether a language model or a rule produced the output; all evidence was measured with the rules alone (no model called).</w:t>
      </w:r>
    </w:p>
    <w:p>
      <w:pPr>
        <w:spacing w:after="40"/>
      </w:pPr>
      <w:r>
        <w:rPr>
          <w:sz w:val="15"/>
        </w:rPr>
        <w:t>†Needs the full corpus store, which is not distributed; values from docs/evals.md. Other values were reproduced by `taochronos eval` on the demonstration corpus.</w:t>
      </w:r>
    </w:p>
    <w:p>
      <w:r>
        <w:br w:type="page"/>
      </w:r>
    </w:p>
    <w:p>
      <w:r>
        <w:rPr>
          <w:b/>
        </w:rPr>
        <w:t xml:space="preserve">Table 2 | </w:t>
      </w:r>
      <w:r>
        <w:rPr>
          <w:b/>
        </w:rPr>
        <w:t>Evaluation of TaoChronos across its three layers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single" w:sz="6" w:color="000000"/>
              <w:bottom w:val="single" w:sz="6" w:color="000000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Layer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single" w:sz="6" w:color="000000"/>
              <w:bottom w:val="single" w:sz="6" w:color="000000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Suite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single" w:sz="6" w:color="000000"/>
              <w:bottom w:val="single" w:sz="6" w:color="000000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Data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single" w:sz="6" w:color="000000"/>
              <w:bottom w:val="single" w:sz="6" w:color="000000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Metric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single" w:sz="6" w:color="000000"/>
              <w:bottom w:val="single" w:sz="6" w:color="000000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Development or constructed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single" w:sz="6" w:color="000000"/>
              <w:bottom w:val="single" w:sz="6" w:color="000000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Held-out or real corpus</w:t>
            </w:r>
          </w:p>
        </w:tc>
      </w:tr>
      <w:tr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Boundaries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Invariants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19 probes of the harness under test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Held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19/19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Each of 6 boundaries removed breaks its invariant</w:t>
            </w:r>
          </w:p>
        </w:tc>
      </w:tr>
      <w:tr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Readings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Hard interpretive cases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107 cases in 8 classes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Accuracy (unsafe errors)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23/23 (0)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82/84 = 0.976 (2)</w:t>
            </w:r>
          </w:p>
        </w:tc>
      </w:tr>
      <w:tr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Research value†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Link anticipation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189 topic–cutoff pairs; 29,467 candidates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Precision@10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–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0.168 (popularity 0.134; chance 0.054); higher average precision than popularity in 149 of 189, P = 2.4 × 10⁻¹⁶</w:t>
            </w:r>
          </w:p>
        </w:tc>
      </w:tr>
      <w:tr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End-to-end predictions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Held-out topics, cutoff 1368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Discoveries among survivors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1/8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7/19 = 0.37; leakage 0</w:t>
            </w:r>
          </w:p>
        </w:tc>
      </w:tr>
      <w:tr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Verification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Fabricated quotations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60 quotations × 4 probes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Handled correctly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–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60/60 in every probe; variant spellings accepted</w:t>
            </w:r>
          </w:p>
        </w:tc>
      </w:tr>
      <w:tr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Provenance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Committed claims and evidence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Verbatim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–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100%; mean chain depth 7.8 levels</w:t>
            </w:r>
          </w:p>
        </w:tc>
      </w:tr>
      <w:tr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Claim extraction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42 gold hyperedges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Precision / recall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1.00 / 0.976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–</w:t>
            </w:r>
          </w:p>
        </w:tc>
      </w:tr>
      <w:tr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Temporal and anachronism guards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Constraints, earliest attestations, equations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Correct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6/6 · 6/6 · 10/10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Leakage 0; agent-asserted equivalence blocked</w:t>
            </w:r>
          </w:p>
        </w:tc>
      </w:tr>
      <w:tr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Deep discovery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Collation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5 traditions copied down a known stemma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Variant-unit recall / precision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0.998 / 0.999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–</w:t>
            </w:r>
          </w:p>
        </w:tc>
      </w:tr>
      <w:tr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Semantic reuse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33 typed pairs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Accuracy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0.97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–</w:t>
            </w:r>
          </w:p>
        </w:tc>
      </w:tr>
      <w:tr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Stratigraphy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5 composites; the Suwen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Layer accuracy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0.955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Yunqi chapters 7/7 in the minor layer†</w:t>
            </w:r>
          </w:p>
        </w:tc>
      </w:tr>
      <w:tr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Lost-text fragments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Constructed lost work; Qianjin yaofang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Precision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0.86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0.32†</w:t>
            </w:r>
          </w:p>
        </w:tc>
      </w:tr>
      <w:tr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Task specification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Punctuation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55 held-out works (104 k characters)†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Boundary F1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–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0.767 (rules 0.235); characters kept 1.000</w:t>
            </w:r>
          </w:p>
        </w:tc>
      </w:tr>
      <w:tr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Drug pairs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66,196 compositions†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Textbook pairs significant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–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7/7, lift &gt; 1.5</w:t>
            </w:r>
          </w:p>
        </w:tc>
      </w:tr>
      <w:tr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V2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Entities (24 types)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41 development, 25 held-out sentences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F1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0.991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0.776</w:t>
            </w:r>
          </w:p>
        </w:tc>
      </w:tr>
      <w:tr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Ancient phenotypes → HPO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20 development cases; 12 random passages†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F1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0.985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nil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0.822</w:t>
            </w:r>
          </w:p>
        </w:tc>
      </w:tr>
      <w:tr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single" w:sz="6" w:color="000000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single" w:sz="6" w:color="000000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Evidence audit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single" w:sz="6" w:color="000000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19 claims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single" w:sz="6" w:color="000000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Verdicts right (false SUPPORTED)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single" w:sz="6" w:color="000000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19/19 (0)</w:t>
            </w:r>
          </w:p>
        </w:tc>
        <w:tc>
          <w:tcPr>
            <w:tcW w:type="dxa" w:w="2523"/>
            <w:tcBorders>
              <w:left w:val="nil"/>
              <w:right w:val="nil"/>
              <w:insideV w:val="nil"/>
              <w:insideH w:val="nil"/>
              <w:top w:val="nil"/>
              <w:bottom w:val="single" w:sz="6" w:color="000000"/>
            </w:tcBorders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–</w:t>
            </w:r>
          </w:p>
        </w:tc>
      </w:tr>
    </w:tbl>
    <w:p>
      <w:pPr>
        <w:spacing w:after="40"/>
      </w:pPr>
      <w:r>
        <w:rPr>
          <w:sz w:val="15"/>
        </w:rPr>
        <w:t>Development and constructed gold sets were written by the authors with the rules they test; they are regression tests of intended behaviour, not unbiased benchmarks. Only held-out and real-corpus columns estimate generalization.</w:t>
      </w:r>
    </w:p>
    <w:p>
      <w:pPr>
        <w:spacing w:after="40"/>
      </w:pPr>
      <w:r>
        <w:rPr>
          <w:sz w:val="15"/>
        </w:rPr>
        <w:t>†Needs the full corpus store, which is not distributed; values from docs/evals.md. All other values were reproduced for this paper by `taochronos eval` on the demonstration corpus (40 suites, 47 s).</w:t>
      </w:r>
    </w:p>
    <w:p>
      <w:pPr>
        <w:spacing w:after="40"/>
      </w:pPr>
      <w:r>
        <w:rPr>
          <w:sz w:val="15"/>
        </w:rPr>
        <w:t>P value from a two-sided sign test of average precision over topic–cutoff pairs. HPO, Human Phenotype Ontology.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SimSun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