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Table 1 | </w:t>
      </w:r>
      <w:r>
        <w:rPr>
          <w:b/>
        </w:rPr>
        <w:t>Sources of the corpus</w:t>
      </w:r>
    </w:p>
    <w:tbl>
      <w:tblPr>
        <w:tblW w:type="auto" w:w="0"/>
        <w:tblLook w:firstColumn="1" w:firstRow="1" w:lastColumn="0" w:lastRow="0" w:noHBand="0" w:noVBand="1" w:val="04A0"/>
      </w:tblPr>
      <w:tblGrid>
        <w:gridCol w:w="3028"/>
        <w:gridCol w:w="3028"/>
        <w:gridCol w:w="3028"/>
        <w:gridCol w:w="3028"/>
        <w:gridCol w:w="3028"/>
      </w:tblGrid>
      <w:tr>
        <w:tc>
          <w:tcPr>
            <w:tcW w:type="dxa" w:w="3028"/>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Source</w:t>
            </w:r>
          </w:p>
        </w:tc>
        <w:tc>
          <w:tcPr>
            <w:tcW w:type="dxa" w:w="3028"/>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Licence</w:t>
            </w:r>
          </w:p>
        </w:tc>
        <w:tc>
          <w:tcPr>
            <w:tcW w:type="dxa" w:w="3028"/>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Works admitted</w:t>
            </w:r>
          </w:p>
        </w:tc>
        <w:tc>
          <w:tcPr>
            <w:tcW w:type="dxa" w:w="3028"/>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Characters (millions)</w:t>
            </w:r>
          </w:p>
        </w:tc>
        <w:tc>
          <w:tcPr>
            <w:tcW w:type="dxa" w:w="3028"/>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Transcription and notes</w:t>
            </w:r>
          </w:p>
        </w:tc>
      </w:tr>
      <w:tr>
        <w:tc>
          <w:tcPr>
            <w:tcW w:type="dxa" w:w="3028"/>
            <w:tcBorders>
              <w:left w:val="nil"/>
              <w:right w:val="nil"/>
              <w:insideV w:val="nil"/>
              <w:insideH w:val="nil"/>
              <w:top w:val="nil"/>
              <w:bottom w:val="nil"/>
            </w:tcBorders>
          </w:tcPr>
          <w:p>
            <w:pPr>
              <w:spacing w:after="20"/>
            </w:pPr>
            <w:r>
              <w:rPr>
                <w:rFonts w:ascii="Arial" w:hAnsi="Arial"/>
                <w:sz w:val="16"/>
              </w:rPr>
              <w:t>Kanseki Repository KR3e, Siku quanshu medical section (漢籍リポジトリ)</w:t>
            </w:r>
          </w:p>
        </w:tc>
        <w:tc>
          <w:tcPr>
            <w:tcW w:type="dxa" w:w="3028"/>
            <w:tcBorders>
              <w:left w:val="nil"/>
              <w:right w:val="nil"/>
              <w:insideV w:val="nil"/>
              <w:insideH w:val="nil"/>
              <w:top w:val="nil"/>
              <w:bottom w:val="nil"/>
            </w:tcBorders>
          </w:tcPr>
          <w:p>
            <w:pPr>
              <w:spacing w:after="20"/>
            </w:pPr>
            <w:r>
              <w:rPr>
                <w:rFonts w:ascii="Arial" w:hAnsi="Arial"/>
                <w:sz w:val="16"/>
              </w:rPr>
              <w:t>CC BY-SA 4.0</w:t>
            </w:r>
          </w:p>
        </w:tc>
        <w:tc>
          <w:tcPr>
            <w:tcW w:type="dxa" w:w="3028"/>
            <w:tcBorders>
              <w:left w:val="nil"/>
              <w:right w:val="nil"/>
              <w:insideV w:val="nil"/>
              <w:insideH w:val="nil"/>
              <w:top w:val="nil"/>
              <w:bottom w:val="nil"/>
            </w:tcBorders>
          </w:tcPr>
          <w:p>
            <w:pPr>
              <w:spacing w:after="20"/>
            </w:pPr>
            <w:r>
              <w:rPr>
                <w:rFonts w:ascii="Arial" w:hAnsi="Arial"/>
                <w:sz w:val="16"/>
              </w:rPr>
              <w:t>100</w:t>
            </w:r>
          </w:p>
        </w:tc>
        <w:tc>
          <w:tcPr>
            <w:tcW w:type="dxa" w:w="3028"/>
            <w:tcBorders>
              <w:left w:val="nil"/>
              <w:right w:val="nil"/>
              <w:insideV w:val="nil"/>
              <w:insideH w:val="nil"/>
              <w:top w:val="nil"/>
              <w:bottom w:val="nil"/>
            </w:tcBorders>
          </w:tcPr>
          <w:p>
            <w:pPr>
              <w:spacing w:after="20"/>
            </w:pPr>
            <w:r>
              <w:rPr>
                <w:rFonts w:ascii="Arial" w:hAnsi="Arial"/>
                <w:sz w:val="16"/>
              </w:rPr>
              <w:t>25.66*</w:t>
            </w:r>
          </w:p>
        </w:tc>
        <w:tc>
          <w:tcPr>
            <w:tcW w:type="dxa" w:w="3028"/>
            <w:tcBorders>
              <w:left w:val="nil"/>
              <w:right w:val="nil"/>
              <w:insideV w:val="nil"/>
              <w:insideH w:val="nil"/>
              <w:top w:val="nil"/>
              <w:bottom w:val="nil"/>
            </w:tcBorders>
          </w:tcPr>
          <w:p>
            <w:pPr>
              <w:spacing w:after="20"/>
            </w:pPr>
            <w:r>
              <w:rPr>
                <w:rFonts w:ascii="Arial" w:hAnsi="Arial"/>
                <w:sz w:val="16"/>
              </w:rPr>
              <w:t>Wenyuange Siku and Sibu congkan facsimiles; unpunctuated; catalogue with authors, dates, layers</w:t>
            </w:r>
          </w:p>
        </w:tc>
      </w:tr>
      <w:tr>
        <w:tc>
          <w:tcPr>
            <w:tcW w:type="dxa" w:w="3028"/>
            <w:tcBorders>
              <w:left w:val="nil"/>
              <w:right w:val="nil"/>
              <w:insideV w:val="nil"/>
              <w:insideH w:val="nil"/>
              <w:top w:val="nil"/>
              <w:bottom w:val="nil"/>
            </w:tcBorders>
          </w:tcPr>
          <w:p>
            <w:pPr>
              <w:spacing w:after="20"/>
            </w:pPr>
            <w:r>
              <w:rPr>
                <w:rFonts w:ascii="Arial" w:hAnsi="Arial"/>
                <w:sz w:val="16"/>
              </w:rPr>
              <w:t>JiCheng 笈成 edited texts, v1.4.8</w:t>
            </w:r>
          </w:p>
        </w:tc>
        <w:tc>
          <w:tcPr>
            <w:tcW w:type="dxa" w:w="3028"/>
            <w:tcBorders>
              <w:left w:val="nil"/>
              <w:right w:val="nil"/>
              <w:insideV w:val="nil"/>
              <w:insideH w:val="nil"/>
              <w:top w:val="nil"/>
              <w:bottom w:val="nil"/>
            </w:tcBorders>
          </w:tcPr>
          <w:p>
            <w:pPr>
              <w:spacing w:after="20"/>
            </w:pPr>
            <w:r>
              <w:rPr>
                <w:rFonts w:ascii="Arial" w:hAnsi="Arial"/>
                <w:sz w:val="16"/>
              </w:rPr>
              <w:t>User-supplied; local research only†</w:t>
            </w:r>
          </w:p>
        </w:tc>
        <w:tc>
          <w:tcPr>
            <w:tcW w:type="dxa" w:w="3028"/>
            <w:tcBorders>
              <w:left w:val="nil"/>
              <w:right w:val="nil"/>
              <w:insideV w:val="nil"/>
              <w:insideH w:val="nil"/>
              <w:top w:val="nil"/>
              <w:bottom w:val="nil"/>
            </w:tcBorders>
          </w:tcPr>
          <w:p>
            <w:pPr>
              <w:spacing w:after="20"/>
            </w:pPr>
            <w:r>
              <w:rPr>
                <w:rFonts w:ascii="Arial" w:hAnsi="Arial"/>
                <w:sz w:val="16"/>
              </w:rPr>
              <w:t>816</w:t>
            </w:r>
          </w:p>
        </w:tc>
        <w:tc>
          <w:tcPr>
            <w:tcW w:type="dxa" w:w="3028"/>
            <w:tcBorders>
              <w:left w:val="nil"/>
              <w:right w:val="nil"/>
              <w:insideV w:val="nil"/>
              <w:insideH w:val="nil"/>
              <w:top w:val="nil"/>
              <w:bottom w:val="nil"/>
            </w:tcBorders>
          </w:tcPr>
          <w:p>
            <w:pPr>
              <w:spacing w:after="20"/>
            </w:pPr>
            <w:r>
              <w:rPr>
                <w:rFonts w:ascii="Arial" w:hAnsi="Arial"/>
                <w:sz w:val="16"/>
              </w:rPr>
              <w:t>93.64*</w:t>
            </w:r>
          </w:p>
        </w:tc>
        <w:tc>
          <w:tcPr>
            <w:tcW w:type="dxa" w:w="3028"/>
            <w:tcBorders>
              <w:left w:val="nil"/>
              <w:right w:val="nil"/>
              <w:insideV w:val="nil"/>
              <w:insideH w:val="nil"/>
              <w:top w:val="nil"/>
              <w:bottom w:val="nil"/>
            </w:tcBorders>
          </w:tcPr>
          <w:p>
            <w:pPr>
              <w:spacing w:after="20"/>
            </w:pPr>
            <w:r>
              <w:rPr>
                <w:rFonts w:ascii="Arial" w:hAnsi="Arial"/>
                <w:sz w:val="16"/>
              </w:rPr>
              <w:t>Volunteer transcriptions with modern punctuation; 41 of 857 works excluded</w:t>
            </w:r>
          </w:p>
        </w:tc>
      </w:tr>
      <w:tr>
        <w:tc>
          <w:tcPr>
            <w:tcW w:type="dxa" w:w="3028"/>
            <w:tcBorders>
              <w:left w:val="nil"/>
              <w:right w:val="nil"/>
              <w:insideV w:val="nil"/>
              <w:insideH w:val="nil"/>
              <w:top w:val="nil"/>
              <w:bottom w:val="nil"/>
            </w:tcBorders>
          </w:tcPr>
          <w:p>
            <w:pPr>
              <w:spacing w:after="20"/>
            </w:pPr>
            <w:r>
              <w:rPr>
                <w:rFonts w:ascii="Arial" w:hAnsi="Arial"/>
                <w:sz w:val="16"/>
              </w:rPr>
              <w:t>CMETA 數位中醫校書郎 collated editions</w:t>
            </w:r>
          </w:p>
        </w:tc>
        <w:tc>
          <w:tcPr>
            <w:tcW w:type="dxa" w:w="3028"/>
            <w:tcBorders>
              <w:left w:val="nil"/>
              <w:right w:val="nil"/>
              <w:insideV w:val="nil"/>
              <w:insideH w:val="nil"/>
              <w:top w:val="nil"/>
              <w:bottom w:val="nil"/>
            </w:tcBorders>
          </w:tcPr>
          <w:p>
            <w:pPr>
              <w:spacing w:after="20"/>
            </w:pPr>
            <w:r>
              <w:rPr>
                <w:rFonts w:ascii="Arial" w:hAnsi="Arial"/>
                <w:sz w:val="16"/>
              </w:rPr>
              <w:t>CC BY 4.0 (collation); base texts public domain</w:t>
            </w:r>
          </w:p>
        </w:tc>
        <w:tc>
          <w:tcPr>
            <w:tcW w:type="dxa" w:w="3028"/>
            <w:tcBorders>
              <w:left w:val="nil"/>
              <w:right w:val="nil"/>
              <w:insideV w:val="nil"/>
              <w:insideH w:val="nil"/>
              <w:top w:val="nil"/>
              <w:bottom w:val="nil"/>
            </w:tcBorders>
          </w:tcPr>
          <w:p>
            <w:pPr>
              <w:spacing w:after="20"/>
            </w:pPr>
            <w:r>
              <w:rPr>
                <w:rFonts w:ascii="Arial" w:hAnsi="Arial"/>
                <w:sz w:val="16"/>
              </w:rPr>
              <w:t>11</w:t>
            </w:r>
          </w:p>
        </w:tc>
        <w:tc>
          <w:tcPr>
            <w:tcW w:type="dxa" w:w="3028"/>
            <w:tcBorders>
              <w:left w:val="nil"/>
              <w:right w:val="nil"/>
              <w:insideV w:val="nil"/>
              <w:insideH w:val="nil"/>
              <w:top w:val="nil"/>
              <w:bottom w:val="nil"/>
            </w:tcBorders>
          </w:tcPr>
          <w:p>
            <w:pPr>
              <w:spacing w:after="20"/>
            </w:pPr>
            <w:r>
              <w:rPr>
                <w:rFonts w:ascii="Arial" w:hAnsi="Arial"/>
                <w:sz w:val="16"/>
              </w:rPr>
              <w:t>1.49</w:t>
            </w:r>
          </w:p>
        </w:tc>
        <w:tc>
          <w:tcPr>
            <w:tcW w:type="dxa" w:w="3028"/>
            <w:tcBorders>
              <w:left w:val="nil"/>
              <w:right w:val="nil"/>
              <w:insideV w:val="nil"/>
              <w:insideH w:val="nil"/>
              <w:top w:val="nil"/>
              <w:bottom w:val="nil"/>
            </w:tcBorders>
          </w:tcPr>
          <w:p>
            <w:pPr>
              <w:spacing w:after="20"/>
            </w:pPr>
            <w:r>
              <w:rPr>
                <w:rFonts w:ascii="Arial" w:hAnsi="Arial"/>
                <w:sz w:val="16"/>
              </w:rPr>
              <w:t>Collated page by page against images; passages carry page numbers and image links</w:t>
            </w:r>
          </w:p>
        </w:tc>
      </w:tr>
      <w:tr>
        <w:tc>
          <w:tcPr>
            <w:tcW w:type="dxa" w:w="3028"/>
            <w:tcBorders>
              <w:left w:val="nil"/>
              <w:right w:val="nil"/>
              <w:insideV w:val="nil"/>
              <w:insideH w:val="nil"/>
              <w:top w:val="nil"/>
              <w:bottom w:val="nil"/>
            </w:tcBorders>
          </w:tcPr>
          <w:p>
            <w:pPr>
              <w:spacing w:after="20"/>
            </w:pPr>
            <w:r>
              <w:rPr>
                <w:rFonts w:ascii="Arial" w:hAnsi="Arial"/>
                <w:sz w:val="16"/>
              </w:rPr>
              <w:t>Tōa Igaku Kyōkai 東亜医学協会 texts</w:t>
            </w:r>
          </w:p>
        </w:tc>
        <w:tc>
          <w:tcPr>
            <w:tcW w:type="dxa" w:w="3028"/>
            <w:tcBorders>
              <w:left w:val="nil"/>
              <w:right w:val="nil"/>
              <w:insideV w:val="nil"/>
              <w:insideH w:val="nil"/>
              <w:top w:val="nil"/>
              <w:bottom w:val="nil"/>
            </w:tcBorders>
          </w:tcPr>
          <w:p>
            <w:pPr>
              <w:spacing w:after="20"/>
            </w:pPr>
            <w:r>
              <w:rPr>
                <w:rFonts w:ascii="Arial" w:hAnsi="Arial"/>
                <w:sz w:val="16"/>
              </w:rPr>
              <w:t>© the society; local research only†</w:t>
            </w:r>
          </w:p>
        </w:tc>
        <w:tc>
          <w:tcPr>
            <w:tcW w:type="dxa" w:w="3028"/>
            <w:tcBorders>
              <w:left w:val="nil"/>
              <w:right w:val="nil"/>
              <w:insideV w:val="nil"/>
              <w:insideH w:val="nil"/>
              <w:top w:val="nil"/>
              <w:bottom w:val="nil"/>
            </w:tcBorders>
          </w:tcPr>
          <w:p>
            <w:pPr>
              <w:spacing w:after="20"/>
            </w:pPr>
            <w:r>
              <w:rPr>
                <w:rFonts w:ascii="Arial" w:hAnsi="Arial"/>
                <w:sz w:val="16"/>
              </w:rPr>
              <w:t>7</w:t>
            </w:r>
          </w:p>
        </w:tc>
        <w:tc>
          <w:tcPr>
            <w:tcW w:type="dxa" w:w="3028"/>
            <w:tcBorders>
              <w:left w:val="nil"/>
              <w:right w:val="nil"/>
              <w:insideV w:val="nil"/>
              <w:insideH w:val="nil"/>
              <w:top w:val="nil"/>
              <w:bottom w:val="nil"/>
            </w:tcBorders>
          </w:tcPr>
          <w:p>
            <w:pPr>
              <w:spacing w:after="20"/>
            </w:pPr>
            <w:r>
              <w:rPr>
                <w:rFonts w:ascii="Arial" w:hAnsi="Arial"/>
                <w:sz w:val="16"/>
              </w:rPr>
              <w:t>0.33</w:t>
            </w:r>
          </w:p>
        </w:tc>
        <w:tc>
          <w:tcPr>
            <w:tcW w:type="dxa" w:w="3028"/>
            <w:tcBorders>
              <w:left w:val="nil"/>
              <w:right w:val="nil"/>
              <w:insideV w:val="nil"/>
              <w:insideH w:val="nil"/>
              <w:top w:val="nil"/>
              <w:bottom w:val="nil"/>
            </w:tcBorders>
          </w:tcPr>
          <w:p>
            <w:pPr>
              <w:spacing w:after="20"/>
            </w:pPr>
            <w:r>
              <w:rPr>
                <w:rFonts w:ascii="Arial" w:hAnsi="Arial"/>
                <w:sz w:val="16"/>
              </w:rPr>
              <w:t>Suwen, Lingshu, Nanjing, Shanghan lun, Jingui yaolüe, Shennong bencao jing, Bian Que biography</w:t>
            </w:r>
          </w:p>
        </w:tc>
      </w:tr>
      <w:tr>
        <w:tc>
          <w:tcPr>
            <w:tcW w:type="dxa" w:w="3028"/>
            <w:tcBorders>
              <w:left w:val="nil"/>
              <w:right w:val="nil"/>
              <w:insideV w:val="nil"/>
              <w:insideH w:val="nil"/>
              <w:top w:val="nil"/>
              <w:bottom w:val="nil"/>
            </w:tcBorders>
          </w:tcPr>
          <w:p>
            <w:pPr>
              <w:spacing w:after="20"/>
            </w:pPr>
            <w:r>
              <w:rPr>
                <w:rFonts w:ascii="Arial" w:hAnsi="Arial"/>
                <w:sz w:val="16"/>
              </w:rPr>
              <w:t>Wikisource (Category 中醫, 醫書)</w:t>
            </w:r>
          </w:p>
        </w:tc>
        <w:tc>
          <w:tcPr>
            <w:tcW w:type="dxa" w:w="3028"/>
            <w:tcBorders>
              <w:left w:val="nil"/>
              <w:right w:val="nil"/>
              <w:insideV w:val="nil"/>
              <w:insideH w:val="nil"/>
              <w:top w:val="nil"/>
              <w:bottom w:val="nil"/>
            </w:tcBorders>
          </w:tcPr>
          <w:p>
            <w:pPr>
              <w:spacing w:after="20"/>
            </w:pPr>
            <w:r>
              <w:rPr>
                <w:rFonts w:ascii="Arial" w:hAnsi="Arial"/>
                <w:sz w:val="16"/>
              </w:rPr>
              <w:t>CC BY-SA 4.0</w:t>
            </w:r>
          </w:p>
        </w:tc>
        <w:tc>
          <w:tcPr>
            <w:tcW w:type="dxa" w:w="3028"/>
            <w:tcBorders>
              <w:left w:val="nil"/>
              <w:right w:val="nil"/>
              <w:insideV w:val="nil"/>
              <w:insideH w:val="nil"/>
              <w:top w:val="nil"/>
              <w:bottom w:val="nil"/>
            </w:tcBorders>
          </w:tcPr>
          <w:p>
            <w:pPr>
              <w:spacing w:after="20"/>
            </w:pPr>
            <w:r>
              <w:rPr>
                <w:rFonts w:ascii="Arial" w:hAnsi="Arial"/>
                <w:sz w:val="16"/>
              </w:rPr>
              <w:t>18</w:t>
            </w:r>
          </w:p>
        </w:tc>
        <w:tc>
          <w:tcPr>
            <w:tcW w:type="dxa" w:w="3028"/>
            <w:tcBorders>
              <w:left w:val="nil"/>
              <w:right w:val="nil"/>
              <w:insideV w:val="nil"/>
              <w:insideH w:val="nil"/>
              <w:top w:val="nil"/>
              <w:bottom w:val="nil"/>
            </w:tcBorders>
          </w:tcPr>
          <w:p>
            <w:pPr>
              <w:spacing w:after="20"/>
            </w:pPr>
            <w:r>
              <w:rPr>
                <w:rFonts w:ascii="Arial" w:hAnsi="Arial"/>
                <w:sz w:val="16"/>
              </w:rPr>
              <w:t>0.77</w:t>
            </w:r>
          </w:p>
        </w:tc>
        <w:tc>
          <w:tcPr>
            <w:tcW w:type="dxa" w:w="3028"/>
            <w:tcBorders>
              <w:left w:val="nil"/>
              <w:right w:val="nil"/>
              <w:insideV w:val="nil"/>
              <w:insideH w:val="nil"/>
              <w:top w:val="nil"/>
              <w:bottom w:val="nil"/>
            </w:tcBorders>
          </w:tcPr>
          <w:p>
            <w:pPr>
              <w:spacing w:after="20"/>
            </w:pPr>
            <w:r>
              <w:rPr>
                <w:rFonts w:ascii="Arial" w:hAnsi="Arial"/>
                <w:sz w:val="16"/>
              </w:rPr>
              <w:t>Works new after de-duplication of 627 candidates</w:t>
            </w:r>
          </w:p>
        </w:tc>
      </w:tr>
      <w:tr>
        <w:tc>
          <w:tcPr>
            <w:tcW w:type="dxa" w:w="3028"/>
            <w:tcBorders>
              <w:left w:val="nil"/>
              <w:right w:val="nil"/>
              <w:insideV w:val="nil"/>
              <w:insideH w:val="nil"/>
              <w:top w:val="nil"/>
              <w:bottom w:val="nil"/>
            </w:tcBorders>
          </w:tcPr>
          <w:p>
            <w:pPr>
              <w:spacing w:after="20"/>
            </w:pPr>
            <w:r>
              <w:rPr>
                <w:rFonts w:ascii="Arial" w:hAnsi="Arial"/>
                <w:sz w:val="16"/>
              </w:rPr>
              <w:t>McGill University Library rare books</w:t>
            </w:r>
          </w:p>
        </w:tc>
        <w:tc>
          <w:tcPr>
            <w:tcW w:type="dxa" w:w="3028"/>
            <w:tcBorders>
              <w:left w:val="nil"/>
              <w:right w:val="nil"/>
              <w:insideV w:val="nil"/>
              <w:insideH w:val="nil"/>
              <w:top w:val="nil"/>
              <w:bottom w:val="nil"/>
            </w:tcBorders>
          </w:tcPr>
          <w:p>
            <w:pPr>
              <w:spacing w:after="20"/>
            </w:pPr>
            <w:r>
              <w:rPr>
                <w:rFonts w:ascii="Arial" w:hAnsi="Arial"/>
                <w:sz w:val="16"/>
              </w:rPr>
              <w:t>Public domain</w:t>
            </w:r>
          </w:p>
        </w:tc>
        <w:tc>
          <w:tcPr>
            <w:tcW w:type="dxa" w:w="3028"/>
            <w:tcBorders>
              <w:left w:val="nil"/>
              <w:right w:val="nil"/>
              <w:insideV w:val="nil"/>
              <w:insideH w:val="nil"/>
              <w:top w:val="nil"/>
              <w:bottom w:val="nil"/>
            </w:tcBorders>
          </w:tcPr>
          <w:p>
            <w:pPr>
              <w:spacing w:after="20"/>
            </w:pPr>
            <w:r>
              <w:rPr>
                <w:rFonts w:ascii="Arial" w:hAnsi="Arial"/>
                <w:sz w:val="16"/>
              </w:rPr>
              <w:t>5</w:t>
            </w:r>
          </w:p>
        </w:tc>
        <w:tc>
          <w:tcPr>
            <w:tcW w:type="dxa" w:w="3028"/>
            <w:tcBorders>
              <w:left w:val="nil"/>
              <w:right w:val="nil"/>
              <w:insideV w:val="nil"/>
              <w:insideH w:val="nil"/>
              <w:top w:val="nil"/>
              <w:bottom w:val="nil"/>
            </w:tcBorders>
          </w:tcPr>
          <w:p>
            <w:pPr>
              <w:spacing w:after="20"/>
            </w:pPr>
            <w:r>
              <w:rPr>
                <w:rFonts w:ascii="Arial" w:hAnsi="Arial"/>
                <w:sz w:val="16"/>
              </w:rPr>
              <w:t>0.40</w:t>
            </w:r>
          </w:p>
        </w:tc>
        <w:tc>
          <w:tcPr>
            <w:tcW w:type="dxa" w:w="3028"/>
            <w:tcBorders>
              <w:left w:val="nil"/>
              <w:right w:val="nil"/>
              <w:insideV w:val="nil"/>
              <w:insideH w:val="nil"/>
              <w:top w:val="nil"/>
              <w:bottom w:val="nil"/>
            </w:tcBorders>
          </w:tcPr>
          <w:p>
            <w:pPr>
              <w:spacing w:after="20"/>
            </w:pPr>
            <w:r>
              <w:rPr>
                <w:rFonts w:ascii="Arial" w:hAnsi="Arial"/>
                <w:sz w:val="16"/>
              </w:rPr>
              <w:t>Qing prints and manuscripts on gynaecology</w:t>
            </w:r>
          </w:p>
        </w:tc>
      </w:tr>
      <w:tr>
        <w:tc>
          <w:tcPr>
            <w:tcW w:type="dxa" w:w="3028"/>
            <w:tcBorders>
              <w:left w:val="nil"/>
              <w:right w:val="nil"/>
              <w:insideV w:val="nil"/>
              <w:insideH w:val="nil"/>
              <w:top w:val="nil"/>
              <w:bottom w:val="nil"/>
            </w:tcBorders>
          </w:tcPr>
          <w:p>
            <w:pPr>
              <w:spacing w:after="20"/>
            </w:pPr>
            <w:r>
              <w:rPr>
                <w:rFonts w:ascii="Arial" w:hAnsi="Arial"/>
                <w:sz w:val="16"/>
              </w:rPr>
              <w:t>TCM-Ancient-Books; tcmoc</w:t>
            </w:r>
          </w:p>
        </w:tc>
        <w:tc>
          <w:tcPr>
            <w:tcW w:type="dxa" w:w="3028"/>
            <w:tcBorders>
              <w:left w:val="nil"/>
              <w:right w:val="nil"/>
              <w:insideV w:val="nil"/>
              <w:insideH w:val="nil"/>
              <w:top w:val="nil"/>
              <w:bottom w:val="nil"/>
            </w:tcBorders>
          </w:tcPr>
          <w:p>
            <w:pPr>
              <w:spacing w:after="20"/>
            </w:pPr>
            <w:r>
              <w:rPr>
                <w:rFonts w:ascii="Arial" w:hAnsi="Arial"/>
                <w:sz w:val="16"/>
              </w:rPr>
              <w:t>Not declared; local research only†</w:t>
            </w:r>
          </w:p>
        </w:tc>
        <w:tc>
          <w:tcPr>
            <w:tcW w:type="dxa" w:w="3028"/>
            <w:tcBorders>
              <w:left w:val="nil"/>
              <w:right w:val="nil"/>
              <w:insideV w:val="nil"/>
              <w:insideH w:val="nil"/>
              <w:top w:val="nil"/>
              <w:bottom w:val="nil"/>
            </w:tcBorders>
          </w:tcPr>
          <w:p>
            <w:pPr>
              <w:spacing w:after="20"/>
            </w:pPr>
            <w:r>
              <w:rPr>
                <w:rFonts w:ascii="Arial" w:hAnsi="Arial"/>
                <w:sz w:val="16"/>
              </w:rPr>
              <w:t>8</w:t>
            </w:r>
          </w:p>
        </w:tc>
        <w:tc>
          <w:tcPr>
            <w:tcW w:type="dxa" w:w="3028"/>
            <w:tcBorders>
              <w:left w:val="nil"/>
              <w:right w:val="nil"/>
              <w:insideV w:val="nil"/>
              <w:insideH w:val="nil"/>
              <w:top w:val="nil"/>
              <w:bottom w:val="nil"/>
            </w:tcBorders>
          </w:tcPr>
          <w:p>
            <w:pPr>
              <w:spacing w:after="20"/>
            </w:pPr>
            <w:r>
              <w:rPr>
                <w:rFonts w:ascii="Arial" w:hAnsi="Arial"/>
                <w:sz w:val="16"/>
              </w:rPr>
              <w:t>0.37</w:t>
            </w:r>
          </w:p>
        </w:tc>
        <w:tc>
          <w:tcPr>
            <w:tcW w:type="dxa" w:w="3028"/>
            <w:tcBorders>
              <w:left w:val="nil"/>
              <w:right w:val="nil"/>
              <w:insideV w:val="nil"/>
              <w:insideH w:val="nil"/>
              <w:top w:val="nil"/>
              <w:bottom w:val="nil"/>
            </w:tcBorders>
          </w:tcPr>
          <w:p>
            <w:pPr>
              <w:spacing w:after="20"/>
            </w:pPr>
            <w:r>
              <w:rPr>
                <w:rFonts w:ascii="Arial" w:hAnsi="Arial"/>
                <w:sz w:val="16"/>
              </w:rPr>
              <w:t>Mostly simplified copies of JiCheng texts, de-duplicated work by work</w:t>
            </w:r>
          </w:p>
        </w:tc>
      </w:tr>
      <w:tr>
        <w:tc>
          <w:tcPr>
            <w:tcW w:type="dxa" w:w="3028"/>
            <w:tcBorders>
              <w:left w:val="nil"/>
              <w:right w:val="nil"/>
              <w:insideV w:val="nil"/>
              <w:insideH w:val="nil"/>
              <w:top w:val="nil"/>
              <w:bottom w:val="nil"/>
            </w:tcBorders>
          </w:tcPr>
          <w:p>
            <w:pPr>
              <w:spacing w:after="20"/>
            </w:pPr>
            <w:r>
              <w:rPr>
                <w:rFonts w:ascii="Arial" w:hAnsi="Arial"/>
                <w:sz w:val="16"/>
              </w:rPr>
              <w:t>Hugging Face classical-tcm-canon</w:t>
            </w:r>
          </w:p>
        </w:tc>
        <w:tc>
          <w:tcPr>
            <w:tcW w:type="dxa" w:w="3028"/>
            <w:tcBorders>
              <w:left w:val="nil"/>
              <w:right w:val="nil"/>
              <w:insideV w:val="nil"/>
              <w:insideH w:val="nil"/>
              <w:top w:val="nil"/>
              <w:bottom w:val="nil"/>
            </w:tcBorders>
          </w:tcPr>
          <w:p>
            <w:pPr>
              <w:spacing w:after="20"/>
            </w:pPr>
            <w:r>
              <w:rPr>
                <w:rFonts w:ascii="Arial" w:hAnsi="Arial"/>
                <w:sz w:val="16"/>
              </w:rPr>
              <w:t>Proprietary-commercial; local research only†</w:t>
            </w:r>
          </w:p>
        </w:tc>
        <w:tc>
          <w:tcPr>
            <w:tcW w:type="dxa" w:w="3028"/>
            <w:tcBorders>
              <w:left w:val="nil"/>
              <w:right w:val="nil"/>
              <w:insideV w:val="nil"/>
              <w:insideH w:val="nil"/>
              <w:top w:val="nil"/>
              <w:bottom w:val="nil"/>
            </w:tcBorders>
          </w:tcPr>
          <w:p>
            <w:pPr>
              <w:spacing w:after="20"/>
            </w:pPr>
            <w:r>
              <w:rPr>
                <w:rFonts w:ascii="Arial" w:hAnsi="Arial"/>
                <w:sz w:val="16"/>
              </w:rPr>
              <w:t>1</w:t>
            </w:r>
          </w:p>
        </w:tc>
        <w:tc>
          <w:tcPr>
            <w:tcW w:type="dxa" w:w="3028"/>
            <w:tcBorders>
              <w:left w:val="nil"/>
              <w:right w:val="nil"/>
              <w:insideV w:val="nil"/>
              <w:insideH w:val="nil"/>
              <w:top w:val="nil"/>
              <w:bottom w:val="nil"/>
            </w:tcBorders>
          </w:tcPr>
          <w:p>
            <w:pPr>
              <w:spacing w:after="20"/>
            </w:pPr>
            <w:r>
              <w:rPr>
                <w:rFonts w:ascii="Arial" w:hAnsi="Arial"/>
                <w:sz w:val="16"/>
              </w:rPr>
              <w:t>0.31</w:t>
            </w:r>
          </w:p>
        </w:tc>
        <w:tc>
          <w:tcPr>
            <w:tcW w:type="dxa" w:w="3028"/>
            <w:tcBorders>
              <w:left w:val="nil"/>
              <w:right w:val="nil"/>
              <w:insideV w:val="nil"/>
              <w:insideH w:val="nil"/>
              <w:top w:val="nil"/>
              <w:bottom w:val="nil"/>
            </w:tcBorders>
          </w:tcPr>
          <w:p>
            <w:pPr>
              <w:spacing w:after="20"/>
            </w:pPr>
            <w:r>
              <w:rPr>
                <w:rFonts w:ascii="Arial" w:hAnsi="Arial"/>
                <w:sz w:val="16"/>
              </w:rPr>
              <w:t>One work (Zhang Zhicong's commentary on the Shanghan lun)</w:t>
            </w:r>
          </w:p>
        </w:tc>
      </w:tr>
      <w:tr>
        <w:tc>
          <w:tcPr>
            <w:tcW w:type="dxa" w:w="3028"/>
            <w:tcBorders>
              <w:left w:val="nil"/>
              <w:right w:val="nil"/>
              <w:insideV w:val="nil"/>
              <w:insideH w:val="nil"/>
              <w:top w:val="nil"/>
              <w:bottom w:val="nil"/>
            </w:tcBorders>
          </w:tcPr>
          <w:p>
            <w:pPr>
              <w:spacing w:after="20"/>
            </w:pPr>
            <w:r>
              <w:rPr>
                <w:rFonts w:ascii="Arial" w:hAnsi="Arial"/>
                <w:sz w:val="16"/>
              </w:rPr>
              <w:t>Kanseki Repository catalogue (KR-Catalog)</w:t>
            </w:r>
          </w:p>
        </w:tc>
        <w:tc>
          <w:tcPr>
            <w:tcW w:type="dxa" w:w="3028"/>
            <w:tcBorders>
              <w:left w:val="nil"/>
              <w:right w:val="nil"/>
              <w:insideV w:val="nil"/>
              <w:insideH w:val="nil"/>
              <w:top w:val="nil"/>
              <w:bottom w:val="nil"/>
            </w:tcBorders>
          </w:tcPr>
          <w:p>
            <w:pPr>
              <w:spacing w:after="20"/>
            </w:pPr>
            <w:r>
              <w:rPr>
                <w:rFonts w:ascii="Arial" w:hAnsi="Arial"/>
                <w:sz w:val="16"/>
              </w:rPr>
              <w:t>CC BY-SA 4.0</w:t>
            </w:r>
          </w:p>
        </w:tc>
        <w:tc>
          <w:tcPr>
            <w:tcW w:type="dxa" w:w="3028"/>
            <w:tcBorders>
              <w:left w:val="nil"/>
              <w:right w:val="nil"/>
              <w:insideV w:val="nil"/>
              <w:insideH w:val="nil"/>
              <w:top w:val="nil"/>
              <w:bottom w:val="nil"/>
            </w:tcBorders>
          </w:tcPr>
          <w:p>
            <w:pPr>
              <w:spacing w:after="20"/>
            </w:pPr>
            <w:r>
              <w:rPr>
                <w:rFonts w:ascii="Arial" w:hAnsi="Arial"/>
                <w:sz w:val="16"/>
              </w:rPr>
              <w:t>–</w:t>
            </w:r>
          </w:p>
        </w:tc>
        <w:tc>
          <w:tcPr>
            <w:tcW w:type="dxa" w:w="3028"/>
            <w:tcBorders>
              <w:left w:val="nil"/>
              <w:right w:val="nil"/>
              <w:insideV w:val="nil"/>
              <w:insideH w:val="nil"/>
              <w:top w:val="nil"/>
              <w:bottom w:val="nil"/>
            </w:tcBorders>
          </w:tcPr>
          <w:p>
            <w:pPr>
              <w:spacing w:after="20"/>
            </w:pPr>
            <w:r>
              <w:rPr>
                <w:rFonts w:ascii="Arial" w:hAnsi="Arial"/>
                <w:sz w:val="16"/>
              </w:rPr>
              <w:t>–</w:t>
            </w:r>
          </w:p>
        </w:tc>
        <w:tc>
          <w:tcPr>
            <w:tcW w:type="dxa" w:w="3028"/>
            <w:tcBorders>
              <w:left w:val="nil"/>
              <w:right w:val="nil"/>
              <w:insideV w:val="nil"/>
              <w:insideH w:val="nil"/>
              <w:top w:val="nil"/>
              <w:bottom w:val="nil"/>
            </w:tcBorders>
          </w:tcPr>
          <w:p>
            <w:pPr>
              <w:spacing w:after="20"/>
            </w:pPr>
            <w:r>
              <w:rPr>
                <w:rFonts w:ascii="Arial" w:hAnsi="Arial"/>
                <w:sz w:val="16"/>
              </w:rPr>
              <w:t>Roles and life dates of 132 persons responsible for the Siku works</w:t>
            </w:r>
          </w:p>
        </w:tc>
      </w:tr>
      <w:tr>
        <w:tc>
          <w:tcPr>
            <w:tcW w:type="dxa" w:w="3028"/>
            <w:tcBorders>
              <w:left w:val="nil"/>
              <w:right w:val="nil"/>
              <w:insideV w:val="nil"/>
              <w:insideH w:val="nil"/>
              <w:top w:val="nil"/>
              <w:bottom w:val="nil"/>
            </w:tcBorders>
          </w:tcPr>
          <w:p>
            <w:pPr>
              <w:spacing w:after="20"/>
            </w:pPr>
            <w:r>
              <w:rPr>
                <w:rFonts w:ascii="Arial" w:hAnsi="Arial"/>
                <w:sz w:val="16"/>
              </w:rPr>
              <w:t>Image catalogues of 11 collections‡</w:t>
            </w:r>
          </w:p>
        </w:tc>
        <w:tc>
          <w:tcPr>
            <w:tcW w:type="dxa" w:w="3028"/>
            <w:tcBorders>
              <w:left w:val="nil"/>
              <w:right w:val="nil"/>
              <w:insideV w:val="nil"/>
              <w:insideH w:val="nil"/>
              <w:top w:val="nil"/>
              <w:bottom w:val="nil"/>
            </w:tcBorders>
          </w:tcPr>
          <w:p>
            <w:pPr>
              <w:spacing w:after="20"/>
            </w:pPr>
            <w:r>
              <w:rPr>
                <w:rFonts w:ascii="Arial" w:hAnsi="Arial"/>
                <w:sz w:val="16"/>
              </w:rPr>
              <w:t>Recorded per collection</w:t>
            </w:r>
          </w:p>
        </w:tc>
        <w:tc>
          <w:tcPr>
            <w:tcW w:type="dxa" w:w="3028"/>
            <w:tcBorders>
              <w:left w:val="nil"/>
              <w:right w:val="nil"/>
              <w:insideV w:val="nil"/>
              <w:insideH w:val="nil"/>
              <w:top w:val="nil"/>
              <w:bottom w:val="nil"/>
            </w:tcBorders>
          </w:tcPr>
          <w:p>
            <w:pPr>
              <w:spacing w:after="20"/>
            </w:pPr>
            <w:r>
              <w:rPr>
                <w:rFonts w:ascii="Arial" w:hAnsi="Arial"/>
                <w:sz w:val="16"/>
              </w:rPr>
              <w:t>–</w:t>
            </w:r>
          </w:p>
        </w:tc>
        <w:tc>
          <w:tcPr>
            <w:tcW w:type="dxa" w:w="3028"/>
            <w:tcBorders>
              <w:left w:val="nil"/>
              <w:right w:val="nil"/>
              <w:insideV w:val="nil"/>
              <w:insideH w:val="nil"/>
              <w:top w:val="nil"/>
              <w:bottom w:val="nil"/>
            </w:tcBorders>
          </w:tcPr>
          <w:p>
            <w:pPr>
              <w:spacing w:after="20"/>
            </w:pPr>
            <w:r>
              <w:rPr>
                <w:rFonts w:ascii="Arial" w:hAnsi="Arial"/>
                <w:sz w:val="16"/>
              </w:rPr>
              <w:t>–</w:t>
            </w:r>
          </w:p>
        </w:tc>
        <w:tc>
          <w:tcPr>
            <w:tcW w:type="dxa" w:w="3028"/>
            <w:tcBorders>
              <w:left w:val="nil"/>
              <w:right w:val="nil"/>
              <w:insideV w:val="nil"/>
              <w:insideH w:val="nil"/>
              <w:top w:val="nil"/>
              <w:bottom w:val="nil"/>
            </w:tcBorders>
          </w:tcPr>
          <w:p>
            <w:pPr>
              <w:spacing w:after="20"/>
            </w:pPr>
            <w:r>
              <w:rPr>
                <w:rFonts w:ascii="Arial" w:hAnsi="Arial"/>
                <w:sz w:val="16"/>
              </w:rPr>
              <w:t>10,001 records (787 linked to 179 works): title, date, print or manuscript, shelfmark, IIIF manifest</w:t>
            </w:r>
          </w:p>
        </w:tc>
      </w:tr>
      <w:tr>
        <w:tc>
          <w:tcPr>
            <w:tcW w:type="dxa" w:w="3028"/>
            <w:tcBorders>
              <w:left w:val="nil"/>
              <w:right w:val="nil"/>
              <w:insideV w:val="nil"/>
              <w:insideH w:val="nil"/>
              <w:top w:val="nil"/>
              <w:bottom w:val="single" w:sz="6" w:color="000000"/>
            </w:tcBorders>
          </w:tcPr>
          <w:p>
            <w:pPr>
              <w:spacing w:after="20"/>
            </w:pPr>
            <w:r>
              <w:rPr>
                <w:rFonts w:ascii="Arial" w:hAnsi="Arial"/>
                <w:b/>
                <w:sz w:val="16"/>
              </w:rPr>
              <w:t>Total</w:t>
            </w:r>
          </w:p>
        </w:tc>
        <w:tc>
          <w:tcPr>
            <w:tcW w:type="dxa" w:w="3028"/>
            <w:tcBorders>
              <w:left w:val="nil"/>
              <w:right w:val="nil"/>
              <w:insideV w:val="nil"/>
              <w:insideH w:val="nil"/>
              <w:top w:val="nil"/>
              <w:bottom w:val="single" w:sz="6" w:color="000000"/>
            </w:tcBorders>
          </w:tcPr>
          <w:p>
            <w:pPr>
              <w:spacing w:after="20"/>
            </w:pPr>
            <w:r>
              <w:rPr>
                <w:rFonts w:ascii="Arial" w:hAnsi="Arial"/>
                <w:b/>
                <w:sz w:val="16"/>
              </w:rPr>
            </w:r>
          </w:p>
        </w:tc>
        <w:tc>
          <w:tcPr>
            <w:tcW w:type="dxa" w:w="3028"/>
            <w:tcBorders>
              <w:left w:val="nil"/>
              <w:right w:val="nil"/>
              <w:insideV w:val="nil"/>
              <w:insideH w:val="nil"/>
              <w:top w:val="nil"/>
              <w:bottom w:val="single" w:sz="6" w:color="000000"/>
            </w:tcBorders>
          </w:tcPr>
          <w:p>
            <w:pPr>
              <w:spacing w:after="20"/>
            </w:pPr>
            <w:r>
              <w:rPr>
                <w:rFonts w:ascii="Arial" w:hAnsi="Arial"/>
                <w:b/>
                <w:sz w:val="16"/>
              </w:rPr>
              <w:t>966</w:t>
            </w:r>
          </w:p>
        </w:tc>
        <w:tc>
          <w:tcPr>
            <w:tcW w:type="dxa" w:w="3028"/>
            <w:tcBorders>
              <w:left w:val="nil"/>
              <w:right w:val="nil"/>
              <w:insideV w:val="nil"/>
              <w:insideH w:val="nil"/>
              <w:top w:val="nil"/>
              <w:bottom w:val="single" w:sz="6" w:color="000000"/>
            </w:tcBorders>
          </w:tcPr>
          <w:p>
            <w:pPr>
              <w:spacing w:after="20"/>
            </w:pPr>
            <w:r>
              <w:rPr>
                <w:rFonts w:ascii="Arial" w:hAnsi="Arial"/>
                <w:b/>
                <w:sz w:val="16"/>
              </w:rPr>
              <w:t>≈123</w:t>
            </w:r>
          </w:p>
        </w:tc>
        <w:tc>
          <w:tcPr>
            <w:tcW w:type="dxa" w:w="3028"/>
            <w:tcBorders>
              <w:left w:val="nil"/>
              <w:right w:val="nil"/>
              <w:insideV w:val="nil"/>
              <w:insideH w:val="nil"/>
              <w:top w:val="nil"/>
              <w:bottom w:val="single" w:sz="6" w:color="000000"/>
            </w:tcBorders>
          </w:tcPr>
          <w:p>
            <w:pPr>
              <w:spacing w:after="20"/>
            </w:pPr>
            <w:r>
              <w:rPr>
                <w:rFonts w:ascii="Arial" w:hAnsi="Arial"/>
                <w:b/>
                <w:sz w:val="16"/>
              </w:rPr>
              <w:t>2.05 M passages; 761 distinct works; analysis periods 475 BCE–1949</w:t>
            </w:r>
          </w:p>
        </w:tc>
      </w:tr>
    </w:tbl>
    <w:p>
      <w:pPr>
        <w:spacing w:after="40"/>
      </w:pPr>
      <w:r>
        <w:rPr>
          <w:sz w:val="15"/>
        </w:rPr>
        <w:t>*Counted in the corpus store (README); the catalogues of these two sources do not record characters. Other counts sum the catalogue records of the admitted works.</w:t>
      </w:r>
    </w:p>
    <w:p>
      <w:pPr>
        <w:spacing w:after="40"/>
      </w:pPr>
      <w:r>
        <w:rPr>
          <w:sz w:val="15"/>
        </w:rPr>
        <w:t>†Used for local research only and never redistributed; the open web corpus carries none of the texts whose terms forbid redistribution.</w:t>
      </w:r>
    </w:p>
    <w:p>
      <w:pPr>
        <w:spacing w:after="40"/>
      </w:pPr>
      <w:r>
        <w:rPr>
          <w:sz w:val="15"/>
        </w:rPr>
        <w:t>‡Kyoto University (Fujikawa), Staatsbibliothek zu Berlin (Unschuld), Kyushu University, Keio University (Fujikawa), University of Tokyo (two libraries), Kenikai, Waseda University, National Diet Library, Tohoku University and Library of Congress. Only metadata are held; no image is downloaded.</w:t>
      </w:r>
    </w:p>
    <w:p>
      <w:pPr>
        <w:spacing w:after="40"/>
      </w:pPr>
      <w:r>
        <w:rPr>
          <w:sz w:val="15"/>
        </w:rPr>
        <w:t>Sources are ranked by trust for de-duplication (Kanripo, JiCheng, McGill, CMETA, AEAM, Wikisource, web collections); a candidate sharing enough normalized 12-character shingles with an admitted work is recorded as its copy, while McGill, CMETA and AEAM transcriptions are kept as independent witnesses. IIIF, International Image Interoperability Framework.</w:t>
      </w:r>
    </w:p>
    <w:p>
      <w:r>
        <w:br w:type="page"/>
      </w:r>
    </w:p>
    <w:p>
      <w:r>
        <w:rPr>
          <w:b/>
        </w:rPr>
        <w:t xml:space="preserve">Table 2 | </w:t>
      </w:r>
      <w:r>
        <w:rPr>
          <w:b/>
        </w:rPr>
        <w:t>Evaluation of TaoChronos across its three layers</w:t>
      </w:r>
    </w:p>
    <w:tbl>
      <w:tblPr>
        <w:tblW w:type="auto" w:w="0"/>
        <w:tblLook w:firstColumn="1" w:firstRow="1" w:lastColumn="0" w:lastRow="0" w:noHBand="0" w:noVBand="1" w:val="04A0"/>
      </w:tblPr>
      <w:tblGrid>
        <w:gridCol w:w="2523"/>
        <w:gridCol w:w="2523"/>
        <w:gridCol w:w="2523"/>
        <w:gridCol w:w="2523"/>
        <w:gridCol w:w="2523"/>
        <w:gridCol w:w="2523"/>
      </w:tblGrid>
      <w:tr>
        <w:tc>
          <w:tcPr>
            <w:tcW w:type="dxa" w:w="2523"/>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Layer</w:t>
            </w:r>
          </w:p>
        </w:tc>
        <w:tc>
          <w:tcPr>
            <w:tcW w:type="dxa" w:w="2523"/>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Suite</w:t>
            </w:r>
          </w:p>
        </w:tc>
        <w:tc>
          <w:tcPr>
            <w:tcW w:type="dxa" w:w="2523"/>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Data</w:t>
            </w:r>
          </w:p>
        </w:tc>
        <w:tc>
          <w:tcPr>
            <w:tcW w:type="dxa" w:w="2523"/>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Metric</w:t>
            </w:r>
          </w:p>
        </w:tc>
        <w:tc>
          <w:tcPr>
            <w:tcW w:type="dxa" w:w="2523"/>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Development or constructed</w:t>
            </w:r>
          </w:p>
        </w:tc>
        <w:tc>
          <w:tcPr>
            <w:tcW w:type="dxa" w:w="2523"/>
            <w:tcBorders>
              <w:left w:val="nil"/>
              <w:right w:val="nil"/>
              <w:insideV w:val="nil"/>
              <w:insideH w:val="nil"/>
              <w:top w:val="single" w:sz="6" w:color="000000"/>
              <w:bottom w:val="single" w:sz="6" w:color="000000"/>
            </w:tcBorders>
          </w:tcPr>
          <w:p>
            <w:pPr>
              <w:spacing w:after="20"/>
            </w:pPr>
            <w:r>
              <w:rPr>
                <w:rFonts w:ascii="Arial" w:hAnsi="Arial"/>
                <w:sz w:val="16"/>
              </w:rPr>
            </w:r>
            <w:r>
              <w:rPr>
                <w:rFonts w:ascii="Arial" w:hAnsi="Arial"/>
                <w:b/>
                <w:sz w:val="16"/>
              </w:rPr>
              <w:t>Held-out or real corpus</w:t>
            </w:r>
          </w:p>
        </w:tc>
      </w:tr>
      <w:tr>
        <w:tc>
          <w:tcPr>
            <w:tcW w:type="dxa" w:w="2523"/>
            <w:tcBorders>
              <w:left w:val="nil"/>
              <w:right w:val="nil"/>
              <w:insideV w:val="nil"/>
              <w:insideH w:val="nil"/>
              <w:top w:val="nil"/>
              <w:bottom w:val="nil"/>
            </w:tcBorders>
          </w:tcPr>
          <w:p>
            <w:pPr>
              <w:spacing w:after="20"/>
            </w:pPr>
            <w:r>
              <w:rPr>
                <w:rFonts w:ascii="Arial" w:hAnsi="Arial"/>
                <w:sz w:val="16"/>
              </w:rPr>
              <w:t>Boundaries</w:t>
            </w:r>
          </w:p>
        </w:tc>
        <w:tc>
          <w:tcPr>
            <w:tcW w:type="dxa" w:w="2523"/>
            <w:tcBorders>
              <w:left w:val="nil"/>
              <w:right w:val="nil"/>
              <w:insideV w:val="nil"/>
              <w:insideH w:val="nil"/>
              <w:top w:val="nil"/>
              <w:bottom w:val="nil"/>
            </w:tcBorders>
          </w:tcPr>
          <w:p>
            <w:pPr>
              <w:spacing w:after="20"/>
            </w:pPr>
            <w:r>
              <w:rPr>
                <w:rFonts w:ascii="Arial" w:hAnsi="Arial"/>
                <w:sz w:val="16"/>
              </w:rPr>
              <w:t>Invariants</w:t>
            </w:r>
          </w:p>
        </w:tc>
        <w:tc>
          <w:tcPr>
            <w:tcW w:type="dxa" w:w="2523"/>
            <w:tcBorders>
              <w:left w:val="nil"/>
              <w:right w:val="nil"/>
              <w:insideV w:val="nil"/>
              <w:insideH w:val="nil"/>
              <w:top w:val="nil"/>
              <w:bottom w:val="nil"/>
            </w:tcBorders>
          </w:tcPr>
          <w:p>
            <w:pPr>
              <w:spacing w:after="20"/>
            </w:pPr>
            <w:r>
              <w:rPr>
                <w:rFonts w:ascii="Arial" w:hAnsi="Arial"/>
                <w:sz w:val="16"/>
              </w:rPr>
              <w:t>19 probes of the harness under test</w:t>
            </w:r>
          </w:p>
        </w:tc>
        <w:tc>
          <w:tcPr>
            <w:tcW w:type="dxa" w:w="2523"/>
            <w:tcBorders>
              <w:left w:val="nil"/>
              <w:right w:val="nil"/>
              <w:insideV w:val="nil"/>
              <w:insideH w:val="nil"/>
              <w:top w:val="nil"/>
              <w:bottom w:val="nil"/>
            </w:tcBorders>
          </w:tcPr>
          <w:p>
            <w:pPr>
              <w:spacing w:after="20"/>
            </w:pPr>
            <w:r>
              <w:rPr>
                <w:rFonts w:ascii="Arial" w:hAnsi="Arial"/>
                <w:sz w:val="16"/>
              </w:rPr>
              <w:t>Held</w:t>
            </w:r>
          </w:p>
        </w:tc>
        <w:tc>
          <w:tcPr>
            <w:tcW w:type="dxa" w:w="2523"/>
            <w:tcBorders>
              <w:left w:val="nil"/>
              <w:right w:val="nil"/>
              <w:insideV w:val="nil"/>
              <w:insideH w:val="nil"/>
              <w:top w:val="nil"/>
              <w:bottom w:val="nil"/>
            </w:tcBorders>
          </w:tcPr>
          <w:p>
            <w:pPr>
              <w:spacing w:after="20"/>
            </w:pPr>
            <w:r>
              <w:rPr>
                <w:rFonts w:ascii="Arial" w:hAnsi="Arial"/>
                <w:sz w:val="16"/>
              </w:rPr>
              <w:t>19/19</w:t>
            </w:r>
          </w:p>
        </w:tc>
        <w:tc>
          <w:tcPr>
            <w:tcW w:type="dxa" w:w="2523"/>
            <w:tcBorders>
              <w:left w:val="nil"/>
              <w:right w:val="nil"/>
              <w:insideV w:val="nil"/>
              <w:insideH w:val="nil"/>
              <w:top w:val="nil"/>
              <w:bottom w:val="nil"/>
            </w:tcBorders>
          </w:tcPr>
          <w:p>
            <w:pPr>
              <w:spacing w:after="20"/>
            </w:pPr>
            <w:r>
              <w:rPr>
                <w:rFonts w:ascii="Arial" w:hAnsi="Arial"/>
                <w:sz w:val="16"/>
              </w:rPr>
              <w:t>Each of 6 boundaries removed breaks its invariant</w:t>
            </w:r>
          </w:p>
        </w:tc>
      </w:tr>
      <w:tr>
        <w:tc>
          <w:tcPr>
            <w:tcW w:type="dxa" w:w="2523"/>
            <w:tcBorders>
              <w:left w:val="nil"/>
              <w:right w:val="nil"/>
              <w:insideV w:val="nil"/>
              <w:insideH w:val="nil"/>
              <w:top w:val="nil"/>
              <w:bottom w:val="nil"/>
            </w:tcBorders>
          </w:tcPr>
          <w:p>
            <w:pPr>
              <w:spacing w:after="20"/>
            </w:pPr>
            <w:r>
              <w:rPr>
                <w:rFonts w:ascii="Arial" w:hAnsi="Arial"/>
                <w:sz w:val="16"/>
              </w:rPr>
              <w:t>Readings</w:t>
            </w:r>
          </w:p>
        </w:tc>
        <w:tc>
          <w:tcPr>
            <w:tcW w:type="dxa" w:w="2523"/>
            <w:tcBorders>
              <w:left w:val="nil"/>
              <w:right w:val="nil"/>
              <w:insideV w:val="nil"/>
              <w:insideH w:val="nil"/>
              <w:top w:val="nil"/>
              <w:bottom w:val="nil"/>
            </w:tcBorders>
          </w:tcPr>
          <w:p>
            <w:pPr>
              <w:spacing w:after="20"/>
            </w:pPr>
            <w:r>
              <w:rPr>
                <w:rFonts w:ascii="Arial" w:hAnsi="Arial"/>
                <w:sz w:val="16"/>
              </w:rPr>
              <w:t>Hard interpretive cases</w:t>
            </w:r>
          </w:p>
        </w:tc>
        <w:tc>
          <w:tcPr>
            <w:tcW w:type="dxa" w:w="2523"/>
            <w:tcBorders>
              <w:left w:val="nil"/>
              <w:right w:val="nil"/>
              <w:insideV w:val="nil"/>
              <w:insideH w:val="nil"/>
              <w:top w:val="nil"/>
              <w:bottom w:val="nil"/>
            </w:tcBorders>
          </w:tcPr>
          <w:p>
            <w:pPr>
              <w:spacing w:after="20"/>
            </w:pPr>
            <w:r>
              <w:rPr>
                <w:rFonts w:ascii="Arial" w:hAnsi="Arial"/>
                <w:sz w:val="16"/>
              </w:rPr>
              <w:t>107 cases in 8 classes</w:t>
            </w:r>
          </w:p>
        </w:tc>
        <w:tc>
          <w:tcPr>
            <w:tcW w:type="dxa" w:w="2523"/>
            <w:tcBorders>
              <w:left w:val="nil"/>
              <w:right w:val="nil"/>
              <w:insideV w:val="nil"/>
              <w:insideH w:val="nil"/>
              <w:top w:val="nil"/>
              <w:bottom w:val="nil"/>
            </w:tcBorders>
          </w:tcPr>
          <w:p>
            <w:pPr>
              <w:spacing w:after="20"/>
            </w:pPr>
            <w:r>
              <w:rPr>
                <w:rFonts w:ascii="Arial" w:hAnsi="Arial"/>
                <w:sz w:val="16"/>
              </w:rPr>
              <w:t>Accuracy (unsafe errors)</w:t>
            </w:r>
          </w:p>
        </w:tc>
        <w:tc>
          <w:tcPr>
            <w:tcW w:type="dxa" w:w="2523"/>
            <w:tcBorders>
              <w:left w:val="nil"/>
              <w:right w:val="nil"/>
              <w:insideV w:val="nil"/>
              <w:insideH w:val="nil"/>
              <w:top w:val="nil"/>
              <w:bottom w:val="nil"/>
            </w:tcBorders>
          </w:tcPr>
          <w:p>
            <w:pPr>
              <w:spacing w:after="20"/>
            </w:pPr>
            <w:r>
              <w:rPr>
                <w:rFonts w:ascii="Arial" w:hAnsi="Arial"/>
                <w:sz w:val="16"/>
              </w:rPr>
              <w:t>23/23 (0)</w:t>
            </w:r>
          </w:p>
        </w:tc>
        <w:tc>
          <w:tcPr>
            <w:tcW w:type="dxa" w:w="2523"/>
            <w:tcBorders>
              <w:left w:val="nil"/>
              <w:right w:val="nil"/>
              <w:insideV w:val="nil"/>
              <w:insideH w:val="nil"/>
              <w:top w:val="nil"/>
              <w:bottom w:val="nil"/>
            </w:tcBorders>
          </w:tcPr>
          <w:p>
            <w:pPr>
              <w:spacing w:after="20"/>
            </w:pPr>
            <w:r>
              <w:rPr>
                <w:rFonts w:ascii="Arial" w:hAnsi="Arial"/>
                <w:sz w:val="16"/>
              </w:rPr>
              <w:t>82/84 = 0.976 (2)</w:t>
            </w:r>
          </w:p>
        </w:tc>
      </w:tr>
      <w:tr>
        <w:tc>
          <w:tcPr>
            <w:tcW w:type="dxa" w:w="2523"/>
            <w:tcBorders>
              <w:left w:val="nil"/>
              <w:right w:val="nil"/>
              <w:insideV w:val="nil"/>
              <w:insideH w:val="nil"/>
              <w:top w:val="nil"/>
              <w:bottom w:val="nil"/>
            </w:tcBorders>
          </w:tcPr>
          <w:p>
            <w:pPr>
              <w:spacing w:after="20"/>
            </w:pPr>
            <w:r>
              <w:rPr>
                <w:rFonts w:ascii="Arial" w:hAnsi="Arial"/>
                <w:sz w:val="16"/>
              </w:rPr>
              <w:t>Research value†</w:t>
            </w:r>
          </w:p>
        </w:tc>
        <w:tc>
          <w:tcPr>
            <w:tcW w:type="dxa" w:w="2523"/>
            <w:tcBorders>
              <w:left w:val="nil"/>
              <w:right w:val="nil"/>
              <w:insideV w:val="nil"/>
              <w:insideH w:val="nil"/>
              <w:top w:val="nil"/>
              <w:bottom w:val="nil"/>
            </w:tcBorders>
          </w:tcPr>
          <w:p>
            <w:pPr>
              <w:spacing w:after="20"/>
            </w:pPr>
            <w:r>
              <w:rPr>
                <w:rFonts w:ascii="Arial" w:hAnsi="Arial"/>
                <w:sz w:val="16"/>
              </w:rPr>
              <w:t>Link anticipation</w:t>
            </w:r>
          </w:p>
        </w:tc>
        <w:tc>
          <w:tcPr>
            <w:tcW w:type="dxa" w:w="2523"/>
            <w:tcBorders>
              <w:left w:val="nil"/>
              <w:right w:val="nil"/>
              <w:insideV w:val="nil"/>
              <w:insideH w:val="nil"/>
              <w:top w:val="nil"/>
              <w:bottom w:val="nil"/>
            </w:tcBorders>
          </w:tcPr>
          <w:p>
            <w:pPr>
              <w:spacing w:after="20"/>
            </w:pPr>
            <w:r>
              <w:rPr>
                <w:rFonts w:ascii="Arial" w:hAnsi="Arial"/>
                <w:sz w:val="16"/>
              </w:rPr>
              <w:t>189 topic–cutoff pairs; 29,467 candidates</w:t>
            </w:r>
          </w:p>
        </w:tc>
        <w:tc>
          <w:tcPr>
            <w:tcW w:type="dxa" w:w="2523"/>
            <w:tcBorders>
              <w:left w:val="nil"/>
              <w:right w:val="nil"/>
              <w:insideV w:val="nil"/>
              <w:insideH w:val="nil"/>
              <w:top w:val="nil"/>
              <w:bottom w:val="nil"/>
            </w:tcBorders>
          </w:tcPr>
          <w:p>
            <w:pPr>
              <w:spacing w:after="20"/>
            </w:pPr>
            <w:r>
              <w:rPr>
                <w:rFonts w:ascii="Arial" w:hAnsi="Arial"/>
                <w:sz w:val="16"/>
              </w:rPr>
              <w:t>Precision@10</w:t>
            </w:r>
          </w:p>
        </w:tc>
        <w:tc>
          <w:tcPr>
            <w:tcW w:type="dxa" w:w="2523"/>
            <w:tcBorders>
              <w:left w:val="nil"/>
              <w:right w:val="nil"/>
              <w:insideV w:val="nil"/>
              <w:insideH w:val="nil"/>
              <w:top w:val="nil"/>
              <w:bottom w:val="nil"/>
            </w:tcBorders>
          </w:tcPr>
          <w:p>
            <w:pPr>
              <w:spacing w:after="20"/>
            </w:pPr>
            <w:r>
              <w:rPr>
                <w:rFonts w:ascii="Arial" w:hAnsi="Arial"/>
                <w:sz w:val="16"/>
              </w:rPr>
              <w:t>–</w:t>
            </w:r>
          </w:p>
        </w:tc>
        <w:tc>
          <w:tcPr>
            <w:tcW w:type="dxa" w:w="2523"/>
            <w:tcBorders>
              <w:left w:val="nil"/>
              <w:right w:val="nil"/>
              <w:insideV w:val="nil"/>
              <w:insideH w:val="nil"/>
              <w:top w:val="nil"/>
              <w:bottom w:val="nil"/>
            </w:tcBorders>
          </w:tcPr>
          <w:p>
            <w:pPr>
              <w:spacing w:after="20"/>
            </w:pPr>
            <w:r>
              <w:rPr>
                <w:rFonts w:ascii="Arial" w:hAnsi="Arial"/>
                <w:sz w:val="16"/>
              </w:rPr>
              <w:t>0.168 (popularity 0.134; chance 0.054); better in 149 of 189, P = 2.4 × 10⁻¹⁶</w:t>
            </w:r>
          </w:p>
        </w:tc>
      </w:tr>
      <w:tr>
        <w:tc>
          <w:tcPr>
            <w:tcW w:type="dxa" w:w="2523"/>
            <w:tcBorders>
              <w:left w:val="nil"/>
              <w:right w:val="nil"/>
              <w:insideV w:val="nil"/>
              <w:insideH w:val="nil"/>
              <w:top w:val="nil"/>
              <w:bottom w:val="nil"/>
            </w:tcBorders>
          </w:tcPr>
          <w:p>
            <w:pPr>
              <w:spacing w:after="20"/>
            </w:pPr>
            <w:r>
              <w:rPr>
                <w:rFonts w:ascii="Arial" w:hAnsi="Arial"/>
                <w:sz w:val="16"/>
              </w:rPr>
            </w:r>
          </w:p>
        </w:tc>
        <w:tc>
          <w:tcPr>
            <w:tcW w:type="dxa" w:w="2523"/>
            <w:tcBorders>
              <w:left w:val="nil"/>
              <w:right w:val="nil"/>
              <w:insideV w:val="nil"/>
              <w:insideH w:val="nil"/>
              <w:top w:val="nil"/>
              <w:bottom w:val="nil"/>
            </w:tcBorders>
          </w:tcPr>
          <w:p>
            <w:pPr>
              <w:spacing w:after="20"/>
            </w:pPr>
            <w:r>
              <w:rPr>
                <w:rFonts w:ascii="Arial" w:hAnsi="Arial"/>
                <w:sz w:val="16"/>
              </w:rPr>
              <w:t>End-to-end predictions</w:t>
            </w:r>
          </w:p>
        </w:tc>
        <w:tc>
          <w:tcPr>
            <w:tcW w:type="dxa" w:w="2523"/>
            <w:tcBorders>
              <w:left w:val="nil"/>
              <w:right w:val="nil"/>
              <w:insideV w:val="nil"/>
              <w:insideH w:val="nil"/>
              <w:top w:val="nil"/>
              <w:bottom w:val="nil"/>
            </w:tcBorders>
          </w:tcPr>
          <w:p>
            <w:pPr>
              <w:spacing w:after="20"/>
            </w:pPr>
            <w:r>
              <w:rPr>
                <w:rFonts w:ascii="Arial" w:hAnsi="Arial"/>
                <w:sz w:val="16"/>
              </w:rPr>
              <w:t>Held-out topics, cutoff 1368</w:t>
            </w:r>
          </w:p>
        </w:tc>
        <w:tc>
          <w:tcPr>
            <w:tcW w:type="dxa" w:w="2523"/>
            <w:tcBorders>
              <w:left w:val="nil"/>
              <w:right w:val="nil"/>
              <w:insideV w:val="nil"/>
              <w:insideH w:val="nil"/>
              <w:top w:val="nil"/>
              <w:bottom w:val="nil"/>
            </w:tcBorders>
          </w:tcPr>
          <w:p>
            <w:pPr>
              <w:spacing w:after="20"/>
            </w:pPr>
            <w:r>
              <w:rPr>
                <w:rFonts w:ascii="Arial" w:hAnsi="Arial"/>
                <w:sz w:val="16"/>
              </w:rPr>
              <w:t>Discoveries among survivors</w:t>
            </w:r>
          </w:p>
        </w:tc>
        <w:tc>
          <w:tcPr>
            <w:tcW w:type="dxa" w:w="2523"/>
            <w:tcBorders>
              <w:left w:val="nil"/>
              <w:right w:val="nil"/>
              <w:insideV w:val="nil"/>
              <w:insideH w:val="nil"/>
              <w:top w:val="nil"/>
              <w:bottom w:val="nil"/>
            </w:tcBorders>
          </w:tcPr>
          <w:p>
            <w:pPr>
              <w:spacing w:after="20"/>
            </w:pPr>
            <w:r>
              <w:rPr>
                <w:rFonts w:ascii="Arial" w:hAnsi="Arial"/>
                <w:sz w:val="16"/>
              </w:rPr>
              <w:t>1/8</w:t>
            </w:r>
          </w:p>
        </w:tc>
        <w:tc>
          <w:tcPr>
            <w:tcW w:type="dxa" w:w="2523"/>
            <w:tcBorders>
              <w:left w:val="nil"/>
              <w:right w:val="nil"/>
              <w:insideV w:val="nil"/>
              <w:insideH w:val="nil"/>
              <w:top w:val="nil"/>
              <w:bottom w:val="nil"/>
            </w:tcBorders>
          </w:tcPr>
          <w:p>
            <w:pPr>
              <w:spacing w:after="20"/>
            </w:pPr>
            <w:r>
              <w:rPr>
                <w:rFonts w:ascii="Arial" w:hAnsi="Arial"/>
                <w:sz w:val="16"/>
              </w:rPr>
              <w:t>7/19 = 0.37; leakage 0</w:t>
            </w:r>
          </w:p>
        </w:tc>
      </w:tr>
      <w:tr>
        <w:tc>
          <w:tcPr>
            <w:tcW w:type="dxa" w:w="2523"/>
            <w:tcBorders>
              <w:left w:val="nil"/>
              <w:right w:val="nil"/>
              <w:insideV w:val="nil"/>
              <w:insideH w:val="nil"/>
              <w:top w:val="nil"/>
              <w:bottom w:val="nil"/>
            </w:tcBorders>
          </w:tcPr>
          <w:p>
            <w:pPr>
              <w:spacing w:after="20"/>
            </w:pPr>
            <w:r>
              <w:rPr>
                <w:rFonts w:ascii="Arial" w:hAnsi="Arial"/>
                <w:sz w:val="16"/>
              </w:rPr>
              <w:t>Verification</w:t>
            </w:r>
          </w:p>
        </w:tc>
        <w:tc>
          <w:tcPr>
            <w:tcW w:type="dxa" w:w="2523"/>
            <w:tcBorders>
              <w:left w:val="nil"/>
              <w:right w:val="nil"/>
              <w:insideV w:val="nil"/>
              <w:insideH w:val="nil"/>
              <w:top w:val="nil"/>
              <w:bottom w:val="nil"/>
            </w:tcBorders>
          </w:tcPr>
          <w:p>
            <w:pPr>
              <w:spacing w:after="20"/>
            </w:pPr>
            <w:r>
              <w:rPr>
                <w:rFonts w:ascii="Arial" w:hAnsi="Arial"/>
                <w:sz w:val="16"/>
              </w:rPr>
              <w:t>Fabricated quotations</w:t>
            </w:r>
          </w:p>
        </w:tc>
        <w:tc>
          <w:tcPr>
            <w:tcW w:type="dxa" w:w="2523"/>
            <w:tcBorders>
              <w:left w:val="nil"/>
              <w:right w:val="nil"/>
              <w:insideV w:val="nil"/>
              <w:insideH w:val="nil"/>
              <w:top w:val="nil"/>
              <w:bottom w:val="nil"/>
            </w:tcBorders>
          </w:tcPr>
          <w:p>
            <w:pPr>
              <w:spacing w:after="20"/>
            </w:pPr>
            <w:r>
              <w:rPr>
                <w:rFonts w:ascii="Arial" w:hAnsi="Arial"/>
                <w:sz w:val="16"/>
              </w:rPr>
              <w:t>60 quotations × 4 probes</w:t>
            </w:r>
          </w:p>
        </w:tc>
        <w:tc>
          <w:tcPr>
            <w:tcW w:type="dxa" w:w="2523"/>
            <w:tcBorders>
              <w:left w:val="nil"/>
              <w:right w:val="nil"/>
              <w:insideV w:val="nil"/>
              <w:insideH w:val="nil"/>
              <w:top w:val="nil"/>
              <w:bottom w:val="nil"/>
            </w:tcBorders>
          </w:tcPr>
          <w:p>
            <w:pPr>
              <w:spacing w:after="20"/>
            </w:pPr>
            <w:r>
              <w:rPr>
                <w:rFonts w:ascii="Arial" w:hAnsi="Arial"/>
                <w:sz w:val="16"/>
              </w:rPr>
              <w:t>Handled correctly</w:t>
            </w:r>
          </w:p>
        </w:tc>
        <w:tc>
          <w:tcPr>
            <w:tcW w:type="dxa" w:w="2523"/>
            <w:tcBorders>
              <w:left w:val="nil"/>
              <w:right w:val="nil"/>
              <w:insideV w:val="nil"/>
              <w:insideH w:val="nil"/>
              <w:top w:val="nil"/>
              <w:bottom w:val="nil"/>
            </w:tcBorders>
          </w:tcPr>
          <w:p>
            <w:pPr>
              <w:spacing w:after="20"/>
            </w:pPr>
            <w:r>
              <w:rPr>
                <w:rFonts w:ascii="Arial" w:hAnsi="Arial"/>
                <w:sz w:val="16"/>
              </w:rPr>
              <w:t>–</w:t>
            </w:r>
          </w:p>
        </w:tc>
        <w:tc>
          <w:tcPr>
            <w:tcW w:type="dxa" w:w="2523"/>
            <w:tcBorders>
              <w:left w:val="nil"/>
              <w:right w:val="nil"/>
              <w:insideV w:val="nil"/>
              <w:insideH w:val="nil"/>
              <w:top w:val="nil"/>
              <w:bottom w:val="nil"/>
            </w:tcBorders>
          </w:tcPr>
          <w:p>
            <w:pPr>
              <w:spacing w:after="20"/>
            </w:pPr>
            <w:r>
              <w:rPr>
                <w:rFonts w:ascii="Arial" w:hAnsi="Arial"/>
                <w:sz w:val="16"/>
              </w:rPr>
              <w:t>60/60 in every probe; variant spellings accepted</w:t>
            </w:r>
          </w:p>
        </w:tc>
      </w:tr>
      <w:tr>
        <w:tc>
          <w:tcPr>
            <w:tcW w:type="dxa" w:w="2523"/>
            <w:tcBorders>
              <w:left w:val="nil"/>
              <w:right w:val="nil"/>
              <w:insideV w:val="nil"/>
              <w:insideH w:val="nil"/>
              <w:top w:val="nil"/>
              <w:bottom w:val="nil"/>
            </w:tcBorders>
          </w:tcPr>
          <w:p>
            <w:pPr>
              <w:spacing w:after="20"/>
            </w:pPr>
            <w:r>
              <w:rPr>
                <w:rFonts w:ascii="Arial" w:hAnsi="Arial"/>
                <w:sz w:val="16"/>
              </w:rPr>
            </w:r>
          </w:p>
        </w:tc>
        <w:tc>
          <w:tcPr>
            <w:tcW w:type="dxa" w:w="2523"/>
            <w:tcBorders>
              <w:left w:val="nil"/>
              <w:right w:val="nil"/>
              <w:insideV w:val="nil"/>
              <w:insideH w:val="nil"/>
              <w:top w:val="nil"/>
              <w:bottom w:val="nil"/>
            </w:tcBorders>
          </w:tcPr>
          <w:p>
            <w:pPr>
              <w:spacing w:after="20"/>
            </w:pPr>
            <w:r>
              <w:rPr>
                <w:rFonts w:ascii="Arial" w:hAnsi="Arial"/>
                <w:sz w:val="16"/>
              </w:rPr>
              <w:t>Provenance</w:t>
            </w:r>
          </w:p>
        </w:tc>
        <w:tc>
          <w:tcPr>
            <w:tcW w:type="dxa" w:w="2523"/>
            <w:tcBorders>
              <w:left w:val="nil"/>
              <w:right w:val="nil"/>
              <w:insideV w:val="nil"/>
              <w:insideH w:val="nil"/>
              <w:top w:val="nil"/>
              <w:bottom w:val="nil"/>
            </w:tcBorders>
          </w:tcPr>
          <w:p>
            <w:pPr>
              <w:spacing w:after="20"/>
            </w:pPr>
            <w:r>
              <w:rPr>
                <w:rFonts w:ascii="Arial" w:hAnsi="Arial"/>
                <w:sz w:val="16"/>
              </w:rPr>
              <w:t>Committed claims and evidence</w:t>
            </w:r>
          </w:p>
        </w:tc>
        <w:tc>
          <w:tcPr>
            <w:tcW w:type="dxa" w:w="2523"/>
            <w:tcBorders>
              <w:left w:val="nil"/>
              <w:right w:val="nil"/>
              <w:insideV w:val="nil"/>
              <w:insideH w:val="nil"/>
              <w:top w:val="nil"/>
              <w:bottom w:val="nil"/>
            </w:tcBorders>
          </w:tcPr>
          <w:p>
            <w:pPr>
              <w:spacing w:after="20"/>
            </w:pPr>
            <w:r>
              <w:rPr>
                <w:rFonts w:ascii="Arial" w:hAnsi="Arial"/>
                <w:sz w:val="16"/>
              </w:rPr>
              <w:t>Verbatim</w:t>
            </w:r>
          </w:p>
        </w:tc>
        <w:tc>
          <w:tcPr>
            <w:tcW w:type="dxa" w:w="2523"/>
            <w:tcBorders>
              <w:left w:val="nil"/>
              <w:right w:val="nil"/>
              <w:insideV w:val="nil"/>
              <w:insideH w:val="nil"/>
              <w:top w:val="nil"/>
              <w:bottom w:val="nil"/>
            </w:tcBorders>
          </w:tcPr>
          <w:p>
            <w:pPr>
              <w:spacing w:after="20"/>
            </w:pPr>
            <w:r>
              <w:rPr>
                <w:rFonts w:ascii="Arial" w:hAnsi="Arial"/>
                <w:sz w:val="16"/>
              </w:rPr>
              <w:t>–</w:t>
            </w:r>
          </w:p>
        </w:tc>
        <w:tc>
          <w:tcPr>
            <w:tcW w:type="dxa" w:w="2523"/>
            <w:tcBorders>
              <w:left w:val="nil"/>
              <w:right w:val="nil"/>
              <w:insideV w:val="nil"/>
              <w:insideH w:val="nil"/>
              <w:top w:val="nil"/>
              <w:bottom w:val="nil"/>
            </w:tcBorders>
          </w:tcPr>
          <w:p>
            <w:pPr>
              <w:spacing w:after="20"/>
            </w:pPr>
            <w:r>
              <w:rPr>
                <w:rFonts w:ascii="Arial" w:hAnsi="Arial"/>
                <w:sz w:val="16"/>
              </w:rPr>
              <w:t>100%; mean chain depth 7.8 levels</w:t>
            </w:r>
          </w:p>
        </w:tc>
      </w:tr>
      <w:tr>
        <w:tc>
          <w:tcPr>
            <w:tcW w:type="dxa" w:w="2523"/>
            <w:tcBorders>
              <w:left w:val="nil"/>
              <w:right w:val="nil"/>
              <w:insideV w:val="nil"/>
              <w:insideH w:val="nil"/>
              <w:top w:val="nil"/>
              <w:bottom w:val="nil"/>
            </w:tcBorders>
          </w:tcPr>
          <w:p>
            <w:pPr>
              <w:spacing w:after="20"/>
            </w:pPr>
            <w:r>
              <w:rPr>
                <w:rFonts w:ascii="Arial" w:hAnsi="Arial"/>
                <w:sz w:val="16"/>
              </w:rPr>
            </w:r>
          </w:p>
        </w:tc>
        <w:tc>
          <w:tcPr>
            <w:tcW w:type="dxa" w:w="2523"/>
            <w:tcBorders>
              <w:left w:val="nil"/>
              <w:right w:val="nil"/>
              <w:insideV w:val="nil"/>
              <w:insideH w:val="nil"/>
              <w:top w:val="nil"/>
              <w:bottom w:val="nil"/>
            </w:tcBorders>
          </w:tcPr>
          <w:p>
            <w:pPr>
              <w:spacing w:after="20"/>
            </w:pPr>
            <w:r>
              <w:rPr>
                <w:rFonts w:ascii="Arial" w:hAnsi="Arial"/>
                <w:sz w:val="16"/>
              </w:rPr>
              <w:t>Claim extraction</w:t>
            </w:r>
          </w:p>
        </w:tc>
        <w:tc>
          <w:tcPr>
            <w:tcW w:type="dxa" w:w="2523"/>
            <w:tcBorders>
              <w:left w:val="nil"/>
              <w:right w:val="nil"/>
              <w:insideV w:val="nil"/>
              <w:insideH w:val="nil"/>
              <w:top w:val="nil"/>
              <w:bottom w:val="nil"/>
            </w:tcBorders>
          </w:tcPr>
          <w:p>
            <w:pPr>
              <w:spacing w:after="20"/>
            </w:pPr>
            <w:r>
              <w:rPr>
                <w:rFonts w:ascii="Arial" w:hAnsi="Arial"/>
                <w:sz w:val="16"/>
              </w:rPr>
              <w:t>42 gold hyperedges</w:t>
            </w:r>
          </w:p>
        </w:tc>
        <w:tc>
          <w:tcPr>
            <w:tcW w:type="dxa" w:w="2523"/>
            <w:tcBorders>
              <w:left w:val="nil"/>
              <w:right w:val="nil"/>
              <w:insideV w:val="nil"/>
              <w:insideH w:val="nil"/>
              <w:top w:val="nil"/>
              <w:bottom w:val="nil"/>
            </w:tcBorders>
          </w:tcPr>
          <w:p>
            <w:pPr>
              <w:spacing w:after="20"/>
            </w:pPr>
            <w:r>
              <w:rPr>
                <w:rFonts w:ascii="Arial" w:hAnsi="Arial"/>
                <w:sz w:val="16"/>
              </w:rPr>
              <w:t>Precision / recall</w:t>
            </w:r>
          </w:p>
        </w:tc>
        <w:tc>
          <w:tcPr>
            <w:tcW w:type="dxa" w:w="2523"/>
            <w:tcBorders>
              <w:left w:val="nil"/>
              <w:right w:val="nil"/>
              <w:insideV w:val="nil"/>
              <w:insideH w:val="nil"/>
              <w:top w:val="nil"/>
              <w:bottom w:val="nil"/>
            </w:tcBorders>
          </w:tcPr>
          <w:p>
            <w:pPr>
              <w:spacing w:after="20"/>
            </w:pPr>
            <w:r>
              <w:rPr>
                <w:rFonts w:ascii="Arial" w:hAnsi="Arial"/>
                <w:sz w:val="16"/>
              </w:rPr>
              <w:t>1.00 / 0.976</w:t>
            </w:r>
          </w:p>
        </w:tc>
        <w:tc>
          <w:tcPr>
            <w:tcW w:type="dxa" w:w="2523"/>
            <w:tcBorders>
              <w:left w:val="nil"/>
              <w:right w:val="nil"/>
              <w:insideV w:val="nil"/>
              <w:insideH w:val="nil"/>
              <w:top w:val="nil"/>
              <w:bottom w:val="nil"/>
            </w:tcBorders>
          </w:tcPr>
          <w:p>
            <w:pPr>
              <w:spacing w:after="20"/>
            </w:pPr>
            <w:r>
              <w:rPr>
                <w:rFonts w:ascii="Arial" w:hAnsi="Arial"/>
                <w:sz w:val="16"/>
              </w:rPr>
              <w:t>–</w:t>
            </w:r>
          </w:p>
        </w:tc>
      </w:tr>
      <w:tr>
        <w:tc>
          <w:tcPr>
            <w:tcW w:type="dxa" w:w="2523"/>
            <w:tcBorders>
              <w:left w:val="nil"/>
              <w:right w:val="nil"/>
              <w:insideV w:val="nil"/>
              <w:insideH w:val="nil"/>
              <w:top w:val="nil"/>
              <w:bottom w:val="nil"/>
            </w:tcBorders>
          </w:tcPr>
          <w:p>
            <w:pPr>
              <w:spacing w:after="20"/>
            </w:pPr>
            <w:r>
              <w:rPr>
                <w:rFonts w:ascii="Arial" w:hAnsi="Arial"/>
                <w:sz w:val="16"/>
              </w:rPr>
            </w:r>
          </w:p>
        </w:tc>
        <w:tc>
          <w:tcPr>
            <w:tcW w:type="dxa" w:w="2523"/>
            <w:tcBorders>
              <w:left w:val="nil"/>
              <w:right w:val="nil"/>
              <w:insideV w:val="nil"/>
              <w:insideH w:val="nil"/>
              <w:top w:val="nil"/>
              <w:bottom w:val="nil"/>
            </w:tcBorders>
          </w:tcPr>
          <w:p>
            <w:pPr>
              <w:spacing w:after="20"/>
            </w:pPr>
            <w:r>
              <w:rPr>
                <w:rFonts w:ascii="Arial" w:hAnsi="Arial"/>
                <w:sz w:val="16"/>
              </w:rPr>
              <w:t>Temporal and anachronism guards</w:t>
            </w:r>
          </w:p>
        </w:tc>
        <w:tc>
          <w:tcPr>
            <w:tcW w:type="dxa" w:w="2523"/>
            <w:tcBorders>
              <w:left w:val="nil"/>
              <w:right w:val="nil"/>
              <w:insideV w:val="nil"/>
              <w:insideH w:val="nil"/>
              <w:top w:val="nil"/>
              <w:bottom w:val="nil"/>
            </w:tcBorders>
          </w:tcPr>
          <w:p>
            <w:pPr>
              <w:spacing w:after="20"/>
            </w:pPr>
            <w:r>
              <w:rPr>
                <w:rFonts w:ascii="Arial" w:hAnsi="Arial"/>
                <w:sz w:val="16"/>
              </w:rPr>
              <w:t>Constraints, earliest attestations, equations</w:t>
            </w:r>
          </w:p>
        </w:tc>
        <w:tc>
          <w:tcPr>
            <w:tcW w:type="dxa" w:w="2523"/>
            <w:tcBorders>
              <w:left w:val="nil"/>
              <w:right w:val="nil"/>
              <w:insideV w:val="nil"/>
              <w:insideH w:val="nil"/>
              <w:top w:val="nil"/>
              <w:bottom w:val="nil"/>
            </w:tcBorders>
          </w:tcPr>
          <w:p>
            <w:pPr>
              <w:spacing w:after="20"/>
            </w:pPr>
            <w:r>
              <w:rPr>
                <w:rFonts w:ascii="Arial" w:hAnsi="Arial"/>
                <w:sz w:val="16"/>
              </w:rPr>
              <w:t>Correct</w:t>
            </w:r>
          </w:p>
        </w:tc>
        <w:tc>
          <w:tcPr>
            <w:tcW w:type="dxa" w:w="2523"/>
            <w:tcBorders>
              <w:left w:val="nil"/>
              <w:right w:val="nil"/>
              <w:insideV w:val="nil"/>
              <w:insideH w:val="nil"/>
              <w:top w:val="nil"/>
              <w:bottom w:val="nil"/>
            </w:tcBorders>
          </w:tcPr>
          <w:p>
            <w:pPr>
              <w:spacing w:after="20"/>
            </w:pPr>
            <w:r>
              <w:rPr>
                <w:rFonts w:ascii="Arial" w:hAnsi="Arial"/>
                <w:sz w:val="16"/>
              </w:rPr>
              <w:t>6/6 · 6/6 · 10/10</w:t>
            </w:r>
          </w:p>
        </w:tc>
        <w:tc>
          <w:tcPr>
            <w:tcW w:type="dxa" w:w="2523"/>
            <w:tcBorders>
              <w:left w:val="nil"/>
              <w:right w:val="nil"/>
              <w:insideV w:val="nil"/>
              <w:insideH w:val="nil"/>
              <w:top w:val="nil"/>
              <w:bottom w:val="nil"/>
            </w:tcBorders>
          </w:tcPr>
          <w:p>
            <w:pPr>
              <w:spacing w:after="20"/>
            </w:pPr>
            <w:r>
              <w:rPr>
                <w:rFonts w:ascii="Arial" w:hAnsi="Arial"/>
                <w:sz w:val="16"/>
              </w:rPr>
              <w:t>Leakage 0; agent-asserted equivalence blocked</w:t>
            </w:r>
          </w:p>
        </w:tc>
      </w:tr>
      <w:tr>
        <w:tc>
          <w:tcPr>
            <w:tcW w:type="dxa" w:w="2523"/>
            <w:tcBorders>
              <w:left w:val="nil"/>
              <w:right w:val="nil"/>
              <w:insideV w:val="nil"/>
              <w:insideH w:val="nil"/>
              <w:top w:val="nil"/>
              <w:bottom w:val="nil"/>
            </w:tcBorders>
          </w:tcPr>
          <w:p>
            <w:pPr>
              <w:spacing w:after="20"/>
            </w:pPr>
            <w:r>
              <w:rPr>
                <w:rFonts w:ascii="Arial" w:hAnsi="Arial"/>
                <w:sz w:val="16"/>
              </w:rPr>
              <w:t>Deep discovery</w:t>
            </w:r>
          </w:p>
        </w:tc>
        <w:tc>
          <w:tcPr>
            <w:tcW w:type="dxa" w:w="2523"/>
            <w:tcBorders>
              <w:left w:val="nil"/>
              <w:right w:val="nil"/>
              <w:insideV w:val="nil"/>
              <w:insideH w:val="nil"/>
              <w:top w:val="nil"/>
              <w:bottom w:val="nil"/>
            </w:tcBorders>
          </w:tcPr>
          <w:p>
            <w:pPr>
              <w:spacing w:after="20"/>
            </w:pPr>
            <w:r>
              <w:rPr>
                <w:rFonts w:ascii="Arial" w:hAnsi="Arial"/>
                <w:sz w:val="16"/>
              </w:rPr>
              <w:t>Collation</w:t>
            </w:r>
          </w:p>
        </w:tc>
        <w:tc>
          <w:tcPr>
            <w:tcW w:type="dxa" w:w="2523"/>
            <w:tcBorders>
              <w:left w:val="nil"/>
              <w:right w:val="nil"/>
              <w:insideV w:val="nil"/>
              <w:insideH w:val="nil"/>
              <w:top w:val="nil"/>
              <w:bottom w:val="nil"/>
            </w:tcBorders>
          </w:tcPr>
          <w:p>
            <w:pPr>
              <w:spacing w:after="20"/>
            </w:pPr>
            <w:r>
              <w:rPr>
                <w:rFonts w:ascii="Arial" w:hAnsi="Arial"/>
                <w:sz w:val="16"/>
              </w:rPr>
              <w:t>5 traditions copied down a known stemma</w:t>
            </w:r>
          </w:p>
        </w:tc>
        <w:tc>
          <w:tcPr>
            <w:tcW w:type="dxa" w:w="2523"/>
            <w:tcBorders>
              <w:left w:val="nil"/>
              <w:right w:val="nil"/>
              <w:insideV w:val="nil"/>
              <w:insideH w:val="nil"/>
              <w:top w:val="nil"/>
              <w:bottom w:val="nil"/>
            </w:tcBorders>
          </w:tcPr>
          <w:p>
            <w:pPr>
              <w:spacing w:after="20"/>
            </w:pPr>
            <w:r>
              <w:rPr>
                <w:rFonts w:ascii="Arial" w:hAnsi="Arial"/>
                <w:sz w:val="16"/>
              </w:rPr>
              <w:t>Variant-unit recall / precision</w:t>
            </w:r>
          </w:p>
        </w:tc>
        <w:tc>
          <w:tcPr>
            <w:tcW w:type="dxa" w:w="2523"/>
            <w:tcBorders>
              <w:left w:val="nil"/>
              <w:right w:val="nil"/>
              <w:insideV w:val="nil"/>
              <w:insideH w:val="nil"/>
              <w:top w:val="nil"/>
              <w:bottom w:val="nil"/>
            </w:tcBorders>
          </w:tcPr>
          <w:p>
            <w:pPr>
              <w:spacing w:after="20"/>
            </w:pPr>
            <w:r>
              <w:rPr>
                <w:rFonts w:ascii="Arial" w:hAnsi="Arial"/>
                <w:sz w:val="16"/>
              </w:rPr>
              <w:t>0.998 / 0.999</w:t>
            </w:r>
          </w:p>
        </w:tc>
        <w:tc>
          <w:tcPr>
            <w:tcW w:type="dxa" w:w="2523"/>
            <w:tcBorders>
              <w:left w:val="nil"/>
              <w:right w:val="nil"/>
              <w:insideV w:val="nil"/>
              <w:insideH w:val="nil"/>
              <w:top w:val="nil"/>
              <w:bottom w:val="nil"/>
            </w:tcBorders>
          </w:tcPr>
          <w:p>
            <w:pPr>
              <w:spacing w:after="20"/>
            </w:pPr>
            <w:r>
              <w:rPr>
                <w:rFonts w:ascii="Arial" w:hAnsi="Arial"/>
                <w:sz w:val="16"/>
              </w:rPr>
              <w:t>–</w:t>
            </w:r>
          </w:p>
        </w:tc>
      </w:tr>
      <w:tr>
        <w:tc>
          <w:tcPr>
            <w:tcW w:type="dxa" w:w="2523"/>
            <w:tcBorders>
              <w:left w:val="nil"/>
              <w:right w:val="nil"/>
              <w:insideV w:val="nil"/>
              <w:insideH w:val="nil"/>
              <w:top w:val="nil"/>
              <w:bottom w:val="nil"/>
            </w:tcBorders>
          </w:tcPr>
          <w:p>
            <w:pPr>
              <w:spacing w:after="20"/>
            </w:pPr>
            <w:r>
              <w:rPr>
                <w:rFonts w:ascii="Arial" w:hAnsi="Arial"/>
                <w:sz w:val="16"/>
              </w:rPr>
            </w:r>
          </w:p>
        </w:tc>
        <w:tc>
          <w:tcPr>
            <w:tcW w:type="dxa" w:w="2523"/>
            <w:tcBorders>
              <w:left w:val="nil"/>
              <w:right w:val="nil"/>
              <w:insideV w:val="nil"/>
              <w:insideH w:val="nil"/>
              <w:top w:val="nil"/>
              <w:bottom w:val="nil"/>
            </w:tcBorders>
          </w:tcPr>
          <w:p>
            <w:pPr>
              <w:spacing w:after="20"/>
            </w:pPr>
            <w:r>
              <w:rPr>
                <w:rFonts w:ascii="Arial" w:hAnsi="Arial"/>
                <w:sz w:val="16"/>
              </w:rPr>
              <w:t>Semantic reuse</w:t>
            </w:r>
          </w:p>
        </w:tc>
        <w:tc>
          <w:tcPr>
            <w:tcW w:type="dxa" w:w="2523"/>
            <w:tcBorders>
              <w:left w:val="nil"/>
              <w:right w:val="nil"/>
              <w:insideV w:val="nil"/>
              <w:insideH w:val="nil"/>
              <w:top w:val="nil"/>
              <w:bottom w:val="nil"/>
            </w:tcBorders>
          </w:tcPr>
          <w:p>
            <w:pPr>
              <w:spacing w:after="20"/>
            </w:pPr>
            <w:r>
              <w:rPr>
                <w:rFonts w:ascii="Arial" w:hAnsi="Arial"/>
                <w:sz w:val="16"/>
              </w:rPr>
              <w:t>33 typed pairs</w:t>
            </w:r>
          </w:p>
        </w:tc>
        <w:tc>
          <w:tcPr>
            <w:tcW w:type="dxa" w:w="2523"/>
            <w:tcBorders>
              <w:left w:val="nil"/>
              <w:right w:val="nil"/>
              <w:insideV w:val="nil"/>
              <w:insideH w:val="nil"/>
              <w:top w:val="nil"/>
              <w:bottom w:val="nil"/>
            </w:tcBorders>
          </w:tcPr>
          <w:p>
            <w:pPr>
              <w:spacing w:after="20"/>
            </w:pPr>
            <w:r>
              <w:rPr>
                <w:rFonts w:ascii="Arial" w:hAnsi="Arial"/>
                <w:sz w:val="16"/>
              </w:rPr>
              <w:t>Accuracy</w:t>
            </w:r>
          </w:p>
        </w:tc>
        <w:tc>
          <w:tcPr>
            <w:tcW w:type="dxa" w:w="2523"/>
            <w:tcBorders>
              <w:left w:val="nil"/>
              <w:right w:val="nil"/>
              <w:insideV w:val="nil"/>
              <w:insideH w:val="nil"/>
              <w:top w:val="nil"/>
              <w:bottom w:val="nil"/>
            </w:tcBorders>
          </w:tcPr>
          <w:p>
            <w:pPr>
              <w:spacing w:after="20"/>
            </w:pPr>
            <w:r>
              <w:rPr>
                <w:rFonts w:ascii="Arial" w:hAnsi="Arial"/>
                <w:sz w:val="16"/>
              </w:rPr>
              <w:t>0.97</w:t>
            </w:r>
          </w:p>
        </w:tc>
        <w:tc>
          <w:tcPr>
            <w:tcW w:type="dxa" w:w="2523"/>
            <w:tcBorders>
              <w:left w:val="nil"/>
              <w:right w:val="nil"/>
              <w:insideV w:val="nil"/>
              <w:insideH w:val="nil"/>
              <w:top w:val="nil"/>
              <w:bottom w:val="nil"/>
            </w:tcBorders>
          </w:tcPr>
          <w:p>
            <w:pPr>
              <w:spacing w:after="20"/>
            </w:pPr>
            <w:r>
              <w:rPr>
                <w:rFonts w:ascii="Arial" w:hAnsi="Arial"/>
                <w:sz w:val="16"/>
              </w:rPr>
              <w:t>–</w:t>
            </w:r>
          </w:p>
        </w:tc>
      </w:tr>
      <w:tr>
        <w:tc>
          <w:tcPr>
            <w:tcW w:type="dxa" w:w="2523"/>
            <w:tcBorders>
              <w:left w:val="nil"/>
              <w:right w:val="nil"/>
              <w:insideV w:val="nil"/>
              <w:insideH w:val="nil"/>
              <w:top w:val="nil"/>
              <w:bottom w:val="nil"/>
            </w:tcBorders>
          </w:tcPr>
          <w:p>
            <w:pPr>
              <w:spacing w:after="20"/>
            </w:pPr>
            <w:r>
              <w:rPr>
                <w:rFonts w:ascii="Arial" w:hAnsi="Arial"/>
                <w:sz w:val="16"/>
              </w:rPr>
            </w:r>
          </w:p>
        </w:tc>
        <w:tc>
          <w:tcPr>
            <w:tcW w:type="dxa" w:w="2523"/>
            <w:tcBorders>
              <w:left w:val="nil"/>
              <w:right w:val="nil"/>
              <w:insideV w:val="nil"/>
              <w:insideH w:val="nil"/>
              <w:top w:val="nil"/>
              <w:bottom w:val="nil"/>
            </w:tcBorders>
          </w:tcPr>
          <w:p>
            <w:pPr>
              <w:spacing w:after="20"/>
            </w:pPr>
            <w:r>
              <w:rPr>
                <w:rFonts w:ascii="Arial" w:hAnsi="Arial"/>
                <w:sz w:val="16"/>
              </w:rPr>
              <w:t>Stratigraphy</w:t>
            </w:r>
          </w:p>
        </w:tc>
        <w:tc>
          <w:tcPr>
            <w:tcW w:type="dxa" w:w="2523"/>
            <w:tcBorders>
              <w:left w:val="nil"/>
              <w:right w:val="nil"/>
              <w:insideV w:val="nil"/>
              <w:insideH w:val="nil"/>
              <w:top w:val="nil"/>
              <w:bottom w:val="nil"/>
            </w:tcBorders>
          </w:tcPr>
          <w:p>
            <w:pPr>
              <w:spacing w:after="20"/>
            </w:pPr>
            <w:r>
              <w:rPr>
                <w:rFonts w:ascii="Arial" w:hAnsi="Arial"/>
                <w:sz w:val="16"/>
              </w:rPr>
              <w:t>5 composites; the Suwen</w:t>
            </w:r>
          </w:p>
        </w:tc>
        <w:tc>
          <w:tcPr>
            <w:tcW w:type="dxa" w:w="2523"/>
            <w:tcBorders>
              <w:left w:val="nil"/>
              <w:right w:val="nil"/>
              <w:insideV w:val="nil"/>
              <w:insideH w:val="nil"/>
              <w:top w:val="nil"/>
              <w:bottom w:val="nil"/>
            </w:tcBorders>
          </w:tcPr>
          <w:p>
            <w:pPr>
              <w:spacing w:after="20"/>
            </w:pPr>
            <w:r>
              <w:rPr>
                <w:rFonts w:ascii="Arial" w:hAnsi="Arial"/>
                <w:sz w:val="16"/>
              </w:rPr>
              <w:t>Layer accuracy</w:t>
            </w:r>
          </w:p>
        </w:tc>
        <w:tc>
          <w:tcPr>
            <w:tcW w:type="dxa" w:w="2523"/>
            <w:tcBorders>
              <w:left w:val="nil"/>
              <w:right w:val="nil"/>
              <w:insideV w:val="nil"/>
              <w:insideH w:val="nil"/>
              <w:top w:val="nil"/>
              <w:bottom w:val="nil"/>
            </w:tcBorders>
          </w:tcPr>
          <w:p>
            <w:pPr>
              <w:spacing w:after="20"/>
            </w:pPr>
            <w:r>
              <w:rPr>
                <w:rFonts w:ascii="Arial" w:hAnsi="Arial"/>
                <w:sz w:val="16"/>
              </w:rPr>
              <w:t>0.955</w:t>
            </w:r>
          </w:p>
        </w:tc>
        <w:tc>
          <w:tcPr>
            <w:tcW w:type="dxa" w:w="2523"/>
            <w:tcBorders>
              <w:left w:val="nil"/>
              <w:right w:val="nil"/>
              <w:insideV w:val="nil"/>
              <w:insideH w:val="nil"/>
              <w:top w:val="nil"/>
              <w:bottom w:val="nil"/>
            </w:tcBorders>
          </w:tcPr>
          <w:p>
            <w:pPr>
              <w:spacing w:after="20"/>
            </w:pPr>
            <w:r>
              <w:rPr>
                <w:rFonts w:ascii="Arial" w:hAnsi="Arial"/>
                <w:sz w:val="16"/>
              </w:rPr>
              <w:t>Yunqi chapters 7/7 in the minor layer†</w:t>
            </w:r>
          </w:p>
        </w:tc>
      </w:tr>
      <w:tr>
        <w:tc>
          <w:tcPr>
            <w:tcW w:type="dxa" w:w="2523"/>
            <w:tcBorders>
              <w:left w:val="nil"/>
              <w:right w:val="nil"/>
              <w:insideV w:val="nil"/>
              <w:insideH w:val="nil"/>
              <w:top w:val="nil"/>
              <w:bottom w:val="nil"/>
            </w:tcBorders>
          </w:tcPr>
          <w:p>
            <w:pPr>
              <w:spacing w:after="20"/>
            </w:pPr>
            <w:r>
              <w:rPr>
                <w:rFonts w:ascii="Arial" w:hAnsi="Arial"/>
                <w:sz w:val="16"/>
              </w:rPr>
            </w:r>
          </w:p>
        </w:tc>
        <w:tc>
          <w:tcPr>
            <w:tcW w:type="dxa" w:w="2523"/>
            <w:tcBorders>
              <w:left w:val="nil"/>
              <w:right w:val="nil"/>
              <w:insideV w:val="nil"/>
              <w:insideH w:val="nil"/>
              <w:top w:val="nil"/>
              <w:bottom w:val="nil"/>
            </w:tcBorders>
          </w:tcPr>
          <w:p>
            <w:pPr>
              <w:spacing w:after="20"/>
            </w:pPr>
            <w:r>
              <w:rPr>
                <w:rFonts w:ascii="Arial" w:hAnsi="Arial"/>
                <w:sz w:val="16"/>
              </w:rPr>
              <w:t>Lost-text fragments</w:t>
            </w:r>
          </w:p>
        </w:tc>
        <w:tc>
          <w:tcPr>
            <w:tcW w:type="dxa" w:w="2523"/>
            <w:tcBorders>
              <w:left w:val="nil"/>
              <w:right w:val="nil"/>
              <w:insideV w:val="nil"/>
              <w:insideH w:val="nil"/>
              <w:top w:val="nil"/>
              <w:bottom w:val="nil"/>
            </w:tcBorders>
          </w:tcPr>
          <w:p>
            <w:pPr>
              <w:spacing w:after="20"/>
            </w:pPr>
            <w:r>
              <w:rPr>
                <w:rFonts w:ascii="Arial" w:hAnsi="Arial"/>
                <w:sz w:val="16"/>
              </w:rPr>
              <w:t>Constructed lost work; Qianjin yaofang</w:t>
            </w:r>
          </w:p>
        </w:tc>
        <w:tc>
          <w:tcPr>
            <w:tcW w:type="dxa" w:w="2523"/>
            <w:tcBorders>
              <w:left w:val="nil"/>
              <w:right w:val="nil"/>
              <w:insideV w:val="nil"/>
              <w:insideH w:val="nil"/>
              <w:top w:val="nil"/>
              <w:bottom w:val="nil"/>
            </w:tcBorders>
          </w:tcPr>
          <w:p>
            <w:pPr>
              <w:spacing w:after="20"/>
            </w:pPr>
            <w:r>
              <w:rPr>
                <w:rFonts w:ascii="Arial" w:hAnsi="Arial"/>
                <w:sz w:val="16"/>
              </w:rPr>
              <w:t>Precision</w:t>
            </w:r>
          </w:p>
        </w:tc>
        <w:tc>
          <w:tcPr>
            <w:tcW w:type="dxa" w:w="2523"/>
            <w:tcBorders>
              <w:left w:val="nil"/>
              <w:right w:val="nil"/>
              <w:insideV w:val="nil"/>
              <w:insideH w:val="nil"/>
              <w:top w:val="nil"/>
              <w:bottom w:val="nil"/>
            </w:tcBorders>
          </w:tcPr>
          <w:p>
            <w:pPr>
              <w:spacing w:after="20"/>
            </w:pPr>
            <w:r>
              <w:rPr>
                <w:rFonts w:ascii="Arial" w:hAnsi="Arial"/>
                <w:sz w:val="16"/>
              </w:rPr>
              <w:t>0.86</w:t>
            </w:r>
          </w:p>
        </w:tc>
        <w:tc>
          <w:tcPr>
            <w:tcW w:type="dxa" w:w="2523"/>
            <w:tcBorders>
              <w:left w:val="nil"/>
              <w:right w:val="nil"/>
              <w:insideV w:val="nil"/>
              <w:insideH w:val="nil"/>
              <w:top w:val="nil"/>
              <w:bottom w:val="nil"/>
            </w:tcBorders>
          </w:tcPr>
          <w:p>
            <w:pPr>
              <w:spacing w:after="20"/>
            </w:pPr>
            <w:r>
              <w:rPr>
                <w:rFonts w:ascii="Arial" w:hAnsi="Arial"/>
                <w:sz w:val="16"/>
              </w:rPr>
              <w:t>0.32†</w:t>
            </w:r>
          </w:p>
        </w:tc>
      </w:tr>
      <w:tr>
        <w:tc>
          <w:tcPr>
            <w:tcW w:type="dxa" w:w="2523"/>
            <w:tcBorders>
              <w:left w:val="nil"/>
              <w:right w:val="nil"/>
              <w:insideV w:val="nil"/>
              <w:insideH w:val="nil"/>
              <w:top w:val="nil"/>
              <w:bottom w:val="nil"/>
            </w:tcBorders>
          </w:tcPr>
          <w:p>
            <w:pPr>
              <w:spacing w:after="20"/>
            </w:pPr>
            <w:r>
              <w:rPr>
                <w:rFonts w:ascii="Arial" w:hAnsi="Arial"/>
                <w:sz w:val="16"/>
              </w:rPr>
              <w:t>Task specification</w:t>
            </w:r>
          </w:p>
        </w:tc>
        <w:tc>
          <w:tcPr>
            <w:tcW w:type="dxa" w:w="2523"/>
            <w:tcBorders>
              <w:left w:val="nil"/>
              <w:right w:val="nil"/>
              <w:insideV w:val="nil"/>
              <w:insideH w:val="nil"/>
              <w:top w:val="nil"/>
              <w:bottom w:val="nil"/>
            </w:tcBorders>
          </w:tcPr>
          <w:p>
            <w:pPr>
              <w:spacing w:after="20"/>
            </w:pPr>
            <w:r>
              <w:rPr>
                <w:rFonts w:ascii="Arial" w:hAnsi="Arial"/>
                <w:sz w:val="16"/>
              </w:rPr>
              <w:t>Punctuation</w:t>
            </w:r>
          </w:p>
        </w:tc>
        <w:tc>
          <w:tcPr>
            <w:tcW w:type="dxa" w:w="2523"/>
            <w:tcBorders>
              <w:left w:val="nil"/>
              <w:right w:val="nil"/>
              <w:insideV w:val="nil"/>
              <w:insideH w:val="nil"/>
              <w:top w:val="nil"/>
              <w:bottom w:val="nil"/>
            </w:tcBorders>
          </w:tcPr>
          <w:p>
            <w:pPr>
              <w:spacing w:after="20"/>
            </w:pPr>
            <w:r>
              <w:rPr>
                <w:rFonts w:ascii="Arial" w:hAnsi="Arial"/>
                <w:sz w:val="16"/>
              </w:rPr>
              <w:t>55 held-out works (104 k characters)†</w:t>
            </w:r>
          </w:p>
        </w:tc>
        <w:tc>
          <w:tcPr>
            <w:tcW w:type="dxa" w:w="2523"/>
            <w:tcBorders>
              <w:left w:val="nil"/>
              <w:right w:val="nil"/>
              <w:insideV w:val="nil"/>
              <w:insideH w:val="nil"/>
              <w:top w:val="nil"/>
              <w:bottom w:val="nil"/>
            </w:tcBorders>
          </w:tcPr>
          <w:p>
            <w:pPr>
              <w:spacing w:after="20"/>
            </w:pPr>
            <w:r>
              <w:rPr>
                <w:rFonts w:ascii="Arial" w:hAnsi="Arial"/>
                <w:sz w:val="16"/>
              </w:rPr>
              <w:t>Boundary F1</w:t>
            </w:r>
          </w:p>
        </w:tc>
        <w:tc>
          <w:tcPr>
            <w:tcW w:type="dxa" w:w="2523"/>
            <w:tcBorders>
              <w:left w:val="nil"/>
              <w:right w:val="nil"/>
              <w:insideV w:val="nil"/>
              <w:insideH w:val="nil"/>
              <w:top w:val="nil"/>
              <w:bottom w:val="nil"/>
            </w:tcBorders>
          </w:tcPr>
          <w:p>
            <w:pPr>
              <w:spacing w:after="20"/>
            </w:pPr>
            <w:r>
              <w:rPr>
                <w:rFonts w:ascii="Arial" w:hAnsi="Arial"/>
                <w:sz w:val="16"/>
              </w:rPr>
              <w:t>–</w:t>
            </w:r>
          </w:p>
        </w:tc>
        <w:tc>
          <w:tcPr>
            <w:tcW w:type="dxa" w:w="2523"/>
            <w:tcBorders>
              <w:left w:val="nil"/>
              <w:right w:val="nil"/>
              <w:insideV w:val="nil"/>
              <w:insideH w:val="nil"/>
              <w:top w:val="nil"/>
              <w:bottom w:val="nil"/>
            </w:tcBorders>
          </w:tcPr>
          <w:p>
            <w:pPr>
              <w:spacing w:after="20"/>
            </w:pPr>
            <w:r>
              <w:rPr>
                <w:rFonts w:ascii="Arial" w:hAnsi="Arial"/>
                <w:sz w:val="16"/>
              </w:rPr>
              <w:t>0.767 (rules 0.235); characters kept 1.000</w:t>
            </w:r>
          </w:p>
        </w:tc>
      </w:tr>
      <w:tr>
        <w:tc>
          <w:tcPr>
            <w:tcW w:type="dxa" w:w="2523"/>
            <w:tcBorders>
              <w:left w:val="nil"/>
              <w:right w:val="nil"/>
              <w:insideV w:val="nil"/>
              <w:insideH w:val="nil"/>
              <w:top w:val="nil"/>
              <w:bottom w:val="nil"/>
            </w:tcBorders>
          </w:tcPr>
          <w:p>
            <w:pPr>
              <w:spacing w:after="20"/>
            </w:pPr>
            <w:r>
              <w:rPr>
                <w:rFonts w:ascii="Arial" w:hAnsi="Arial"/>
                <w:sz w:val="16"/>
              </w:rPr>
            </w:r>
          </w:p>
        </w:tc>
        <w:tc>
          <w:tcPr>
            <w:tcW w:type="dxa" w:w="2523"/>
            <w:tcBorders>
              <w:left w:val="nil"/>
              <w:right w:val="nil"/>
              <w:insideV w:val="nil"/>
              <w:insideH w:val="nil"/>
              <w:top w:val="nil"/>
              <w:bottom w:val="nil"/>
            </w:tcBorders>
          </w:tcPr>
          <w:p>
            <w:pPr>
              <w:spacing w:after="20"/>
            </w:pPr>
            <w:r>
              <w:rPr>
                <w:rFonts w:ascii="Arial" w:hAnsi="Arial"/>
                <w:sz w:val="16"/>
              </w:rPr>
              <w:t>Drug pairs</w:t>
            </w:r>
          </w:p>
        </w:tc>
        <w:tc>
          <w:tcPr>
            <w:tcW w:type="dxa" w:w="2523"/>
            <w:tcBorders>
              <w:left w:val="nil"/>
              <w:right w:val="nil"/>
              <w:insideV w:val="nil"/>
              <w:insideH w:val="nil"/>
              <w:top w:val="nil"/>
              <w:bottom w:val="nil"/>
            </w:tcBorders>
          </w:tcPr>
          <w:p>
            <w:pPr>
              <w:spacing w:after="20"/>
            </w:pPr>
            <w:r>
              <w:rPr>
                <w:rFonts w:ascii="Arial" w:hAnsi="Arial"/>
                <w:sz w:val="16"/>
              </w:rPr>
              <w:t>66,196 compositions†</w:t>
            </w:r>
          </w:p>
        </w:tc>
        <w:tc>
          <w:tcPr>
            <w:tcW w:type="dxa" w:w="2523"/>
            <w:tcBorders>
              <w:left w:val="nil"/>
              <w:right w:val="nil"/>
              <w:insideV w:val="nil"/>
              <w:insideH w:val="nil"/>
              <w:top w:val="nil"/>
              <w:bottom w:val="nil"/>
            </w:tcBorders>
          </w:tcPr>
          <w:p>
            <w:pPr>
              <w:spacing w:after="20"/>
            </w:pPr>
            <w:r>
              <w:rPr>
                <w:rFonts w:ascii="Arial" w:hAnsi="Arial"/>
                <w:sz w:val="16"/>
              </w:rPr>
              <w:t>Textbook pairs significant</w:t>
            </w:r>
          </w:p>
        </w:tc>
        <w:tc>
          <w:tcPr>
            <w:tcW w:type="dxa" w:w="2523"/>
            <w:tcBorders>
              <w:left w:val="nil"/>
              <w:right w:val="nil"/>
              <w:insideV w:val="nil"/>
              <w:insideH w:val="nil"/>
              <w:top w:val="nil"/>
              <w:bottom w:val="nil"/>
            </w:tcBorders>
          </w:tcPr>
          <w:p>
            <w:pPr>
              <w:spacing w:after="20"/>
            </w:pPr>
            <w:r>
              <w:rPr>
                <w:rFonts w:ascii="Arial" w:hAnsi="Arial"/>
                <w:sz w:val="16"/>
              </w:rPr>
              <w:t>–</w:t>
            </w:r>
          </w:p>
        </w:tc>
        <w:tc>
          <w:tcPr>
            <w:tcW w:type="dxa" w:w="2523"/>
            <w:tcBorders>
              <w:left w:val="nil"/>
              <w:right w:val="nil"/>
              <w:insideV w:val="nil"/>
              <w:insideH w:val="nil"/>
              <w:top w:val="nil"/>
              <w:bottom w:val="nil"/>
            </w:tcBorders>
          </w:tcPr>
          <w:p>
            <w:pPr>
              <w:spacing w:after="20"/>
            </w:pPr>
            <w:r>
              <w:rPr>
                <w:rFonts w:ascii="Arial" w:hAnsi="Arial"/>
                <w:sz w:val="16"/>
              </w:rPr>
              <w:t>7/7, lift &gt; 1.5</w:t>
            </w:r>
          </w:p>
        </w:tc>
      </w:tr>
      <w:tr>
        <w:tc>
          <w:tcPr>
            <w:tcW w:type="dxa" w:w="2523"/>
            <w:tcBorders>
              <w:left w:val="nil"/>
              <w:right w:val="nil"/>
              <w:insideV w:val="nil"/>
              <w:insideH w:val="nil"/>
              <w:top w:val="nil"/>
              <w:bottom w:val="nil"/>
            </w:tcBorders>
          </w:tcPr>
          <w:p>
            <w:pPr>
              <w:spacing w:after="20"/>
            </w:pPr>
            <w:r>
              <w:rPr>
                <w:rFonts w:ascii="Arial" w:hAnsi="Arial"/>
                <w:sz w:val="16"/>
              </w:rPr>
              <w:t>V2</w:t>
            </w:r>
          </w:p>
        </w:tc>
        <w:tc>
          <w:tcPr>
            <w:tcW w:type="dxa" w:w="2523"/>
            <w:tcBorders>
              <w:left w:val="nil"/>
              <w:right w:val="nil"/>
              <w:insideV w:val="nil"/>
              <w:insideH w:val="nil"/>
              <w:top w:val="nil"/>
              <w:bottom w:val="nil"/>
            </w:tcBorders>
          </w:tcPr>
          <w:p>
            <w:pPr>
              <w:spacing w:after="20"/>
            </w:pPr>
            <w:r>
              <w:rPr>
                <w:rFonts w:ascii="Arial" w:hAnsi="Arial"/>
                <w:sz w:val="16"/>
              </w:rPr>
              <w:t>Entities (24 types)</w:t>
            </w:r>
          </w:p>
        </w:tc>
        <w:tc>
          <w:tcPr>
            <w:tcW w:type="dxa" w:w="2523"/>
            <w:tcBorders>
              <w:left w:val="nil"/>
              <w:right w:val="nil"/>
              <w:insideV w:val="nil"/>
              <w:insideH w:val="nil"/>
              <w:top w:val="nil"/>
              <w:bottom w:val="nil"/>
            </w:tcBorders>
          </w:tcPr>
          <w:p>
            <w:pPr>
              <w:spacing w:after="20"/>
            </w:pPr>
            <w:r>
              <w:rPr>
                <w:rFonts w:ascii="Arial" w:hAnsi="Arial"/>
                <w:sz w:val="16"/>
              </w:rPr>
              <w:t>41 development, 25 held-out sentences</w:t>
            </w:r>
          </w:p>
        </w:tc>
        <w:tc>
          <w:tcPr>
            <w:tcW w:type="dxa" w:w="2523"/>
            <w:tcBorders>
              <w:left w:val="nil"/>
              <w:right w:val="nil"/>
              <w:insideV w:val="nil"/>
              <w:insideH w:val="nil"/>
              <w:top w:val="nil"/>
              <w:bottom w:val="nil"/>
            </w:tcBorders>
          </w:tcPr>
          <w:p>
            <w:pPr>
              <w:spacing w:after="20"/>
            </w:pPr>
            <w:r>
              <w:rPr>
                <w:rFonts w:ascii="Arial" w:hAnsi="Arial"/>
                <w:sz w:val="16"/>
              </w:rPr>
              <w:t>F1</w:t>
            </w:r>
          </w:p>
        </w:tc>
        <w:tc>
          <w:tcPr>
            <w:tcW w:type="dxa" w:w="2523"/>
            <w:tcBorders>
              <w:left w:val="nil"/>
              <w:right w:val="nil"/>
              <w:insideV w:val="nil"/>
              <w:insideH w:val="nil"/>
              <w:top w:val="nil"/>
              <w:bottom w:val="nil"/>
            </w:tcBorders>
          </w:tcPr>
          <w:p>
            <w:pPr>
              <w:spacing w:after="20"/>
            </w:pPr>
            <w:r>
              <w:rPr>
                <w:rFonts w:ascii="Arial" w:hAnsi="Arial"/>
                <w:sz w:val="16"/>
              </w:rPr>
              <w:t>0.991</w:t>
            </w:r>
          </w:p>
        </w:tc>
        <w:tc>
          <w:tcPr>
            <w:tcW w:type="dxa" w:w="2523"/>
            <w:tcBorders>
              <w:left w:val="nil"/>
              <w:right w:val="nil"/>
              <w:insideV w:val="nil"/>
              <w:insideH w:val="nil"/>
              <w:top w:val="nil"/>
              <w:bottom w:val="nil"/>
            </w:tcBorders>
          </w:tcPr>
          <w:p>
            <w:pPr>
              <w:spacing w:after="20"/>
            </w:pPr>
            <w:r>
              <w:rPr>
                <w:rFonts w:ascii="Arial" w:hAnsi="Arial"/>
                <w:sz w:val="16"/>
              </w:rPr>
              <w:t>0.776</w:t>
            </w:r>
          </w:p>
        </w:tc>
      </w:tr>
      <w:tr>
        <w:tc>
          <w:tcPr>
            <w:tcW w:type="dxa" w:w="2523"/>
            <w:tcBorders>
              <w:left w:val="nil"/>
              <w:right w:val="nil"/>
              <w:insideV w:val="nil"/>
              <w:insideH w:val="nil"/>
              <w:top w:val="nil"/>
              <w:bottom w:val="nil"/>
            </w:tcBorders>
          </w:tcPr>
          <w:p>
            <w:pPr>
              <w:spacing w:after="20"/>
            </w:pPr>
            <w:r>
              <w:rPr>
                <w:rFonts w:ascii="Arial" w:hAnsi="Arial"/>
                <w:sz w:val="16"/>
              </w:rPr>
            </w:r>
          </w:p>
        </w:tc>
        <w:tc>
          <w:tcPr>
            <w:tcW w:type="dxa" w:w="2523"/>
            <w:tcBorders>
              <w:left w:val="nil"/>
              <w:right w:val="nil"/>
              <w:insideV w:val="nil"/>
              <w:insideH w:val="nil"/>
              <w:top w:val="nil"/>
              <w:bottom w:val="nil"/>
            </w:tcBorders>
          </w:tcPr>
          <w:p>
            <w:pPr>
              <w:spacing w:after="20"/>
            </w:pPr>
            <w:r>
              <w:rPr>
                <w:rFonts w:ascii="Arial" w:hAnsi="Arial"/>
                <w:sz w:val="16"/>
              </w:rPr>
              <w:t>Ancient phenotypes → HPO</w:t>
            </w:r>
          </w:p>
        </w:tc>
        <w:tc>
          <w:tcPr>
            <w:tcW w:type="dxa" w:w="2523"/>
            <w:tcBorders>
              <w:left w:val="nil"/>
              <w:right w:val="nil"/>
              <w:insideV w:val="nil"/>
              <w:insideH w:val="nil"/>
              <w:top w:val="nil"/>
              <w:bottom w:val="nil"/>
            </w:tcBorders>
          </w:tcPr>
          <w:p>
            <w:pPr>
              <w:spacing w:after="20"/>
            </w:pPr>
            <w:r>
              <w:rPr>
                <w:rFonts w:ascii="Arial" w:hAnsi="Arial"/>
                <w:sz w:val="16"/>
              </w:rPr>
              <w:t>20 development cases; 12 random passages†</w:t>
            </w:r>
          </w:p>
        </w:tc>
        <w:tc>
          <w:tcPr>
            <w:tcW w:type="dxa" w:w="2523"/>
            <w:tcBorders>
              <w:left w:val="nil"/>
              <w:right w:val="nil"/>
              <w:insideV w:val="nil"/>
              <w:insideH w:val="nil"/>
              <w:top w:val="nil"/>
              <w:bottom w:val="nil"/>
            </w:tcBorders>
          </w:tcPr>
          <w:p>
            <w:pPr>
              <w:spacing w:after="20"/>
            </w:pPr>
            <w:r>
              <w:rPr>
                <w:rFonts w:ascii="Arial" w:hAnsi="Arial"/>
                <w:sz w:val="16"/>
              </w:rPr>
              <w:t>F1</w:t>
            </w:r>
          </w:p>
        </w:tc>
        <w:tc>
          <w:tcPr>
            <w:tcW w:type="dxa" w:w="2523"/>
            <w:tcBorders>
              <w:left w:val="nil"/>
              <w:right w:val="nil"/>
              <w:insideV w:val="nil"/>
              <w:insideH w:val="nil"/>
              <w:top w:val="nil"/>
              <w:bottom w:val="nil"/>
            </w:tcBorders>
          </w:tcPr>
          <w:p>
            <w:pPr>
              <w:spacing w:after="20"/>
            </w:pPr>
            <w:r>
              <w:rPr>
                <w:rFonts w:ascii="Arial" w:hAnsi="Arial"/>
                <w:sz w:val="16"/>
              </w:rPr>
              <w:t>0.985</w:t>
            </w:r>
          </w:p>
        </w:tc>
        <w:tc>
          <w:tcPr>
            <w:tcW w:type="dxa" w:w="2523"/>
            <w:tcBorders>
              <w:left w:val="nil"/>
              <w:right w:val="nil"/>
              <w:insideV w:val="nil"/>
              <w:insideH w:val="nil"/>
              <w:top w:val="nil"/>
              <w:bottom w:val="nil"/>
            </w:tcBorders>
          </w:tcPr>
          <w:p>
            <w:pPr>
              <w:spacing w:after="20"/>
            </w:pPr>
            <w:r>
              <w:rPr>
                <w:rFonts w:ascii="Arial" w:hAnsi="Arial"/>
                <w:sz w:val="16"/>
              </w:rPr>
              <w:t>0.822</w:t>
            </w:r>
          </w:p>
        </w:tc>
      </w:tr>
      <w:tr>
        <w:tc>
          <w:tcPr>
            <w:tcW w:type="dxa" w:w="2523"/>
            <w:tcBorders>
              <w:left w:val="nil"/>
              <w:right w:val="nil"/>
              <w:insideV w:val="nil"/>
              <w:insideH w:val="nil"/>
              <w:top w:val="nil"/>
              <w:bottom w:val="single" w:sz="6" w:color="000000"/>
            </w:tcBorders>
          </w:tcPr>
          <w:p>
            <w:pPr>
              <w:spacing w:after="20"/>
            </w:pPr>
            <w:r>
              <w:rPr>
                <w:rFonts w:ascii="Arial" w:hAnsi="Arial"/>
                <w:sz w:val="16"/>
              </w:rPr>
            </w:r>
          </w:p>
        </w:tc>
        <w:tc>
          <w:tcPr>
            <w:tcW w:type="dxa" w:w="2523"/>
            <w:tcBorders>
              <w:left w:val="nil"/>
              <w:right w:val="nil"/>
              <w:insideV w:val="nil"/>
              <w:insideH w:val="nil"/>
              <w:top w:val="nil"/>
              <w:bottom w:val="single" w:sz="6" w:color="000000"/>
            </w:tcBorders>
          </w:tcPr>
          <w:p>
            <w:pPr>
              <w:spacing w:after="20"/>
            </w:pPr>
            <w:r>
              <w:rPr>
                <w:rFonts w:ascii="Arial" w:hAnsi="Arial"/>
                <w:sz w:val="16"/>
              </w:rPr>
              <w:t>Evidence audit</w:t>
            </w:r>
          </w:p>
        </w:tc>
        <w:tc>
          <w:tcPr>
            <w:tcW w:type="dxa" w:w="2523"/>
            <w:tcBorders>
              <w:left w:val="nil"/>
              <w:right w:val="nil"/>
              <w:insideV w:val="nil"/>
              <w:insideH w:val="nil"/>
              <w:top w:val="nil"/>
              <w:bottom w:val="single" w:sz="6" w:color="000000"/>
            </w:tcBorders>
          </w:tcPr>
          <w:p>
            <w:pPr>
              <w:spacing w:after="20"/>
            </w:pPr>
            <w:r>
              <w:rPr>
                <w:rFonts w:ascii="Arial" w:hAnsi="Arial"/>
                <w:sz w:val="16"/>
              </w:rPr>
              <w:t>19 claims</w:t>
            </w:r>
          </w:p>
        </w:tc>
        <w:tc>
          <w:tcPr>
            <w:tcW w:type="dxa" w:w="2523"/>
            <w:tcBorders>
              <w:left w:val="nil"/>
              <w:right w:val="nil"/>
              <w:insideV w:val="nil"/>
              <w:insideH w:val="nil"/>
              <w:top w:val="nil"/>
              <w:bottom w:val="single" w:sz="6" w:color="000000"/>
            </w:tcBorders>
          </w:tcPr>
          <w:p>
            <w:pPr>
              <w:spacing w:after="20"/>
            </w:pPr>
            <w:r>
              <w:rPr>
                <w:rFonts w:ascii="Arial" w:hAnsi="Arial"/>
                <w:sz w:val="16"/>
              </w:rPr>
              <w:t>Verdicts right (false SUPPORTED)</w:t>
            </w:r>
          </w:p>
        </w:tc>
        <w:tc>
          <w:tcPr>
            <w:tcW w:type="dxa" w:w="2523"/>
            <w:tcBorders>
              <w:left w:val="nil"/>
              <w:right w:val="nil"/>
              <w:insideV w:val="nil"/>
              <w:insideH w:val="nil"/>
              <w:top w:val="nil"/>
              <w:bottom w:val="single" w:sz="6" w:color="000000"/>
            </w:tcBorders>
          </w:tcPr>
          <w:p>
            <w:pPr>
              <w:spacing w:after="20"/>
            </w:pPr>
            <w:r>
              <w:rPr>
                <w:rFonts w:ascii="Arial" w:hAnsi="Arial"/>
                <w:sz w:val="16"/>
              </w:rPr>
              <w:t>19/19 (0)</w:t>
            </w:r>
          </w:p>
        </w:tc>
        <w:tc>
          <w:tcPr>
            <w:tcW w:type="dxa" w:w="2523"/>
            <w:tcBorders>
              <w:left w:val="nil"/>
              <w:right w:val="nil"/>
              <w:insideV w:val="nil"/>
              <w:insideH w:val="nil"/>
              <w:top w:val="nil"/>
              <w:bottom w:val="single" w:sz="6" w:color="000000"/>
            </w:tcBorders>
          </w:tcPr>
          <w:p>
            <w:pPr>
              <w:spacing w:after="20"/>
            </w:pPr>
            <w:r>
              <w:rPr>
                <w:rFonts w:ascii="Arial" w:hAnsi="Arial"/>
                <w:sz w:val="16"/>
              </w:rPr>
              <w:t>–</w:t>
            </w:r>
          </w:p>
        </w:tc>
      </w:tr>
    </w:tbl>
    <w:p>
      <w:pPr>
        <w:spacing w:after="40"/>
      </w:pPr>
      <w:r>
        <w:rPr>
          <w:sz w:val="15"/>
        </w:rPr>
        <w:t>Development and constructed gold sets were written by the authors with the rules they test; they are regression tests of intended behaviour, not unbiased benchmarks. Only held-out and real-corpus columns estimate generalization.</w:t>
      </w:r>
    </w:p>
    <w:p>
      <w:pPr>
        <w:spacing w:after="40"/>
      </w:pPr>
      <w:r>
        <w:rPr>
          <w:sz w:val="15"/>
        </w:rPr>
        <w:t>†Needs the full corpus store, which is not distributed; values from docs/evals.md. All other values were reproduced for this paper by `taochronos eval` on the demonstration corpus (40 suites, 47 s).</w:t>
      </w:r>
    </w:p>
    <w:p>
      <w:pPr>
        <w:spacing w:after="40"/>
      </w:pPr>
      <w:r>
        <w:rPr>
          <w:sz w:val="15"/>
        </w:rPr>
        <w:t>P value from a two-sided sign test over topic–cutoff pairs. HPO, Human Phenotype Ontology.</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SimSun"/>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