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479298" w14:textId="77777777" w:rsidR="003814F8" w:rsidRPr="003814F8" w:rsidRDefault="003814F8" w:rsidP="003814F8">
      <w:pPr>
        <w:shd w:val="clear" w:color="auto" w:fill="FFFFFF"/>
        <w:spacing w:before="240" w:after="240" w:line="240" w:lineRule="auto"/>
        <w:ind w:left="240" w:right="240" w:firstLine="360"/>
        <w:jc w:val="both"/>
        <w:rPr>
          <w:rFonts w:ascii="Arial" w:eastAsia="Times New Roman" w:hAnsi="Arial" w:cs="Arial"/>
          <w:color w:val="005CAB"/>
          <w:kern w:val="0"/>
          <w:sz w:val="23"/>
          <w:szCs w:val="23"/>
          <w:lang w:eastAsia="pt-BR"/>
          <w14:ligatures w14:val="none"/>
        </w:rPr>
      </w:pPr>
      <w:r w:rsidRPr="003814F8">
        <w:rPr>
          <w:rFonts w:ascii="Arial" w:eastAsia="Times New Roman" w:hAnsi="Arial" w:cs="Arial"/>
          <w:b/>
          <w:bCs/>
          <w:color w:val="005CAB"/>
          <w:kern w:val="0"/>
          <w:sz w:val="23"/>
          <w:szCs w:val="23"/>
          <w:lang w:eastAsia="pt-BR"/>
          <w14:ligatures w14:val="none"/>
        </w:rPr>
        <w:t>Art. 65.</w:t>
      </w:r>
      <w:r w:rsidRPr="003814F8">
        <w:rPr>
          <w:rFonts w:ascii="Arial" w:eastAsia="Times New Roman" w:hAnsi="Arial" w:cs="Arial"/>
          <w:color w:val="005CAB"/>
          <w:kern w:val="0"/>
          <w:sz w:val="23"/>
          <w:szCs w:val="23"/>
          <w:lang w:eastAsia="pt-BR"/>
          <w14:ligatures w14:val="none"/>
        </w:rPr>
        <w:t> As condições de habilitação serão definidas no edital.</w:t>
      </w:r>
    </w:p>
    <w:p w14:paraId="7DCFAF66" w14:textId="77777777" w:rsidR="003814F8" w:rsidRPr="003814F8" w:rsidRDefault="003814F8" w:rsidP="003814F8">
      <w:pPr>
        <w:shd w:val="clear" w:color="auto" w:fill="FFFFFF"/>
        <w:spacing w:before="240" w:after="240" w:line="240" w:lineRule="auto"/>
        <w:ind w:left="720" w:right="240" w:firstLine="360"/>
        <w:jc w:val="both"/>
        <w:rPr>
          <w:rFonts w:ascii="Arial" w:eastAsia="Times New Roman" w:hAnsi="Arial" w:cs="Arial"/>
          <w:color w:val="005CAB"/>
          <w:kern w:val="0"/>
          <w:sz w:val="23"/>
          <w:szCs w:val="23"/>
          <w:lang w:eastAsia="pt-BR"/>
          <w14:ligatures w14:val="none"/>
        </w:rPr>
      </w:pPr>
      <w:r w:rsidRPr="003814F8">
        <w:rPr>
          <w:rFonts w:ascii="Arial" w:eastAsia="Times New Roman" w:hAnsi="Arial" w:cs="Arial"/>
          <w:color w:val="005CAB"/>
          <w:kern w:val="0"/>
          <w:sz w:val="23"/>
          <w:szCs w:val="23"/>
          <w:lang w:eastAsia="pt-BR"/>
          <w14:ligatures w14:val="none"/>
        </w:rPr>
        <w:t>§ 1º. As empresas criadas no exercício financeiro da licitação deverão atender a todas as exigências da habilitação e ficarão autorizadas a substituir os demonstrativos contábeis pelo balanço de abertura.</w:t>
      </w:r>
    </w:p>
    <w:p w14:paraId="2388E89F" w14:textId="77777777" w:rsidR="003814F8" w:rsidRPr="003814F8" w:rsidRDefault="003814F8" w:rsidP="003814F8">
      <w:pPr>
        <w:shd w:val="clear" w:color="auto" w:fill="FFFFFF"/>
        <w:spacing w:before="240" w:after="240" w:line="240" w:lineRule="auto"/>
        <w:ind w:left="720" w:right="240" w:firstLine="360"/>
        <w:jc w:val="both"/>
        <w:rPr>
          <w:rFonts w:ascii="Arial" w:eastAsia="Times New Roman" w:hAnsi="Arial" w:cs="Arial"/>
          <w:color w:val="005CAB"/>
          <w:kern w:val="0"/>
          <w:sz w:val="23"/>
          <w:szCs w:val="23"/>
          <w:lang w:eastAsia="pt-BR"/>
          <w14:ligatures w14:val="none"/>
        </w:rPr>
      </w:pPr>
      <w:r w:rsidRPr="003814F8">
        <w:rPr>
          <w:rFonts w:ascii="Arial" w:eastAsia="Times New Roman" w:hAnsi="Arial" w:cs="Arial"/>
          <w:color w:val="005CAB"/>
          <w:kern w:val="0"/>
          <w:sz w:val="23"/>
          <w:szCs w:val="23"/>
          <w:lang w:eastAsia="pt-BR"/>
          <w14:ligatures w14:val="none"/>
        </w:rPr>
        <w:t>§ 2º. A habilitação poderá ser realizada por processo eletrônico de comunicação a distância, nos termos dispostos em regulamento.</w:t>
      </w:r>
    </w:p>
    <w:p w14:paraId="5650EC4F" w14:textId="77777777" w:rsidR="003814F8" w:rsidRPr="003814F8" w:rsidRDefault="003814F8" w:rsidP="003814F8">
      <w:pPr>
        <w:shd w:val="clear" w:color="auto" w:fill="FFFFFF"/>
        <w:spacing w:before="240" w:after="240" w:line="240" w:lineRule="auto"/>
        <w:ind w:left="240" w:right="240" w:firstLine="360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</w:pPr>
      <w:r w:rsidRPr="003814F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pt-BR"/>
          <w14:ligatures w14:val="none"/>
        </w:rPr>
        <w:t>COMENTÁRIOS</w:t>
      </w:r>
    </w:p>
    <w:p w14:paraId="798676A6" w14:textId="77777777" w:rsidR="003814F8" w:rsidRPr="003814F8" w:rsidRDefault="003814F8" w:rsidP="003814F8">
      <w:pPr>
        <w:shd w:val="clear" w:color="auto" w:fill="FFFFFF"/>
        <w:spacing w:before="240" w:after="240" w:line="240" w:lineRule="auto"/>
        <w:ind w:left="240" w:right="240" w:firstLine="360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</w:pPr>
      <w:r w:rsidRPr="003814F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pt-BR"/>
          <w14:ligatures w14:val="none"/>
        </w:rPr>
        <w:t>1) A exigência explícita de previsão no edital</w:t>
      </w:r>
    </w:p>
    <w:p w14:paraId="3682CA59" w14:textId="77777777" w:rsidR="003814F8" w:rsidRPr="003814F8" w:rsidRDefault="003814F8" w:rsidP="003814F8">
      <w:pPr>
        <w:shd w:val="clear" w:color="auto" w:fill="FFFFFF"/>
        <w:spacing w:before="240" w:after="240" w:line="240" w:lineRule="auto"/>
        <w:ind w:left="240" w:right="240" w:firstLine="360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</w:pPr>
      <w:r w:rsidRPr="003814F8"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  <w:t>O art. 65 expressamente exige que o edital preveja os requisitos de habilitação.</w:t>
      </w:r>
    </w:p>
    <w:p w14:paraId="52997E8A" w14:textId="77777777" w:rsidR="003814F8" w:rsidRPr="003814F8" w:rsidRDefault="003814F8" w:rsidP="003814F8">
      <w:pPr>
        <w:shd w:val="clear" w:color="auto" w:fill="FFFFFF"/>
        <w:spacing w:before="240" w:after="240" w:line="240" w:lineRule="auto"/>
        <w:ind w:left="240" w:right="240" w:firstLine="360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</w:pPr>
      <w:r w:rsidRPr="003814F8">
        <w:rPr>
          <w:rFonts w:ascii="Arial" w:eastAsia="Times New Roman" w:hAnsi="Arial" w:cs="Arial"/>
          <w:b/>
          <w:bCs/>
          <w:i/>
          <w:iCs/>
          <w:color w:val="000000"/>
          <w:kern w:val="0"/>
          <w:sz w:val="26"/>
          <w:szCs w:val="26"/>
          <w:lang w:eastAsia="pt-BR"/>
          <w14:ligatures w14:val="none"/>
        </w:rPr>
        <w:t>1.1) Ainda a distinção entre requisitos absolutos e relativos</w:t>
      </w:r>
    </w:p>
    <w:p w14:paraId="6598558A" w14:textId="77777777" w:rsidR="003814F8" w:rsidRPr="003814F8" w:rsidRDefault="003814F8" w:rsidP="003814F8">
      <w:pPr>
        <w:shd w:val="clear" w:color="auto" w:fill="FFFFFF"/>
        <w:spacing w:before="240" w:after="240" w:line="240" w:lineRule="auto"/>
        <w:ind w:left="240" w:right="240" w:firstLine="360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</w:pPr>
      <w:r w:rsidRPr="003814F8"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  <w:t>Tal como exposto, determinados requisitos de habilitação podem ser qualificados como absolutos, na acepção da sua exigência em toda e qualquer licitação, sem comportar variações em vista das peculiaridades do objeto licitado.</w:t>
      </w:r>
    </w:p>
    <w:p w14:paraId="20166E12" w14:textId="77777777" w:rsidR="003814F8" w:rsidRPr="003814F8" w:rsidRDefault="003814F8" w:rsidP="003814F8">
      <w:pPr>
        <w:shd w:val="clear" w:color="auto" w:fill="FFFFFF"/>
        <w:spacing w:before="240" w:after="240" w:line="240" w:lineRule="auto"/>
        <w:ind w:left="240" w:right="240" w:firstLine="360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</w:pPr>
      <w:r w:rsidRPr="003814F8"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  <w:t>Já outros requisitos são relativos, eis que a sua exigência e conteúdo serão fixados em vista das condições do caso concreto.</w:t>
      </w:r>
    </w:p>
    <w:p w14:paraId="17896156" w14:textId="77777777" w:rsidR="003814F8" w:rsidRPr="003814F8" w:rsidRDefault="003814F8" w:rsidP="003814F8">
      <w:pPr>
        <w:shd w:val="clear" w:color="auto" w:fill="FFFFFF"/>
        <w:spacing w:before="240" w:after="240" w:line="240" w:lineRule="auto"/>
        <w:ind w:left="240" w:right="240" w:firstLine="360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</w:pPr>
      <w:r w:rsidRPr="003814F8">
        <w:rPr>
          <w:rFonts w:ascii="Arial" w:eastAsia="Times New Roman" w:hAnsi="Arial" w:cs="Arial"/>
          <w:b/>
          <w:bCs/>
          <w:i/>
          <w:iCs/>
          <w:color w:val="000000"/>
          <w:kern w:val="0"/>
          <w:sz w:val="26"/>
          <w:szCs w:val="26"/>
          <w:lang w:eastAsia="pt-BR"/>
          <w14:ligatures w14:val="none"/>
        </w:rPr>
        <w:t>1.2) A previsão da generalidade dos requisitos</w:t>
      </w:r>
    </w:p>
    <w:p w14:paraId="0C67EDF2" w14:textId="77777777" w:rsidR="003814F8" w:rsidRPr="003814F8" w:rsidRDefault="003814F8" w:rsidP="003814F8">
      <w:pPr>
        <w:shd w:val="clear" w:color="auto" w:fill="FFFFFF"/>
        <w:spacing w:before="240" w:after="240" w:line="240" w:lineRule="auto"/>
        <w:ind w:left="240" w:right="240" w:firstLine="360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</w:pPr>
      <w:r w:rsidRPr="003814F8"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  <w:t>É indispensável que o edital contemple todos os requisitos de habilitação, mesmo aqueles absolutos. A circunstância de exigência necessária, em todas as hipóteses, não afasta a necessidade de sua previsão explícita e clara, no edital.</w:t>
      </w:r>
    </w:p>
    <w:p w14:paraId="0A201E41" w14:textId="77777777" w:rsidR="003814F8" w:rsidRPr="003814F8" w:rsidRDefault="003814F8" w:rsidP="003814F8">
      <w:pPr>
        <w:shd w:val="clear" w:color="auto" w:fill="FFFFFF"/>
        <w:spacing w:before="240" w:after="240" w:line="240" w:lineRule="auto"/>
        <w:ind w:left="240" w:right="240" w:firstLine="360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</w:pPr>
      <w:r w:rsidRPr="003814F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pt-BR"/>
          <w14:ligatures w14:val="none"/>
        </w:rPr>
        <w:t>2) A questão das sociedades recentemente constituídas</w:t>
      </w:r>
    </w:p>
    <w:p w14:paraId="0D356614" w14:textId="77777777" w:rsidR="003814F8" w:rsidRPr="003814F8" w:rsidRDefault="003814F8" w:rsidP="003814F8">
      <w:pPr>
        <w:shd w:val="clear" w:color="auto" w:fill="FFFFFF"/>
        <w:spacing w:before="240" w:after="240" w:line="240" w:lineRule="auto"/>
        <w:ind w:left="240" w:right="240" w:firstLine="360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</w:pPr>
      <w:r w:rsidRPr="003814F8"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  <w:t>Admite-se a possibilidade de apresentação do “balanço de abertura”, o que significa admitir a participação em licitação de empresa ainda no curso do primeiro exercício de sua existência.</w:t>
      </w:r>
    </w:p>
    <w:p w14:paraId="5499C529" w14:textId="77777777" w:rsidR="003814F8" w:rsidRPr="003814F8" w:rsidRDefault="003814F8" w:rsidP="003814F8">
      <w:pPr>
        <w:shd w:val="clear" w:color="auto" w:fill="FFFFFF"/>
        <w:spacing w:before="240" w:after="240" w:line="240" w:lineRule="auto"/>
        <w:ind w:left="240" w:right="240" w:firstLine="360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</w:pPr>
      <w:r w:rsidRPr="003814F8">
        <w:rPr>
          <w:rFonts w:ascii="Arial" w:eastAsia="Times New Roman" w:hAnsi="Arial" w:cs="Arial"/>
          <w:b/>
          <w:bCs/>
          <w:i/>
          <w:iCs/>
          <w:color w:val="000000"/>
          <w:kern w:val="0"/>
          <w:sz w:val="26"/>
          <w:szCs w:val="26"/>
          <w:lang w:eastAsia="pt-BR"/>
          <w14:ligatures w14:val="none"/>
        </w:rPr>
        <w:t>2.1) A vedação a exigência de prazo mínimo de existência</w:t>
      </w:r>
    </w:p>
    <w:p w14:paraId="2A2DA311" w14:textId="77777777" w:rsidR="003814F8" w:rsidRPr="003814F8" w:rsidRDefault="003814F8" w:rsidP="003814F8">
      <w:pPr>
        <w:shd w:val="clear" w:color="auto" w:fill="FFFFFF"/>
        <w:spacing w:before="240" w:after="240" w:line="240" w:lineRule="auto"/>
        <w:ind w:left="240" w:right="240" w:firstLine="360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</w:pPr>
      <w:r w:rsidRPr="003814F8"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  <w:t>A previsão da apresentação de demonstrações financeiras do exercício anterior não significa a exigência de atuação empresarial há mais de um ano. Se tivesse tal significação, estaria sendo introduzido mais um requisito de habilitação, no âmbito temporal.</w:t>
      </w:r>
    </w:p>
    <w:p w14:paraId="33D58F9B" w14:textId="77777777" w:rsidR="003814F8" w:rsidRPr="003814F8" w:rsidRDefault="003814F8" w:rsidP="003814F8">
      <w:pPr>
        <w:shd w:val="clear" w:color="auto" w:fill="FFFFFF"/>
        <w:spacing w:before="240" w:after="240" w:line="240" w:lineRule="auto"/>
        <w:ind w:left="240" w:right="240" w:firstLine="360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</w:pPr>
      <w:r w:rsidRPr="003814F8"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  <w:t xml:space="preserve">A Lei não disciplina prazos mínimos de existência de uma sociedade para ser contratada pelo Estado. Logo, empresas recém-constituídas, se preencherem os demais requisitos de habilitação </w:t>
      </w:r>
      <w:r w:rsidRPr="003814F8"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  <w:lastRenderedPageBreak/>
        <w:t>(inclusive e especialmente os de natureza técnica), não podem ser excluídas através de aplicação extensiva de requisitos relacionados com a capacitação econômico-financeira.</w:t>
      </w:r>
    </w:p>
    <w:p w14:paraId="22F2EB47" w14:textId="77777777" w:rsidR="003814F8" w:rsidRPr="003814F8" w:rsidRDefault="003814F8" w:rsidP="003814F8">
      <w:pPr>
        <w:shd w:val="clear" w:color="auto" w:fill="FFFFFF"/>
        <w:spacing w:before="240" w:after="240" w:line="240" w:lineRule="auto"/>
        <w:ind w:left="240" w:right="240" w:firstLine="360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</w:pPr>
      <w:r w:rsidRPr="003814F8">
        <w:rPr>
          <w:rFonts w:ascii="Arial" w:eastAsia="Times New Roman" w:hAnsi="Arial" w:cs="Arial"/>
          <w:b/>
          <w:bCs/>
          <w:i/>
          <w:iCs/>
          <w:color w:val="000000"/>
          <w:kern w:val="0"/>
          <w:sz w:val="26"/>
          <w:szCs w:val="26"/>
          <w:lang w:eastAsia="pt-BR"/>
          <w14:ligatures w14:val="none"/>
        </w:rPr>
        <w:t>2.2) O eventual tratamento discriminatório insuportável</w:t>
      </w:r>
    </w:p>
    <w:p w14:paraId="5C38BE96" w14:textId="77777777" w:rsidR="003814F8" w:rsidRPr="003814F8" w:rsidRDefault="003814F8" w:rsidP="003814F8">
      <w:pPr>
        <w:shd w:val="clear" w:color="auto" w:fill="FFFFFF"/>
        <w:spacing w:before="240" w:after="240" w:line="240" w:lineRule="auto"/>
        <w:ind w:left="240" w:right="240" w:firstLine="360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</w:pPr>
      <w:r w:rsidRPr="003814F8"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  <w:t>Ademais disso, a regra poderia importar resultado absolutamente despropositado. Suponham-se duas sociedades, uma constituída a 20 de dezembro de um ano e outra a 1.º de janeiro do ano seguinte. Se fosse indispensável, para participar da licitação, apresentar o balanço do exercício anterior, ter-se-ia de convir com que a primeira poderia competir e a segunda, não. É que aquela levantaria o balanço entre os dias 20 e 31 de dezembro, enquanto a outra não o faria. Logo, a diferença de alguns dias determinaria a possibilidade de participação. Não há na Lei 14.133/2021 vedação a práticas dessa ordem.</w:t>
      </w:r>
    </w:p>
    <w:p w14:paraId="07F45863" w14:textId="77777777" w:rsidR="003814F8" w:rsidRPr="003814F8" w:rsidRDefault="003814F8" w:rsidP="003814F8">
      <w:pPr>
        <w:shd w:val="clear" w:color="auto" w:fill="FFFFFF"/>
        <w:spacing w:before="240" w:after="240" w:line="240" w:lineRule="auto"/>
        <w:ind w:left="240" w:right="240" w:firstLine="360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</w:pPr>
      <w:r w:rsidRPr="003814F8"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  <w:t>A diferença de alguns dias até pode ser eleita como critério distintivo para determinados fins. O problema reside em que, no caso, trata-se de avaliar a capacitação econômico-financeira. E, para tal fim, a diferença de dias é irrelevante.</w:t>
      </w:r>
    </w:p>
    <w:p w14:paraId="43EF83EA" w14:textId="77777777" w:rsidR="003814F8" w:rsidRPr="003814F8" w:rsidRDefault="003814F8" w:rsidP="003814F8">
      <w:pPr>
        <w:shd w:val="clear" w:color="auto" w:fill="FFFFFF"/>
        <w:spacing w:before="240" w:after="240" w:line="240" w:lineRule="auto"/>
        <w:ind w:left="240" w:right="240" w:firstLine="360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</w:pPr>
      <w:r w:rsidRPr="003814F8"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  <w:t>Por isso, as sociedades constituídas no curso do próprio exercício podem participar da licitação, mediante exibição do balanço de abertura.</w:t>
      </w:r>
    </w:p>
    <w:p w14:paraId="56A47974" w14:textId="77777777" w:rsidR="003814F8" w:rsidRPr="003814F8" w:rsidRDefault="003814F8" w:rsidP="003814F8">
      <w:pPr>
        <w:shd w:val="clear" w:color="auto" w:fill="FFFFFF"/>
        <w:spacing w:before="240" w:after="240" w:line="240" w:lineRule="auto"/>
        <w:ind w:left="240" w:right="240" w:firstLine="360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</w:pPr>
      <w:r w:rsidRPr="003814F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pt-BR"/>
          <w14:ligatures w14:val="none"/>
        </w:rPr>
        <w:t>Jurisprudência anterior do TCU</w:t>
      </w:r>
    </w:p>
    <w:tbl>
      <w:tblPr>
        <w:tblW w:w="0" w:type="auto"/>
        <w:tblCellSpacing w:w="15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8"/>
      </w:tblGrid>
      <w:tr w:rsidR="003814F8" w:rsidRPr="003814F8" w14:paraId="2FF46180" w14:textId="77777777" w:rsidTr="003814F8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D441FC" w14:textId="77777777" w:rsidR="003814F8" w:rsidRPr="003814F8" w:rsidRDefault="003814F8" w:rsidP="003814F8">
            <w:pPr>
              <w:spacing w:before="240" w:after="240" w:line="240" w:lineRule="auto"/>
              <w:ind w:left="240" w:right="240" w:firstLine="36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pt-BR"/>
                <w14:ligatures w14:val="none"/>
              </w:rPr>
            </w:pPr>
            <w:r w:rsidRPr="003814F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3"/>
                <w:szCs w:val="23"/>
                <w:lang w:eastAsia="pt-BR"/>
                <w14:ligatures w14:val="none"/>
              </w:rPr>
              <w:t>• </w:t>
            </w:r>
            <w:r w:rsidRPr="003814F8">
              <w:rPr>
                <w:rFonts w:ascii="Times New Roman" w:eastAsia="Times New Roman" w:hAnsi="Times New Roman" w:cs="Times New Roman"/>
                <w:color w:val="000000"/>
                <w:kern w:val="0"/>
                <w:sz w:val="23"/>
                <w:szCs w:val="23"/>
                <w:lang w:eastAsia="pt-BR"/>
                <w14:ligatures w14:val="none"/>
              </w:rPr>
              <w:t>“O Edital não pode conter restrições ao caráter competitivo do certame, tais como a proibição do envio de documentos por via postal; exigência de balanços patrimoniais do próprio exercício da licitação; exigência de comprovação da capacidade de comercialização no exterior e de certificado profissional, em caso de profissão não regulamentada” (Acórdão 1.522/2006, Plenário, rel. Min. Valmir Campelo).</w:t>
            </w:r>
          </w:p>
        </w:tc>
      </w:tr>
    </w:tbl>
    <w:p w14:paraId="4D4D3634" w14:textId="77777777" w:rsidR="003814F8" w:rsidRPr="003814F8" w:rsidRDefault="003814F8" w:rsidP="003814F8">
      <w:pPr>
        <w:shd w:val="clear" w:color="auto" w:fill="FFFFFF"/>
        <w:spacing w:before="240" w:after="240" w:line="240" w:lineRule="auto"/>
        <w:ind w:left="240" w:right="240" w:firstLine="360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</w:pPr>
      <w:r w:rsidRPr="003814F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pt-BR"/>
          <w14:ligatures w14:val="none"/>
        </w:rPr>
        <w:t>3) A questão da participação de pessoas físicas</w:t>
      </w:r>
    </w:p>
    <w:p w14:paraId="26254667" w14:textId="77777777" w:rsidR="003814F8" w:rsidRPr="003814F8" w:rsidRDefault="003814F8" w:rsidP="003814F8">
      <w:pPr>
        <w:shd w:val="clear" w:color="auto" w:fill="FFFFFF"/>
        <w:spacing w:before="240" w:after="240" w:line="240" w:lineRule="auto"/>
        <w:ind w:left="240" w:right="240" w:firstLine="360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</w:pPr>
      <w:r w:rsidRPr="003814F8"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  <w:t>Em princípio, presume-se que a participação na licitação é facultada tanto a pessoas jurídicas como a pessoas físicas. Como regra, inexiste diferenciação legal no tocante ao desempenho de atividades por pessoas físicas ou jurídicas.</w:t>
      </w:r>
    </w:p>
    <w:p w14:paraId="7F0AAB44" w14:textId="77777777" w:rsidR="003814F8" w:rsidRPr="003814F8" w:rsidRDefault="003814F8" w:rsidP="003814F8">
      <w:pPr>
        <w:shd w:val="clear" w:color="auto" w:fill="FFFFFF"/>
        <w:spacing w:before="240" w:after="240" w:line="240" w:lineRule="auto"/>
        <w:ind w:left="240" w:right="240" w:firstLine="360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</w:pPr>
      <w:r w:rsidRPr="003814F8">
        <w:rPr>
          <w:rFonts w:ascii="Arial" w:eastAsia="Times New Roman" w:hAnsi="Arial" w:cs="Arial"/>
          <w:b/>
          <w:bCs/>
          <w:i/>
          <w:iCs/>
          <w:color w:val="000000"/>
          <w:kern w:val="0"/>
          <w:sz w:val="26"/>
          <w:szCs w:val="26"/>
          <w:lang w:eastAsia="pt-BR"/>
          <w14:ligatures w14:val="none"/>
        </w:rPr>
        <w:t>3.1) Os serviços objeto de profissão regulamentada</w:t>
      </w:r>
    </w:p>
    <w:p w14:paraId="57594557" w14:textId="77777777" w:rsidR="003814F8" w:rsidRPr="003814F8" w:rsidRDefault="003814F8" w:rsidP="003814F8">
      <w:pPr>
        <w:shd w:val="clear" w:color="auto" w:fill="FFFFFF"/>
        <w:spacing w:before="240" w:after="240" w:line="240" w:lineRule="auto"/>
        <w:ind w:left="240" w:right="240" w:firstLine="360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</w:pPr>
      <w:r w:rsidRPr="003814F8"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  <w:t>Ressalva-se a questão do desempenho de profissões regulamentadas, que exigem a atuação concreta de uma pessoa física (ainda que se admita a contratação por meio de pessoas jurídicas).</w:t>
      </w:r>
    </w:p>
    <w:p w14:paraId="16C5FB57" w14:textId="77777777" w:rsidR="003814F8" w:rsidRPr="003814F8" w:rsidRDefault="003814F8" w:rsidP="003814F8">
      <w:pPr>
        <w:shd w:val="clear" w:color="auto" w:fill="FFFFFF"/>
        <w:spacing w:before="240" w:after="240" w:line="240" w:lineRule="auto"/>
        <w:ind w:left="240" w:right="240" w:firstLine="360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</w:pPr>
      <w:r w:rsidRPr="003814F8">
        <w:rPr>
          <w:rFonts w:ascii="Arial" w:eastAsia="Times New Roman" w:hAnsi="Arial" w:cs="Arial"/>
          <w:b/>
          <w:bCs/>
          <w:i/>
          <w:iCs/>
          <w:color w:val="000000"/>
          <w:kern w:val="0"/>
          <w:sz w:val="26"/>
          <w:szCs w:val="26"/>
          <w:lang w:eastAsia="pt-BR"/>
          <w14:ligatures w14:val="none"/>
        </w:rPr>
        <w:t>3.2) A usual disputa por pessoas jurídicas</w:t>
      </w:r>
    </w:p>
    <w:p w14:paraId="4447FF30" w14:textId="77777777" w:rsidR="003814F8" w:rsidRPr="003814F8" w:rsidRDefault="003814F8" w:rsidP="003814F8">
      <w:pPr>
        <w:shd w:val="clear" w:color="auto" w:fill="FFFFFF"/>
        <w:spacing w:before="240" w:after="240" w:line="240" w:lineRule="auto"/>
        <w:ind w:left="240" w:right="240" w:firstLine="360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</w:pPr>
      <w:r w:rsidRPr="003814F8"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  <w:lastRenderedPageBreak/>
        <w:t>Na esmagadora maioria dos casos, os interessados em contratar com a Administração Pública se organizam como pessoas jurídicas. Excluídas as hipóteses de serviços compreendidos em profissões regulamentadas, não há muita relevância na participação de pessoas jurídicas.</w:t>
      </w:r>
    </w:p>
    <w:p w14:paraId="1915B253" w14:textId="77777777" w:rsidR="003814F8" w:rsidRPr="003814F8" w:rsidRDefault="003814F8" w:rsidP="003814F8">
      <w:pPr>
        <w:shd w:val="clear" w:color="auto" w:fill="FFFFFF"/>
        <w:spacing w:before="240" w:after="240" w:line="240" w:lineRule="auto"/>
        <w:ind w:left="240" w:right="240" w:firstLine="360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</w:pPr>
      <w:r w:rsidRPr="003814F8">
        <w:rPr>
          <w:rFonts w:ascii="Arial" w:eastAsia="Times New Roman" w:hAnsi="Arial" w:cs="Arial"/>
          <w:b/>
          <w:bCs/>
          <w:i/>
          <w:iCs/>
          <w:color w:val="000000"/>
          <w:kern w:val="0"/>
          <w:sz w:val="26"/>
          <w:szCs w:val="26"/>
          <w:lang w:eastAsia="pt-BR"/>
          <w14:ligatures w14:val="none"/>
        </w:rPr>
        <w:t>3.3) A regulamentação no âmbito federal</w:t>
      </w:r>
    </w:p>
    <w:p w14:paraId="7066E47B" w14:textId="77777777" w:rsidR="003814F8" w:rsidRPr="003814F8" w:rsidRDefault="003814F8" w:rsidP="003814F8">
      <w:pPr>
        <w:shd w:val="clear" w:color="auto" w:fill="FFFFFF"/>
        <w:spacing w:before="240" w:after="240" w:line="240" w:lineRule="auto"/>
        <w:ind w:left="240" w:right="240" w:firstLine="360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</w:pPr>
      <w:r w:rsidRPr="003814F8"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  <w:t>O tema foi objeto de regulamentação no âmbito da Administração federal direta, autárquica e fundacional por meio da Instrução Normativa SEGES/ME 116/2021. O diploma estabeleceu que, como regra, deverá ser admitida a participação de pessoas físicas nas licitações, com a seguinte ressalva – nos termos do parágrafo único do art. 4.º:</w:t>
      </w:r>
    </w:p>
    <w:p w14:paraId="365823B7" w14:textId="77777777" w:rsidR="003814F8" w:rsidRPr="003814F8" w:rsidRDefault="003814F8" w:rsidP="003814F8">
      <w:pPr>
        <w:shd w:val="clear" w:color="auto" w:fill="FFFFFF"/>
        <w:spacing w:before="240" w:after="240" w:line="240" w:lineRule="auto"/>
        <w:ind w:left="240" w:right="240" w:firstLine="360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</w:pPr>
      <w:r w:rsidRPr="003814F8"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  <w:t>“Não se aplica o disposto no</w:t>
      </w:r>
      <w:r w:rsidRPr="003814F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pt-BR"/>
          <w14:ligatures w14:val="none"/>
        </w:rPr>
        <w:t> caput </w:t>
      </w:r>
      <w:r w:rsidRPr="003814F8"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  <w:t>quando a contratação exigir capital social mínimo e estrutura mínima, com equipamentos, instalações e equipe de profissionais ou corpo técnico para a execução do objeto incompatíveis com a natureza profissional da pessoa física, conforme demonstrado em estudo técnico preliminar”.</w:t>
      </w:r>
    </w:p>
    <w:p w14:paraId="6E5F0602" w14:textId="77777777" w:rsidR="003814F8" w:rsidRPr="003814F8" w:rsidRDefault="003814F8" w:rsidP="003814F8">
      <w:pPr>
        <w:shd w:val="clear" w:color="auto" w:fill="FFFFFF"/>
        <w:spacing w:before="240" w:after="240" w:line="240" w:lineRule="auto"/>
        <w:ind w:left="240" w:right="240" w:firstLine="360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</w:pPr>
      <w:r w:rsidRPr="003814F8"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  <w:t>Rigorosamente, as hipóteses indicadas no dispositivo acima reproduzido não são incompatíveis com a atuação de uma pessoa física. Mas é estatisticamente irrelevante a existência de uma pessoa física que preenchesse os requisitos referidos.</w:t>
      </w:r>
    </w:p>
    <w:p w14:paraId="4E767575" w14:textId="77777777" w:rsidR="003814F8" w:rsidRPr="003814F8" w:rsidRDefault="003814F8" w:rsidP="003814F8">
      <w:pPr>
        <w:shd w:val="clear" w:color="auto" w:fill="FFFFFF"/>
        <w:spacing w:before="240" w:after="240" w:line="240" w:lineRule="auto"/>
        <w:ind w:left="240" w:right="240" w:firstLine="360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</w:pPr>
      <w:r w:rsidRPr="003814F8"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  <w:t>De todo modo, a IN 116/2021 é relevante porque disciplina especificamente os requisitos de habilitação a serem exigidos nas hipóteses de participação de pessoa física.</w:t>
      </w:r>
    </w:p>
    <w:p w14:paraId="3184F7BA" w14:textId="77777777" w:rsidR="003814F8" w:rsidRPr="003814F8" w:rsidRDefault="003814F8" w:rsidP="003814F8">
      <w:pPr>
        <w:shd w:val="clear" w:color="auto" w:fill="FFFFFF"/>
        <w:spacing w:before="240" w:after="240" w:line="240" w:lineRule="auto"/>
        <w:ind w:left="240" w:right="240" w:firstLine="360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</w:pPr>
      <w:r w:rsidRPr="003814F8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pt-BR"/>
          <w14:ligatures w14:val="none"/>
        </w:rPr>
        <w:t>4) A realização da habilitação por meio eletrônico (§ 2.º)</w:t>
      </w:r>
    </w:p>
    <w:p w14:paraId="55205577" w14:textId="77777777" w:rsidR="003814F8" w:rsidRPr="003814F8" w:rsidRDefault="003814F8" w:rsidP="003814F8">
      <w:pPr>
        <w:shd w:val="clear" w:color="auto" w:fill="FFFFFF"/>
        <w:spacing w:before="240" w:after="240" w:line="240" w:lineRule="auto"/>
        <w:ind w:left="240" w:right="240" w:firstLine="360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</w:pPr>
      <w:r w:rsidRPr="003814F8">
        <w:rPr>
          <w:rFonts w:ascii="Arial" w:eastAsia="Times New Roman" w:hAnsi="Arial" w:cs="Arial"/>
          <w:color w:val="000000"/>
          <w:kern w:val="0"/>
          <w:sz w:val="26"/>
          <w:szCs w:val="26"/>
          <w:lang w:eastAsia="pt-BR"/>
          <w14:ligatures w14:val="none"/>
        </w:rPr>
        <w:t>Há um defeito técnico na Lei 14.133/2021, eis que essa matéria não se vincula exclusivamente à habilitação jurídica. Trata-se de dispositivo que se enquadra na disciplina prevista pelo art. 64, a cujos comentários se remete.</w:t>
      </w:r>
    </w:p>
    <w:p w14:paraId="1A96F6B4" w14:textId="77777777" w:rsidR="008C4F27" w:rsidRPr="003814F8" w:rsidRDefault="008C4F27" w:rsidP="003814F8"/>
    <w:sectPr w:rsidR="008C4F27" w:rsidRPr="003814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F27"/>
    <w:rsid w:val="003814F8"/>
    <w:rsid w:val="008C4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81967"/>
  <w15:chartTrackingRefBased/>
  <w15:docId w15:val="{8DF8F1C5-211F-4C40-B714-39CCCC5CC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4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4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4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4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4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4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4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4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4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4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4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4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4F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4F2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4F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4F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4F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4F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4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4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4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4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4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4F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4F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4F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4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4F2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4F27"/>
    <w:rPr>
      <w:b/>
      <w:bCs/>
      <w:smallCaps/>
      <w:color w:val="0F4761" w:themeColor="accent1" w:themeShade="BF"/>
      <w:spacing w:val="5"/>
    </w:rPr>
  </w:style>
  <w:style w:type="paragraph" w:customStyle="1" w:styleId="ponarticulo">
    <w:name w:val="ponarticulo"/>
    <w:basedOn w:val="Normal"/>
    <w:rsid w:val="008C4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pontituloarticulo">
    <w:name w:val="pontituloarticulo"/>
    <w:basedOn w:val="Fontepargpadro"/>
    <w:rsid w:val="008C4F27"/>
  </w:style>
  <w:style w:type="paragraph" w:customStyle="1" w:styleId="ponother">
    <w:name w:val="ponother"/>
    <w:basedOn w:val="Normal"/>
    <w:rsid w:val="008C4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C4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egrita">
    <w:name w:val="negrita"/>
    <w:basedOn w:val="Fontepargpadro"/>
    <w:rsid w:val="008C4F27"/>
  </w:style>
  <w:style w:type="paragraph" w:customStyle="1" w:styleId="ponotherparrafo12">
    <w:name w:val="ponotherparrafo12"/>
    <w:basedOn w:val="Normal"/>
    <w:rsid w:val="00381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27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910</Words>
  <Characters>4919</Characters>
  <Application>Microsoft Office Word</Application>
  <DocSecurity>0</DocSecurity>
  <Lines>40</Lines>
  <Paragraphs>11</Paragraphs>
  <ScaleCrop>false</ScaleCrop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Smith</dc:creator>
  <cp:keywords/>
  <dc:description/>
  <cp:lastModifiedBy>Henry Smith</cp:lastModifiedBy>
  <cp:revision>2</cp:revision>
  <dcterms:created xsi:type="dcterms:W3CDTF">2024-05-08T23:33:00Z</dcterms:created>
  <dcterms:modified xsi:type="dcterms:W3CDTF">2024-05-08T23:33:00Z</dcterms:modified>
</cp:coreProperties>
</file>