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Resumen de cambios para compañía dinámica</w:t>
      </w:r>
    </w:p>
    <w:p>
      <w:pPr>
        <w:spacing w:after="80"/>
      </w:pPr>
      <w:r>
        <w:t>Portal de clientes · 28 de septiembre de 2026</w:t>
      </w:r>
    </w:p>
    <w:p>
      <w:pPr>
        <w:spacing w:after="80"/>
      </w:pPr>
      <w:r>
        <w:t>Se adaptaron 90 procedimientos almacenados distintos y sus llamadas en el backend para utilizar la compañía indicada por CIA. El trabajo comprende la integración inicial, la revisión adicional de procedimientos utilizados por el sistema y la corrección de la salida del registro de visitas.</w:t>
      </w:r>
    </w:p>
    <w:p>
      <w:pPr>
        <w:pStyle w:val="Heading1"/>
        <w:spacing w:after="80" w:before="200"/>
      </w:pPr>
      <w:r>
        <w:t>Cantidad de procedimientos modificados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Etapa</w:t>
            </w:r>
          </w:p>
        </w:tc>
        <w:tc>
          <w:tcPr>
            <w:tcW w:type="dxa" w:w="5040"/>
          </w:tcPr>
          <w:p>
            <w:r>
              <w:t>SP modificados</w:t>
            </w:r>
          </w:p>
        </w:tc>
      </w:tr>
      <w:tr>
        <w:tc>
          <w:tcPr>
            <w:tcW w:type="dxa" w:w="5040"/>
          </w:tcPr>
          <w:p>
            <w:r>
              <w:t>Integración inicial de CIA y ajustes complementarios</w:t>
            </w:r>
          </w:p>
        </w:tc>
        <w:tc>
          <w:tcPr>
            <w:tcW w:type="dxa" w:w="5040"/>
          </w:tcPr>
          <w:p>
            <w:r>
              <w:t>63</w:t>
            </w:r>
          </w:p>
        </w:tc>
      </w:tr>
      <w:tr>
        <w:tc>
          <w:tcPr>
            <w:tcW w:type="dxa" w:w="5040"/>
          </w:tcPr>
          <w:p>
            <w:r>
              <w:t>Revisión adicional del uso en el backend</w:t>
            </w:r>
          </w:p>
        </w:tc>
        <w:tc>
          <w:tcPr>
            <w:tcW w:type="dxa" w:w="5040"/>
          </w:tcPr>
          <w:p>
            <w:r>
              <w:t>27</w:t>
            </w:r>
          </w:p>
        </w:tc>
      </w:tr>
      <w:tr>
        <w:tc>
          <w:tcPr>
            <w:tcW w:type="dxa" w:w="5040"/>
          </w:tcPr>
          <w:p>
            <w:r>
              <w:t>Total de procedimientos distintos</w:t>
            </w:r>
          </w:p>
        </w:tc>
        <w:tc>
          <w:tcPr>
            <w:tcW w:type="dxa" w:w="5040"/>
          </w:tcPr>
          <w:p>
            <w:r>
              <w:t>90</w:t>
            </w:r>
          </w:p>
        </w:tc>
      </w:tr>
    </w:tbl>
    <w:p>
      <w:pPr>
        <w:spacing w:after="80"/>
      </w:pPr>
      <w:r>
        <w:t>La corrección posterior de GLOBAL.PROC_INS_VISITA corresponde a uno de esos 90 SP; no aumenta el total. PlantillaDinamico.sql reúne 210 SP identificados en el código: 206 llamados directamente y 4 utilizados internamente. De los 147 archivos agregados en la segunda revisión, 27 se corrigieron y 120 se incorporaron conservando su lógica.</w:t>
      </w:r>
    </w:p>
    <w:p>
      <w:pPr>
        <w:pStyle w:val="Heading1"/>
        <w:spacing w:after="80" w:before="200"/>
      </w:pPr>
      <w:r>
        <w:t>Cambios en los procedimientos almacenados</w:t>
      </w:r>
    </w:p>
    <w:p>
      <w:pPr>
        <w:pStyle w:val="ListBullet"/>
        <w:spacing w:after="80"/>
      </w:pPr>
      <w:r>
        <w:t>Se incorporó o propagó el parámetro @CIA donde hacía falta y se sustituyeron referencias fijas a compañías por el esquema correspondiente. La ejecución dinámica utiliza QUOTENAME para los identificadores y sp_executesql con parámetros para los valores.</w:t>
      </w:r>
    </w:p>
    <w:p>
      <w:pPr>
        <w:pStyle w:val="ListBullet"/>
        <w:spacing w:after="80"/>
      </w:pPr>
      <w:r>
        <w:t>Se adaptaron consultas y operaciones de clientes, pedidos, pagos, precios, descuentos, bonificaciones, seguimiento y visitas. También se propagó CIA entre los SP que se llaman internamente.</w:t>
      </w:r>
    </w:p>
    <w:p>
      <w:pPr>
        <w:pStyle w:val="ListBullet"/>
        <w:spacing w:after="80"/>
      </w:pPr>
      <w:r>
        <w:t>Se ajustó el acceso a PDF y adjuntos por compañía con la ruta \\DIS86rdp\data_de\&lt;CIA&gt;\ y validación del segmento CIA.</w:t>
      </w:r>
    </w:p>
    <w:p>
      <w:pPr>
        <w:pStyle w:val="ListBullet"/>
        <w:spacing w:after="80"/>
      </w:pPr>
      <w:r>
        <w:t>En GLOBAL.PROC_INS_VISITA se agregó OUTPUT a la llamada exterior de sp_executesql para devolver el identificador al backend. Su ausencia dejaba el valor vacío y provocaba un error al convertirlo a entero.</w:t>
      </w:r>
    </w:p>
    <w:p>
      <w:pPr>
        <w:pStyle w:val="Heading1"/>
        <w:spacing w:after="80" w:before="200"/>
      </w:pPr>
      <w:r>
        <w:t>Cambios en el código del sistema</w:t>
      </w:r>
    </w:p>
    <w:p>
      <w:pPr>
        <w:pStyle w:val="ListBullet"/>
        <w:spacing w:after="80"/>
      </w:pPr>
      <w:r>
        <w:t>Se sincronizaron 64 imports de DBML y código generado correspondientes a 61 SP, ajustando el parámetro CIA y los contratos de nombres, orden y tipos.</w:t>
      </w:r>
    </w:p>
    <w:p>
      <w:pPr>
        <w:pStyle w:val="ListBullet"/>
        <w:spacing w:after="80"/>
      </w:pPr>
      <w:r>
        <w:t>Se propagó la compañía de sesión mediante 9 Controllers y 9 Managers, incluidos dos SqlCommand directos y la validación de usuario en PermisosModuloAttribute. Se ajustaron los contratos afectados de texto y fechas.</w:t>
      </w:r>
    </w:p>
    <w:p>
      <w:pPr>
        <w:pStyle w:val="ListBullet"/>
        <w:spacing w:after="80"/>
      </w:pPr>
      <w:r>
        <w:t>En la revisión adicional se reemplazaron seis asignaciones de CIA fija en cuatro Controllers: ArticuloPrecio, BonificacionesCliente, Bonificaciones y DescuentoCliente. Se utiliza Session["CIA"], manteniendo el valor de respaldo DIS86 existente.</w:t>
      </w:r>
    </w:p>
    <w:p>
      <w:pPr>
        <w:pStyle w:val="ListBullet"/>
        <w:spacing w:after="80"/>
      </w:pPr>
      <w:r>
        <w:t>Se adaptaron los flujos de PDF y avisos. La corrección posterior del identificador de visita no requirió cambios en C# ni en DBML.</w:t>
      </w:r>
    </w:p>
    <w:p>
      <w:pPr>
        <w:spacing w:after="80"/>
      </w:pPr>
      <w:r>
        <w:t>Las vistas y funciones no fueron modificadas en este alcance. No se agregaron nuevos hints NOLOCK.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