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b/>
          <w:b/>
          <w:bCs/>
          <w:sz w:val="32"/>
          <w:szCs w:val="32"/>
        </w:rPr>
      </w:pPr>
      <w:r>
        <w:rPr>
          <w:rFonts w:ascii="Times New Roman" w:hAnsi="Times New Roman"/>
          <w:b/>
          <w:bCs/>
          <w:sz w:val="32"/>
          <w:szCs w:val="32"/>
        </w:rPr>
        <w:t>Ensemble approaches for estimating congruence between species delimitation and morphological variation: comparing taxonomic hypotheses for the Pacific Pond Turtle (</w:t>
      </w:r>
      <w:r>
        <w:rPr>
          <w:rFonts w:ascii="Times New Roman" w:hAnsi="Times New Roman"/>
          <w:b/>
          <w:bCs/>
          <w:i/>
          <w:iCs/>
          <w:sz w:val="32"/>
          <w:szCs w:val="32"/>
        </w:rPr>
        <w:t>Emys marmorata</w:t>
      </w:r>
      <w:r>
        <w:rPr>
          <w:rFonts w:ascii="Times New Roman" w:hAnsi="Times New Roman"/>
          <w:b/>
          <w:bCs/>
          <w:sz w:val="32"/>
          <w:szCs w:val="32"/>
        </w:rPr>
        <w:t>)</w:t>
      </w:r>
    </w:p>
    <w:p>
      <w:pPr>
        <w:pStyle w:val="Normal"/>
        <w:spacing w:lineRule="auto" w:line="480"/>
        <w:rPr/>
      </w:pPr>
      <w:r>
        <w:rPr/>
      </w:r>
    </w:p>
    <w:p>
      <w:pPr>
        <w:pStyle w:val="Normal"/>
        <w:spacing w:lineRule="auto" w:line="480"/>
        <w:rPr>
          <w:rFonts w:ascii="Times New Roman" w:hAnsi="Times New Roman"/>
          <w:caps/>
          <w:vertAlign w:val="superscript"/>
        </w:rPr>
      </w:pPr>
      <w:r>
        <w:rPr>
          <w:rFonts w:ascii="Times New Roman" w:hAnsi="Times New Roman"/>
          <w:caps/>
        </w:rPr>
        <w:t>Peter D Smits</w:t>
      </w:r>
      <w:r>
        <w:rPr>
          <w:rFonts w:ascii="Times New Roman" w:hAnsi="Times New Roman"/>
          <w:caps/>
          <w:vertAlign w:val="superscript"/>
        </w:rPr>
        <w:t>1*†</w:t>
      </w:r>
      <w:r>
        <w:rPr>
          <w:rFonts w:ascii="Times New Roman" w:hAnsi="Times New Roman"/>
          <w:caps/>
        </w:rPr>
        <w:t>, Kenneth D Angielczyk</w:t>
      </w:r>
      <w:r>
        <w:rPr>
          <w:rFonts w:ascii="Times New Roman" w:hAnsi="Times New Roman"/>
          <w:caps/>
          <w:vertAlign w:val="superscript"/>
        </w:rPr>
        <w:t>2</w:t>
      </w:r>
      <w:r>
        <w:rPr>
          <w:rFonts w:ascii="Times New Roman" w:hAnsi="Times New Roman"/>
          <w:caps/>
        </w:rPr>
        <w:t>, Bryan L Stuart</w:t>
      </w:r>
      <w:r>
        <w:rPr>
          <w:rFonts w:ascii="Times New Roman" w:hAnsi="Times New Roman"/>
          <w:caps/>
          <w:vertAlign w:val="superscript"/>
        </w:rPr>
        <w:t>3</w:t>
      </w:r>
      <w:r>
        <w:rPr>
          <w:rFonts w:ascii="Times New Roman" w:hAnsi="Times New Roman"/>
          <w:caps/>
        </w:rPr>
        <w:t xml:space="preserve">, </w:t>
      </w:r>
      <w:r>
        <w:rPr>
          <w:rFonts w:ascii="Times New Roman" w:hAnsi="Times New Roman"/>
          <w:caps w:val="false"/>
          <w:smallCaps w:val="false"/>
        </w:rPr>
        <w:t xml:space="preserve">and </w:t>
      </w:r>
      <w:r>
        <w:rPr>
          <w:rFonts w:ascii="Times New Roman" w:hAnsi="Times New Roman"/>
          <w:caps/>
        </w:rPr>
        <w:t>James F Parham</w:t>
      </w:r>
      <w:r>
        <w:rPr>
          <w:rFonts w:ascii="Times New Roman" w:hAnsi="Times New Roman"/>
          <w:caps/>
          <w:vertAlign w:val="superscript"/>
        </w:rPr>
        <w:t>4</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i/>
          <w:i/>
          <w:iCs/>
        </w:rPr>
      </w:pPr>
      <w:r>
        <w:rPr>
          <w:rFonts w:ascii="Times New Roman" w:hAnsi="Times New Roman"/>
          <w:vertAlign w:val="superscript"/>
        </w:rPr>
        <w:t>1</w:t>
      </w:r>
      <w:r>
        <w:rPr>
          <w:rFonts w:ascii="Times New Roman" w:hAnsi="Times New Roman"/>
          <w:i/>
          <w:iCs/>
        </w:rPr>
        <w:t>Department of Integrative Biology, University of California, Berkeley, CA 94720, USA</w:t>
      </w:r>
    </w:p>
    <w:p>
      <w:pPr>
        <w:pStyle w:val="Normal"/>
        <w:spacing w:lineRule="auto" w:line="480"/>
        <w:rPr>
          <w:rFonts w:ascii="Times New Roman" w:hAnsi="Times New Roman"/>
          <w:i/>
          <w:i/>
          <w:iCs/>
        </w:rPr>
      </w:pPr>
      <w:r>
        <w:rPr>
          <w:rFonts w:ascii="Times New Roman" w:hAnsi="Times New Roman"/>
          <w:vertAlign w:val="superscript"/>
        </w:rPr>
        <w:t>2</w:t>
      </w:r>
      <w:r>
        <w:rPr>
          <w:rFonts w:ascii="Times New Roman" w:hAnsi="Times New Roman"/>
          <w:i/>
          <w:iCs/>
        </w:rPr>
        <w:t>Integrative Research Center, Field Museum of Natural History, Chicago, IL 60605, USA</w:t>
      </w:r>
    </w:p>
    <w:p>
      <w:pPr>
        <w:pStyle w:val="Normal"/>
        <w:spacing w:lineRule="auto" w:line="480"/>
        <w:rPr>
          <w:rFonts w:ascii="Times New Roman" w:hAnsi="Times New Roman"/>
          <w:i/>
          <w:i/>
          <w:iCs/>
        </w:rPr>
      </w:pPr>
      <w:r>
        <w:rPr>
          <w:rFonts w:ascii="Times New Roman" w:hAnsi="Times New Roman"/>
          <w:vertAlign w:val="superscript"/>
        </w:rPr>
        <w:t>3</w:t>
      </w:r>
      <w:r>
        <w:rPr>
          <w:rFonts w:ascii="Times New Roman" w:hAnsi="Times New Roman"/>
          <w:i/>
          <w:iCs/>
        </w:rPr>
        <w:t>Section of Research and Collections, North Carolina Museum of Natural Sciences, Raleigh, NC 27601, USA</w:t>
      </w:r>
    </w:p>
    <w:p>
      <w:pPr>
        <w:pStyle w:val="Normal"/>
        <w:spacing w:lineRule="auto" w:line="480"/>
        <w:rPr>
          <w:rFonts w:ascii="Times New Roman" w:hAnsi="Times New Roman"/>
        </w:rPr>
      </w:pPr>
      <w:r>
        <w:rPr>
          <w:rFonts w:ascii="Times New Roman" w:hAnsi="Times New Roman"/>
          <w:vertAlign w:val="superscript"/>
        </w:rPr>
        <w:t>4</w:t>
      </w:r>
      <w:r>
        <w:rPr>
          <w:rFonts w:ascii="Times New Roman" w:hAnsi="Times New Roman"/>
        </w:rPr>
        <w:t>John D. Cooper Archaeological and Paleontological Center, Department of Geological Sciences, California State University Fullerton, Fullerton, CA 92834, USA</w:t>
      </w:r>
    </w:p>
    <w:p>
      <w:pPr>
        <w:pStyle w:val="Normal"/>
        <w:spacing w:lineRule="auto" w:line="480"/>
        <w:rPr>
          <w:rFonts w:ascii="Times New Roman" w:hAnsi="Times New Roman"/>
        </w:rPr>
      </w:pPr>
      <w:r>
        <w:rPr>
          <w:rFonts w:ascii="Times New Roman" w:hAnsi="Times New Roman"/>
        </w:rPr>
      </w:r>
    </w:p>
    <w:p>
      <w:pPr>
        <w:pStyle w:val="Normal"/>
        <w:spacing w:lineRule="auto" w:line="480"/>
        <w:rPr/>
      </w:pPr>
      <w:r>
        <w:rPr>
          <w:rFonts w:ascii="Times New Roman" w:hAnsi="Times New Roman"/>
        </w:rPr>
        <w:t xml:space="preserve">* Corresponding Author. Email: </w:t>
      </w:r>
      <w:hyperlink r:id="rId2">
        <w:r>
          <w:rPr>
            <w:rStyle w:val="InternetLink"/>
            <w:rFonts w:ascii="Times New Roman" w:hAnsi="Times New Roman"/>
          </w:rPr>
          <w:t>psmits@berkeley.edu</w:t>
        </w:r>
      </w:hyperlink>
    </w:p>
    <w:p>
      <w:pPr>
        <w:pStyle w:val="Normal"/>
        <w:spacing w:lineRule="auto" w:line="480"/>
        <w:rPr>
          <w:rFonts w:ascii="Times New Roman" w:hAnsi="Times New Roman"/>
        </w:rPr>
      </w:pPr>
      <w:r>
        <w:rPr>
          <w:rFonts w:ascii="Times New Roman" w:hAnsi="Times New Roman"/>
        </w:rPr>
        <w:t xml:space="preserve">† </w:t>
      </w:r>
      <w:r>
        <w:rPr>
          <w:rFonts w:ascii="Times New Roman" w:hAnsi="Times New Roman"/>
        </w:rPr>
        <w:t>ORCIDs: Smits, 0000-0003-4074-1447.</w:t>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t>Short Running Title: MACHINE LEARNING AND SPECIES DELIMITATION</w:t>
      </w:r>
    </w:p>
    <w:p>
      <w:pPr>
        <w:pStyle w:val="Normal"/>
        <w:spacing w:lineRule="auto" w:line="480"/>
        <w:rPr>
          <w:rFonts w:ascii="Times New Roman" w:hAnsi="Times New Roman"/>
        </w:rPr>
      </w:pPr>
      <w:r>
        <w:rPr>
          <w:rFonts w:ascii="Times New Roman" w:hAnsi="Times New Roman"/>
        </w:rPr>
      </w:r>
      <w:r>
        <w:br w:type="page"/>
      </w:r>
    </w:p>
    <w:p>
      <w:pPr>
        <w:pStyle w:val="Normal"/>
        <w:spacing w:lineRule="auto" w:line="480"/>
        <w:rPr/>
      </w:pPr>
      <w:r>
        <w:rPr>
          <w:rFonts w:ascii="Times New Roman" w:hAnsi="Times New Roman"/>
          <w:b/>
          <w:bCs/>
        </w:rPr>
        <w:t>Abstract:</w:t>
      </w:r>
      <w:r>
        <w:rPr>
          <w:rFonts w:ascii="Times New Roman" w:hAnsi="Times New Roman"/>
          <w:b w:val="false"/>
          <w:bCs w:val="false"/>
        </w:rPr>
        <w:t xml:space="preserve"> We investigated the morphometric identification of cryptic species using machine learning approaches by examining their implications for a recently proposed cryptic turtle species (</w:t>
      </w:r>
      <w:r>
        <w:rPr>
          <w:rFonts w:ascii="Times New Roman" w:hAnsi="Times New Roman"/>
          <w:b w:val="false"/>
          <w:bCs w:val="false"/>
          <w:i/>
          <w:iCs/>
        </w:rPr>
        <w:t>Emys pallida</w:t>
      </w:r>
      <w:r>
        <w:rPr>
          <w:rFonts w:ascii="Times New Roman" w:hAnsi="Times New Roman"/>
          <w:b w:val="false"/>
          <w:bCs w:val="false"/>
        </w:rPr>
        <w:t xml:space="preserve">). We collected landmark-based morphometric data from 532 adult </w:t>
      </w:r>
      <w:r>
        <w:rPr>
          <w:rFonts w:ascii="Times New Roman" w:hAnsi="Times New Roman"/>
          <w:b w:val="false"/>
          <w:bCs w:val="false"/>
          <w:i/>
          <w:iCs/>
        </w:rPr>
        <w:t>E. marmorata/</w:t>
      </w:r>
      <w:r>
        <w:rPr>
          <w:rFonts w:ascii="Times New Roman" w:hAnsi="Times New Roman"/>
          <w:b w:val="false"/>
          <w:bCs w:val="false"/>
        </w:rPr>
        <w:t>“</w:t>
      </w:r>
      <w:r>
        <w:rPr>
          <w:rFonts w:ascii="Times New Roman" w:hAnsi="Times New Roman"/>
          <w:b w:val="false"/>
          <w:bCs w:val="false"/>
          <w:i/>
          <w:iCs/>
        </w:rPr>
        <w:t>E. pallida</w:t>
      </w:r>
      <w:r>
        <w:rPr>
          <w:rFonts w:ascii="Times New Roman" w:hAnsi="Times New Roman"/>
          <w:b w:val="false"/>
          <w:bCs w:val="false"/>
        </w:rPr>
        <w:t xml:space="preserve">” museum specimens. We </w:t>
      </w:r>
      <w:r>
        <w:rPr>
          <w:rFonts w:ascii="Times New Roman" w:hAnsi="Times New Roman"/>
          <w:b w:val="false"/>
          <w:bCs w:val="false"/>
        </w:rPr>
        <w:t>classified each</w:t>
      </w:r>
      <w:r>
        <w:rPr>
          <w:rFonts w:ascii="Times New Roman" w:hAnsi="Times New Roman"/>
          <w:b w:val="false"/>
          <w:bCs w:val="false"/>
        </w:rPr>
        <w:t xml:space="preserve"> specimen for six different binning schemes based on geographic occurrence data recorded in museum archives. We used an ensemble of supervised machine learning approaches to determine which hypothesis was best supported by the data. In addition, we applied the same approach to two clear-cut examples, one consisting of eight unambiguously distinct species closely related to </w:t>
      </w:r>
      <w:r>
        <w:rPr>
          <w:rFonts w:ascii="Times New Roman" w:hAnsi="Times New Roman"/>
          <w:b w:val="false"/>
          <w:bCs w:val="false"/>
          <w:i/>
          <w:iCs/>
        </w:rPr>
        <w:t>E. marmorata</w:t>
      </w:r>
      <w:r>
        <w:rPr>
          <w:rFonts w:ascii="Times New Roman" w:hAnsi="Times New Roman"/>
          <w:b w:val="false"/>
          <w:bCs w:val="false"/>
        </w:rPr>
        <w:t xml:space="preserve">, and the other consisting of two subspecies of </w:t>
      </w:r>
      <w:r>
        <w:rPr>
          <w:rFonts w:ascii="Times New Roman" w:hAnsi="Times New Roman"/>
          <w:b w:val="false"/>
          <w:bCs w:val="false"/>
          <w:i/>
          <w:iCs/>
        </w:rPr>
        <w:t>Trachemys scripta</w:t>
      </w:r>
      <w:r>
        <w:rPr>
          <w:rFonts w:ascii="Times New Roman" w:hAnsi="Times New Roman"/>
          <w:b w:val="false"/>
          <w:bCs w:val="false"/>
        </w:rPr>
        <w:t xml:space="preserve">. Our results indicate that there is no clear “best” grouping of </w:t>
      </w:r>
      <w:r>
        <w:rPr>
          <w:rFonts w:ascii="Times New Roman" w:hAnsi="Times New Roman"/>
          <w:b w:val="false"/>
          <w:bCs w:val="false"/>
          <w:i/>
          <w:iCs/>
        </w:rPr>
        <w:t>E. marmorata/</w:t>
      </w:r>
      <w:r>
        <w:rPr>
          <w:rFonts w:ascii="Times New Roman" w:hAnsi="Times New Roman"/>
          <w:b w:val="false"/>
          <w:bCs w:val="false"/>
        </w:rPr>
        <w:t>“</w:t>
      </w:r>
      <w:r>
        <w:rPr>
          <w:rFonts w:ascii="Times New Roman" w:hAnsi="Times New Roman"/>
          <w:b w:val="false"/>
          <w:bCs w:val="false"/>
          <w:i/>
          <w:iCs/>
        </w:rPr>
        <w:t>E. pallida</w:t>
      </w:r>
      <w:r>
        <w:rPr>
          <w:rFonts w:ascii="Times New Roman" w:hAnsi="Times New Roman"/>
          <w:b w:val="false"/>
          <w:bCs w:val="false"/>
        </w:rPr>
        <w:t xml:space="preserve">” based on plastron shape. In contrast, the analyses of the clear-cut examples produced near perfect classifications, demonstrating that the methods can recover correct results when a signal exists. Explanations for the lack of grouping in </w:t>
      </w:r>
      <w:r>
        <w:rPr>
          <w:rFonts w:ascii="Times New Roman" w:hAnsi="Times New Roman"/>
          <w:b w:val="false"/>
          <w:bCs w:val="false"/>
          <w:i/>
          <w:iCs/>
        </w:rPr>
        <w:t>E. marmorata</w:t>
      </w:r>
      <w:r>
        <w:rPr>
          <w:rFonts w:ascii="Times New Roman" w:hAnsi="Times New Roman"/>
          <w:b w:val="false"/>
          <w:bCs w:val="false"/>
        </w:rPr>
        <w:t xml:space="preserve"> include the possibility that genetic differentiation is not associated with plastron shape variation below the species level and/or that local selective pressures (e.g., hydrological regime) overwhelm morphological differentiation.</w:t>
      </w:r>
    </w:p>
    <w:p>
      <w:pPr>
        <w:pStyle w:val="Normal"/>
        <w:spacing w:lineRule="auto" w:line="480"/>
        <w:rPr>
          <w:rFonts w:ascii="Times New Roman" w:hAnsi="Times New Roman"/>
          <w:b/>
          <w:b/>
          <w:bCs/>
        </w:rPr>
      </w:pPr>
      <w:r>
        <w:rPr>
          <w:rFonts w:ascii="Times New Roman" w:hAnsi="Times New Roman"/>
          <w:b/>
          <w:bCs/>
        </w:rPr>
      </w:r>
    </w:p>
    <w:p>
      <w:pPr>
        <w:pStyle w:val="Normal"/>
        <w:spacing w:lineRule="auto" w:line="480"/>
        <w:rPr>
          <w:rFonts w:ascii="Times New Roman" w:hAnsi="Times New Roman"/>
          <w:b w:val="false"/>
          <w:b w:val="false"/>
          <w:bCs w:val="false"/>
        </w:rPr>
      </w:pPr>
      <w:r>
        <w:rPr>
          <w:rFonts w:ascii="Times New Roman" w:hAnsi="Times New Roman"/>
          <w:b w:val="false"/>
          <w:bCs w:val="false"/>
        </w:rPr>
        <w:t>ADDITIONAL KEYWORDS: geometric morphometrics – machine learning – conservation – integrative taxonomy – Emydidae.</w:t>
      </w:r>
    </w:p>
    <w:p>
      <w:pPr>
        <w:pStyle w:val="Normal"/>
        <w:spacing w:lineRule="auto" w:line="480"/>
        <w:rPr>
          <w:rFonts w:ascii="Times New Roman" w:hAnsi="Times New Roman"/>
          <w:b/>
          <w:b/>
          <w:bCs/>
        </w:rPr>
      </w:pPr>
      <w:r>
        <w:rPr>
          <w:rFonts w:ascii="Times New Roman" w:hAnsi="Times New Roman"/>
          <w:b/>
          <w:bCs/>
        </w:rPr>
      </w:r>
      <w:r>
        <w:br w:type="page"/>
      </w:r>
    </w:p>
    <w:p>
      <w:pPr>
        <w:pStyle w:val="Normal"/>
        <w:spacing w:lineRule="auto" w:line="480"/>
        <w:jc w:val="center"/>
        <w:rPr>
          <w:rFonts w:ascii="Times New Roman" w:hAnsi="Times New Roman"/>
          <w:b w:val="false"/>
          <w:b w:val="false"/>
          <w:bCs w:val="false"/>
        </w:rPr>
      </w:pPr>
      <w:r>
        <w:rPr>
          <w:rFonts w:ascii="Times New Roman" w:hAnsi="Times New Roman"/>
          <w:b w:val="false"/>
          <w:bCs w:val="false"/>
        </w:rPr>
        <w:t>INTRODUCTION</w:t>
      </w:r>
    </w:p>
    <w:p>
      <w:pPr>
        <w:pStyle w:val="Normal"/>
        <w:spacing w:lineRule="auto" w:line="480"/>
        <w:ind w:left="0" w:right="0" w:firstLine="540"/>
        <w:rPr>
          <w:rFonts w:ascii="Times New Roman" w:hAnsi="Times New Roman"/>
        </w:rPr>
      </w:pPr>
      <w:r>
        <w:rPr>
          <w:rFonts w:ascii="Times New Roman" w:hAnsi="Times New Roman"/>
        </w:rPr>
        <w:t xml:space="preserve">Molecular systematics has repeatedly demonstrated the existence of cryptic species that can only be diagnosed using genetic data (Stuart, Inger, &amp; Voris, 2006; Bickford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2007; Schilck-Steiner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2007; Pfenninger &amp; Schwenk, 2007; Clare, 2011; Funk, Caminer, &amp; Ron, 2012). In attempts to streamline the documentation of biodiversity, several methods of species delimitation that rely almost entirely on genetic data have recently been proposed (Pons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2006; Carstens &amp; Dewey, 2010; Hausdorf &amp; Hennig, 2010; O’Meara, 2010; Yang &amp; Rannala, 2010; Huelsenbeck, Andolfatto, &amp; Huelsenbeck, 2011). Although strong caveats on the utility of these methods have been raised (Bauer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2000; Carstens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2013), they are nevertheless being used to name species (Leaché &amp; Fujita 2010; Spinks, Thomson, &amp; Shaffer, 2014).</w:t>
      </w:r>
    </w:p>
    <w:p>
      <w:pPr>
        <w:pStyle w:val="Normal"/>
        <w:spacing w:lineRule="auto" w:line="480"/>
        <w:ind w:left="0" w:right="0" w:firstLine="540"/>
        <w:rPr>
          <w:rFonts w:ascii="Times New Roman" w:hAnsi="Times New Roman"/>
        </w:rPr>
      </w:pPr>
      <w:r>
        <w:rPr>
          <w:rFonts w:ascii="Times New Roman" w:hAnsi="Times New Roman"/>
        </w:rPr>
        <w:t>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 (Eldredge &amp; Gould, 1972; Gould &amp; Eldredge, 1977; Van Bocxlaer &amp; Hunt, 2013). It also has serious implications for our records of modern biodiversity: for many museum specimens of extant taxa (e.g. those preserved in formalin), it is difficult to acquire the genetic data needed for non-morphological species delimitation methods.</w:t>
      </w:r>
    </w:p>
    <w:p>
      <w:pPr>
        <w:pStyle w:val="Normal"/>
        <w:spacing w:lineRule="auto" w:line="480"/>
        <w:ind w:left="0" w:right="0" w:firstLine="540"/>
        <w:rPr>
          <w:rFonts w:ascii="Times New Roman" w:hAnsi="Times New Roman"/>
        </w:rPr>
      </w:pPr>
      <w:r>
        <w:rPr>
          <w:rFonts w:ascii="Times New Roman" w:hAnsi="Times New Roman"/>
        </w:rPr>
        <w:t xml:space="preserve">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 (Polly, 2003; Zelditch, Swiderski, &amp; Sheets, 2004; Gaubert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2005; Gündüz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2007; Polly, 2007; Demandt &amp; Bergek 2009; Markolf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2013; Fruciano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2016). Additionally, there has been work on automated taxon identification and classification of taxa into groups (Baylac, Villemant, &amp; Simbolotti, 2003; Dobigny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2003; MacLeod, 2007; Brink &amp; Bokma, 2011; Vitek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2017), as well as the development of models that combine genetic, phenotypic, and geographic data to infer evolutionary units of interest (Guillot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2012).</w:t>
      </w:r>
    </w:p>
    <w:p>
      <w:pPr>
        <w:pStyle w:val="Normal"/>
        <w:spacing w:lineRule="auto" w:line="480"/>
        <w:ind w:left="0" w:right="0" w:firstLine="540"/>
        <w:rPr>
          <w:rFonts w:ascii="Times New Roman" w:hAnsi="Times New Roman"/>
        </w:rPr>
      </w:pPr>
      <w:r>
        <w:rPr>
          <w:rFonts w:ascii="Times New Roman" w:hAnsi="Times New Roman"/>
        </w:rPr>
        <w:t xml:space="preserve">Here, we investigate the morphometric identification of cryptic species using machine learning approaches. We use an ensemble learning approach where multiple methods are used in order to look for consensus among their results. We test our approach on three datasets: plastron shape of eight species of closely related turtles, plastron shape of two subspecies of a single turtle species, and plastron shape of the </w:t>
      </w:r>
      <w:r>
        <w:rPr>
          <w:rFonts w:ascii="Times New Roman" w:hAnsi="Times New Roman"/>
          <w:i/>
          <w:iCs/>
        </w:rPr>
        <w:t>Emys marmorata</w:t>
      </w:r>
      <w:r>
        <w:rPr>
          <w:rFonts w:ascii="Times New Roman" w:hAnsi="Times New Roman"/>
        </w:rPr>
        <w:t xml:space="preserve"> species complex. In particular, we ask whether it is possible to determine which among a set of classification hypotheses best aligns with the observed morphology, and examine the implications of our results for the </w:t>
      </w:r>
      <w:r>
        <w:rPr>
          <w:rFonts w:ascii="Times New Roman" w:hAnsi="Times New Roman"/>
          <w:i/>
          <w:iCs/>
        </w:rPr>
        <w:t>E. marmorata</w:t>
      </w:r>
      <w:r>
        <w:rPr>
          <w:rFonts w:ascii="Times New Roman" w:hAnsi="Times New Roman"/>
        </w:rPr>
        <w:t xml:space="preserve"> complex.</w:t>
      </w:r>
    </w:p>
    <w:p>
      <w:pPr>
        <w:pStyle w:val="Normal"/>
        <w:spacing w:lineRule="auto" w:line="480"/>
        <w:ind w:left="0" w:right="0" w:firstLine="540"/>
        <w:rPr>
          <w:rFonts w:ascii="Times New Roman" w:hAnsi="Times New Roman"/>
        </w:rPr>
      </w:pPr>
      <w:r>
        <w:rPr>
          <w:rFonts w:ascii="Times New Roman" w:hAnsi="Times New Roman"/>
        </w:rPr>
      </w:r>
    </w:p>
    <w:p>
      <w:pPr>
        <w:pStyle w:val="Normal"/>
        <w:spacing w:lineRule="auto" w:line="480"/>
        <w:jc w:val="center"/>
        <w:rPr>
          <w:rFonts w:ascii="Times New Roman" w:hAnsi="Times New Roman"/>
          <w:smallCaps/>
        </w:rPr>
      </w:pPr>
      <w:r>
        <w:rPr>
          <w:rFonts w:ascii="Times New Roman" w:hAnsi="Times New Roman"/>
          <w:smallCaps/>
        </w:rPr>
        <w:t>Background and study system</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Machine learning is an extension of known statistical methodology (Hastie, Tibshirani, &amp; Friedman, 2009) that emphasizes predictive accuracy and generality often at the expense of the interpretability of individual parameters. Basic statistical approaches are supplemented by randomization, sorting, and partitioning algorithms, along with the maximization or minimization of summary statistics, in order to best estimate a general model for all data, both sampled and unsampled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Machine learning approaches have found use in medical research, epidemiology, economics, and automated identification of images such as handwritten zip codes (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There are two major classes of machine learning method: unsupervised and supervised learning. Unsupervised learning methods are used with unlabeled data where the underlying structure is estimated; they are analogous to clustering and density estimation methods (Kaufman &amp; Rousseeuw, 1990). Supervised learning methods are used with labeled data where the final output of data is known and the rules for going from input to output are inferred. These are analogous to classification and regression models (Breiman </w:t>
      </w:r>
      <w:r>
        <w:rPr>
          <w:rFonts w:ascii="Times New Roman" w:hAnsi="Times New Roman"/>
          <w:i/>
          <w:iCs/>
        </w:rPr>
        <w:t>et al.</w:t>
      </w:r>
      <w:r>
        <w:rPr>
          <w:rFonts w:ascii="Times New Roman" w:hAnsi="Times New Roman"/>
          <w:i w:val="false"/>
          <w:iCs w:val="false"/>
        </w:rPr>
        <w:t>,</w:t>
      </w:r>
      <w:r>
        <w:rPr>
          <w:rFonts w:ascii="Times New Roman" w:hAnsi="Times New Roman"/>
        </w:rPr>
        <w:t xml:space="preserve"> 1984;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Our application of the supervised learning approaches used in this study illustrates only a sampling of the various methods available for fitting classification models. The specific methods used in this study were chosen because they are suited for cases with more two or more response classes.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Geometric morphometric approaches to identifying differences in morphological variation between classes, including cryptic species, have mostly relied on methods like linear discriminate analysis and canonical variates analysis (Polly 2003, 2007; Zelditch et al.</w:t>
      </w:r>
      <w:r>
        <w:rPr>
          <w:rFonts w:ascii="Times New Roman" w:hAnsi="Times New Roman"/>
          <w:i/>
          <w:iCs/>
        </w:rPr>
        <w:t>,</w:t>
      </w:r>
      <w:r>
        <w:rPr>
          <w:rFonts w:ascii="Times New Roman" w:hAnsi="Times New Roman"/>
        </w:rPr>
        <w:t xml:space="preserve"> 2004; Gaubert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2005; Gündüz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2007; Francoy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Sztencel-Jabłonka, Jones, &amp; BogdanowicZ, 2009; Edwards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2011; Mitrovski-Bogdanovic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2013; Dillard, 2017).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 Caumul &amp; Polly (2005) and Polly (2007) focused on comparing different aspects of morphology and their fidelity to a classification scheme instead of comparing the fidelity of one aspect of morphology to multiple classification schemes. In this context, the study of Cardini </w:t>
      </w:r>
      <w:r>
        <w:rPr>
          <w:rFonts w:ascii="Times New Roman" w:hAnsi="Times New Roman"/>
          <w:i/>
          <w:iCs/>
        </w:rPr>
        <w:t>et al.</w:t>
      </w:r>
      <w:r>
        <w:rPr>
          <w:rFonts w:ascii="Times New Roman" w:hAnsi="Times New Roman"/>
        </w:rPr>
        <w:t xml:space="preserve"> (2009) is noteworthy because they compared morphological variation in marmots at the population, regional, and species level and determined the fidelity of shape to divisions at each of these levels.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Here, we used an ensemble of supervised machine learning methods to compare the congruence of morphological data to different classification hypotheses. Each of these methods provide different advantages for understanding how to classify specimens, as well as the accuracy of the resulting classifications. Machine learning methods have been combined with geometric morphometric data to study shape variation in a variety of contexts, including automated taxon identification and classification of groups (Baylac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2003; Dobigny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2003; MacLeod, 2007; Claude, 2008; Van Bocxlaer &amp; Schultheiß, 2010; Brink &amp; Bokma, 2011; Navega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2015). In the current study, we not only consider pure classification accuracy but also use a statistic of classification strength that reflects the rate at which taxa are both accurately and inaccurately classified: the area under the Receiver Operating Characteristic curve (Hastie </w:t>
      </w:r>
      <w:r>
        <w:rPr>
          <w:rFonts w:ascii="Times New Roman" w:hAnsi="Times New Roman"/>
          <w:i/>
          <w:iCs/>
        </w:rPr>
        <w:t>et al.</w:t>
      </w:r>
      <w:r>
        <w:rPr>
          <w:rFonts w:ascii="Times New Roman" w:hAnsi="Times New Roman"/>
        </w:rPr>
        <w:t>, 2009).</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We analyzed the problem of whether there are distinct subspecies or cryptic species within the western pond turtle, </w:t>
      </w:r>
      <w:r>
        <w:rPr>
          <w:rFonts w:ascii="Times New Roman" w:hAnsi="Times New Roman"/>
          <w:i/>
          <w:iCs/>
        </w:rPr>
        <w:t>Emys marmorata</w:t>
      </w:r>
      <w:r>
        <w:rPr>
          <w:rFonts w:ascii="Times New Roman" w:hAnsi="Times New Roman"/>
        </w:rPr>
        <w:t xml:space="preserve"> (Baird &amp; Girard, 1852) (formerly </w:t>
      </w:r>
      <w:r>
        <w:rPr>
          <w:rFonts w:ascii="Times New Roman" w:hAnsi="Times New Roman"/>
          <w:i/>
          <w:iCs/>
        </w:rPr>
        <w:t>Clemmys marmorata</w:t>
      </w:r>
      <w:r>
        <w:rPr>
          <w:rFonts w:ascii="Times New Roman" w:hAnsi="Times New Roman"/>
        </w:rPr>
        <w:t xml:space="preserve">; see Feldman &amp; Parham, 2002). </w:t>
      </w:r>
      <w:r>
        <w:rPr>
          <w:rFonts w:ascii="Times New Roman" w:hAnsi="Times New Roman"/>
          <w:i/>
          <w:iCs/>
        </w:rPr>
        <w:t>Emys marmorata</w:t>
      </w:r>
      <w:r>
        <w:rPr>
          <w:rFonts w:ascii="Times New Roman" w:hAnsi="Times New Roman"/>
        </w:rPr>
        <w:t xml:space="preserve"> is distributed from northern Washington State, USA to Baja California, Mexico; populations in western Nevada may have been introduced by recent human activity or they could be a genuine part of the species’ range (Bury, 2017). Traditionally, </w:t>
      </w:r>
      <w:r>
        <w:rPr>
          <w:rFonts w:ascii="Times New Roman" w:hAnsi="Times New Roman"/>
          <w:i/>
          <w:iCs/>
        </w:rPr>
        <w:t>E. marmorata</w:t>
      </w:r>
      <w:r>
        <w:rPr>
          <w:rFonts w:ascii="Times New Roman" w:hAnsi="Times New Roman"/>
        </w:rPr>
        <w:t xml:space="preserve"> was classified into two named subspecies: the northern </w:t>
      </w:r>
      <w:r>
        <w:rPr>
          <w:rFonts w:ascii="Times New Roman" w:hAnsi="Times New Roman"/>
          <w:i/>
          <w:iCs/>
        </w:rPr>
        <w:t>E. marmorata marmorata</w:t>
      </w:r>
      <w:r>
        <w:rPr>
          <w:rFonts w:ascii="Times New Roman" w:hAnsi="Times New Roman"/>
        </w:rPr>
        <w:t xml:space="preserve"> and the southern </w:t>
      </w:r>
      <w:r>
        <w:rPr>
          <w:rFonts w:ascii="Times New Roman" w:hAnsi="Times New Roman"/>
          <w:i/>
          <w:iCs/>
        </w:rPr>
        <w:t>Emys marmorata pallida</w:t>
      </w:r>
      <w:r>
        <w:rPr>
          <w:rFonts w:ascii="Times New Roman" w:hAnsi="Times New Roman"/>
        </w:rPr>
        <w:t xml:space="preserve"> (Seeliger, 1945), with a central Californian intergrade zone in between. </w:t>
      </w:r>
      <w:r>
        <w:rPr>
          <w:rFonts w:ascii="Times New Roman" w:hAnsi="Times New Roman"/>
          <w:i/>
          <w:iCs/>
        </w:rPr>
        <w:t>Emys marmorata marmorata</w:t>
      </w:r>
      <w:r>
        <w:rPr>
          <w:rFonts w:ascii="Times New Roman" w:hAnsi="Times New Roman"/>
        </w:rPr>
        <w:t xml:space="preserve"> is differentiated from </w:t>
      </w:r>
      <w:r>
        <w:rPr>
          <w:rFonts w:ascii="Times New Roman" w:hAnsi="Times New Roman"/>
          <w:i/>
          <w:iCs/>
        </w:rPr>
        <w:t>E. marmorata pallida</w:t>
      </w:r>
      <w:r>
        <w:rPr>
          <w:rFonts w:ascii="Times New Roman" w:hAnsi="Times New Roman"/>
        </w:rPr>
        <w:t xml:space="preserve"> by the presence of a pair of triangular inguinal scales and darker neck markings. The triangular inguinal plates can sometimes be present in </w:t>
      </w:r>
      <w:r>
        <w:rPr>
          <w:rFonts w:ascii="Times New Roman" w:hAnsi="Times New Roman"/>
          <w:i/>
          <w:iCs/>
        </w:rPr>
        <w:t>E. marmorata pallida</w:t>
      </w:r>
      <w:r>
        <w:rPr>
          <w:rFonts w:ascii="Times New Roman" w:hAnsi="Times New Roman"/>
        </w:rPr>
        <w:t xml:space="preserve"> although they are considerably smaller. Seeliger (1945) did not formally include the Baja California populations of </w:t>
      </w:r>
      <w:r>
        <w:rPr>
          <w:rFonts w:ascii="Times New Roman" w:hAnsi="Times New Roman"/>
          <w:i/>
          <w:iCs/>
        </w:rPr>
        <w:t>E. marmorata</w:t>
      </w:r>
      <w:r>
        <w:rPr>
          <w:rFonts w:ascii="Times New Roman" w:hAnsi="Times New Roman"/>
        </w:rPr>
        <w:t xml:space="preserve"> in either taxon, implying the existence of a third distinct but unnamed subspecies.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Previous work on morphological variation in </w:t>
      </w:r>
      <w:r>
        <w:rPr>
          <w:rFonts w:ascii="Times New Roman" w:hAnsi="Times New Roman"/>
          <w:i/>
          <w:iCs/>
        </w:rPr>
        <w:t>E. marmorata</w:t>
      </w:r>
      <w:r>
        <w:rPr>
          <w:rFonts w:ascii="Times New Roman" w:hAnsi="Times New Roman"/>
        </w:rPr>
        <w:t xml:space="preserve"> has focused primarily on differentiation between populations over a portion of the species’ total range (Lubcke &amp; Wilson, 2007; Germano &amp; Rathbun, 2008; Germano &amp; Bury, 2009; Bury, Germano, &amp; Bury, 2010); comparatively few studies have included specimens from across the entire range (Holland, 1992). Most of these studies considered how local biotic and abiotic factors may contribute to differences in carapace length, and they found that size can vary greatly between different populations (Lubcke &amp; Wilson, 2007; Germano &amp; Rathbun, 2008; Germano &amp; Bury, 2009). There also has been interest in size-based sexual dimorphism in </w:t>
      </w:r>
      <w:r>
        <w:rPr>
          <w:rFonts w:ascii="Times New Roman" w:hAnsi="Times New Roman"/>
          <w:i/>
          <w:iCs/>
        </w:rPr>
        <w:t>E. marmorata</w:t>
      </w:r>
      <w:r>
        <w:rPr>
          <w:rFonts w:ascii="Times New Roman" w:hAnsi="Times New Roman"/>
        </w:rPr>
        <w:t xml:space="preserve"> (Holland, 1992; Lubcke &amp; Wilson, 2007; Germano &amp; Bury, 2009), with males being on average larger than females based on total carapace length and other linear measurements. However, the quality of size as a classifier of sex can vary greatly between populations (Holland 1992) because of the magnitude of size differences among populations (Lubcke &amp; Wilson, 2007; Germano &amp; Bury, 2009). The effect of sexual dimorphism on shape, sensu Kendall (1977), has not been assessed (Holland, 1992; Lubcke &amp; Wilson, 2007; Germano &amp; Rathbun, 2008).</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Of particular relevance in the context of cryptic diversity in </w:t>
      </w:r>
      <w:r>
        <w:rPr>
          <w:rFonts w:ascii="Times New Roman" w:hAnsi="Times New Roman"/>
          <w:i/>
          <w:iCs/>
        </w:rPr>
        <w:t>E. marmorata</w:t>
      </w:r>
      <w:r>
        <w:rPr>
          <w:rFonts w:ascii="Times New Roman" w:hAnsi="Times New Roman"/>
        </w:rPr>
        <w:t xml:space="preserve"> is the morphometric analysis of carapace shape carried out by Holland (1992), who compared populations of </w:t>
      </w:r>
      <w:r>
        <w:rPr>
          <w:rFonts w:ascii="Times New Roman" w:hAnsi="Times New Roman"/>
          <w:i/>
          <w:iCs/>
        </w:rPr>
        <w:t>E. marmorata</w:t>
      </w:r>
      <w:r>
        <w:rPr>
          <w:rFonts w:ascii="Times New Roman" w:hAnsi="Times New Roman"/>
        </w:rPr>
        <w:t xml:space="preserve"> 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 </w:t>
      </w:r>
      <w:r>
        <w:rPr>
          <w:rFonts w:ascii="Times New Roman" w:hAnsi="Times New Roman"/>
          <w:i/>
          <w:iCs/>
        </w:rPr>
        <w:t>E. marmorata</w:t>
      </w:r>
      <w:r>
        <w:rPr>
          <w:rFonts w:ascii="Times New Roman" w:hAnsi="Times New Roman"/>
        </w:rPr>
        <w:t xml:space="preserve"> is best classified as three distinct species: a northern species, a southern species, and a Columbia Basin species. This classification is similar to that of Seeliger (1945), except elevated to the species level and without recognition of a distinct Baja species.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More recently, the phylogeography of </w:t>
      </w:r>
      <w:r>
        <w:rPr>
          <w:rFonts w:ascii="Times New Roman" w:hAnsi="Times New Roman"/>
          <w:i/>
          <w:iCs/>
        </w:rPr>
        <w:t>E. marmorata</w:t>
      </w:r>
      <w:r>
        <w:rPr>
          <w:rFonts w:ascii="Times New Roman" w:hAnsi="Times New Roman"/>
        </w:rPr>
        <w:t xml:space="preserve"> and the possibility of cryptic diversity was investigated using molecular data (Spinks &amp; Shaffer, 2005; Spinks, Thomson, &amp; Shaffer 2010, 2014). Based on mitochondrial DNA, Spinks &amp; Shaffer (2005) recognized four subclades within </w:t>
      </w:r>
      <w:r>
        <w:rPr>
          <w:rFonts w:ascii="Times New Roman" w:hAnsi="Times New Roman"/>
          <w:i/>
          <w:iCs/>
        </w:rPr>
        <w:t>E. marmorata</w:t>
      </w:r>
      <w:r>
        <w:rPr>
          <w:rFonts w:ascii="Times New Roman" w:hAnsi="Times New Roman"/>
        </w:rPr>
        <w:t xml:space="preserve">, a northern clade, a San Joaquin Valley clade, a Santa Barbara clade, and a southern clade. Analyses with nuclear DNA (Spinks </w:t>
      </w:r>
      <w:r>
        <w:rPr>
          <w:rFonts w:ascii="Times New Roman" w:hAnsi="Times New Roman"/>
          <w:i/>
          <w:iCs/>
        </w:rPr>
        <w:t>et al.</w:t>
      </w:r>
      <w:r>
        <w:rPr>
          <w:rFonts w:ascii="Times New Roman" w:hAnsi="Times New Roman"/>
        </w:rPr>
        <w:t xml:space="preserve">, 2010) and single-nucleotide polymorphism (SNP) data suggest a primarily north–south division in </w:t>
      </w:r>
      <w:r>
        <w:rPr>
          <w:rFonts w:ascii="Times New Roman" w:hAnsi="Times New Roman"/>
          <w:i/>
          <w:iCs/>
        </w:rPr>
        <w:t>E. marmorata</w:t>
      </w:r>
      <w:r>
        <w:rPr>
          <w:rFonts w:ascii="Times New Roman" w:hAnsi="Times New Roman"/>
        </w:rPr>
        <w:t xml:space="preserve">, although these datasets differed from that of mitocondrial-based results of Spinks &amp; Shaffer (2005) in the location of the break point (Spinks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2014). All three studies discussed the potential taxonomic implications of their results, with Spinks </w:t>
      </w:r>
      <w:r>
        <w:rPr>
          <w:rFonts w:ascii="Times New Roman" w:hAnsi="Times New Roman"/>
          <w:i/>
          <w:iCs/>
        </w:rPr>
        <w:t>et al.</w:t>
      </w:r>
      <w:r>
        <w:rPr>
          <w:rFonts w:ascii="Times New Roman" w:hAnsi="Times New Roman"/>
        </w:rPr>
        <w:t xml:space="preserve"> (2014) going so far as to strongly advocate for the recognition of at least two species (</w:t>
      </w:r>
      <w:r>
        <w:rPr>
          <w:rFonts w:ascii="Times New Roman" w:hAnsi="Times New Roman"/>
          <w:i/>
          <w:iCs/>
        </w:rPr>
        <w:t>E. marmorata</w:t>
      </w:r>
      <w:r>
        <w:rPr>
          <w:rFonts w:ascii="Times New Roman" w:hAnsi="Times New Roman"/>
        </w:rPr>
        <w:t xml:space="preserve"> and </w:t>
      </w:r>
      <w:r>
        <w:rPr>
          <w:rFonts w:ascii="Times New Roman" w:hAnsi="Times New Roman"/>
          <w:i/>
          <w:iCs/>
        </w:rPr>
        <w:t>E. pallida</w:t>
      </w:r>
      <w:r>
        <w:rPr>
          <w:rFonts w:ascii="Times New Roman" w:hAnsi="Times New Roman"/>
        </w:rPr>
        <w:t xml:space="preserve">), and a possible third based on populations in Baja California. However, they did not discuss in detail the morphological characters that would help to diagnose these species beyond those specified by Seeliger (1945). Given that these characters are variable within the proposed species, and that Holland (1992) described shell shape variation that might be consistent with this taxonomy, a geometric morphometric analysis of shell shape might provide a reliable way to diagnose groups (whether species or subspecies) within </w:t>
      </w:r>
      <w:r>
        <w:rPr>
          <w:rFonts w:ascii="Times New Roman" w:hAnsi="Times New Roman"/>
          <w:i/>
          <w:iCs/>
        </w:rPr>
        <w:t>E. marmorata</w:t>
      </w:r>
      <w:r>
        <w:rPr>
          <w:rFonts w:ascii="Times New Roman" w:hAnsi="Times New Roman"/>
        </w:rPr>
        <w:t>.</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In this study, we attempt to estimate the best classification scheme of </w:t>
      </w:r>
      <w:r>
        <w:rPr>
          <w:rFonts w:ascii="Times New Roman" w:hAnsi="Times New Roman"/>
          <w:i/>
          <w:iCs/>
        </w:rPr>
        <w:t>E. marmorata</w:t>
      </w:r>
      <w:r>
        <w:rPr>
          <w:rFonts w:ascii="Times New Roman" w:hAnsi="Times New Roman"/>
        </w:rPr>
        <w:t xml:space="preserve"> based on variation in plastron (ventral shell) shape in order to determine whether this character is consistent with any of the proposed taxonomies of the </w:t>
      </w:r>
      <w:r>
        <w:rPr>
          <w:rFonts w:ascii="Times New Roman" w:hAnsi="Times New Roman"/>
          <w:i/>
          <w:iCs/>
        </w:rPr>
        <w:t>E. marmorata complex</w:t>
      </w:r>
      <w:r>
        <w:rPr>
          <w:rFonts w:ascii="Times New Roman" w:hAnsi="Times New Roman"/>
        </w:rPr>
        <w:t>. We choose to analyze plastron shape for multiple reasons. First, it is very easy to collect geometric morphometric data on plastron shape from two-dimensional pictures as the structure is virtually flat. This approach allows both museum specimens and individuals in the field to be analyzed together. Second, previous work has suggested that there are strong differences in plastron shape among traditionally-recognized emydine species (Angielczyk &amp; Sheets, 2007; Angielczyk, Feldman, &amp; Miller, 2011; Angielczyk &amp; Feldman, 2013). Finally, due to these previous studies a large dataset was readily available.</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In the case of the </w:t>
      </w:r>
      <w:r>
        <w:rPr>
          <w:rFonts w:ascii="Times New Roman" w:hAnsi="Times New Roman"/>
          <w:i/>
          <w:iCs/>
        </w:rPr>
        <w:t>E. marmorata</w:t>
      </w:r>
      <w:r>
        <w:rPr>
          <w:rFonts w:ascii="Times New Roman" w:hAnsi="Times New Roman"/>
        </w:rPr>
        <w:t xml:space="preserve"> 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proposed hypotheses are inconsistent with whatever information is present in the morphological data. Because of unclear geographic boundaries between subgroups of </w:t>
      </w:r>
      <w:r>
        <w:rPr>
          <w:rFonts w:ascii="Times New Roman" w:hAnsi="Times New Roman"/>
          <w:i/>
          <w:iCs/>
        </w:rPr>
        <w:t>E. marmorata</w:t>
      </w:r>
      <w:r>
        <w:rPr>
          <w:rFonts w:ascii="Times New Roman" w:hAnsi="Times New Roman"/>
        </w:rPr>
        <w:t xml:space="preserve">, we compare multiple permutations of the (Spinks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2010) and Spinks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(2014) hypotheses.</w:t>
      </w:r>
    </w:p>
    <w:p>
      <w:pPr>
        <w:pStyle w:val="Normal"/>
        <w:widowControl w:val="false"/>
        <w:suppressAutoHyphens w:val="true"/>
        <w:bidi w:val="0"/>
        <w:spacing w:lineRule="auto" w:line="480"/>
        <w:ind w:left="0" w:right="0" w:firstLine="540"/>
        <w:jc w:val="left"/>
        <w:rPr/>
      </w:pPr>
      <w:r>
        <w:rPr/>
      </w:r>
    </w:p>
    <w:p>
      <w:pPr>
        <w:pStyle w:val="Normal"/>
        <w:spacing w:lineRule="auto" w:line="480"/>
        <w:jc w:val="center"/>
        <w:rPr>
          <w:rFonts w:ascii="Times New Roman" w:hAnsi="Times New Roman"/>
        </w:rPr>
      </w:pPr>
      <w:r>
        <w:rPr>
          <w:rFonts w:ascii="Times New Roman" w:hAnsi="Times New Roman"/>
        </w:rPr>
        <w:t>METHODS</w:t>
      </w:r>
    </w:p>
    <w:p>
      <w:pPr>
        <w:pStyle w:val="Normal"/>
        <w:spacing w:lineRule="auto" w:line="480"/>
        <w:jc w:val="center"/>
        <w:rPr>
          <w:rFonts w:ascii="Times New Roman" w:hAnsi="Times New Roman"/>
          <w:smallCaps/>
        </w:rPr>
      </w:pPr>
      <w:r>
        <w:rPr>
          <w:rFonts w:ascii="Times New Roman" w:hAnsi="Times New Roman"/>
          <w:smallCaps/>
        </w:rPr>
        <w:t>Specimens, sampling, morphometrics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Three different geometric morphometric datasets describing turtle plastron variation were assembled for this analysis: 1) specimens from eight distinct emydine species; 2) </w:t>
      </w:r>
      <w:r>
        <w:rPr>
          <w:rFonts w:ascii="Times New Roman" w:hAnsi="Times New Roman"/>
          <w:i/>
          <w:iCs/>
        </w:rPr>
        <w:t>T. scripta</w:t>
      </w:r>
      <w:r>
        <w:rPr>
          <w:rFonts w:ascii="Times New Roman" w:hAnsi="Times New Roman"/>
        </w:rPr>
        <w:t xml:space="preserve"> specimens from the two main subspecies (</w:t>
      </w:r>
      <w:r>
        <w:rPr>
          <w:rFonts w:ascii="Times New Roman" w:hAnsi="Times New Roman"/>
          <w:i/>
          <w:iCs/>
        </w:rPr>
        <w:t>T. scripta elegans</w:t>
      </w:r>
      <w:r>
        <w:rPr>
          <w:rFonts w:ascii="Times New Roman" w:hAnsi="Times New Roman"/>
        </w:rPr>
        <w:t xml:space="preserve"> and </w:t>
      </w:r>
      <w:r>
        <w:rPr>
          <w:rFonts w:ascii="Times New Roman" w:hAnsi="Times New Roman"/>
          <w:i/>
          <w:iCs/>
        </w:rPr>
        <w:t>T. scripta scripta</w:t>
      </w:r>
      <w:r>
        <w:rPr>
          <w:rFonts w:ascii="Times New Roman" w:hAnsi="Times New Roman"/>
        </w:rPr>
        <w:t xml:space="preserve">); and 3) </w:t>
      </w:r>
      <w:r>
        <w:rPr>
          <w:rFonts w:ascii="Times New Roman" w:hAnsi="Times New Roman"/>
          <w:i/>
          <w:iCs/>
        </w:rPr>
        <w:t>E. marmorata</w:t>
      </w:r>
      <w:r>
        <w:rPr>
          <w:rFonts w:ascii="Times New Roman" w:hAnsi="Times New Roman"/>
        </w:rPr>
        <w:t xml:space="preserve"> specimens from across the species’ geographic range. The first two datasets are intended to serve as a test of whether machine learning techniques can differentiate species-level groupings of emydine turtles using plastron shape. We expect that the first case represents a low complexity dataset because of the high level of plastron shape disparity that exists among these species (Claude </w:t>
      </w:r>
      <w:r>
        <w:rPr>
          <w:rFonts w:ascii="Times New Roman" w:hAnsi="Times New Roman"/>
          <w:i/>
          <w:iCs/>
        </w:rPr>
        <w:t>et al.</w:t>
      </w:r>
      <w:r>
        <w:rPr>
          <w:rFonts w:ascii="Times New Roman" w:hAnsi="Times New Roman"/>
        </w:rPr>
        <w:t xml:space="preserve"> 2003; Claude, 2006; Angielczyk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2011), whereas the second dataset should be relatively higher in complexity and more analogous to the </w:t>
      </w:r>
      <w:r>
        <w:rPr>
          <w:rFonts w:ascii="Times New Roman" w:hAnsi="Times New Roman"/>
          <w:i/>
          <w:iCs/>
        </w:rPr>
        <w:t>E. marmorata</w:t>
      </w:r>
      <w:r>
        <w:rPr>
          <w:rFonts w:ascii="Times New Roman" w:hAnsi="Times New Roman"/>
        </w:rPr>
        <w:t xml:space="preserve"> example. We predict that the </w:t>
      </w:r>
      <w:r>
        <w:rPr>
          <w:rFonts w:ascii="Times New Roman" w:hAnsi="Times New Roman"/>
          <w:i/>
          <w:iCs/>
        </w:rPr>
        <w:t>E. marmorata</w:t>
      </w:r>
      <w:r>
        <w:rPr>
          <w:rFonts w:ascii="Times New Roman" w:hAnsi="Times New Roman"/>
        </w:rPr>
        <w:t xml:space="preserve"> dataset should be of the highest complexity and our greatest challenge given the finding that only very subtle differences existed between geographically-distinct populations (Holland, 1992). The first dataset we analyzed includes 578 total specimens from the following species: </w:t>
      </w:r>
      <w:r>
        <w:rPr>
          <w:rFonts w:ascii="Times New Roman" w:hAnsi="Times New Roman"/>
          <w:i/>
          <w:iCs/>
        </w:rPr>
        <w:t>Chrysemys picta</w:t>
      </w:r>
      <w:r>
        <w:rPr>
          <w:rFonts w:ascii="Times New Roman" w:hAnsi="Times New Roman"/>
        </w:rPr>
        <w:t xml:space="preserve">, </w:t>
      </w:r>
      <w:r>
        <w:rPr>
          <w:rFonts w:ascii="Times New Roman" w:hAnsi="Times New Roman"/>
          <w:i/>
          <w:iCs/>
        </w:rPr>
        <w:t>Clemmys guttata</w:t>
      </w:r>
      <w:r>
        <w:rPr>
          <w:rFonts w:ascii="Times New Roman" w:hAnsi="Times New Roman"/>
        </w:rPr>
        <w:t xml:space="preserve">, </w:t>
      </w:r>
      <w:r>
        <w:rPr>
          <w:rFonts w:ascii="Times New Roman" w:hAnsi="Times New Roman"/>
          <w:i/>
          <w:iCs/>
        </w:rPr>
        <w:t>Emys blandigii</w:t>
      </w:r>
      <w:r>
        <w:rPr>
          <w:rFonts w:ascii="Times New Roman" w:hAnsi="Times New Roman"/>
        </w:rPr>
        <w:t xml:space="preserve">, </w:t>
      </w:r>
      <w:r>
        <w:rPr>
          <w:rFonts w:ascii="Times New Roman" w:hAnsi="Times New Roman"/>
          <w:i/>
          <w:iCs/>
        </w:rPr>
        <w:t>Emys orbicularis</w:t>
      </w:r>
      <w:r>
        <w:rPr>
          <w:rFonts w:ascii="Times New Roman" w:hAnsi="Times New Roman"/>
        </w:rPr>
        <w:t xml:space="preserve">, </w:t>
      </w:r>
      <w:r>
        <w:rPr>
          <w:rFonts w:ascii="Times New Roman" w:hAnsi="Times New Roman"/>
          <w:i/>
          <w:iCs/>
        </w:rPr>
        <w:t>Glyptemys insculpta</w:t>
      </w:r>
      <w:r>
        <w:rPr>
          <w:rFonts w:ascii="Times New Roman" w:hAnsi="Times New Roman"/>
        </w:rPr>
        <w:t xml:space="preserve">, </w:t>
      </w:r>
      <w:r>
        <w:rPr>
          <w:rFonts w:ascii="Times New Roman" w:hAnsi="Times New Roman"/>
          <w:i/>
          <w:iCs/>
        </w:rPr>
        <w:t>Glyptemys muhlenbergii</w:t>
      </w:r>
      <w:r>
        <w:rPr>
          <w:rFonts w:ascii="Times New Roman" w:hAnsi="Times New Roman"/>
        </w:rPr>
        <w:t xml:space="preserve">, </w:t>
      </w:r>
      <w:r>
        <w:rPr>
          <w:rFonts w:ascii="Times New Roman" w:hAnsi="Times New Roman"/>
          <w:i/>
          <w:iCs/>
        </w:rPr>
        <w:t>Terrapene coahuila</w:t>
      </w:r>
      <w:r>
        <w:rPr>
          <w:rFonts w:ascii="Times New Roman" w:hAnsi="Times New Roman"/>
        </w:rPr>
        <w:t xml:space="preserve">, and </w:t>
      </w:r>
      <w:r>
        <w:rPr>
          <w:rFonts w:ascii="Times New Roman" w:hAnsi="Times New Roman"/>
          <w:i/>
          <w:iCs/>
        </w:rPr>
        <w:t>Terrapene ornata</w:t>
      </w:r>
      <w:r>
        <w:rPr>
          <w:rFonts w:ascii="Times New Roman" w:hAnsi="Times New Roman"/>
        </w:rPr>
        <w:t>. These specimens are a subset of those used in Angielczyk</w:t>
      </w:r>
      <w:r>
        <w:rPr>
          <w:rFonts w:ascii="Times New Roman" w:hAnsi="Times New Roman"/>
          <w:i/>
          <w:iCs/>
        </w:rPr>
        <w:t xml:space="preserve"> et al</w:t>
      </w:r>
      <w:r>
        <w:rPr>
          <w:rFonts w:ascii="Times New Roman" w:hAnsi="Times New Roman"/>
          <w:i w:val="false"/>
          <w:iCs w:val="false"/>
        </w:rPr>
        <w:t>,</w:t>
      </w:r>
      <w:r>
        <w:rPr>
          <w:rFonts w:ascii="Times New Roman" w:hAnsi="Times New Roman"/>
        </w:rPr>
        <w:t xml:space="preserve"> (2011) and Angielczyk &amp; Feldman (2013).</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The second dataset is a compilation of 101 specimens of two subspecies of </w:t>
      </w:r>
      <w:r>
        <w:rPr>
          <w:rFonts w:ascii="Times New Roman" w:hAnsi="Times New Roman"/>
          <w:i/>
          <w:iCs/>
        </w:rPr>
        <w:t>T. scripta</w:t>
      </w:r>
      <w:r>
        <w:rPr>
          <w:rFonts w:ascii="Times New Roman" w:hAnsi="Times New Roman"/>
        </w:rPr>
        <w:t xml:space="preserve">: 51 specimens of </w:t>
      </w:r>
      <w:r>
        <w:rPr>
          <w:rFonts w:ascii="Times New Roman" w:hAnsi="Times New Roman"/>
          <w:i/>
          <w:iCs/>
        </w:rPr>
        <w:t>T. scripta scripta</w:t>
      </w:r>
      <w:r>
        <w:rPr>
          <w:rFonts w:ascii="Times New Roman" w:hAnsi="Times New Roman"/>
        </w:rPr>
        <w:t xml:space="preserve"> and 50 specimens of </w:t>
      </w:r>
      <w:r>
        <w:rPr>
          <w:rFonts w:ascii="Times New Roman" w:hAnsi="Times New Roman"/>
          <w:i/>
          <w:iCs/>
        </w:rPr>
        <w:t>T. scripta elegans</w:t>
      </w:r>
      <w:r>
        <w:rPr>
          <w:rFonts w:ascii="Times New Roman" w:hAnsi="Times New Roman"/>
        </w:rPr>
        <w:t>. These landmark data are new to this study.</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The final dataset is of 532 adult </w:t>
      </w:r>
      <w:r>
        <w:rPr>
          <w:rFonts w:ascii="Times New Roman" w:hAnsi="Times New Roman"/>
          <w:i/>
          <w:iCs/>
        </w:rPr>
        <w:t>E. marmorata</w:t>
      </w:r>
      <w:r>
        <w:rPr>
          <w:rFonts w:ascii="Times New Roman" w:hAnsi="Times New Roman"/>
        </w:rPr>
        <w:t xml:space="preserve"> museum specimens, though not all specimens were able to be assigned a class for all schemes (Fig. 1). These specimens represent a subset of those included in Angielczyk &amp; Sheets (2007), Angielczyk </w:t>
      </w:r>
      <w:r>
        <w:rPr>
          <w:rFonts w:ascii="Times New Roman" w:hAnsi="Times New Roman"/>
          <w:i/>
          <w:iCs/>
        </w:rPr>
        <w:t>et al.</w:t>
      </w:r>
      <w:r>
        <w:rPr>
          <w:rFonts w:ascii="Times New Roman" w:hAnsi="Times New Roman"/>
        </w:rPr>
        <w:t xml:space="preserve"> (2011), and Angielczyk &amp; Feldman (2013). Because Spinks &amp; Shaffer (2005) and Spinks </w:t>
      </w:r>
      <w:r>
        <w:rPr>
          <w:rFonts w:ascii="Times New Roman" w:hAnsi="Times New Roman"/>
          <w:i/>
          <w:iCs/>
        </w:rPr>
        <w:t>et al.</w:t>
      </w:r>
      <w:r>
        <w:rPr>
          <w:rFonts w:ascii="Times New Roman" w:hAnsi="Times New Roman"/>
        </w:rPr>
        <w:t xml:space="preserve"> (2010, 2014) did not use vouchered specimens we were not able to directly sample the individuals in their studies. Instead, our specimen classifications were based solely on the geographic information and not explicit assignment using molecular data. For each taxonomic hypothesis, specimens were assigned to one of the possible classes based on geographic occurrence data recorded in museum collections. In cases where precise latitude and longitude information were not available we estimated them from other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taxonomic hypotheses and sub-hypotheses for E. marmorata used here are presented in Table 1 and Figure 1.</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For Spinks </w:t>
      </w:r>
      <w:r>
        <w:rPr>
          <w:rFonts w:ascii="Times New Roman" w:hAnsi="Times New Roman"/>
          <w:i/>
          <w:iCs/>
        </w:rPr>
        <w:t xml:space="preserve">et al. </w:t>
      </w:r>
      <w:r>
        <w:rPr>
          <w:rFonts w:ascii="Times New Roman" w:hAnsi="Times New Roman"/>
        </w:rPr>
        <w:t xml:space="preserve">(2010) we used three binning schemes. All three schemes include a class for </w:t>
      </w:r>
      <w:r>
        <w:rPr>
          <w:rFonts w:ascii="Times New Roman" w:hAnsi="Times New Roman"/>
          <w:i/>
          <w:iCs/>
        </w:rPr>
        <w:t>E. marmorata</w:t>
      </w:r>
      <w:r>
        <w:rPr>
          <w:rFonts w:ascii="Times New Roman" w:hAnsi="Times New Roman"/>
        </w:rPr>
        <w:t xml:space="preserve"> specimens from northern populations (marm) as well as a class for those assigned to </w:t>
      </w:r>
      <w:r>
        <w:rPr>
          <w:rFonts w:ascii="Times New Roman" w:hAnsi="Times New Roman"/>
          <w:i/>
          <w:iCs/>
        </w:rPr>
        <w:t>E. pallida</w:t>
      </w:r>
      <w:r>
        <w:rPr>
          <w:rFonts w:ascii="Times New Roman" w:hAnsi="Times New Roman"/>
        </w:rPr>
        <w:t xml:space="preserve"> (pall) and an intergrade zone in the Central Coast Ranges (CCR). The schemes differ in the assignment of samples from the San Joaquin Valley (Fig. 1). Scheme SP10.1 and SP10.2 differ in the assignment of specimens from the western San Joaquin Valley to either CCR or marm reflecting uncertainty regarding their genetic affinity as explained above. In scheme SP10.3 these specimens are assigned to a San Joaquin class reflecting the mitochondrial distinctiveness shown by Spinks &amp; Shaffer (2005). For Spinks </w:t>
      </w:r>
      <w:r>
        <w:rPr>
          <w:rFonts w:ascii="Times New Roman" w:hAnsi="Times New Roman"/>
          <w:i/>
          <w:iCs/>
        </w:rPr>
        <w:t>et al.</w:t>
      </w:r>
      <w:r>
        <w:rPr>
          <w:rFonts w:ascii="Times New Roman" w:hAnsi="Times New Roman"/>
        </w:rPr>
        <w:t xml:space="preserve"> (2014) we used two binning schemes with SP14.1 being based on their phylogenetic network analysis and SP14.2 being based on their Bayesian species delimitation analysis. The latter scheme requires the addition of two new classes, “Baja” and “Foothill,” to accommodate the genetic groupings recovered by the SNP Structure analysis that was used to create the guide tree for the BPP species delimitation analysis in Spinks </w:t>
      </w:r>
      <w:r>
        <w:rPr>
          <w:rFonts w:ascii="Times New Roman" w:hAnsi="Times New Roman"/>
          <w:i/>
          <w:iCs/>
        </w:rPr>
        <w:t>et al.</w:t>
      </w:r>
      <w:r>
        <w:rPr>
          <w:rFonts w:ascii="Times New Roman" w:hAnsi="Times New Roman"/>
        </w:rPr>
        <w:t xml:space="preserve"> (2014). Finally, we proposed a conservative morphological hypothesis (“Morph”) in order to compare the molecular hypotheses with something approximating the original taxonomic hypothesis for the group; this scheme is made up solely of the marm and pall classes from the SP10.3 scheme.</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Sex was known only for a subset of the total dataset and was not included as a predictor of classification. Instead, we estimated the degree by which specimens cluster morphologically by sex in order to determine how much of a potential biasing factor sexual dimorphism could be for our analysis of the </w:t>
      </w:r>
      <w:r>
        <w:rPr>
          <w:rFonts w:ascii="Times New Roman" w:hAnsi="Times New Roman"/>
          <w:i/>
          <w:iCs/>
        </w:rPr>
        <w:t>E. marmorata</w:t>
      </w:r>
      <w:r>
        <w:rPr>
          <w:rFonts w:ascii="Times New Roman" w:hAnsi="Times New Roman"/>
        </w:rPr>
        <w:t xml:space="preserve"> species complex (see below). Following previous work on plastron shape (Angielczyk &amp; Sheets, 2007; Angielczyk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2011; Angielczyk &amp; Feldman, 2013), we used TpsDig 2.04 (Rohlf, 2005) to digitize 19 two-dimensional landmarks (Fig. 2).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 “half” plastra. We superimposed the plastral landmark configurations using generalized Procrustes analysis (Dryden &amp; Mardia, 1998), after which we calculated the principal components (PC) of shape using the </w:t>
      </w:r>
      <w:r>
        <w:rPr>
          <w:rStyle w:val="SourceText"/>
          <w:rFonts w:ascii="Times New Roman" w:hAnsi="Times New Roman"/>
        </w:rPr>
        <w:t>shapes</w:t>
      </w:r>
      <w:r>
        <w:rPr>
          <w:rFonts w:ascii="Times New Roman" w:hAnsi="Times New Roman"/>
        </w:rPr>
        <w:t xml:space="preserve"> package for R (R Core Team, 2016; Dryden, 2013). All specimens were used for superimposition, after which the subset labeled for each of the schemes were used in model training and testing (see below).</w:t>
      </w:r>
    </w:p>
    <w:p>
      <w:pPr>
        <w:pStyle w:val="Normal"/>
        <w:widowControl w:val="false"/>
        <w:suppressAutoHyphens w:val="true"/>
        <w:bidi w:val="0"/>
        <w:spacing w:lineRule="auto" w:line="480"/>
        <w:ind w:left="0" w:right="0" w:firstLine="540"/>
        <w:jc w:val="left"/>
        <w:rPr/>
      </w:pPr>
      <w:r>
        <w:rPr/>
      </w:r>
    </w:p>
    <w:p>
      <w:pPr>
        <w:pStyle w:val="Normal"/>
        <w:spacing w:lineRule="auto" w:line="480"/>
        <w:jc w:val="center"/>
        <w:rPr>
          <w:rFonts w:ascii="Times New Roman" w:hAnsi="Times New Roman"/>
          <w:smallCaps/>
        </w:rPr>
      </w:pPr>
      <w:r>
        <w:rPr>
          <w:rFonts w:ascii="Times New Roman" w:hAnsi="Times New Roman"/>
          <w:smallCaps/>
        </w:rPr>
        <w:t>Biasing effects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We estimated the possible effect of digitization error (Arnqvist &amp; Mårtensson, 1998; Cramon-Taubadel, Frazier, &amp; Lahr, 2007; Muñoz-Muñoz &amp; Perpiñán, 2010) on our results by comparing within-specimen (replicated) Procrustes distances to the distances between classification scheme centroids. Ten randomly-selected </w:t>
      </w:r>
      <w:r>
        <w:rPr>
          <w:rFonts w:ascii="Times New Roman" w:hAnsi="Times New Roman"/>
          <w:i/>
          <w:iCs/>
        </w:rPr>
        <w:t>E. marmorata</w:t>
      </w:r>
      <w:r>
        <w:rPr>
          <w:rFonts w:ascii="Times New Roman" w:hAnsi="Times New Roman"/>
        </w:rPr>
        <w:t xml:space="preserve"> specimens were each digitized four times, with the original set of digitized coordinates serving as a fifth replicate. These 50 landmark configurations were then Procrustes superimposed. A range of four Procrustes distances was then calculated as the average of the pairwise distances between each of the replicate configurations of a given specimen.</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i/>
          <w:iCs/>
        </w:rPr>
        <w:t>Emys marmorata</w:t>
      </w:r>
      <w:r>
        <w:rPr>
          <w:rFonts w:ascii="Times New Roman" w:hAnsi="Times New Roman"/>
        </w:rPr>
        <w:t xml:space="preserve"> is known to display sexual dimorphism in plastral shape, particularly the presence of a plastra concavity in males (Seeliger, 1945). To test for biases resulting from sexual dimorphism in our </w:t>
      </w:r>
      <w:r>
        <w:rPr>
          <w:rFonts w:ascii="Times New Roman" w:hAnsi="Times New Roman"/>
          <w:i/>
          <w:iCs/>
        </w:rPr>
        <w:t>E. marmorata</w:t>
      </w:r>
      <w:r>
        <w:rPr>
          <w:rFonts w:ascii="Times New Roman" w:hAnsi="Times New Roman"/>
        </w:rPr>
        <w:t xml:space="preserve"> dataset,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532).</w:t>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smallCaps/>
        </w:rPr>
      </w:pPr>
      <w:r>
        <w:rPr>
          <w:rFonts w:ascii="Times New Roman" w:hAnsi="Times New Roman"/>
          <w:smallCaps/>
        </w:rPr>
        <w:t>Supervised learning approaches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Instead of relying on a single supervised learning method, we chose to use an ensemble approach where multiple model types are used in concert so that any congruence between them increases our support for that conclusion over another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The supervised learning methods used here are named in Table 2. Each of these methods makes different assumptions, treats data differently, and can produce different classification results depending on the nature of the data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For example, multinomial logistic regression is a type of generalized linear model, whereas random forest is itself an ensemble approach where multiple decision trees are fit to subsets of the full dataset and then averaged. The maximum set of possible predictors or features used for any model of our dataset is comprised of the first 25 principal components (PCs), scaled centroid size, and the interaction between scaled centroid size and PC 1. Additional interaction terms were not considered because of model complexity/sample size concerns. Size and the interaction between size and PC 1 were included as predictors to account for known ontogenetic variation in plastron shape (Angielczyk &amp; Feldman, 2013) as well as potential size differences between classes, even if this is unlikely (Seeliger, 1945; Holland, 1992). These data constitute a “maximum set” 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reduction and orthogonality PCs to improve regression fit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Because the PCs of shape are by definition orthogonal, they can easily serve as independent predictors or features of class membership without fear of collinearity.</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We adopted a training and testing paradigm for selecting parsimonious models and estimating their overall error rates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Kuhn &amp; Johnson, 2013). Within-sample model performance is inherently biased upwards, so model evaluation requires overcoming this bias. With very large sample sizes, as in this study, part of the sample can be used as the “training set” and the remainder acts as the “testing set.” In this approach, following all cleaning and vetting, the data are split into a training dataset and a testing dataset. The former is used for fitting the model whereas the later is used for measuring model performance, a process called model generalization. For each scheme, we limited the model training and testing to only those individuals with class labels for that scheme. In this analysis, we randomly divided 80% of samples into the training set and the remaining 20% into the testing set.</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In classification studies, such as this one, a common metric of performance is the receiver operating characteristic (ROC) which is the relationship between the false and true positive rates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The area under the ROC curve (AUC) is the derived estimate of the model performance; AUC ranges from 0.5 to 1 which correspond to performance similar to random guesses and perfect classification rates, respectively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Both ROC and AUC are preferable to simple classification accuracy when class membership is unbalanced, as it is in these analyses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The standard ROC and AUC calculations are defined only for binary classifications, which is not the case for our eight species and </w:t>
      </w:r>
      <w:r>
        <w:rPr>
          <w:rFonts w:ascii="Times New Roman" w:hAnsi="Times New Roman"/>
          <w:i/>
          <w:iCs/>
        </w:rPr>
        <w:t>Emys</w:t>
      </w:r>
      <w:r>
        <w:rPr>
          <w:rFonts w:ascii="Times New Roman" w:hAnsi="Times New Roman"/>
        </w:rPr>
        <w:t xml:space="preserve"> complex datasets. To generalize this approach for situations with multiple response classes, we used an all-against-one strategy where the model AUC is the average of the AUC values from the multiple binary comparisons of one class compared to all others (Hand &amp; Till, 2001).</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In a single round of </w:t>
      </w:r>
      <w:r>
        <w:rPr>
          <w:rFonts w:ascii="Times New Roman" w:hAnsi="Times New Roman"/>
          <w:i/>
          <w:iCs/>
        </w:rPr>
        <w:t>k</w:t>
      </w:r>
      <w:r>
        <w:rPr>
          <w:rFonts w:ascii="Times New Roman" w:hAnsi="Times New Roman"/>
        </w:rPr>
        <w:t xml:space="preserve">-fold cross-validation, the training data are divided into </w:t>
      </w:r>
      <w:r>
        <w:rPr>
          <w:rFonts w:ascii="Times New Roman" w:hAnsi="Times New Roman"/>
          <w:i/>
          <w:iCs/>
        </w:rPr>
        <w:t xml:space="preserve">k </w:t>
      </w:r>
      <w:r>
        <w:rPr>
          <w:rFonts w:ascii="Times New Roman" w:hAnsi="Times New Roman"/>
        </w:rPr>
        <w:t xml:space="preserve">blocks where the model is fit to </w:t>
      </w:r>
      <w:r>
        <w:rPr>
          <w:rFonts w:ascii="Times New Roman" w:hAnsi="Times New Roman"/>
          <w:i/>
          <w:iCs/>
        </w:rPr>
        <w:t>k</w:t>
      </w:r>
      <w:r>
        <w:rPr>
          <w:rFonts w:ascii="Times New Roman" w:hAnsi="Times New Roman"/>
          <w:i w:val="false"/>
          <w:iCs w:val="false"/>
        </w:rPr>
        <w:t>-1</w:t>
      </w:r>
      <w:r>
        <w:rPr>
          <w:rFonts w:ascii="Times New Roman" w:hAnsi="Times New Roman"/>
        </w:rPr>
        <w:t xml:space="preserve">blocks and the values of the </w:t>
      </w:r>
      <w:r>
        <w:rPr>
          <w:rFonts w:ascii="Times New Roman" w:hAnsi="Times New Roman"/>
          <w:i/>
          <w:iCs/>
        </w:rPr>
        <w:t>k</w:t>
      </w:r>
      <w:r>
        <w:rPr>
          <w:rFonts w:ascii="Times New Roman" w:hAnsi="Times New Roman"/>
          <w:i w:val="false"/>
          <w:iCs w:val="false"/>
        </w:rPr>
        <w:t>th</w:t>
      </w:r>
      <w:r>
        <w:rPr>
          <w:rFonts w:ascii="Times New Roman" w:hAnsi="Times New Roman"/>
        </w:rPr>
        <w:t xml:space="preserve"> block are predicted. This is repeated for all combinations of blocks. Within each round, the predictive performance metrics are averaged across all folds. Finally, the predictive performance metric is the averaged across all rounds of </w:t>
      </w:r>
      <w:r>
        <w:rPr>
          <w:rFonts w:ascii="Times New Roman" w:hAnsi="Times New Roman"/>
          <w:i/>
          <w:iCs/>
        </w:rPr>
        <w:t>k</w:t>
      </w:r>
      <w:r>
        <w:rPr>
          <w:rFonts w:ascii="Times New Roman" w:hAnsi="Times New Roman"/>
        </w:rPr>
        <w:t xml:space="preserve">-fold cross-validation. This process was implemented using the R package </w:t>
      </w:r>
      <w:r>
        <w:rPr>
          <w:rStyle w:val="SourceText"/>
          <w:rFonts w:ascii="Times New Roman" w:hAnsi="Times New Roman"/>
        </w:rPr>
        <w:t>caret</w:t>
      </w:r>
      <w:r>
        <w:rPr>
          <w:rFonts w:ascii="Times New Roman" w:hAnsi="Times New Roman"/>
        </w:rPr>
        <w:t xml:space="preserve"> (Kuhn, 2013). For a given supervised learning method, the “best” trained model is that with the highest mean AUC as estimated from five-fold cross-validation. The selected or final model, however, is the next most parsimonious model that is within one standard error of the best model; this is a variant on the “one-standard error” rule from Hastie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(2009). The purpose of this rule is to ameliorate the chances of selecting an overly complex model that will perform poorly when predicting the classes of out-of-sample data.</w:t>
      </w:r>
    </w:p>
    <w:p>
      <w:pPr>
        <w:pStyle w:val="Normal"/>
        <w:widowControl w:val="false"/>
        <w:suppressAutoHyphens w:val="true"/>
        <w:bidi w:val="0"/>
        <w:spacing w:lineRule="auto" w:line="480"/>
        <w:ind w:left="0" w:right="0" w:firstLine="540"/>
        <w:jc w:val="left"/>
        <w:rPr/>
      </w:pPr>
      <w:r>
        <w:rPr/>
      </w:r>
    </w:p>
    <w:p>
      <w:pPr>
        <w:pStyle w:val="Normal"/>
        <w:spacing w:lineRule="auto" w:line="480"/>
        <w:jc w:val="center"/>
        <w:rPr>
          <w:rFonts w:ascii="Times New Roman" w:hAnsi="Times New Roman"/>
        </w:rPr>
      </w:pPr>
      <w:r>
        <w:rPr>
          <w:rFonts w:ascii="Times New Roman" w:hAnsi="Times New Roman"/>
        </w:rPr>
        <w:t>RESULTS</w:t>
      </w:r>
    </w:p>
    <w:p>
      <w:pPr>
        <w:pStyle w:val="Normal"/>
        <w:spacing w:lineRule="auto" w:line="480"/>
        <w:jc w:val="center"/>
        <w:rPr>
          <w:rFonts w:ascii="Times New Roman" w:hAnsi="Times New Roman"/>
          <w:smallCaps/>
        </w:rPr>
      </w:pPr>
      <w:r>
        <w:rPr>
          <w:rFonts w:ascii="Times New Roman" w:hAnsi="Times New Roman"/>
          <w:smallCaps/>
        </w:rPr>
        <w:t>Geometric morphometrics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The results of the PCA of plastron shape in both the eight species and </w:t>
      </w:r>
      <w:r>
        <w:rPr>
          <w:rFonts w:ascii="Times New Roman" w:hAnsi="Times New Roman"/>
          <w:i/>
          <w:iCs/>
        </w:rPr>
        <w:t>Trachemys</w:t>
      </w:r>
      <w:r>
        <w:rPr>
          <w:rFonts w:ascii="Times New Roman" w:hAnsi="Times New Roman"/>
        </w:rPr>
        <w:t xml:space="preserve"> datasets demonstrate strong association between shape and the recognized classification schemes (Fig. 3).</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The results of the PCA of plastron shape in the </w:t>
      </w:r>
      <w:r>
        <w:rPr>
          <w:rFonts w:ascii="Times New Roman" w:hAnsi="Times New Roman"/>
          <w:i/>
          <w:iCs/>
        </w:rPr>
        <w:t>Emys marmorata</w:t>
      </w:r>
      <w:r>
        <w:rPr>
          <w:rFonts w:ascii="Times New Roman" w:hAnsi="Times New Roman"/>
        </w:rPr>
        <w:t xml:space="preserve"> dataset show no clear connection between plastron shape and any of the proposed classification schemes (Fig. 4). The first PC axis of shape variation appears to be primarily structured by differences in individual centroid size (Fig. 4); this was the motivation for including centroid size and its interaction with PC1 as predictors in all of the supervised learning models.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Analysis of the differences between sexes of </w:t>
      </w:r>
      <w:r>
        <w:rPr>
          <w:rFonts w:ascii="Times New Roman" w:hAnsi="Times New Roman"/>
          <w:i/>
          <w:iCs/>
        </w:rPr>
        <w:t>E. marmorata</w:t>
      </w:r>
      <w:r>
        <w:rPr>
          <w:rFonts w:ascii="Times New Roman" w:hAnsi="Times New Roman"/>
        </w:rPr>
        <w:t xml:space="preserve"> indicates that sex does not appear to strongly structure differences in shape (Fig. 5). The difference in mean shape between the sexes is very small; the sexes overlap about has much as expected given a null distribution based on permuting the sex-labels.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Comparison of the within to between Procrustes distances of the digitization replicates gives an approximate estimate of the error between distinct groupings (Table 3).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 1.11/1.</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The results from the eight species and </w:t>
      </w:r>
      <w:r>
        <w:rPr>
          <w:rFonts w:ascii="Times New Roman" w:hAnsi="Times New Roman"/>
          <w:i/>
          <w:iCs/>
        </w:rPr>
        <w:t>Trachemys</w:t>
      </w:r>
      <w:r>
        <w:rPr>
          <w:rFonts w:ascii="Times New Roman" w:hAnsi="Times New Roman"/>
        </w:rPr>
        <w:t xml:space="preserve"> datasets indicate that both of these classification schemes are more recognizable than not given our estimate of digitization error (Table 3). In contrast, the different </w:t>
      </w:r>
      <w:r>
        <w:rPr>
          <w:rFonts w:ascii="Times New Roman" w:hAnsi="Times New Roman"/>
          <w:i/>
          <w:iCs/>
        </w:rPr>
        <w:t>E. marmorata</w:t>
      </w:r>
      <w:r>
        <w:rPr>
          <w:rFonts w:ascii="Times New Roman" w:hAnsi="Times New Roman"/>
        </w:rPr>
        <w:t xml:space="preserve"> classification schemes appear to barely be distinct, with their within:between ratios approximating 1. This indicates that the magnitude of the differences between groupings is approximately the same as the difference between any two random individuals (Table 3).</w:t>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smallCaps/>
        </w:rPr>
      </w:pPr>
      <w:r>
        <w:rPr>
          <w:rFonts w:ascii="Times New Roman" w:hAnsi="Times New Roman"/>
          <w:smallCaps/>
        </w:rPr>
        <w:t>Supervised learning</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Analysis of the eight morphologically- and genetically-distinct species and the </w:t>
      </w:r>
      <w:r>
        <w:rPr>
          <w:rFonts w:ascii="Times New Roman" w:hAnsi="Times New Roman"/>
          <w:i/>
          <w:iCs/>
        </w:rPr>
        <w:t>T. scripta scripta</w:t>
      </w:r>
      <w:r>
        <w:rPr>
          <w:rFonts w:ascii="Times New Roman" w:hAnsi="Times New Roman"/>
        </w:rPr>
        <w:t>–</w:t>
      </w:r>
      <w:r>
        <w:rPr>
          <w:rFonts w:ascii="Times New Roman" w:hAnsi="Times New Roman"/>
          <w:i/>
          <w:iCs/>
        </w:rPr>
        <w:t>T. scripta elegans</w:t>
      </w:r>
      <w:r>
        <w:rPr>
          <w:rFonts w:ascii="Times New Roman" w:hAnsi="Times New Roman"/>
        </w:rPr>
        <w:t xml:space="preserve"> datasets indicate that these taxa are sufficiently morphologically distinct to be differentiated on the basis of plastron shape. Both in-sample and out-of-sample classification have AUC values of approximately 1 for all methods, implying near-perfect classification rates (Figs. 6, 7). For both datasets, the ROC scores from testing datasets are tightly clustered near AUC = 1 (Fig. 7). These results demonstrate that when there are distinctions between the states of the classification schemes (i.e. differences in plastron shape that correlate with the different taxonomic groups), the methods used here can recover them.</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AUC–based model selection revealed some important patterns of variation and congruence between the classification schemes and the actual data. Generally, the best performing models tended to include about half the total number of possible PCs  (Fig. 8).</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Observed AUC values for all of the optimal models are lower for the E. marmorata dataset than for the other two datasets (Figs. 6, 8). In most cases the different proposed classification schemes are generally poor descriptors of the observed variation. It appears that the dataset is overwhelmed by noise (likely biological and analytical), making any accurate classifications difficult at best. This observation is cemented with the generalizations of the models to the testing dataset (Fig. 9).</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Mean AUC values for the model generalizations, in most cases, are approximately equal to the observed AUC values from the training dataset (Figs. 8, 9). The cases in which the AUC from the generalizations is less than the observed indicate poor model fit and a poor classification scheme. Comparison of AUC values from the model generalizations do not indicate a clear “best” classification scheme (Figs. 8, 9). Only in the case of the conservative morphological hypothesis (“Morph”) is the mean AUC value potentially distinct from that of other schemes; in this case mean AUC is lower than the average of the other five schemes which indicates that the moprhologically-based scheme performs more poorly than the molecularly-based ones. It is important to note, however, that the training and testing dataset for the “Morph” scheme is the smallest of the six schemes which may lead to poorer performance in in-sample and out-of-sample comparisons.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DISCUSSION</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As expected, our ensemble approach yields high out-of-sample classification performance for the first two datasets. These results indicate that in cases of clear class separation (Fig. 3) our approach is able to detect this and make good out-of-sample prediction.</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In the case of the </w:t>
      </w:r>
      <w:r>
        <w:rPr>
          <w:rFonts w:ascii="Times New Roman" w:hAnsi="Times New Roman"/>
          <w:i/>
          <w:iCs/>
        </w:rPr>
        <w:t>E. marmorata</w:t>
      </w:r>
      <w:r>
        <w:rPr>
          <w:rFonts w:ascii="Times New Roman" w:hAnsi="Times New Roman"/>
        </w:rPr>
        <w:t xml:space="preserve"> dataset, our results show that none of the proposed taxonomic hypotheses for the </w:t>
      </w:r>
      <w:r>
        <w:rPr>
          <w:rFonts w:ascii="Times New Roman" w:hAnsi="Times New Roman"/>
          <w:i/>
          <w:iCs/>
        </w:rPr>
        <w:t>E. marmorata</w:t>
      </w:r>
      <w:r>
        <w:rPr>
          <w:rFonts w:ascii="Times New Roman" w:hAnsi="Times New Roman"/>
        </w:rPr>
        <w:t xml:space="preserve"> species complex are more consistent with morphological differentiation than any other proposal (Fig. 9). Both the low out-of-sample AUC values and the significant difference between the correctly and incorrectly classified observations support the conclusion that none of the hypothesized classification schemes are good descriptions of the observed plastral variation within </w:t>
      </w:r>
      <w:r>
        <w:rPr>
          <w:rFonts w:ascii="Times New Roman" w:hAnsi="Times New Roman"/>
          <w:i/>
          <w:iCs/>
        </w:rPr>
        <w:t>E. marmorata</w:t>
      </w:r>
      <w:r>
        <w:rPr>
          <w:rFonts w:ascii="Times New Roman" w:hAnsi="Times New Roman"/>
        </w:rPr>
        <w:t xml:space="preserve">. An analytical explanation of this result is that the level of digitization error in the </w:t>
      </w:r>
      <w:r>
        <w:rPr>
          <w:rFonts w:ascii="Times New Roman" w:hAnsi="Times New Roman"/>
          <w:i/>
          <w:iCs/>
        </w:rPr>
        <w:t>E. marmorata</w:t>
      </w:r>
      <w:r>
        <w:rPr>
          <w:rFonts w:ascii="Times New Roman" w:hAnsi="Times New Roman"/>
        </w:rPr>
        <w:t xml:space="preserve"> dataset is so great as to swamp out any biological signal. We think this is unlikely because all of the specimens considered in our three analyses were digitized by one of us (K.D.A.), and digitization error was not a problem in the eight species or </w:t>
      </w:r>
      <w:r>
        <w:rPr>
          <w:rFonts w:ascii="Times New Roman" w:hAnsi="Times New Roman"/>
          <w:i/>
          <w:iCs/>
        </w:rPr>
        <w:t>Trachemys</w:t>
      </w:r>
      <w:r>
        <w:rPr>
          <w:rFonts w:ascii="Times New Roman" w:hAnsi="Times New Roman"/>
        </w:rPr>
        <w:t xml:space="preserve"> examples. There are also no features of the plastron of </w:t>
      </w:r>
      <w:r>
        <w:rPr>
          <w:rFonts w:ascii="Times New Roman" w:hAnsi="Times New Roman"/>
          <w:i/>
          <w:iCs/>
        </w:rPr>
        <w:t>E. marmorata</w:t>
      </w:r>
      <w:r>
        <w:rPr>
          <w:rFonts w:ascii="Times New Roman" w:hAnsi="Times New Roman"/>
        </w:rPr>
        <w:t xml:space="preserve"> that would make it significantly more difficult to accurately digitize than the plastra of the other speices.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Biological explanations include the possibility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 (Rivera ,2008; Rivera &amp; Stayton, 2011; Stayton, 2011; Rivera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2014; Polly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2016), and that shell shape in </w:t>
      </w:r>
      <w:r>
        <w:rPr>
          <w:rFonts w:ascii="Times New Roman" w:hAnsi="Times New Roman"/>
          <w:i/>
          <w:iCs/>
        </w:rPr>
        <w:t>E. marmorata</w:t>
      </w:r>
      <w:r>
        <w:rPr>
          <w:rFonts w:ascii="Times New Roman" w:hAnsi="Times New Roman"/>
        </w:rPr>
        <w:t xml:space="preserve"> is known to vary among populations inhabiting water bodies with different flow regimes (Holland, 1992; Lubcke &amp; Wilson, 2007; Germano &amp; Bury, 2009). Plastron shape does not seem to preserve a strong phylogenetic signal at the interspecific level in emydine turtles, at least compared to the effect of the presence or absence of a plastral hinge (Angielczyk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2011), and our current results suggest that this may be the case for phylogeographic signal within emydine species as well. A final possibility (explored below) is that the proposed classification schemes themselves do not represent significant evolutionary lineages.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Despite the negative result for </w:t>
      </w:r>
      <w:r>
        <w:rPr>
          <w:rFonts w:ascii="Times New Roman" w:hAnsi="Times New Roman"/>
          <w:i/>
          <w:iCs/>
        </w:rPr>
        <w:t>E. marmorata</w:t>
      </w:r>
      <w:r>
        <w:rPr>
          <w:rFonts w:ascii="Times New Roman" w:hAnsi="Times New Roman"/>
        </w:rPr>
        <w:t xml:space="preserve">, it is important to note that plastron shape is an extremely effective method for differentiating classes in the additional datasets we investigated. The magnitude of shape differences between the species (measured as Procrustes distance between the eight species’ mean shapes) is approximately an order of magnitude greater than the differences between the </w:t>
      </w:r>
      <w:r>
        <w:rPr>
          <w:rFonts w:ascii="Times New Roman" w:hAnsi="Times New Roman"/>
          <w:i/>
          <w:iCs/>
        </w:rPr>
        <w:t>E. marmorata</w:t>
      </w:r>
      <w:r>
        <w:rPr>
          <w:rFonts w:ascii="Times New Roman" w:hAnsi="Times New Roman"/>
        </w:rPr>
        <w:t xml:space="preserve"> subgroups, and not surprisingly the machine learning methods had no trouble classifying the specimens correctly. However, the magnitude of the shape differences between the </w:t>
      </w:r>
      <w:r>
        <w:rPr>
          <w:rFonts w:ascii="Times New Roman" w:hAnsi="Times New Roman"/>
          <w:i/>
          <w:iCs/>
        </w:rPr>
        <w:t>T. scripta</w:t>
      </w:r>
      <w:r>
        <w:rPr>
          <w:rFonts w:ascii="Times New Roman" w:hAnsi="Times New Roman"/>
        </w:rPr>
        <w:t xml:space="preserve"> subspecies is comparable to those separating the different</w:t>
      </w:r>
      <w:r>
        <w:rPr>
          <w:rFonts w:ascii="Times New Roman" w:hAnsi="Times New Roman"/>
          <w:i/>
          <w:iCs/>
        </w:rPr>
        <w:t xml:space="preserve"> E. marmorata</w:t>
      </w:r>
      <w:r>
        <w:rPr>
          <w:rFonts w:ascii="Times New Roman" w:hAnsi="Times New Roman"/>
        </w:rPr>
        <w:t xml:space="preserve"> subgroups, yet even in this case the machine learning methods returned an almost perfect classification. These results demonstrate that plastron shape is normally a good marker for differentiating real subgroups in close relatives of </w:t>
      </w:r>
      <w:r>
        <w:rPr>
          <w:rFonts w:ascii="Times New Roman" w:hAnsi="Times New Roman"/>
          <w:i/>
          <w:iCs/>
        </w:rPr>
        <w:t>E. marmorata</w:t>
      </w:r>
      <w:r>
        <w:rPr>
          <w:rFonts w:ascii="Times New Roman" w:hAnsi="Times New Roman"/>
        </w:rPr>
        <w:t xml:space="preserve">, and that our lack of results for </w:t>
      </w:r>
      <w:r>
        <w:rPr>
          <w:rFonts w:ascii="Times New Roman" w:hAnsi="Times New Roman"/>
          <w:i/>
          <w:iCs/>
        </w:rPr>
        <w:t>E. marmorata</w:t>
      </w:r>
      <w:r>
        <w:rPr>
          <w:rFonts w:ascii="Times New Roman" w:hAnsi="Times New Roman"/>
        </w:rPr>
        <w:t xml:space="preserve"> is not simply a shortcoming of the methods we applied. Indeed, it begs the question of what factors have suppressed morphological differentiation of plastron shape in </w:t>
      </w:r>
      <w:r>
        <w:rPr>
          <w:rFonts w:ascii="Times New Roman" w:hAnsi="Times New Roman"/>
          <w:i/>
          <w:iCs/>
        </w:rPr>
        <w:t>E. marmorata</w:t>
      </w:r>
      <w:r>
        <w:rPr>
          <w:rFonts w:ascii="Times New Roman" w:hAnsi="Times New Roman"/>
        </w:rPr>
        <w:t xml:space="preserve"> and </w:t>
      </w:r>
      <w:r>
        <w:rPr>
          <w:rFonts w:ascii="Times New Roman" w:hAnsi="Times New Roman"/>
          <w:i/>
          <w:iCs/>
        </w:rPr>
        <w:t>E. pallida</w:t>
      </w:r>
      <w:r>
        <w:rPr>
          <w:rFonts w:ascii="Times New Roman" w:hAnsi="Times New Roman"/>
        </w:rPr>
        <w:t xml:space="preserve"> if they are distinct species. Invoking issues such as the role of the plastron in protection or the need for streamlining are insufficient because the other species are expected to be subject to similar constraints (Stayton, 2011; Polly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2016).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 </w:t>
      </w:r>
      <w:r>
        <w:rPr>
          <w:rFonts w:ascii="Times New Roman" w:hAnsi="Times New Roman"/>
          <w:i/>
          <w:iCs/>
        </w:rPr>
        <w:t>Terrapene</w:t>
      </w:r>
      <w:r>
        <w:rPr>
          <w:rFonts w:ascii="Times New Roman" w:hAnsi="Times New Roman"/>
        </w:rPr>
        <w:t xml:space="preserve"> to the closely related spotted turtle </w:t>
      </w:r>
      <w:r>
        <w:rPr>
          <w:rFonts w:ascii="Times New Roman" w:hAnsi="Times New Roman"/>
          <w:i/>
          <w:iCs/>
        </w:rPr>
        <w:t>Clemmys guttata</w:t>
      </w:r>
      <w:r>
        <w:rPr>
          <w:rFonts w:ascii="Times New Roman" w:hAnsi="Times New Roman"/>
        </w:rPr>
        <w:t>), the variation within a species typically is much less than the variation between species. Therefore, the consistent plastron shapes that characterize different emydid species leads to plastron shape being a useful tool for species delimitation, even when other selective factors have overprinted similarities stemming from patterns of descent from common ancestors.</w:t>
      </w:r>
    </w:p>
    <w:p>
      <w:pPr>
        <w:pStyle w:val="Normal"/>
        <w:spacing w:lineRule="auto" w:line="480"/>
        <w:jc w:val="center"/>
        <w:rPr>
          <w:rFonts w:ascii="Times New Roman" w:hAnsi="Times New Roman"/>
          <w:smallCaps/>
        </w:rPr>
      </w:pPr>
      <w:r>
        <w:rPr>
          <w:rFonts w:ascii="Times New Roman" w:hAnsi="Times New Roman"/>
          <w:smallCaps/>
        </w:rPr>
        <w:t>Is there more than one species of Western Pond Turtle?</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The lack of morphological support for the distinctiveness of </w:t>
      </w:r>
      <w:r>
        <w:rPr>
          <w:rFonts w:ascii="Times New Roman" w:hAnsi="Times New Roman"/>
          <w:i/>
          <w:iCs/>
        </w:rPr>
        <w:t>E. pallida</w:t>
      </w:r>
      <w:r>
        <w:rPr>
          <w:rFonts w:ascii="Times New Roman" w:hAnsi="Times New Roman"/>
        </w:rPr>
        <w:t xml:space="preserve"> 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(2014) elevated </w:t>
      </w:r>
      <w:r>
        <w:rPr>
          <w:rFonts w:ascii="Times New Roman" w:hAnsi="Times New Roman"/>
          <w:i/>
          <w:iCs/>
        </w:rPr>
        <w:t>E. pallida</w:t>
      </w:r>
      <w:r>
        <w:rPr>
          <w:rFonts w:ascii="Times New Roman" w:hAnsi="Times New Roman"/>
        </w:rPr>
        <w:t xml:space="preserve"> based on a species delimitation analysis of SNP data using BPP (Yang &amp; Rannala, 2010). However, Spinks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(2014) did not heed the caveats about such species delimitation methods raised by Carstens </w:t>
      </w:r>
      <w:r>
        <w:rPr>
          <w:rFonts w:ascii="Times New Roman" w:hAnsi="Times New Roman"/>
          <w:i/>
          <w:iCs/>
        </w:rPr>
        <w:t>et al.</w:t>
      </w:r>
      <w:r>
        <w:rPr>
          <w:rFonts w:ascii="Times New Roman" w:hAnsi="Times New Roman"/>
        </w:rPr>
        <w:t xml:space="preserve"> (2013). In addition to specifically addressing the shortcomings of validation methods such as BPP that rely on guide trees and “should be interpreted with caution,” Carstens </w:t>
      </w:r>
      <w:r>
        <w:rPr>
          <w:rFonts w:ascii="Times New Roman" w:hAnsi="Times New Roman"/>
          <w:i/>
          <w:iCs/>
        </w:rPr>
        <w:t>et al.</w:t>
      </w:r>
      <w:r>
        <w:rPr>
          <w:rFonts w:ascii="Times New Roman" w:hAnsi="Times New Roman"/>
        </w:rPr>
        <w:t xml:space="preserve"> (2013: 4376–4377) also strongly emphasized that “Inferences regarding species boundaries based on genetic data alone are likely inadequate, and species delimitation should be conducted with consideration of the life history, geographical distribution, morphology and behaviour (where applicable) of the focal system…” These caveats evoke the development of the Unified Species Concept (Dayrat ,2005; De Queiroz, 2007), Integrative Taxonomy (Padial </w:t>
      </w:r>
      <w:r>
        <w:rPr>
          <w:rFonts w:ascii="Times New Roman" w:hAnsi="Times New Roman"/>
          <w:i/>
          <w:iCs/>
        </w:rPr>
        <w:t>et al.</w:t>
      </w:r>
      <w:r>
        <w:rPr>
          <w:rFonts w:ascii="Times New Roman" w:hAnsi="Times New Roman"/>
        </w:rPr>
        <w:t xml:space="preserve">, 2010), and other pluralist approaches to species delimitation. None of these considerations were brought to bear on the </w:t>
      </w:r>
      <w:r>
        <w:rPr>
          <w:rFonts w:ascii="Times New Roman" w:hAnsi="Times New Roman"/>
          <w:i/>
          <w:iCs/>
        </w:rPr>
        <w:t>E. marmorata</w:t>
      </w:r>
      <w:r>
        <w:rPr>
          <w:rFonts w:ascii="Times New Roman" w:hAnsi="Times New Roman"/>
        </w:rPr>
        <w:t xml:space="preserve"> system until now, and in doing so we find the proposal that </w:t>
      </w:r>
      <w:r>
        <w:rPr>
          <w:rFonts w:ascii="Times New Roman" w:hAnsi="Times New Roman"/>
          <w:i/>
          <w:iCs/>
        </w:rPr>
        <w:t>E. pallida</w:t>
      </w:r>
      <w:r>
        <w:rPr>
          <w:rFonts w:ascii="Times New Roman" w:hAnsi="Times New Roman"/>
        </w:rPr>
        <w:t xml:space="preserve"> is a distinct species to be lacking.</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In addition to lacking a robust morphological marker, the natural history and geographical distribution of </w:t>
      </w:r>
      <w:r>
        <w:rPr>
          <w:rFonts w:ascii="Times New Roman" w:hAnsi="Times New Roman"/>
          <w:i/>
          <w:iCs/>
        </w:rPr>
        <w:t>E. marmorata</w:t>
      </w:r>
      <w:r>
        <w:rPr>
          <w:rFonts w:ascii="Times New Roman" w:hAnsi="Times New Roman"/>
        </w:rPr>
        <w:t xml:space="preserve"> and </w:t>
      </w:r>
      <w:r>
        <w:rPr>
          <w:rFonts w:ascii="Times New Roman" w:hAnsi="Times New Roman"/>
          <w:i/>
          <w:iCs/>
        </w:rPr>
        <w:t>E. pallida</w:t>
      </w:r>
      <w:r>
        <w:rPr>
          <w:rFonts w:ascii="Times New Roman" w:hAnsi="Times New Roman"/>
        </w:rPr>
        <w:t xml:space="preserve"> also make the recognition of these two taxa implausible. The mitochondrial data from Spinks </w:t>
      </w:r>
      <w:r>
        <w:rPr>
          <w:rFonts w:ascii="Times New Roman" w:hAnsi="Times New Roman"/>
          <w:i/>
          <w:iCs/>
        </w:rPr>
        <w:t>et al.</w:t>
      </w:r>
      <w:r>
        <w:rPr>
          <w:rFonts w:ascii="Times New Roman" w:hAnsi="Times New Roman"/>
        </w:rPr>
        <w:t xml:space="preserve"> (2014) show extensive introgression and admixture in Central California, which is expected because there are no significant barriers to gene flow in this region. They also lack sampling from the populations between the two putative species in the San Francisco Bay Area, which we predict would likely show even more genetic mixing. Combined with the well-demonstrated ability for testudinoid turtles, including emydids and even </w:t>
      </w:r>
      <w:r>
        <w:rPr>
          <w:rFonts w:ascii="Times New Roman" w:hAnsi="Times New Roman"/>
          <w:i/>
          <w:iCs/>
        </w:rPr>
        <w:t>Emys</w:t>
      </w:r>
      <w:r>
        <w:rPr>
          <w:rFonts w:ascii="Times New Roman" w:hAnsi="Times New Roman"/>
        </w:rPr>
        <w:t xml:space="preserve">, to hybridize (e.g. Buskirk, Parham, &amp; Feldman, 2005; Spinks &amp; Shaffer, 2009; Parham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2013) it is hard to imagine how </w:t>
      </w:r>
      <w:r>
        <w:rPr>
          <w:rFonts w:ascii="Times New Roman" w:hAnsi="Times New Roman"/>
          <w:i/>
          <w:iCs/>
        </w:rPr>
        <w:t>E. marmorata</w:t>
      </w:r>
      <w:r>
        <w:rPr>
          <w:rFonts w:ascii="Times New Roman" w:hAnsi="Times New Roman"/>
        </w:rPr>
        <w:t xml:space="preserve"> and </w:t>
      </w:r>
      <w:r>
        <w:rPr>
          <w:rFonts w:ascii="Times New Roman" w:hAnsi="Times New Roman"/>
          <w:i/>
          <w:iCs/>
        </w:rPr>
        <w:t>E. pallida</w:t>
      </w:r>
      <w:r>
        <w:rPr>
          <w:rFonts w:ascii="Times New Roman" w:hAnsi="Times New Roman"/>
        </w:rPr>
        <w:t xml:space="preserve"> could maintain their integrity in the face of such admixture. Any argument for the validity of </w:t>
      </w:r>
      <w:r>
        <w:rPr>
          <w:rFonts w:ascii="Times New Roman" w:hAnsi="Times New Roman"/>
          <w:i/>
          <w:iCs/>
        </w:rPr>
        <w:t>E. pallida</w:t>
      </w:r>
      <w:r>
        <w:rPr>
          <w:rFonts w:ascii="Times New Roman" w:hAnsi="Times New Roman"/>
        </w:rPr>
        <w:t xml:space="preserve"> as a distinct species needs to address these points. Because the geography, natural history, limited sampling from key areas, demonstrated genetic admixture of </w:t>
      </w:r>
      <w:r>
        <w:rPr>
          <w:rFonts w:ascii="Times New Roman" w:hAnsi="Times New Roman"/>
          <w:i/>
          <w:iCs/>
        </w:rPr>
        <w:t>E. marmorata</w:t>
      </w:r>
      <w:r>
        <w:rPr>
          <w:rFonts w:ascii="Times New Roman" w:hAnsi="Times New Roman"/>
        </w:rPr>
        <w:t xml:space="preserve">, and comparisons with other morphologically diagnosable species and subspecies conflict with the recognition of </w:t>
      </w:r>
      <w:r>
        <w:rPr>
          <w:rFonts w:ascii="Times New Roman" w:hAnsi="Times New Roman"/>
          <w:i/>
          <w:iCs/>
        </w:rPr>
        <w:t>E. pallida</w:t>
      </w:r>
      <w:r>
        <w:rPr>
          <w:rFonts w:ascii="Times New Roman" w:hAnsi="Times New Roman"/>
        </w:rPr>
        <w:t xml:space="preserve">, we hypothesize that </w:t>
      </w:r>
      <w:r>
        <w:rPr>
          <w:rFonts w:ascii="Times New Roman" w:hAnsi="Times New Roman"/>
          <w:i/>
          <w:iCs/>
        </w:rPr>
        <w:t>E. pallida</w:t>
      </w:r>
      <w:r>
        <w:rPr>
          <w:rFonts w:ascii="Times New Roman" w:hAnsi="Times New Roman"/>
        </w:rPr>
        <w:t xml:space="preserve"> is not a distinct species.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We fully agree with Spinks </w:t>
      </w:r>
      <w:r>
        <w:rPr>
          <w:rFonts w:ascii="Times New Roman" w:hAnsi="Times New Roman"/>
          <w:i/>
          <w:iCs/>
        </w:rPr>
        <w:t>et al</w:t>
      </w:r>
      <w:r>
        <w:rPr>
          <w:rFonts w:ascii="Times New Roman" w:hAnsi="Times New Roman"/>
          <w:i w:val="false"/>
          <w:iCs w:val="false"/>
        </w:rPr>
        <w:t>.</w:t>
      </w:r>
      <w:r>
        <w:rPr>
          <w:rFonts w:ascii="Times New Roman" w:hAnsi="Times New Roman"/>
        </w:rPr>
        <w:t xml:space="preserve"> (2014) that </w:t>
      </w:r>
      <w:r>
        <w:rPr>
          <w:rFonts w:ascii="Times New Roman" w:hAnsi="Times New Roman"/>
          <w:i/>
          <w:iCs/>
        </w:rPr>
        <w:t>E. marmorata</w:t>
      </w:r>
      <w:r>
        <w:rPr>
          <w:rFonts w:ascii="Times New Roman" w:hAnsi="Times New Roman"/>
        </w:rPr>
        <w:t xml:space="preserve"> (sensu lato) is a species deserving of strong conservation efforts, and we do not wish to trivialize this need. Moreover, the genetic diversity uncovered by the analysis of Spinks </w:t>
      </w:r>
      <w:r>
        <w:rPr>
          <w:rFonts w:ascii="Times New Roman" w:hAnsi="Times New Roman"/>
          <w:i/>
          <w:iCs/>
        </w:rPr>
        <w:t>et al.</w:t>
      </w:r>
      <w:r>
        <w:rPr>
          <w:rFonts w:ascii="Times New Roman" w:hAnsi="Times New Roman"/>
        </w:rPr>
        <w:t xml:space="preserve"> (2014) should be accounted for explicitly in any conservation plan. Given the apparent lack of morphological distinction combined with the broad range of intergradation and other problems with the species hypothesis outlined above, we recommend that the populations elevated to </w:t>
      </w:r>
      <w:r>
        <w:rPr>
          <w:rFonts w:ascii="Times New Roman" w:hAnsi="Times New Roman"/>
          <w:i/>
          <w:iCs/>
        </w:rPr>
        <w:t>E. pallida</w:t>
      </w:r>
      <w:r>
        <w:rPr>
          <w:rFonts w:ascii="Times New Roman" w:hAnsi="Times New Roman"/>
        </w:rPr>
        <w:t xml:space="preserve"> by Spinks </w:t>
      </w:r>
      <w:r>
        <w:rPr>
          <w:rFonts w:ascii="Times New Roman" w:hAnsi="Times New Roman"/>
          <w:i/>
          <w:iCs/>
        </w:rPr>
        <w:t>et al.</w:t>
      </w:r>
      <w:r>
        <w:rPr>
          <w:rFonts w:ascii="Times New Roman" w:hAnsi="Times New Roman"/>
        </w:rPr>
        <w:t xml:space="preserve"> (2014) are best considered Evolutionary Significant Units or Distinct Population Segments instead of distinct species.</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t xml:space="preserve">Finally, it is important to note that the data and analyses we present do not let us definitively say whether the apparent lack of morphological divergence within </w:t>
      </w:r>
      <w:r>
        <w:rPr>
          <w:rFonts w:ascii="Times New Roman" w:hAnsi="Times New Roman"/>
          <w:i/>
          <w:iCs/>
        </w:rPr>
        <w:t>E. marmorata</w:t>
      </w:r>
      <w:r>
        <w:rPr>
          <w:rFonts w:ascii="Times New Roman" w:hAnsi="Times New Roman"/>
        </w:rPr>
        <w:t xml:space="preserve"> truly reflects the presence of a single species, or if it is an artifact of plastron shape being a poor morphological marker for phylogenetic and phylogeographic divergences in the case of </w:t>
      </w:r>
      <w:r>
        <w:rPr>
          <w:rFonts w:ascii="Times New Roman" w:hAnsi="Times New Roman"/>
          <w:i/>
          <w:iCs/>
        </w:rPr>
        <w:t>E. marmorata</w:t>
      </w:r>
      <w:r>
        <w:rPr>
          <w:rFonts w:ascii="Times New Roman" w:hAnsi="Times New Roman"/>
        </w:rPr>
        <w:t xml:space="preserve">. This is because we could not carry out our morphometric analyses on the specimens from which the genetic data were obtained. The comparisons with the other emydid taxa suggest that our negative result is is because </w:t>
      </w:r>
      <w:r>
        <w:rPr>
          <w:rFonts w:ascii="Times New Roman" w:hAnsi="Times New Roman"/>
          <w:i/>
          <w:iCs/>
        </w:rPr>
        <w:t>E. marmorata</w:t>
      </w:r>
      <w:r>
        <w:rPr>
          <w:rFonts w:ascii="Times New Roman" w:hAnsi="Times New Roman"/>
        </w:rPr>
        <w:t xml:space="preserve"> is a single species. However, tests of both our preferred conclusion (</w:t>
      </w:r>
      <w:r>
        <w:rPr>
          <w:rFonts w:ascii="Times New Roman" w:hAnsi="Times New Roman"/>
          <w:i/>
          <w:iCs/>
        </w:rPr>
        <w:t>E. marmorata</w:t>
      </w:r>
      <w:r>
        <w:rPr>
          <w:rFonts w:ascii="Times New Roman" w:hAnsi="Times New Roman"/>
        </w:rPr>
        <w:t xml:space="preserve"> as a single species) and that of Spinks </w:t>
      </w:r>
      <w:r>
        <w:rPr>
          <w:rFonts w:ascii="Times New Roman" w:hAnsi="Times New Roman"/>
          <w:i/>
          <w:iCs/>
        </w:rPr>
        <w:t>et al.</w:t>
      </w:r>
      <w:r>
        <w:rPr>
          <w:rFonts w:ascii="Times New Roman" w:hAnsi="Times New Roman"/>
        </w:rPr>
        <w:t xml:space="preserve"> (2014) should include morphological and molecular analyses of the same set of voucher specimens, as well as additional tests of species delimitation using alternative methods and corroborating evidence as suggested by Carstens </w:t>
      </w:r>
      <w:r>
        <w:rPr>
          <w:rFonts w:ascii="Times New Roman" w:hAnsi="Times New Roman"/>
          <w:i/>
          <w:iCs/>
        </w:rPr>
        <w:t>et al.</w:t>
      </w:r>
      <w:r>
        <w:rPr>
          <w:rFonts w:ascii="Times New Roman" w:hAnsi="Times New Roman"/>
        </w:rPr>
        <w:t xml:space="preserve"> (2013). From a morphological standpoint, support for the validity of “</w:t>
      </w:r>
      <w:r>
        <w:rPr>
          <w:rFonts w:ascii="Times New Roman" w:hAnsi="Times New Roman"/>
          <w:i/>
          <w:iCs/>
        </w:rPr>
        <w:t>E. pallida</w:t>
      </w:r>
      <w:r>
        <w:rPr>
          <w:rFonts w:ascii="Times New Roman" w:hAnsi="Times New Roman"/>
        </w:rPr>
        <w:t xml:space="preserve">” may come from other aspects of morphology, such as carapace shape or other features. Likewise, further investigation of the phylogeographic utility of plastron shape in other turtle species will help to clarify whether the lack of differentiation seen in </w:t>
      </w:r>
      <w:r>
        <w:rPr>
          <w:rFonts w:ascii="Times New Roman" w:hAnsi="Times New Roman"/>
          <w:i/>
          <w:iCs/>
        </w:rPr>
        <w:t>E. marmoarata</w:t>
      </w:r>
      <w:r>
        <w:rPr>
          <w:rFonts w:ascii="Times New Roman" w:hAnsi="Times New Roman"/>
        </w:rPr>
        <w:t>, and the strong differentiation among the other emydids, is typical or an unusual case.</w:t>
      </w:r>
    </w:p>
    <w:p>
      <w:pPr>
        <w:pStyle w:val="Normal"/>
        <w:widowControl w:val="false"/>
        <w:suppressAutoHyphens w:val="true"/>
        <w:bidi w:val="0"/>
        <w:spacing w:lineRule="auto" w:line="480"/>
        <w:ind w:left="0" w:right="0" w:firstLine="540"/>
        <w:jc w:val="left"/>
        <w:rPr>
          <w:rFonts w:ascii="Times New Roman" w:hAnsi="Times New Roman"/>
        </w:rPr>
      </w:pPr>
      <w:r>
        <w:rPr>
          <w:rFonts w:ascii="Times New Roman" w:hAnsi="Times New Roman"/>
        </w:rPr>
      </w:r>
    </w:p>
    <w:p>
      <w:pPr>
        <w:pStyle w:val="Normal"/>
        <w:widowControl w:val="false"/>
        <w:suppressAutoHyphens w:val="true"/>
        <w:bidi w:val="0"/>
        <w:spacing w:lineRule="auto" w:line="480"/>
        <w:ind w:left="0" w:right="0" w:hanging="0"/>
        <w:jc w:val="center"/>
        <w:rPr>
          <w:rFonts w:ascii="Times New Roman" w:hAnsi="Times New Roman"/>
        </w:rPr>
      </w:pPr>
      <w:r>
        <w:rPr>
          <w:rFonts w:ascii="Times New Roman" w:hAnsi="Times New Roman"/>
        </w:rPr>
        <w:t>ACKNOWLEDGEMENTS</w:t>
      </w:r>
    </w:p>
    <w:p>
      <w:pPr>
        <w:pStyle w:val="Normal"/>
        <w:widowControl w:val="false"/>
        <w:suppressAutoHyphens w:val="true"/>
        <w:bidi w:val="0"/>
        <w:spacing w:lineRule="auto" w:line="480"/>
        <w:ind w:left="0" w:right="0" w:hanging="0"/>
        <w:jc w:val="left"/>
        <w:rPr>
          <w:rFonts w:ascii="Times New Roman" w:hAnsi="Times New Roman"/>
          <w:sz w:val="24"/>
          <w:szCs w:val="24"/>
        </w:rPr>
      </w:pPr>
      <w:r>
        <w:rPr>
          <w:rFonts w:ascii="Times New Roman" w:hAnsi="Times New Roman"/>
          <w:sz w:val="24"/>
          <w:szCs w:val="24"/>
        </w:rPr>
        <w:t xml:space="preserve">Data collection for this project was supported in part by NSF DBI-0306158 (to KDA). G. Miller assisted with data collection and her participation in this research was supported by </w:t>
      </w:r>
      <w:bookmarkStart w:id="0" w:name="__DdeLink__1411_3743175736"/>
      <w:r>
        <w:rPr>
          <w:rFonts w:ascii="Times New Roman" w:hAnsi="Times New Roman"/>
          <w:sz w:val="24"/>
          <w:szCs w:val="24"/>
        </w:rPr>
        <w:t>NSF REU DBI-0353797</w:t>
      </w:r>
      <w:bookmarkEnd w:id="0"/>
      <w:r>
        <w:rPr>
          <w:rFonts w:ascii="Times New Roman" w:hAnsi="Times New Roman"/>
          <w:sz w:val="24"/>
          <w:szCs w:val="24"/>
        </w:rPr>
        <w:t xml:space="preserve"> (to R. Mooi of CAS). For access to emydine specimens, we thank: J. Vindum and R. Drewes (CAS); A. Resetar (FMNH); R. Feeney (LACM); C. Austin (LSUMNS); S. Sweet (MSE); J. McGuire and C. Conroy (MVZ); A. Wynn (NMNH); P. Collins (SBMNH); B. Hollingsworth (SDMNH); P. Holroyd (UCMP). We are grateful for S. Sweet for field assistance and the California Department of Fish and Game for permits. We thank M. Lambruschi (FMNH) for help with Figure 1.</w:t>
      </w:r>
    </w:p>
    <w:p>
      <w:pPr>
        <w:pStyle w:val="Normal"/>
        <w:widowControl w:val="false"/>
        <w:suppressAutoHyphens w:val="true"/>
        <w:bidi w:val="0"/>
        <w:spacing w:lineRule="auto" w:line="480"/>
        <w:ind w:left="0" w:right="0" w:hanging="0"/>
        <w:jc w:val="left"/>
        <w:rPr>
          <w:rFonts w:ascii="Times New Roman" w:hAnsi="Times New Roman"/>
          <w:sz w:val="24"/>
          <w:szCs w:val="24"/>
        </w:rPr>
      </w:pPr>
      <w:r>
        <w:rPr>
          <w:rFonts w:ascii="Times New Roman" w:hAnsi="Times New Roman"/>
          <w:sz w:val="24"/>
          <w:szCs w:val="24"/>
        </w:rPr>
      </w:r>
    </w:p>
    <w:p>
      <w:pPr>
        <w:pStyle w:val="Normal"/>
        <w:widowControl w:val="false"/>
        <w:suppressAutoHyphens w:val="true"/>
        <w:bidi w:val="0"/>
        <w:spacing w:lineRule="auto" w:line="480"/>
        <w:ind w:left="0" w:right="0" w:hanging="0"/>
        <w:jc w:val="center"/>
        <w:rPr>
          <w:rFonts w:ascii="Times New Roman" w:hAnsi="Times New Roman"/>
          <w:sz w:val="24"/>
          <w:szCs w:val="24"/>
        </w:rPr>
      </w:pPr>
      <w:r>
        <w:rPr>
          <w:rFonts w:ascii="Times New Roman" w:hAnsi="Times New Roman"/>
          <w:sz w:val="24"/>
          <w:szCs w:val="24"/>
        </w:rPr>
        <w:t>REFERENCES</w:t>
      </w:r>
    </w:p>
    <w:p>
      <w:pPr>
        <w:pStyle w:val="Normal"/>
        <w:widowControl w:val="false"/>
        <w:tabs>
          <w:tab w:val="left" w:pos="630" w:leader="none"/>
        </w:tabs>
        <w:suppressAutoHyphens w:val="true"/>
        <w:bidi w:val="0"/>
        <w:spacing w:lineRule="auto" w:line="480"/>
        <w:ind w:left="180" w:right="0" w:hanging="180"/>
        <w:jc w:val="left"/>
        <w:rPr>
          <w:rFonts w:ascii="Times New Roman" w:hAnsi="Times New Roman" w:cs="Times New Roman"/>
        </w:rPr>
      </w:pPr>
      <w:r>
        <w:rPr>
          <w:rFonts w:cs="Times New Roman" w:ascii="Times New Roman" w:hAnsi="Times New Roman"/>
          <w:b/>
          <w:bCs/>
        </w:rPr>
        <w:t>Angielczyk KD, Sheets HD. 2007.</w:t>
      </w:r>
      <w:r>
        <w:rPr>
          <w:rFonts w:cs="Times New Roman" w:ascii="Times New Roman" w:hAnsi="Times New Roman"/>
        </w:rPr>
        <w:t xml:space="preserve"> Investigation of simulated tectonic deformation in fossils using geometric morphometrics. </w:t>
      </w:r>
      <w:r>
        <w:rPr>
          <w:rFonts w:cs="Times New Roman" w:ascii="Times New Roman" w:hAnsi="Times New Roman"/>
          <w:i/>
          <w:iCs/>
        </w:rPr>
        <w:t>Paleobiology</w:t>
      </w:r>
      <w:r>
        <w:rPr>
          <w:rFonts w:cs="Times New Roman" w:ascii="Times New Roman" w:hAnsi="Times New Roman"/>
          <w:b/>
          <w:bCs/>
        </w:rPr>
        <w:t xml:space="preserve"> 33:</w:t>
      </w:r>
      <w:r>
        <w:rPr>
          <w:rFonts w:cs="Times New Roman" w:ascii="Times New Roman" w:hAnsi="Times New Roman"/>
        </w:rPr>
        <w:t xml:space="preserve"> 125-148.</w:t>
      </w:r>
    </w:p>
    <w:p>
      <w:pPr>
        <w:pStyle w:val="Normal"/>
        <w:widowControl w:val="false"/>
        <w:suppressAutoHyphens w:val="true"/>
        <w:bidi w:val="0"/>
        <w:spacing w:lineRule="auto" w:line="480"/>
        <w:ind w:left="540" w:right="0" w:hanging="540"/>
        <w:jc w:val="left"/>
        <w:rPr>
          <w:rFonts w:ascii="Times New Roman" w:hAnsi="Times New Roman" w:cs="Times New Roman"/>
        </w:rPr>
      </w:pPr>
      <w:r>
        <w:rPr>
          <w:rFonts w:cs="Times New Roman" w:ascii="Times New Roman" w:hAnsi="Times New Roman"/>
          <w:b/>
          <w:bCs/>
        </w:rPr>
        <w:t>Angielczyk KD, Feldman CR, Miller GR. 2011.</w:t>
      </w:r>
      <w:r>
        <w:rPr>
          <w:rFonts w:cs="Times New Roman" w:ascii="Times New Roman" w:hAnsi="Times New Roman"/>
        </w:rPr>
        <w:t xml:space="preserve"> Adaptive evolution of plastron shape in emydine turtles. </w:t>
      </w:r>
      <w:r>
        <w:rPr>
          <w:rFonts w:cs="Times New Roman" w:ascii="Times New Roman" w:hAnsi="Times New Roman"/>
          <w:i/>
          <w:iCs/>
        </w:rPr>
        <w:t>Evolution</w:t>
      </w:r>
      <w:r>
        <w:rPr>
          <w:rFonts w:cs="Times New Roman" w:ascii="Times New Roman" w:hAnsi="Times New Roman"/>
          <w:b/>
          <w:bCs/>
        </w:rPr>
        <w:t xml:space="preserve"> 65:</w:t>
      </w:r>
      <w:r>
        <w:rPr>
          <w:rFonts w:cs="Times New Roman" w:ascii="Times New Roman" w:hAnsi="Times New Roman"/>
        </w:rPr>
        <w:t xml:space="preserve"> 377-394.</w:t>
      </w:r>
    </w:p>
    <w:p>
      <w:pPr>
        <w:pStyle w:val="Normal"/>
        <w:widowControl w:val="false"/>
        <w:suppressAutoHyphens w:val="true"/>
        <w:bidi w:val="0"/>
        <w:spacing w:lineRule="auto" w:line="480"/>
        <w:ind w:left="540" w:right="0" w:hanging="540"/>
        <w:jc w:val="left"/>
        <w:rPr>
          <w:rFonts w:ascii="Times New Roman" w:hAnsi="Times New Roman"/>
        </w:rPr>
      </w:pPr>
      <w:r>
        <w:rPr>
          <w:rFonts w:cs="Times New Roman" w:ascii="Times New Roman" w:hAnsi="Times New Roman"/>
          <w:b/>
          <w:bCs/>
        </w:rPr>
        <w:t>Angielczyk KD, Feldman CR.</w:t>
      </w:r>
      <w:r>
        <w:rPr>
          <w:rFonts w:ascii="Times New Roman" w:hAnsi="Times New Roman"/>
        </w:rPr>
        <w:t xml:space="preserve"> </w:t>
      </w:r>
      <w:r>
        <w:rPr>
          <w:rFonts w:ascii="Times New Roman" w:hAnsi="Times New Roman"/>
          <w:b/>
          <w:bCs/>
        </w:rPr>
        <w:t>2013.</w:t>
      </w:r>
      <w:r>
        <w:rPr>
          <w:rFonts w:ascii="Times New Roman" w:hAnsi="Times New Roman"/>
        </w:rPr>
        <w:t xml:space="preserve"> Are diminutive turtles miniaturized? The ontogeny of plastron shape in emydine turtles. </w:t>
      </w:r>
      <w:r>
        <w:rPr>
          <w:rFonts w:ascii="Times New Roman" w:hAnsi="Times New Roman"/>
          <w:i/>
          <w:iCs/>
        </w:rPr>
        <w:t>Biological Journal of the Linnean Society</w:t>
      </w:r>
      <w:r>
        <w:rPr>
          <w:rFonts w:ascii="Times New Roman" w:hAnsi="Times New Roman"/>
        </w:rPr>
        <w:t xml:space="preserve"> </w:t>
      </w:r>
      <w:r>
        <w:rPr>
          <w:rFonts w:ascii="Times New Roman" w:hAnsi="Times New Roman"/>
          <w:b/>
          <w:bCs/>
        </w:rPr>
        <w:t>108:</w:t>
      </w:r>
      <w:r>
        <w:rPr>
          <w:rFonts w:ascii="Times New Roman" w:hAnsi="Times New Roman"/>
        </w:rPr>
        <w:t xml:space="preserve"> 727–755.</w:t>
      </w:r>
    </w:p>
    <w:p>
      <w:pPr>
        <w:pStyle w:val="Normal"/>
        <w:widowControl w:val="false"/>
        <w:suppressAutoHyphens w:val="true"/>
        <w:bidi w:val="0"/>
        <w:spacing w:lineRule="auto" w:line="480"/>
        <w:ind w:left="540" w:right="0" w:hanging="540"/>
        <w:jc w:val="left"/>
        <w:rPr>
          <w:rFonts w:ascii="Times New Roman" w:hAnsi="Times New Roman"/>
          <w:b w:val="false"/>
          <w:b w:val="false"/>
          <w:bCs w:val="false"/>
          <w:i w:val="false"/>
          <w:i w:val="false"/>
          <w:iCs w:val="false"/>
        </w:rPr>
      </w:pPr>
      <w:r>
        <w:rPr>
          <w:rFonts w:ascii="Times New Roman" w:hAnsi="Times New Roman"/>
          <w:b/>
          <w:bCs/>
        </w:rPr>
        <w:t>Arnqvist G, Mårtensson T.</w:t>
      </w:r>
      <w:r>
        <w:rPr>
          <w:rFonts w:ascii="Times New Roman" w:hAnsi="Times New Roman"/>
        </w:rPr>
        <w:t xml:space="preserve"> </w:t>
      </w:r>
      <w:r>
        <w:rPr>
          <w:rFonts w:ascii="Times New Roman" w:hAnsi="Times New Roman"/>
          <w:b/>
          <w:bCs/>
        </w:rPr>
        <w:t>1998.</w:t>
      </w:r>
      <w:r>
        <w:rPr>
          <w:rFonts w:ascii="Times New Roman" w:hAnsi="Times New Roman"/>
        </w:rPr>
        <w:t xml:space="preserve"> Measurement error in geometric morphometrics: Empirical strategies to assess and reduce its impact on measures of shape. </w:t>
      </w:r>
      <w:r>
        <w:rPr>
          <w:rFonts w:ascii="Times New Roman" w:hAnsi="Times New Roman"/>
          <w:i/>
          <w:iCs/>
        </w:rPr>
        <w:t>Acta Zoologica Academiae Scientiarum Hungaricae</w:t>
      </w:r>
      <w:r>
        <w:rPr>
          <w:rFonts w:ascii="Times New Roman" w:hAnsi="Times New Roman"/>
          <w:i w:val="false"/>
          <w:iCs w:val="false"/>
        </w:rPr>
        <w:t xml:space="preserve"> </w:t>
      </w:r>
      <w:r>
        <w:rPr>
          <w:rFonts w:ascii="Times New Roman" w:hAnsi="Times New Roman"/>
          <w:b/>
          <w:bCs/>
          <w:i w:val="false"/>
          <w:iCs w:val="false"/>
        </w:rPr>
        <w:t>44:</w:t>
      </w:r>
      <w:r>
        <w:rPr>
          <w:rFonts w:ascii="Times New Roman" w:hAnsi="Times New Roman"/>
          <w:b w:val="false"/>
          <w:bCs w:val="false"/>
          <w:i w:val="false"/>
          <w:iCs w:val="false"/>
        </w:rPr>
        <w:t xml:space="preserve"> 73–96.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Baird SF, Girard C. 1852.</w:t>
      </w:r>
      <w:r>
        <w:rPr>
          <w:rFonts w:ascii="Times New Roman" w:hAnsi="Times New Roman"/>
        </w:rPr>
        <w:t xml:space="preserve"> Descriptions of new species of reptiles collected by the U.S. Exploring Expedition under the command of Capt. Charles Wilkes. </w:t>
      </w:r>
      <w:r>
        <w:rPr>
          <w:rFonts w:ascii="Times New Roman" w:hAnsi="Times New Roman"/>
          <w:i/>
          <w:iCs/>
        </w:rPr>
        <w:t>Proceedings of the National Academy of Sciences Philadelphia</w:t>
      </w:r>
      <w:r>
        <w:rPr>
          <w:rFonts w:ascii="Times New Roman" w:hAnsi="Times New Roman"/>
        </w:rPr>
        <w:t xml:space="preserve"> </w:t>
      </w:r>
      <w:r>
        <w:rPr>
          <w:rFonts w:ascii="Times New Roman" w:hAnsi="Times New Roman"/>
          <w:b/>
          <w:bCs/>
        </w:rPr>
        <w:t>6:</w:t>
      </w:r>
      <w:r>
        <w:rPr>
          <w:rFonts w:ascii="Times New Roman" w:hAnsi="Times New Roman"/>
        </w:rPr>
        <w:t xml:space="preserve"> 174–177.</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Bauer AM, Parham JF, Brown RM, Stuart BL, Grismer L, Papenfuss TJ, BöhmeW , Savage JM, Carranza S, Grismer JL, Wagner P, Schmitz A, Ananjeva NB, Inger RF. 2000.</w:t>
      </w:r>
      <w:r>
        <w:rPr>
          <w:rFonts w:ascii="Times New Roman" w:hAnsi="Times New Roman"/>
        </w:rPr>
        <w:t xml:space="preserve"> Availability of new Baysian-delimited gecko names and the importance of character-based species descriptions. </w:t>
      </w:r>
      <w:r>
        <w:rPr>
          <w:rFonts w:ascii="Times New Roman" w:hAnsi="Times New Roman"/>
          <w:i/>
          <w:iCs/>
        </w:rPr>
        <w:t>Proceedings of the Royal Society B</w:t>
      </w:r>
      <w:r>
        <w:rPr>
          <w:rFonts w:ascii="Times New Roman" w:hAnsi="Times New Roman"/>
        </w:rPr>
        <w:t xml:space="preserve"> </w:t>
      </w:r>
      <w:r>
        <w:rPr>
          <w:rFonts w:ascii="Times New Roman" w:hAnsi="Times New Roman"/>
          <w:b/>
          <w:bCs/>
        </w:rPr>
        <w:t>278:</w:t>
      </w:r>
      <w:r>
        <w:rPr>
          <w:rFonts w:ascii="Times New Roman" w:hAnsi="Times New Roman"/>
        </w:rPr>
        <w:t xml:space="preserve"> 490–492.</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Baylac, Villemant C, Simbolotti G. 2003.</w:t>
      </w:r>
      <w:r>
        <w:rPr>
          <w:rFonts w:ascii="Times New Roman" w:hAnsi="Times New Roman"/>
        </w:rPr>
        <w:t xml:space="preserve"> Combining geometric morphometrics with pattern recognition for the investigation of species complexes. </w:t>
      </w:r>
      <w:r>
        <w:rPr>
          <w:rFonts w:ascii="Times New Roman" w:hAnsi="Times New Roman"/>
          <w:i/>
          <w:iCs/>
        </w:rPr>
        <w:t>Biological Journal of the Linnean Society</w:t>
      </w:r>
      <w:r>
        <w:rPr>
          <w:rFonts w:ascii="Times New Roman" w:hAnsi="Times New Roman"/>
        </w:rPr>
        <w:t xml:space="preserve"> </w:t>
      </w:r>
      <w:r>
        <w:rPr>
          <w:rFonts w:ascii="Times New Roman" w:hAnsi="Times New Roman"/>
          <w:b/>
          <w:bCs/>
        </w:rPr>
        <w:t>80:</w:t>
      </w:r>
      <w:r>
        <w:rPr>
          <w:rFonts w:ascii="Times New Roman" w:hAnsi="Times New Roman"/>
        </w:rPr>
        <w:t xml:space="preserve"> 89–98.</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Bickford D, Lohman DJ, Sodhi NS, Ng PKL, Meier R, Winker K, Ingram KK, Das I. 2007.</w:t>
      </w:r>
      <w:r>
        <w:rPr>
          <w:rFonts w:ascii="Times New Roman" w:hAnsi="Times New Roman"/>
        </w:rPr>
        <w:t xml:space="preserve"> Cryptic species as a window on diversity and conservation. </w:t>
      </w:r>
      <w:r>
        <w:rPr>
          <w:rFonts w:ascii="Times New Roman" w:hAnsi="Times New Roman"/>
          <w:i/>
          <w:iCs/>
        </w:rPr>
        <w:t>Trends in Ecology &amp; Evolution</w:t>
      </w:r>
      <w:r>
        <w:rPr>
          <w:rFonts w:ascii="Times New Roman" w:hAnsi="Times New Roman"/>
        </w:rPr>
        <w:t xml:space="preserve"> </w:t>
      </w:r>
      <w:r>
        <w:rPr>
          <w:rFonts w:ascii="Times New Roman" w:hAnsi="Times New Roman"/>
          <w:b/>
          <w:bCs/>
        </w:rPr>
        <w:t>22:</w:t>
      </w:r>
      <w:r>
        <w:rPr>
          <w:rFonts w:ascii="Times New Roman" w:hAnsi="Times New Roman"/>
        </w:rPr>
        <w:t xml:space="preserve"> 148–155.</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Breiman L, Friedman J, Stone CJ, Olshen RA. 1984.</w:t>
      </w:r>
      <w:r>
        <w:rPr>
          <w:rFonts w:ascii="Times New Roman" w:hAnsi="Times New Roman"/>
        </w:rPr>
        <w:t xml:space="preserve"> </w:t>
      </w:r>
      <w:r>
        <w:rPr>
          <w:rFonts w:ascii="Times New Roman" w:hAnsi="Times New Roman"/>
          <w:i/>
          <w:iCs/>
        </w:rPr>
        <w:t>Classification and regression trees.</w:t>
      </w:r>
      <w:r>
        <w:rPr>
          <w:rFonts w:ascii="Times New Roman" w:hAnsi="Times New Roman"/>
        </w:rPr>
        <w:t xml:space="preserve"> Wadsworth International Group: Belmont.</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Brink V van den, Bokma F. 2011.</w:t>
      </w:r>
      <w:r>
        <w:rPr>
          <w:rFonts w:ascii="Times New Roman" w:hAnsi="Times New Roman"/>
        </w:rPr>
        <w:t xml:space="preserve"> Morphometric shape analysis using learning vector quantization neural networks — an example distinguishing two microtine vole species. </w:t>
      </w:r>
      <w:r>
        <w:rPr>
          <w:rFonts w:ascii="Times New Roman" w:hAnsi="Times New Roman"/>
          <w:i w:val="false"/>
          <w:iCs w:val="false"/>
        </w:rPr>
        <w:t>Annales Zoologici Fennici</w:t>
      </w:r>
      <w:r>
        <w:rPr>
          <w:rFonts w:ascii="Times New Roman" w:hAnsi="Times New Roman"/>
        </w:rPr>
        <w:t xml:space="preserve"> </w:t>
      </w:r>
      <w:r>
        <w:rPr>
          <w:rFonts w:ascii="Times New Roman" w:hAnsi="Times New Roman"/>
          <w:b/>
          <w:bCs/>
        </w:rPr>
        <w:t>48:</w:t>
      </w:r>
      <w:r>
        <w:rPr>
          <w:rFonts w:ascii="Times New Roman" w:hAnsi="Times New Roman"/>
        </w:rPr>
        <w:t xml:space="preserve"> 359–64.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Bury RB, Germano DJ, Bury GW. 2010.</w:t>
      </w:r>
      <w:r>
        <w:rPr>
          <w:rFonts w:ascii="Times New Roman" w:hAnsi="Times New Roman"/>
        </w:rPr>
        <w:t xml:space="preserve"> Population structure and growth of the turtle </w:t>
      </w:r>
      <w:r>
        <w:rPr>
          <w:rFonts w:ascii="Times New Roman" w:hAnsi="Times New Roman"/>
          <w:i/>
          <w:iCs/>
        </w:rPr>
        <w:t>Actinemys</w:t>
      </w:r>
      <w:r>
        <w:rPr>
          <w:rFonts w:ascii="Times New Roman" w:hAnsi="Times New Roman"/>
        </w:rPr>
        <w:t xml:space="preserve"> </w:t>
      </w:r>
      <w:r>
        <w:rPr>
          <w:rFonts w:ascii="Times New Roman" w:hAnsi="Times New Roman"/>
          <w:i/>
          <w:iCs/>
        </w:rPr>
        <w:t>marmorata</w:t>
      </w:r>
      <w:r>
        <w:rPr>
          <w:rFonts w:ascii="Times New Roman" w:hAnsi="Times New Roman"/>
        </w:rPr>
        <w:t xml:space="preserve"> from the Klamath–Siskiyou ecoregion: Age, Not Size, Matters. Copeia </w:t>
      </w:r>
      <w:r>
        <w:rPr>
          <w:rFonts w:ascii="Times New Roman" w:hAnsi="Times New Roman"/>
          <w:b/>
          <w:bCs/>
        </w:rPr>
        <w:t>2010:</w:t>
      </w:r>
      <w:r>
        <w:rPr>
          <w:rFonts w:ascii="Times New Roman" w:hAnsi="Times New Roman"/>
        </w:rPr>
        <w:t xml:space="preserve"> 443–451.</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Buskirk JW, Parham JF, Feldman CR. 2005.</w:t>
      </w:r>
      <w:r>
        <w:rPr>
          <w:rFonts w:ascii="Times New Roman" w:hAnsi="Times New Roman"/>
        </w:rPr>
        <w:t xml:space="preserve"> On the hybridisation between two distantly related Asian turtles (Testudines: </w:t>
      </w:r>
      <w:r>
        <w:rPr>
          <w:rFonts w:ascii="Times New Roman" w:hAnsi="Times New Roman"/>
          <w:i/>
          <w:iCs/>
        </w:rPr>
        <w:t>Scalia</w:t>
      </w:r>
      <w:r>
        <w:rPr>
          <w:rFonts w:ascii="Times New Roman" w:hAnsi="Times New Roman"/>
        </w:rPr>
        <w:t xml:space="preserve"> x </w:t>
      </w:r>
      <w:r>
        <w:rPr>
          <w:rFonts w:ascii="Times New Roman" w:hAnsi="Times New Roman"/>
          <w:i/>
          <w:iCs/>
        </w:rPr>
        <w:t>Mauremys</w:t>
      </w:r>
      <w:r>
        <w:rPr>
          <w:rFonts w:ascii="Times New Roman" w:hAnsi="Times New Roman"/>
        </w:rPr>
        <w:t xml:space="preserve">). </w:t>
      </w:r>
      <w:r>
        <w:rPr>
          <w:rFonts w:ascii="Times New Roman" w:hAnsi="Times New Roman"/>
          <w:i/>
          <w:iCs/>
        </w:rPr>
        <w:t>Salamandra</w:t>
      </w:r>
      <w:r>
        <w:rPr>
          <w:rFonts w:ascii="Times New Roman" w:hAnsi="Times New Roman"/>
        </w:rPr>
        <w:t xml:space="preserve"> </w:t>
      </w:r>
      <w:r>
        <w:rPr>
          <w:rFonts w:ascii="Times New Roman" w:hAnsi="Times New Roman"/>
          <w:b/>
          <w:bCs/>
        </w:rPr>
        <w:t>41:</w:t>
      </w:r>
      <w:r>
        <w:rPr>
          <w:rFonts w:ascii="Times New Roman" w:hAnsi="Times New Roman"/>
        </w:rPr>
        <w:t xml:space="preserve"> 21–26.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Cardini A, Nagorsen D, O’Higgins P, Polly PD, Thorington RW Jr, Tongiorgi P. 2009.</w:t>
      </w:r>
      <w:r>
        <w:rPr>
          <w:rFonts w:ascii="Times New Roman" w:hAnsi="Times New Roman"/>
        </w:rPr>
        <w:t xml:space="preserve"> Detecting biological distinctiveness using geometric morphometrics: an example case from the Vancouver Island marmot. </w:t>
      </w:r>
      <w:r>
        <w:rPr>
          <w:rFonts w:ascii="Times New Roman" w:hAnsi="Times New Roman"/>
          <w:i/>
          <w:iCs/>
        </w:rPr>
        <w:t>Ethology Ecology &amp; Evolution</w:t>
      </w:r>
      <w:r>
        <w:rPr>
          <w:rFonts w:ascii="Times New Roman" w:hAnsi="Times New Roman"/>
        </w:rPr>
        <w:t xml:space="preserve"> </w:t>
      </w:r>
      <w:r>
        <w:rPr>
          <w:rFonts w:ascii="Times New Roman" w:hAnsi="Times New Roman"/>
          <w:b/>
          <w:bCs/>
        </w:rPr>
        <w:t>21:</w:t>
      </w:r>
      <w:r>
        <w:rPr>
          <w:rFonts w:ascii="Times New Roman" w:hAnsi="Times New Roman"/>
        </w:rPr>
        <w:t xml:space="preserve"> 209–23.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Carstens BC, Dewey TA. 2010.</w:t>
      </w:r>
      <w:r>
        <w:rPr>
          <w:rFonts w:ascii="Times New Roman" w:hAnsi="Times New Roman"/>
        </w:rPr>
        <w:t xml:space="preserve"> Species delimitation using a combined coalescent and information-theoretic approach: an example from North American </w:t>
      </w:r>
      <w:r>
        <w:rPr>
          <w:rFonts w:ascii="Times New Roman" w:hAnsi="Times New Roman"/>
          <w:i/>
          <w:iCs/>
        </w:rPr>
        <w:t>Myotis</w:t>
      </w:r>
      <w:r>
        <w:rPr>
          <w:rFonts w:ascii="Times New Roman" w:hAnsi="Times New Roman"/>
        </w:rPr>
        <w:t xml:space="preserve"> bats. </w:t>
      </w:r>
      <w:r>
        <w:rPr>
          <w:rFonts w:ascii="Times New Roman" w:hAnsi="Times New Roman"/>
          <w:i/>
          <w:iCs/>
        </w:rPr>
        <w:t>Systematic Biology</w:t>
      </w:r>
      <w:r>
        <w:rPr>
          <w:rFonts w:ascii="Times New Roman" w:hAnsi="Times New Roman"/>
        </w:rPr>
        <w:t xml:space="preserve"> </w:t>
      </w:r>
      <w:r>
        <w:rPr>
          <w:rFonts w:ascii="Times New Roman" w:hAnsi="Times New Roman"/>
          <w:b/>
          <w:bCs/>
        </w:rPr>
        <w:t>59:</w:t>
      </w:r>
      <w:r>
        <w:rPr>
          <w:rFonts w:ascii="Times New Roman" w:hAnsi="Times New Roman"/>
        </w:rPr>
        <w:t xml:space="preserve"> 400–414.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Carstens BC, Pelletier TA, Reid NM, Satler JD. 2013.</w:t>
      </w:r>
      <w:r>
        <w:rPr>
          <w:rFonts w:ascii="Times New Roman" w:hAnsi="Times New Roman"/>
        </w:rPr>
        <w:t xml:space="preserve"> How to fail at species delimitation. </w:t>
      </w:r>
      <w:r>
        <w:rPr>
          <w:rFonts w:ascii="Times New Roman" w:hAnsi="Times New Roman"/>
          <w:i/>
          <w:iCs/>
        </w:rPr>
        <w:t>Molecular Ecology</w:t>
      </w:r>
      <w:r>
        <w:rPr>
          <w:rFonts w:ascii="Times New Roman" w:hAnsi="Times New Roman"/>
        </w:rPr>
        <w:t xml:space="preserve"> </w:t>
      </w:r>
      <w:r>
        <w:rPr>
          <w:rFonts w:ascii="Times New Roman" w:hAnsi="Times New Roman"/>
          <w:b/>
          <w:bCs/>
        </w:rPr>
        <w:t>22:</w:t>
      </w:r>
      <w:r>
        <w:rPr>
          <w:rFonts w:ascii="Times New Roman" w:hAnsi="Times New Roman"/>
        </w:rPr>
        <w:t xml:space="preserve"> 4369–83.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Caumul R, Polly PD. 2005.</w:t>
      </w:r>
      <w:r>
        <w:rPr>
          <w:rFonts w:ascii="Times New Roman" w:hAnsi="Times New Roman"/>
        </w:rPr>
        <w:t xml:space="preserve"> Phylogenetic and environmental components of morphological variation: skull, mandible, and molar shape in marmots (</w:t>
      </w:r>
      <w:r>
        <w:rPr>
          <w:rFonts w:ascii="Times New Roman" w:hAnsi="Times New Roman"/>
          <w:i/>
          <w:iCs/>
          <w:u w:val="none"/>
        </w:rPr>
        <w:t>Marmota</w:t>
      </w:r>
      <w:r>
        <w:rPr>
          <w:rFonts w:ascii="Times New Roman" w:hAnsi="Times New Roman"/>
        </w:rPr>
        <w:t xml:space="preserve">, Rodentia). </w:t>
      </w:r>
      <w:r>
        <w:rPr>
          <w:rFonts w:ascii="Times New Roman" w:hAnsi="Times New Roman"/>
          <w:i/>
          <w:iCs/>
        </w:rPr>
        <w:t>Evolution</w:t>
      </w:r>
      <w:r>
        <w:rPr>
          <w:rFonts w:ascii="Times New Roman" w:hAnsi="Times New Roman"/>
        </w:rPr>
        <w:t xml:space="preserve">: </w:t>
      </w:r>
      <w:r>
        <w:rPr>
          <w:rFonts w:ascii="Times New Roman" w:hAnsi="Times New Roman"/>
          <w:b/>
          <w:bCs/>
        </w:rPr>
        <w:t>59:</w:t>
      </w:r>
      <w:r>
        <w:rPr>
          <w:rFonts w:ascii="Times New Roman" w:hAnsi="Times New Roman"/>
        </w:rPr>
        <w:t xml:space="preserve"> 2460–2472.</w:t>
      </w:r>
    </w:p>
    <w:p>
      <w:pPr>
        <w:pStyle w:val="Normal"/>
        <w:widowControl w:val="false"/>
        <w:suppressAutoHyphens w:val="true"/>
        <w:bidi w:val="0"/>
        <w:spacing w:lineRule="auto" w:line="480"/>
        <w:ind w:left="540" w:right="0" w:hanging="540"/>
        <w:jc w:val="left"/>
        <w:rPr/>
      </w:pPr>
      <w:r>
        <w:rPr>
          <w:rFonts w:ascii="Times New Roman" w:hAnsi="Times New Roman"/>
          <w:b/>
          <w:bCs/>
        </w:rPr>
        <w:t>Clare EL. 2011.</w:t>
      </w:r>
      <w:r>
        <w:rPr>
          <w:rFonts w:ascii="Times New Roman" w:hAnsi="Times New Roman"/>
        </w:rPr>
        <w:t xml:space="preserve"> Cryptic species? Patterns of maternal and paternal gene flow in eight neotropical bats. </w:t>
      </w:r>
      <w:r>
        <w:rPr>
          <w:rFonts w:ascii="Times New Roman" w:hAnsi="Times New Roman"/>
          <w:i/>
          <w:iCs/>
        </w:rPr>
        <w:t>PloS One</w:t>
      </w:r>
      <w:r>
        <w:rPr>
          <w:rFonts w:ascii="Times New Roman" w:hAnsi="Times New Roman"/>
        </w:rPr>
        <w:t xml:space="preserve"> </w:t>
      </w:r>
      <w:r>
        <w:rPr>
          <w:rFonts w:ascii="Times New Roman" w:hAnsi="Times New Roman"/>
          <w:b/>
          <w:bCs/>
        </w:rPr>
        <w:t>6 (7):</w:t>
      </w:r>
      <w:r>
        <w:rPr>
          <w:rFonts w:ascii="Times New Roman" w:hAnsi="Times New Roman"/>
        </w:rPr>
        <w:t xml:space="preserve"> e21460. doi:</w:t>
      </w:r>
      <w:hyperlink r:id="rId3">
        <w:r>
          <w:rPr>
            <w:rStyle w:val="InternetLink"/>
            <w:rFonts w:ascii="Times New Roman" w:hAnsi="Times New Roman"/>
          </w:rPr>
          <w:t>10.1371/journal.pone.0021460</w:t>
        </w:r>
      </w:hyperlink>
      <w:r>
        <w:rPr>
          <w:rFonts w:ascii="Times New Roman" w:hAnsi="Times New Roman"/>
        </w:rPr>
        <w:t>.</w:t>
      </w:r>
    </w:p>
    <w:p>
      <w:pPr>
        <w:pStyle w:val="Normal"/>
        <w:widowControl w:val="false"/>
        <w:suppressAutoHyphens w:val="true"/>
        <w:bidi w:val="0"/>
        <w:spacing w:lineRule="auto" w:line="480"/>
        <w:ind w:left="540" w:right="0" w:hanging="540"/>
        <w:jc w:val="left"/>
        <w:rPr>
          <w:rFonts w:ascii="Times New Roman" w:hAnsi="Times New Roman" w:cs="Times New Roman"/>
        </w:rPr>
      </w:pPr>
      <w:r>
        <w:rPr>
          <w:rFonts w:cs="Times New Roman" w:ascii="Times New Roman" w:hAnsi="Times New Roman"/>
          <w:b/>
          <w:bCs/>
        </w:rPr>
        <w:t>Claude J. 2006.</w:t>
      </w:r>
      <w:r>
        <w:rPr>
          <w:rFonts w:cs="Times New Roman" w:ascii="Times New Roman" w:hAnsi="Times New Roman"/>
        </w:rPr>
        <w:t xml:space="preserve"> Convergence induced by plastral kinesis and phylogenetic constraints in Testudinoidea: a geometric morphometric assessment. </w:t>
      </w:r>
      <w:r>
        <w:rPr>
          <w:rFonts w:cs="Times New Roman" w:ascii="Times New Roman" w:hAnsi="Times New Roman"/>
          <w:i/>
          <w:iCs/>
        </w:rPr>
        <w:t>Russian Journal of Herpetology</w:t>
      </w:r>
      <w:r>
        <w:rPr>
          <w:rFonts w:cs="Times New Roman" w:ascii="Times New Roman" w:hAnsi="Times New Roman"/>
          <w:b/>
          <w:bCs/>
        </w:rPr>
        <w:t xml:space="preserve"> 13:</w:t>
      </w:r>
      <w:r>
        <w:rPr>
          <w:rFonts w:cs="Times New Roman" w:ascii="Times New Roman" w:hAnsi="Times New Roman"/>
        </w:rPr>
        <w:t xml:space="preserve"> 34-45.</w:t>
      </w:r>
    </w:p>
    <w:p>
      <w:pPr>
        <w:pStyle w:val="Normal"/>
        <w:widowControl w:val="false"/>
        <w:suppressAutoHyphens w:val="true"/>
        <w:bidi w:val="0"/>
        <w:spacing w:lineRule="auto" w:line="480"/>
        <w:ind w:left="540" w:right="0" w:hanging="540"/>
        <w:jc w:val="left"/>
        <w:rPr>
          <w:rFonts w:ascii="Times New Roman" w:hAnsi="Times New Roman"/>
          <w:b w:val="false"/>
          <w:b w:val="false"/>
          <w:bCs w:val="false"/>
          <w:i w:val="false"/>
          <w:i w:val="false"/>
          <w:iCs w:val="false"/>
        </w:rPr>
      </w:pPr>
      <w:r>
        <w:rPr>
          <w:rFonts w:ascii="Times New Roman" w:hAnsi="Times New Roman"/>
          <w:b/>
          <w:bCs/>
        </w:rPr>
        <w:t xml:space="preserve">Claude J. 2008. </w:t>
      </w:r>
      <w:r>
        <w:rPr>
          <w:rFonts w:ascii="Times New Roman" w:hAnsi="Times New Roman"/>
          <w:b w:val="false"/>
          <w:bCs w:val="false"/>
          <w:i/>
          <w:iCs/>
        </w:rPr>
        <w:t>Morphometrics in R</w:t>
      </w:r>
      <w:r>
        <w:rPr>
          <w:rFonts w:ascii="Times New Roman" w:hAnsi="Times New Roman"/>
          <w:b w:val="false"/>
          <w:bCs w:val="false"/>
          <w:i w:val="false"/>
          <w:iCs w:val="false"/>
        </w:rPr>
        <w:t>. Springer: New York.</w:t>
      </w:r>
    </w:p>
    <w:p>
      <w:pPr>
        <w:pStyle w:val="Normal"/>
        <w:widowControl w:val="false"/>
        <w:suppressAutoHyphens w:val="true"/>
        <w:bidi w:val="0"/>
        <w:spacing w:lineRule="auto" w:line="480"/>
        <w:ind w:left="540" w:right="0" w:hanging="540"/>
        <w:jc w:val="left"/>
        <w:rPr>
          <w:rFonts w:ascii="Times New Roman" w:hAnsi="Times New Roman" w:cs="Times New Roman"/>
          <w:b w:val="false"/>
          <w:b w:val="false"/>
          <w:bCs w:val="false"/>
        </w:rPr>
      </w:pPr>
      <w:r>
        <w:rPr>
          <w:rFonts w:cs="Times New Roman" w:ascii="Times New Roman" w:hAnsi="Times New Roman"/>
          <w:b/>
          <w:bCs/>
        </w:rPr>
        <w:t xml:space="preserve">Claude J, Paradis E, Tong T, Auffray J-C. 2003. </w:t>
      </w:r>
      <w:r>
        <w:rPr>
          <w:rFonts w:cs="Times New Roman" w:ascii="Times New Roman" w:hAnsi="Times New Roman"/>
          <w:b w:val="false"/>
          <w:bCs w:val="false"/>
        </w:rPr>
        <w:t xml:space="preserve">A geometric morphometric assessment of the effects of environment and cladogenesis on the evolution of the turtle shell. </w:t>
      </w:r>
      <w:r>
        <w:rPr>
          <w:rFonts w:cs="Times New Roman" w:ascii="Times New Roman" w:hAnsi="Times New Roman"/>
          <w:b w:val="false"/>
          <w:bCs w:val="false"/>
          <w:i/>
          <w:iCs/>
        </w:rPr>
        <w:t>Biological Journal of the Linnean Society</w:t>
      </w:r>
      <w:r>
        <w:rPr>
          <w:rFonts w:cs="Times New Roman" w:ascii="Times New Roman" w:hAnsi="Times New Roman"/>
          <w:b w:val="false"/>
          <w:bCs w:val="false"/>
        </w:rPr>
        <w:t xml:space="preserve"> </w:t>
      </w:r>
      <w:r>
        <w:rPr>
          <w:rFonts w:cs="Times New Roman" w:ascii="Times New Roman" w:hAnsi="Times New Roman"/>
          <w:b/>
          <w:bCs/>
        </w:rPr>
        <w:t>79:</w:t>
      </w:r>
      <w:r>
        <w:rPr>
          <w:rFonts w:cs="Times New Roman" w:ascii="Times New Roman" w:hAnsi="Times New Roman"/>
          <w:b w:val="false"/>
          <w:bCs w:val="false"/>
        </w:rPr>
        <w:t xml:space="preserve"> 485–501.</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Cramon-Taubadel N von, Frazier BC, Lahr MM. 2007.</w:t>
      </w:r>
      <w:r>
        <w:rPr>
          <w:rFonts w:ascii="Times New Roman" w:hAnsi="Times New Roman"/>
        </w:rPr>
        <w:t xml:space="preserve"> The problem of assessing landmark error in geometric morphometrics: theory, methods, and modifications. </w:t>
      </w:r>
      <w:r>
        <w:rPr>
          <w:rFonts w:ascii="Times New Roman" w:hAnsi="Times New Roman"/>
          <w:i/>
          <w:iCs/>
        </w:rPr>
        <w:t>American Journal of Physical Anthropology</w:t>
      </w:r>
      <w:r>
        <w:rPr>
          <w:rFonts w:ascii="Times New Roman" w:hAnsi="Times New Roman"/>
        </w:rPr>
        <w:t xml:space="preserve"> </w:t>
      </w:r>
      <w:r>
        <w:rPr>
          <w:rFonts w:ascii="Times New Roman" w:hAnsi="Times New Roman"/>
          <w:b/>
          <w:bCs/>
        </w:rPr>
        <w:t>132:</w:t>
      </w:r>
      <w:r>
        <w:rPr>
          <w:rFonts w:ascii="Times New Roman" w:hAnsi="Times New Roman"/>
        </w:rPr>
        <w:t xml:space="preserve"> 535–544.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Dayrat B. 2005.</w:t>
      </w:r>
      <w:r>
        <w:rPr>
          <w:rFonts w:ascii="Times New Roman" w:hAnsi="Times New Roman"/>
        </w:rPr>
        <w:t xml:space="preserve"> Towards integrative taxonomy. </w:t>
      </w:r>
      <w:r>
        <w:rPr>
          <w:rFonts w:ascii="Times New Roman" w:hAnsi="Times New Roman"/>
          <w:i/>
          <w:iCs/>
        </w:rPr>
        <w:t>Biological Journal of the Linnean Society</w:t>
      </w:r>
      <w:r>
        <w:rPr>
          <w:rFonts w:ascii="Times New Roman" w:hAnsi="Times New Roman"/>
        </w:rPr>
        <w:t xml:space="preserve"> </w:t>
      </w:r>
      <w:r>
        <w:rPr>
          <w:rFonts w:ascii="Times New Roman" w:hAnsi="Times New Roman"/>
          <w:b/>
          <w:bCs/>
        </w:rPr>
        <w:t>85:</w:t>
      </w:r>
      <w:r>
        <w:rPr>
          <w:rFonts w:ascii="Times New Roman" w:hAnsi="Times New Roman"/>
        </w:rPr>
        <w:t xml:space="preserve"> 407–415.</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De Queiroz K. 2007.</w:t>
      </w:r>
      <w:r>
        <w:rPr>
          <w:rFonts w:ascii="Times New Roman" w:hAnsi="Times New Roman"/>
        </w:rPr>
        <w:t xml:space="preserve"> Species concepts and species delimitation. </w:t>
      </w:r>
      <w:r>
        <w:rPr>
          <w:rFonts w:ascii="Times New Roman" w:hAnsi="Times New Roman"/>
          <w:i/>
          <w:iCs/>
        </w:rPr>
        <w:t>Systematic Biology</w:t>
      </w:r>
      <w:r>
        <w:rPr>
          <w:rFonts w:ascii="Times New Roman" w:hAnsi="Times New Roman"/>
        </w:rPr>
        <w:t xml:space="preserve"> </w:t>
      </w:r>
      <w:r>
        <w:rPr>
          <w:rFonts w:ascii="Times New Roman" w:hAnsi="Times New Roman"/>
          <w:b/>
          <w:bCs/>
        </w:rPr>
        <w:t>56:</w:t>
      </w:r>
      <w:r>
        <w:rPr>
          <w:rFonts w:ascii="Times New Roman" w:hAnsi="Times New Roman"/>
        </w:rPr>
        <w:t xml:space="preserve"> 879–886.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Demandt MH, Bergek S. 2009.</w:t>
      </w:r>
      <w:r>
        <w:rPr>
          <w:rFonts w:ascii="Times New Roman" w:hAnsi="Times New Roman"/>
        </w:rPr>
        <w:t xml:space="preserve"> Identification of cyprinid hybrids by using geometric morphometrics and microsatellites. </w:t>
      </w:r>
      <w:r>
        <w:rPr>
          <w:rFonts w:ascii="Times New Roman" w:hAnsi="Times New Roman"/>
          <w:i/>
          <w:iCs/>
        </w:rPr>
        <w:t>Journal of Applied Ichthyology</w:t>
      </w:r>
      <w:r>
        <w:rPr>
          <w:rFonts w:ascii="Times New Roman" w:hAnsi="Times New Roman"/>
        </w:rPr>
        <w:t xml:space="preserve"> </w:t>
      </w:r>
      <w:r>
        <w:rPr>
          <w:rFonts w:ascii="Times New Roman" w:hAnsi="Times New Roman"/>
          <w:b/>
          <w:bCs/>
        </w:rPr>
        <w:t>25:</w:t>
      </w:r>
      <w:r>
        <w:rPr>
          <w:rFonts w:ascii="Times New Roman" w:hAnsi="Times New Roman"/>
        </w:rPr>
        <w:t xml:space="preserve"> 695–701.</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Dillard KC. 2017.</w:t>
      </w:r>
      <w:r>
        <w:rPr>
          <w:rFonts w:ascii="Times New Roman" w:hAnsi="Times New Roman"/>
        </w:rPr>
        <w:t xml:space="preserve"> </w:t>
      </w:r>
      <w:r>
        <w:rPr>
          <w:rFonts w:ascii="Times New Roman" w:hAnsi="Times New Roman"/>
          <w:i/>
          <w:iCs/>
        </w:rPr>
        <w:t xml:space="preserve">A comparative analysis of geometric morphometrics across two </w:t>
      </w:r>
      <w:r>
        <w:rPr>
          <w:rFonts w:ascii="Times New Roman" w:hAnsi="Times New Roman"/>
          <w:i w:val="false"/>
          <w:iCs w:val="false"/>
        </w:rPr>
        <w:t>Pseudemys</w:t>
      </w:r>
      <w:r>
        <w:rPr>
          <w:rFonts w:ascii="Times New Roman" w:hAnsi="Times New Roman"/>
          <w:i/>
          <w:iCs/>
        </w:rPr>
        <w:t xml:space="preserve"> turtle species in east central Virginia</w:t>
      </w:r>
      <w:r>
        <w:rPr>
          <w:rFonts w:ascii="Times New Roman" w:hAnsi="Times New Roman"/>
        </w:rPr>
        <w:t>. Unpublished Masters Thesis, Virginia Commonwealth University: Richmond.</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Dobigny G, Granjon L, Aniskin V, Ba K, Voloboulev V. 2003.</w:t>
      </w:r>
      <w:r>
        <w:rPr>
          <w:rFonts w:ascii="Times New Roman" w:hAnsi="Times New Roman"/>
        </w:rPr>
        <w:t xml:space="preserve"> A new sibling species of </w:t>
      </w:r>
      <w:r>
        <w:rPr>
          <w:rFonts w:ascii="Times New Roman" w:hAnsi="Times New Roman"/>
          <w:i/>
          <w:iCs/>
        </w:rPr>
        <w:t>Taterillus</w:t>
      </w:r>
      <w:r>
        <w:rPr>
          <w:rFonts w:ascii="Times New Roman" w:hAnsi="Times New Roman"/>
        </w:rPr>
        <w:t xml:space="preserve"> (Muridae, Gerbillinae) from West Africa. </w:t>
      </w:r>
      <w:r>
        <w:rPr>
          <w:rFonts w:ascii="Times New Roman" w:hAnsi="Times New Roman"/>
          <w:i/>
          <w:iCs/>
        </w:rPr>
        <w:t>Mammalian Biology</w:t>
      </w:r>
      <w:r>
        <w:rPr>
          <w:rFonts w:ascii="Times New Roman" w:hAnsi="Times New Roman"/>
        </w:rPr>
        <w:t xml:space="preserve"> </w:t>
      </w:r>
      <w:r>
        <w:rPr>
          <w:rFonts w:ascii="Times New Roman" w:hAnsi="Times New Roman"/>
          <w:b/>
          <w:bCs/>
        </w:rPr>
        <w:t>68:</w:t>
      </w:r>
      <w:r>
        <w:rPr>
          <w:rFonts w:ascii="Times New Roman" w:hAnsi="Times New Roman"/>
        </w:rPr>
        <w:t xml:space="preserve"> 299–316.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Dryden IL, Mardia KY.</w:t>
      </w:r>
      <w:r>
        <w:rPr>
          <w:rFonts w:ascii="Times New Roman" w:hAnsi="Times New Roman"/>
        </w:rPr>
        <w:t xml:space="preserve"> </w:t>
      </w:r>
      <w:r>
        <w:rPr>
          <w:rFonts w:ascii="Times New Roman" w:hAnsi="Times New Roman"/>
          <w:b/>
          <w:bCs/>
        </w:rPr>
        <w:t>1998.</w:t>
      </w:r>
      <w:r>
        <w:rPr>
          <w:rFonts w:ascii="Times New Roman" w:hAnsi="Times New Roman"/>
        </w:rPr>
        <w:t xml:space="preserve"> </w:t>
      </w:r>
      <w:r>
        <w:rPr>
          <w:rFonts w:ascii="Times New Roman" w:hAnsi="Times New Roman"/>
          <w:i/>
          <w:iCs/>
        </w:rPr>
        <w:t>Statistical shape analysis</w:t>
      </w:r>
      <w:r>
        <w:rPr>
          <w:rFonts w:ascii="Times New Roman" w:hAnsi="Times New Roman"/>
        </w:rPr>
        <w:t>. Wiley:New York.</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Eldredge N, Gould SJ. 1972.</w:t>
      </w:r>
      <w:r>
        <w:rPr>
          <w:rFonts w:ascii="Times New Roman" w:hAnsi="Times New Roman"/>
        </w:rPr>
        <w:t xml:space="preserve"> Punctuated equilibria: an alternative to phyletic gradualism. In Schopf TJM, ed. </w:t>
      </w:r>
      <w:r>
        <w:rPr>
          <w:rFonts w:ascii="Times New Roman" w:hAnsi="Times New Roman"/>
          <w:i/>
          <w:iCs/>
        </w:rPr>
        <w:t xml:space="preserve">Models in Paleobiology. </w:t>
      </w:r>
      <w:r>
        <w:rPr>
          <w:rFonts w:ascii="Times New Roman" w:hAnsi="Times New Roman"/>
        </w:rPr>
        <w:t>San Francisco: Freeman Cooper. 82–115.</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Feldman CR, Parham JF. 2002.</w:t>
      </w:r>
      <w:r>
        <w:rPr>
          <w:rFonts w:ascii="Times New Roman" w:hAnsi="Times New Roman"/>
        </w:rPr>
        <w:t xml:space="preserve"> Molecular phylogenetics of emydine turtles: taxonomic revision and the evolution of shell kinesis. </w:t>
      </w:r>
      <w:r>
        <w:rPr>
          <w:rFonts w:ascii="Times New Roman" w:hAnsi="Times New Roman"/>
          <w:i/>
          <w:iCs/>
        </w:rPr>
        <w:t>Molecular Phylogenetics and Evolution</w:t>
      </w:r>
      <w:r>
        <w:rPr>
          <w:rFonts w:ascii="Times New Roman" w:hAnsi="Times New Roman"/>
        </w:rPr>
        <w:t xml:space="preserve"> </w:t>
      </w:r>
      <w:r>
        <w:rPr>
          <w:rFonts w:ascii="Times New Roman" w:hAnsi="Times New Roman"/>
          <w:b/>
          <w:bCs/>
        </w:rPr>
        <w:t>22:</w:t>
      </w:r>
      <w:r>
        <w:rPr>
          <w:rFonts w:ascii="Times New Roman" w:hAnsi="Times New Roman"/>
        </w:rPr>
        <w:t xml:space="preserve"> 388–398.</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Francoy TM, Silva RAO, Nunes-Silva P, Menezes C, Imperatriz-Fonseca VL. 2009.</w:t>
      </w:r>
      <w:r>
        <w:rPr>
          <w:rFonts w:ascii="Times New Roman" w:hAnsi="Times New Roman"/>
        </w:rPr>
        <w:t xml:space="preserve"> Gender identification of five genera of stingless bees (Apidae, Meliponini) based on wing morphology. </w:t>
      </w:r>
      <w:r>
        <w:rPr>
          <w:rFonts w:ascii="Times New Roman" w:hAnsi="Times New Roman"/>
          <w:i/>
          <w:iCs/>
        </w:rPr>
        <w:t>Genetics and Molecular Research</w:t>
      </w:r>
      <w:r>
        <w:rPr>
          <w:rFonts w:ascii="Times New Roman" w:hAnsi="Times New Roman"/>
        </w:rPr>
        <w:t xml:space="preserve"> </w:t>
      </w:r>
      <w:r>
        <w:rPr>
          <w:rFonts w:ascii="Times New Roman" w:hAnsi="Times New Roman"/>
          <w:b/>
          <w:bCs/>
        </w:rPr>
        <w:t>8:</w:t>
      </w:r>
      <w:r>
        <w:rPr>
          <w:rFonts w:ascii="Times New Roman" w:hAnsi="Times New Roman"/>
        </w:rPr>
        <w:t xml:space="preserve"> 207–214.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Fruciano C, Franchini P, Raffini F, Fan S, Meyer A. 2016.</w:t>
      </w:r>
      <w:r>
        <w:rPr>
          <w:rFonts w:ascii="Times New Roman" w:hAnsi="Times New Roman"/>
        </w:rPr>
        <w:t xml:space="preserve"> Are sympatrically speciating Midas cichlid fish special? Patterns of morphological and genetic variation in the closely related species </w:t>
      </w:r>
      <w:r>
        <w:rPr>
          <w:rFonts w:ascii="Times New Roman" w:hAnsi="Times New Roman"/>
          <w:i/>
          <w:iCs/>
        </w:rPr>
        <w:t>Archocentrus centrarchus</w:t>
      </w:r>
      <w:r>
        <w:rPr>
          <w:rFonts w:ascii="Times New Roman" w:hAnsi="Times New Roman"/>
        </w:rPr>
        <w:t xml:space="preserve">. </w:t>
      </w:r>
      <w:r>
        <w:rPr>
          <w:rFonts w:ascii="Times New Roman" w:hAnsi="Times New Roman"/>
          <w:i/>
          <w:iCs/>
        </w:rPr>
        <w:t>Ecology and Evolution</w:t>
      </w:r>
      <w:r>
        <w:rPr>
          <w:rFonts w:ascii="Times New Roman" w:hAnsi="Times New Roman"/>
        </w:rPr>
        <w:t xml:space="preserve"> </w:t>
      </w:r>
      <w:r>
        <w:rPr>
          <w:rFonts w:ascii="Times New Roman" w:hAnsi="Times New Roman"/>
          <w:b/>
          <w:bCs/>
        </w:rPr>
        <w:t>6:</w:t>
      </w:r>
      <w:r>
        <w:rPr>
          <w:rFonts w:ascii="Times New Roman" w:hAnsi="Times New Roman"/>
        </w:rPr>
        <w:t xml:space="preserve"> 4102–4114.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Funk WC, Caminer M, Ron SR. 2012.</w:t>
      </w:r>
      <w:r>
        <w:rPr>
          <w:rFonts w:ascii="Times New Roman" w:hAnsi="Times New Roman"/>
        </w:rPr>
        <w:t xml:space="preserve"> High levels of cryptic species diversity uncovered in Amazonian frogs. </w:t>
      </w:r>
      <w:r>
        <w:rPr>
          <w:rFonts w:ascii="Times New Roman" w:hAnsi="Times New Roman"/>
          <w:i/>
          <w:iCs/>
        </w:rPr>
        <w:t>Proceedings of the Royal Society B</w:t>
      </w:r>
      <w:r>
        <w:rPr>
          <w:rFonts w:ascii="Times New Roman" w:hAnsi="Times New Roman"/>
        </w:rPr>
        <w:t xml:space="preserve"> </w:t>
      </w:r>
      <w:r>
        <w:rPr>
          <w:rFonts w:ascii="Times New Roman" w:hAnsi="Times New Roman"/>
          <w:b/>
          <w:bCs/>
        </w:rPr>
        <w:t>279:</w:t>
      </w:r>
      <w:r>
        <w:rPr>
          <w:rFonts w:ascii="Times New Roman" w:hAnsi="Times New Roman"/>
        </w:rPr>
        <w:t xml:space="preserve"> 1806–1814.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Gaubert P, Taylor PJ, Fernandes CA, Bruford MW, Veron G. 2005.</w:t>
      </w:r>
      <w:r>
        <w:rPr>
          <w:rFonts w:ascii="Times New Roman" w:hAnsi="Times New Roman"/>
        </w:rPr>
        <w:t xml:space="preserve"> Patterns of cryptic hybridization revealed using an integrative approach: a case study on genets (Carnivora, Viverridae, </w:t>
      </w:r>
      <w:r>
        <w:rPr>
          <w:rFonts w:ascii="Times New Roman" w:hAnsi="Times New Roman"/>
          <w:i/>
          <w:iCs/>
        </w:rPr>
        <w:t>Genetta</w:t>
      </w:r>
      <w:r>
        <w:rPr>
          <w:rFonts w:ascii="Times New Roman" w:hAnsi="Times New Roman"/>
        </w:rPr>
        <w:t xml:space="preserve"> spp.) from the southern African subregion. </w:t>
      </w:r>
      <w:r>
        <w:rPr>
          <w:rFonts w:ascii="Times New Roman" w:hAnsi="Times New Roman"/>
          <w:i/>
          <w:iCs/>
        </w:rPr>
        <w:t>Biological Journal of the Linnean Society</w:t>
      </w:r>
      <w:r>
        <w:rPr>
          <w:rFonts w:ascii="Times New Roman" w:hAnsi="Times New Roman"/>
        </w:rPr>
        <w:t xml:space="preserve"> </w:t>
      </w:r>
      <w:r>
        <w:rPr>
          <w:rFonts w:ascii="Times New Roman" w:hAnsi="Times New Roman"/>
          <w:b/>
          <w:bCs/>
        </w:rPr>
        <w:t>86:</w:t>
      </w:r>
      <w:r>
        <w:rPr>
          <w:rFonts w:ascii="Times New Roman" w:hAnsi="Times New Roman"/>
        </w:rPr>
        <w:t xml:space="preserve"> 11–33.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Germano DJ, Bury RB. 2009.</w:t>
      </w:r>
      <w:r>
        <w:rPr>
          <w:rFonts w:ascii="Times New Roman" w:hAnsi="Times New Roman"/>
        </w:rPr>
        <w:t xml:space="preserve"> Variation in body size, growth, and population structure of </w:t>
      </w:r>
      <w:r>
        <w:rPr>
          <w:rFonts w:ascii="Times New Roman" w:hAnsi="Times New Roman"/>
          <w:i/>
          <w:iCs/>
        </w:rPr>
        <w:t>Actinemys</w:t>
      </w:r>
      <w:r>
        <w:rPr>
          <w:rFonts w:ascii="Times New Roman" w:hAnsi="Times New Roman"/>
        </w:rPr>
        <w:t xml:space="preserve"> </w:t>
      </w:r>
      <w:r>
        <w:rPr>
          <w:rFonts w:ascii="Times New Roman" w:hAnsi="Times New Roman"/>
          <w:i/>
          <w:iCs/>
        </w:rPr>
        <w:t>marmorata</w:t>
      </w:r>
      <w:r>
        <w:rPr>
          <w:rFonts w:ascii="Times New Roman" w:hAnsi="Times New Roman"/>
        </w:rPr>
        <w:t xml:space="preserve"> from lentic and lotic habitats in southern Oregon. </w:t>
      </w:r>
      <w:r>
        <w:rPr>
          <w:rFonts w:ascii="Times New Roman" w:hAnsi="Times New Roman"/>
          <w:i/>
          <w:iCs/>
        </w:rPr>
        <w:t>Journal of Herpetology</w:t>
      </w:r>
      <w:r>
        <w:rPr>
          <w:rFonts w:ascii="Times New Roman" w:hAnsi="Times New Roman"/>
        </w:rPr>
        <w:t xml:space="preserve"> </w:t>
      </w:r>
      <w:r>
        <w:rPr>
          <w:rFonts w:ascii="Times New Roman" w:hAnsi="Times New Roman"/>
          <w:b/>
          <w:bCs/>
        </w:rPr>
        <w:t>43:</w:t>
      </w:r>
      <w:r>
        <w:rPr>
          <w:rFonts w:ascii="Times New Roman" w:hAnsi="Times New Roman"/>
        </w:rPr>
        <w:t xml:space="preserve"> 510–520.</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Germano DJ, Rathbun GB. 2008.</w:t>
      </w:r>
      <w:r>
        <w:rPr>
          <w:rFonts w:ascii="Times New Roman" w:hAnsi="Times New Roman"/>
        </w:rPr>
        <w:t xml:space="preserve"> Growth, population structure, and reproduction of western pond turtles (</w:t>
      </w:r>
      <w:r>
        <w:rPr>
          <w:rFonts w:ascii="Times New Roman" w:hAnsi="Times New Roman"/>
          <w:i/>
          <w:iCs/>
        </w:rPr>
        <w:t>Actinemys marmorata</w:t>
      </w:r>
      <w:r>
        <w:rPr>
          <w:rFonts w:ascii="Times New Roman" w:hAnsi="Times New Roman"/>
        </w:rPr>
        <w:t xml:space="preserve">) on the Central Coast of California. </w:t>
      </w:r>
      <w:r>
        <w:rPr>
          <w:rFonts w:ascii="Times New Roman" w:hAnsi="Times New Roman"/>
          <w:i/>
          <w:iCs/>
        </w:rPr>
        <w:t>Chelonian Conservation and Biology</w:t>
      </w:r>
      <w:r>
        <w:rPr>
          <w:rFonts w:ascii="Times New Roman" w:hAnsi="Times New Roman"/>
        </w:rPr>
        <w:t xml:space="preserve"> </w:t>
      </w:r>
      <w:r>
        <w:rPr>
          <w:rFonts w:ascii="Times New Roman" w:hAnsi="Times New Roman"/>
          <w:b/>
          <w:bCs/>
        </w:rPr>
        <w:t>7:</w:t>
      </w:r>
      <w:r>
        <w:rPr>
          <w:rFonts w:ascii="Times New Roman" w:hAnsi="Times New Roman"/>
        </w:rPr>
        <w:t xml:space="preserve"> 188–94.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Gould SJ, Eldredge N. 1977.</w:t>
      </w:r>
      <w:r>
        <w:rPr>
          <w:rFonts w:ascii="Times New Roman" w:hAnsi="Times New Roman"/>
        </w:rPr>
        <w:t xml:space="preserve"> Punctuated equilibria: the tempo and mode of evolution reconsidered. </w:t>
      </w:r>
      <w:r>
        <w:rPr>
          <w:rFonts w:ascii="Times New Roman" w:hAnsi="Times New Roman"/>
          <w:i/>
          <w:iCs/>
        </w:rPr>
        <w:t>Paleobiology</w:t>
      </w:r>
      <w:r>
        <w:rPr>
          <w:rFonts w:ascii="Times New Roman" w:hAnsi="Times New Roman"/>
        </w:rPr>
        <w:t xml:space="preserve"> </w:t>
      </w:r>
      <w:r>
        <w:rPr>
          <w:rFonts w:ascii="Times New Roman" w:hAnsi="Times New Roman"/>
          <w:b/>
          <w:bCs/>
        </w:rPr>
        <w:t>3:</w:t>
      </w:r>
      <w:r>
        <w:rPr>
          <w:rFonts w:ascii="Times New Roman" w:hAnsi="Times New Roman"/>
        </w:rPr>
        <w:t xml:space="preserve"> 115–151.</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Gündüz I, Jaarola M, Tez C, Yeniyurt C, Polly PD, Searle JB. 2007.</w:t>
      </w:r>
      <w:r>
        <w:rPr>
          <w:rFonts w:ascii="Times New Roman" w:hAnsi="Times New Roman"/>
        </w:rPr>
        <w:t xml:space="preserve"> Multigenic and morphometric differentiation of ground squirrels (</w:t>
      </w:r>
      <w:r>
        <w:rPr>
          <w:rFonts w:ascii="Times New Roman" w:hAnsi="Times New Roman"/>
          <w:i/>
          <w:iCs/>
        </w:rPr>
        <w:t>Spermophilus</w:t>
      </w:r>
      <w:r>
        <w:rPr>
          <w:rFonts w:ascii="Times New Roman" w:hAnsi="Times New Roman"/>
        </w:rPr>
        <w:t xml:space="preserve">, Scuiridae, Rodentia) in Turkey, with a description of a new species. </w:t>
      </w:r>
      <w:r>
        <w:rPr>
          <w:rFonts w:ascii="Times New Roman" w:hAnsi="Times New Roman"/>
          <w:i/>
          <w:iCs/>
        </w:rPr>
        <w:t>Molecular Phylogenetics and Evolution</w:t>
      </w:r>
      <w:r>
        <w:rPr>
          <w:rFonts w:ascii="Times New Roman" w:hAnsi="Times New Roman"/>
        </w:rPr>
        <w:t xml:space="preserve"> </w:t>
      </w:r>
      <w:r>
        <w:rPr>
          <w:rFonts w:ascii="Times New Roman" w:hAnsi="Times New Roman"/>
          <w:b/>
          <w:bCs/>
        </w:rPr>
        <w:t>43:</w:t>
      </w:r>
      <w:r>
        <w:rPr>
          <w:rFonts w:ascii="Times New Roman" w:hAnsi="Times New Roman"/>
        </w:rPr>
        <w:t xml:space="preserve"> 916–935.</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Hand DJ, Till RJ. 2001.</w:t>
      </w:r>
      <w:r>
        <w:rPr>
          <w:rFonts w:ascii="Times New Roman" w:hAnsi="Times New Roman"/>
        </w:rPr>
        <w:t xml:space="preserve"> A simple generalisation of the area under the ROC curve for multiple class classification problems. </w:t>
      </w:r>
      <w:r>
        <w:rPr>
          <w:rFonts w:ascii="Times New Roman" w:hAnsi="Times New Roman"/>
          <w:i/>
          <w:iCs/>
        </w:rPr>
        <w:t>Machine Learning</w:t>
      </w:r>
      <w:r>
        <w:rPr>
          <w:rFonts w:ascii="Times New Roman" w:hAnsi="Times New Roman"/>
        </w:rPr>
        <w:t xml:space="preserve"> </w:t>
      </w:r>
      <w:r>
        <w:rPr>
          <w:rFonts w:ascii="Times New Roman" w:hAnsi="Times New Roman"/>
          <w:b/>
          <w:bCs/>
        </w:rPr>
        <w:t>45:</w:t>
      </w:r>
      <w:r>
        <w:rPr>
          <w:rFonts w:ascii="Times New Roman" w:hAnsi="Times New Roman"/>
        </w:rPr>
        <w:t xml:space="preserve"> 171–186.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Hastie T, Tibshirani R, Friedman J. 2009.</w:t>
      </w:r>
      <w:r>
        <w:rPr>
          <w:rFonts w:ascii="Times New Roman" w:hAnsi="Times New Roman"/>
        </w:rPr>
        <w:t xml:space="preserve"> </w:t>
      </w:r>
      <w:r>
        <w:rPr>
          <w:rFonts w:ascii="Times New Roman" w:hAnsi="Times New Roman"/>
          <w:i/>
          <w:iCs/>
        </w:rPr>
        <w:t>The elements of statistical learning: data mining, inference, and prediction</w:t>
      </w:r>
      <w:r>
        <w:rPr>
          <w:rFonts w:ascii="Times New Roman" w:hAnsi="Times New Roman"/>
        </w:rPr>
        <w:t>. 2nd ed. Springer: New York.</w:t>
      </w:r>
    </w:p>
    <w:p>
      <w:pPr>
        <w:pStyle w:val="Normal"/>
        <w:widowControl w:val="false"/>
        <w:suppressAutoHyphens w:val="true"/>
        <w:bidi w:val="0"/>
        <w:spacing w:lineRule="auto" w:line="480"/>
        <w:ind w:left="540" w:right="0" w:hanging="540"/>
        <w:jc w:val="left"/>
        <w:rPr/>
      </w:pPr>
      <w:r>
        <w:rPr>
          <w:rFonts w:ascii="Times New Roman" w:hAnsi="Times New Roman"/>
          <w:b/>
          <w:bCs/>
        </w:rPr>
        <w:t>Hastie T, Tibshirani R, Leisch F, Hornik K, Ripley BD. 2015.</w:t>
      </w:r>
      <w:r>
        <w:rPr>
          <w:rFonts w:ascii="Times New Roman" w:hAnsi="Times New Roman"/>
          <w:b w:val="false"/>
          <w:bCs w:val="false"/>
        </w:rPr>
        <w:t xml:space="preserve"> </w:t>
      </w:r>
      <w:r>
        <w:rPr>
          <w:rFonts w:ascii="Times New Roman" w:hAnsi="Times New Roman"/>
          <w:b w:val="false"/>
          <w:bCs w:val="false"/>
          <w:i/>
          <w:iCs/>
        </w:rPr>
        <w:t>mda: mixture and flexible discriminant analysis</w:t>
      </w:r>
      <w:r>
        <w:rPr>
          <w:rFonts w:ascii="Times New Roman" w:hAnsi="Times New Roman"/>
          <w:b w:val="false"/>
          <w:bCs w:val="false"/>
          <w:i w:val="false"/>
          <w:iCs w:val="false"/>
        </w:rPr>
        <w:t xml:space="preserve">. R package version 0.4-8.URL: </w:t>
      </w:r>
      <w:hyperlink r:id="rId4">
        <w:r>
          <w:rPr>
            <w:rStyle w:val="InternetLink"/>
            <w:rFonts w:ascii="Times New Roman" w:hAnsi="Times New Roman"/>
            <w:b w:val="false"/>
            <w:bCs w:val="false"/>
            <w:i w:val="false"/>
            <w:iCs w:val="false"/>
          </w:rPr>
          <w:t>https://CRAN.R-project.org/package=mda</w:t>
        </w:r>
      </w:hyperlink>
      <w:r>
        <w:rPr>
          <w:rFonts w:ascii="Times New Roman" w:hAnsi="Times New Roman"/>
          <w:b w:val="false"/>
          <w:bCs w:val="false"/>
          <w:i w:val="false"/>
          <w:iCs w:val="false"/>
        </w:rPr>
        <w:t>.</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Hausdorf B, Hennig C. 2010.</w:t>
      </w:r>
      <w:r>
        <w:rPr>
          <w:rFonts w:ascii="Times New Roman" w:hAnsi="Times New Roman"/>
        </w:rPr>
        <w:t xml:space="preserve"> Species delimitation using dominant and codominant multilocus markers. </w:t>
      </w:r>
      <w:r>
        <w:rPr>
          <w:rFonts w:ascii="Times New Roman" w:hAnsi="Times New Roman"/>
          <w:i/>
          <w:iCs/>
        </w:rPr>
        <w:t>Systematic Biology</w:t>
      </w:r>
      <w:r>
        <w:rPr>
          <w:rFonts w:ascii="Times New Roman" w:hAnsi="Times New Roman"/>
        </w:rPr>
        <w:t xml:space="preserve"> </w:t>
      </w:r>
      <w:r>
        <w:rPr>
          <w:rFonts w:ascii="Times New Roman" w:hAnsi="Times New Roman"/>
          <w:b/>
          <w:bCs/>
        </w:rPr>
        <w:t>59:</w:t>
      </w:r>
      <w:r>
        <w:rPr>
          <w:rFonts w:ascii="Times New Roman" w:hAnsi="Times New Roman"/>
        </w:rPr>
        <w:t xml:space="preserve"> 491–503.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Holland, DC. 1992.</w:t>
      </w:r>
      <w:r>
        <w:rPr>
          <w:rFonts w:ascii="Times New Roman" w:hAnsi="Times New Roman"/>
        </w:rPr>
        <w:t xml:space="preserve"> </w:t>
      </w:r>
      <w:r>
        <w:rPr>
          <w:rFonts w:ascii="Times New Roman" w:hAnsi="Times New Roman"/>
          <w:i/>
          <w:iCs/>
        </w:rPr>
        <w:t>Level and pattern in morphological variation: a phylogeographic study of the western pond turtle (</w:t>
      </w:r>
      <w:r>
        <w:rPr>
          <w:rFonts w:ascii="Times New Roman" w:hAnsi="Times New Roman"/>
          <w:i w:val="false"/>
          <w:iCs w:val="false"/>
        </w:rPr>
        <w:t>Clemmys marmorata</w:t>
      </w:r>
      <w:r>
        <w:rPr>
          <w:rFonts w:ascii="Times New Roman" w:hAnsi="Times New Roman"/>
          <w:i/>
          <w:iCs/>
        </w:rPr>
        <w:t>)</w:t>
      </w:r>
      <w:r>
        <w:rPr>
          <w:rFonts w:ascii="Times New Roman" w:hAnsi="Times New Roman"/>
        </w:rPr>
        <w:t>. Unpublished PhD thesis, University of Southwestern Louisiana: Lafayette.</w:t>
      </w:r>
    </w:p>
    <w:p>
      <w:pPr>
        <w:pStyle w:val="Normal"/>
        <w:widowControl w:val="false"/>
        <w:suppressAutoHyphens w:val="true"/>
        <w:bidi w:val="0"/>
        <w:spacing w:lineRule="auto" w:line="480"/>
        <w:ind w:left="540" w:right="0" w:hanging="540"/>
        <w:jc w:val="left"/>
        <w:rPr/>
      </w:pPr>
      <w:r>
        <w:rPr>
          <w:rFonts w:ascii="Times New Roman" w:hAnsi="Times New Roman"/>
          <w:b/>
          <w:bCs/>
        </w:rPr>
        <w:t>Huelsenbeck JP, Andolfatto P, Huelsenbeck ET. 2011.</w:t>
      </w:r>
      <w:r>
        <w:rPr>
          <w:rFonts w:ascii="Times New Roman" w:hAnsi="Times New Roman"/>
        </w:rPr>
        <w:t xml:space="preserve"> Structurama: bayesian inference of population structure. </w:t>
      </w:r>
      <w:r>
        <w:rPr>
          <w:rFonts w:ascii="Times New Roman" w:hAnsi="Times New Roman"/>
          <w:i/>
          <w:iCs/>
        </w:rPr>
        <w:t>Evolutionary Bioinformatics Online</w:t>
      </w:r>
      <w:r>
        <w:rPr>
          <w:rFonts w:ascii="Times New Roman" w:hAnsi="Times New Roman"/>
        </w:rPr>
        <w:t xml:space="preserve"> </w:t>
      </w:r>
      <w:r>
        <w:rPr>
          <w:rFonts w:ascii="Times New Roman" w:hAnsi="Times New Roman"/>
          <w:b/>
          <w:bCs/>
        </w:rPr>
        <w:t>7:</w:t>
      </w:r>
      <w:r>
        <w:rPr>
          <w:rFonts w:ascii="Times New Roman" w:hAnsi="Times New Roman"/>
        </w:rPr>
        <w:t xml:space="preserve"> 55–59. doi:</w:t>
      </w:r>
      <w:hyperlink r:id="rId5">
        <w:r>
          <w:rPr>
            <w:rStyle w:val="InternetLink"/>
            <w:rFonts w:ascii="Times New Roman" w:hAnsi="Times New Roman"/>
          </w:rPr>
          <w:t>10.4137/EBO.S6761</w:t>
        </w:r>
      </w:hyperlink>
      <w:r>
        <w:rPr>
          <w:rFonts w:ascii="Times New Roman" w:hAnsi="Times New Roman"/>
        </w:rPr>
        <w:t>.</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Kaufman L, Rousseeuw PJ. 1990.</w:t>
      </w:r>
      <w:r>
        <w:rPr>
          <w:rFonts w:ascii="Times New Roman" w:hAnsi="Times New Roman"/>
        </w:rPr>
        <w:t xml:space="preserve"> </w:t>
      </w:r>
      <w:r>
        <w:rPr>
          <w:rFonts w:ascii="Times New Roman" w:hAnsi="Times New Roman"/>
          <w:i/>
          <w:iCs/>
        </w:rPr>
        <w:t>Finding groups in data : an introduction to cluster analysis</w:t>
      </w:r>
      <w:r>
        <w:rPr>
          <w:rFonts w:ascii="Times New Roman" w:hAnsi="Times New Roman"/>
        </w:rPr>
        <w:t>. Wiley: New York.</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Kendall DG. 1977.</w:t>
      </w:r>
      <w:r>
        <w:rPr>
          <w:rFonts w:ascii="Times New Roman" w:hAnsi="Times New Roman"/>
        </w:rPr>
        <w:t xml:space="preserve"> The diffusion of shape. </w:t>
      </w:r>
      <w:r>
        <w:rPr>
          <w:rFonts w:ascii="Times New Roman" w:hAnsi="Times New Roman"/>
          <w:i/>
          <w:iCs/>
        </w:rPr>
        <w:t>Advances in Applied Probability</w:t>
      </w:r>
      <w:r>
        <w:rPr>
          <w:rFonts w:ascii="Times New Roman" w:hAnsi="Times New Roman"/>
        </w:rPr>
        <w:t xml:space="preserve"> </w:t>
      </w:r>
      <w:r>
        <w:rPr>
          <w:rFonts w:ascii="Times New Roman" w:hAnsi="Times New Roman"/>
          <w:b/>
          <w:bCs/>
        </w:rPr>
        <w:t>9:</w:t>
      </w:r>
      <w:r>
        <w:rPr>
          <w:rFonts w:ascii="Times New Roman" w:hAnsi="Times New Roman"/>
        </w:rPr>
        <w:t xml:space="preserve"> 428–430.</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Kuhn M, Johnson K. 2013.</w:t>
      </w:r>
      <w:r>
        <w:rPr>
          <w:rFonts w:ascii="Times New Roman" w:hAnsi="Times New Roman"/>
        </w:rPr>
        <w:t xml:space="preserve"> </w:t>
      </w:r>
      <w:r>
        <w:rPr>
          <w:rFonts w:ascii="Times New Roman" w:hAnsi="Times New Roman"/>
          <w:i/>
          <w:iCs/>
        </w:rPr>
        <w:t>Applied predictive modeling</w:t>
      </w:r>
      <w:r>
        <w:rPr>
          <w:rFonts w:ascii="Times New Roman" w:hAnsi="Times New Roman"/>
        </w:rPr>
        <w:t>. Springer: New York.</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Leaché AD, Fujita MK. 2010.</w:t>
      </w:r>
      <w:r>
        <w:rPr>
          <w:rFonts w:ascii="Times New Roman" w:hAnsi="Times New Roman"/>
        </w:rPr>
        <w:t xml:space="preserve"> Bayesian species delimitation in West African forest geckos (</w:t>
      </w:r>
      <w:r>
        <w:rPr>
          <w:rFonts w:ascii="Times New Roman" w:hAnsi="Times New Roman"/>
          <w:i/>
          <w:iCs/>
        </w:rPr>
        <w:t>Hemidactylus fasciatus</w:t>
      </w:r>
      <w:r>
        <w:rPr>
          <w:rFonts w:ascii="Times New Roman" w:hAnsi="Times New Roman"/>
        </w:rPr>
        <w:t xml:space="preserve">). </w:t>
      </w:r>
      <w:r>
        <w:rPr>
          <w:rFonts w:ascii="Times New Roman" w:hAnsi="Times New Roman"/>
          <w:i/>
          <w:iCs/>
        </w:rPr>
        <w:t>Proceedings of the Royal Society B</w:t>
      </w:r>
      <w:r>
        <w:rPr>
          <w:rFonts w:ascii="Times New Roman" w:hAnsi="Times New Roman"/>
        </w:rPr>
        <w:t xml:space="preserve"> </w:t>
      </w:r>
      <w:r>
        <w:rPr>
          <w:rFonts w:ascii="Times New Roman" w:hAnsi="Times New Roman"/>
          <w:b/>
          <w:bCs/>
        </w:rPr>
        <w:t>277:</w:t>
      </w:r>
      <w:r>
        <w:rPr>
          <w:rFonts w:ascii="Times New Roman" w:hAnsi="Times New Roman"/>
        </w:rPr>
        <w:t xml:space="preserve"> 3071–3077.</w:t>
      </w:r>
    </w:p>
    <w:p>
      <w:pPr>
        <w:pStyle w:val="Normal"/>
        <w:widowControl w:val="false"/>
        <w:suppressAutoHyphens w:val="true"/>
        <w:bidi w:val="0"/>
        <w:spacing w:lineRule="auto" w:line="480"/>
        <w:ind w:left="540" w:right="0" w:hanging="540"/>
        <w:jc w:val="left"/>
        <w:rPr>
          <w:rFonts w:ascii="Times New Roman" w:hAnsi="Times New Roman"/>
          <w:i w:val="false"/>
          <w:i w:val="false"/>
          <w:iCs w:val="false"/>
        </w:rPr>
      </w:pPr>
      <w:r>
        <w:rPr>
          <w:rFonts w:ascii="Times New Roman" w:hAnsi="Times New Roman"/>
          <w:b/>
          <w:bCs/>
        </w:rPr>
        <w:t>Liaw A, Wiener M. 2002.</w:t>
      </w:r>
      <w:r>
        <w:rPr>
          <w:rFonts w:ascii="Times New Roman" w:hAnsi="Times New Roman"/>
        </w:rPr>
        <w:t xml:space="preserve"> </w:t>
      </w:r>
      <w:r>
        <w:rPr>
          <w:rFonts w:ascii="Times New Roman" w:hAnsi="Times New Roman"/>
          <w:i w:val="false"/>
          <w:iCs w:val="false"/>
        </w:rPr>
        <w:t xml:space="preserve">Classification and regression by random forest. </w:t>
      </w:r>
      <w:r>
        <w:rPr>
          <w:rFonts w:ascii="Times New Roman" w:hAnsi="Times New Roman"/>
          <w:i/>
          <w:iCs/>
        </w:rPr>
        <w:t>R News</w:t>
      </w:r>
      <w:r>
        <w:rPr>
          <w:rFonts w:ascii="Times New Roman" w:hAnsi="Times New Roman"/>
          <w:i w:val="false"/>
          <w:iCs w:val="false"/>
        </w:rPr>
        <w:t xml:space="preserve"> </w:t>
      </w:r>
      <w:r>
        <w:rPr>
          <w:rFonts w:ascii="Times New Roman" w:hAnsi="Times New Roman"/>
          <w:b/>
          <w:bCs/>
          <w:i w:val="false"/>
          <w:iCs w:val="false"/>
        </w:rPr>
        <w:t>2:</w:t>
      </w:r>
      <w:r>
        <w:rPr>
          <w:rFonts w:ascii="Times New Roman" w:hAnsi="Times New Roman"/>
          <w:i w:val="false"/>
          <w:iCs w:val="false"/>
        </w:rPr>
        <w:t xml:space="preserve"> 18–22.</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Lubcke GM, Wilson DS. 2007.</w:t>
      </w:r>
      <w:r>
        <w:rPr>
          <w:rFonts w:ascii="Times New Roman" w:hAnsi="Times New Roman"/>
        </w:rPr>
        <w:t xml:space="preserve"> Variation in shell morphology of the Western Pond Turtle (</w:t>
      </w:r>
      <w:r>
        <w:rPr>
          <w:rFonts w:ascii="Times New Roman" w:hAnsi="Times New Roman"/>
          <w:i/>
          <w:iCs/>
        </w:rPr>
        <w:t xml:space="preserve">Actinemys marmorata </w:t>
      </w:r>
      <w:r>
        <w:rPr>
          <w:rFonts w:ascii="Times New Roman" w:hAnsi="Times New Roman"/>
        </w:rPr>
        <w:t xml:space="preserve">Baird and Giarard) from three aquatic habitats in northern California. </w:t>
      </w:r>
      <w:r>
        <w:rPr>
          <w:rFonts w:ascii="Times New Roman" w:hAnsi="Times New Roman"/>
          <w:i/>
          <w:iCs/>
        </w:rPr>
        <w:t>Journal of Herpetology</w:t>
      </w:r>
      <w:r>
        <w:rPr>
          <w:rFonts w:ascii="Times New Roman" w:hAnsi="Times New Roman"/>
        </w:rPr>
        <w:t xml:space="preserve"> </w:t>
      </w:r>
      <w:r>
        <w:rPr>
          <w:rFonts w:ascii="Times New Roman" w:hAnsi="Times New Roman"/>
          <w:b/>
          <w:bCs/>
        </w:rPr>
        <w:t>41:</w:t>
      </w:r>
      <w:r>
        <w:rPr>
          <w:rFonts w:ascii="Times New Roman" w:hAnsi="Times New Roman"/>
        </w:rPr>
        <w:t xml:space="preserve"> 107–114.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MacLeod, N. 2007.</w:t>
      </w:r>
      <w:r>
        <w:rPr>
          <w:rFonts w:ascii="Times New Roman" w:hAnsi="Times New Roman"/>
        </w:rPr>
        <w:t xml:space="preserve"> </w:t>
      </w:r>
      <w:r>
        <w:rPr>
          <w:rFonts w:ascii="Times New Roman" w:hAnsi="Times New Roman"/>
          <w:i/>
          <w:iCs/>
        </w:rPr>
        <w:t>Automated taxon identification in systematics: theory, approaches and applications</w:t>
      </w:r>
      <w:r>
        <w:rPr>
          <w:rFonts w:ascii="Times New Roman" w:hAnsi="Times New Roman"/>
        </w:rPr>
        <w:t>. CRC Press: Boca Raton.</w:t>
      </w:r>
    </w:p>
    <w:p>
      <w:pPr>
        <w:pStyle w:val="Normal"/>
        <w:widowControl w:val="false"/>
        <w:suppressAutoHyphens w:val="true"/>
        <w:bidi w:val="0"/>
        <w:spacing w:lineRule="auto" w:line="480"/>
        <w:ind w:left="540" w:right="0" w:hanging="540"/>
        <w:jc w:val="left"/>
        <w:rPr/>
      </w:pPr>
      <w:r>
        <w:rPr>
          <w:rFonts w:ascii="Times New Roman" w:hAnsi="Times New Roman"/>
          <w:b/>
          <w:bCs/>
        </w:rPr>
        <w:t>Markolf M, Rakotonirina H, Fichtel C, Grumbkow P von, Brameier M, Kappeler PM. 2013.</w:t>
      </w:r>
      <w:r>
        <w:rPr>
          <w:rFonts w:ascii="Times New Roman" w:hAnsi="Times New Roman"/>
        </w:rPr>
        <w:t xml:space="preserve"> True lemurs…true species – species delimitation using multiple data sources in the brown lemur complex. </w:t>
      </w:r>
      <w:r>
        <w:rPr>
          <w:rFonts w:ascii="Times New Roman" w:hAnsi="Times New Roman"/>
          <w:i/>
          <w:iCs/>
        </w:rPr>
        <w:t>BMC Evolutionary Biology</w:t>
      </w:r>
      <w:r>
        <w:rPr>
          <w:rFonts w:ascii="Times New Roman" w:hAnsi="Times New Roman"/>
        </w:rPr>
        <w:t xml:space="preserve"> </w:t>
      </w:r>
      <w:r>
        <w:rPr>
          <w:rFonts w:ascii="Times New Roman" w:hAnsi="Times New Roman"/>
          <w:b/>
          <w:bCs/>
        </w:rPr>
        <w:t>13:</w:t>
      </w:r>
      <w:r>
        <w:rPr>
          <w:rFonts w:ascii="Times New Roman" w:hAnsi="Times New Roman"/>
        </w:rPr>
        <w:t xml:space="preserve"> 233. doi:</w:t>
      </w:r>
      <w:hyperlink r:id="rId6">
        <w:r>
          <w:rPr>
            <w:rStyle w:val="InternetLink"/>
            <w:rFonts w:ascii="Times New Roman" w:hAnsi="Times New Roman"/>
          </w:rPr>
          <w:t>10.1186/1471-2148-13-233</w:t>
        </w:r>
      </w:hyperlink>
      <w:r>
        <w:rPr>
          <w:rFonts w:ascii="Times New Roman" w:hAnsi="Times New Roman"/>
        </w:rPr>
        <w:t>.</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Mitrovski-Bogdanovic A, Petrovic A, Mitrovic M, Ivanovic A, Žikic V, Starý P, Vorburger C, Tomanovic Ž. 2013.</w:t>
      </w:r>
      <w:r>
        <w:rPr>
          <w:rFonts w:ascii="Times New Roman" w:hAnsi="Times New Roman"/>
        </w:rPr>
        <w:t xml:space="preserve"> Identification of two cryptic species within the </w:t>
      </w:r>
      <w:r>
        <w:rPr>
          <w:rFonts w:ascii="Times New Roman" w:hAnsi="Times New Roman"/>
          <w:i/>
          <w:iCs/>
        </w:rPr>
        <w:t>Praon abjectum</w:t>
      </w:r>
      <w:r>
        <w:rPr>
          <w:rFonts w:ascii="Times New Roman" w:hAnsi="Times New Roman"/>
        </w:rPr>
        <w:t xml:space="preserve"> group (Hymenoptera: Braconidae: Aphidiinae) using molecular markers and geometric morphometrics. </w:t>
      </w:r>
      <w:r>
        <w:rPr>
          <w:rFonts w:ascii="Times New Roman" w:hAnsi="Times New Roman"/>
          <w:i/>
          <w:iCs/>
        </w:rPr>
        <w:t>Annals of the Entomological Society of America</w:t>
      </w:r>
      <w:r>
        <w:rPr>
          <w:rFonts w:ascii="Times New Roman" w:hAnsi="Times New Roman"/>
        </w:rPr>
        <w:t xml:space="preserve"> </w:t>
      </w:r>
      <w:r>
        <w:rPr>
          <w:rFonts w:ascii="Times New Roman" w:hAnsi="Times New Roman"/>
          <w:b/>
          <w:bCs/>
        </w:rPr>
        <w:t>106:</w:t>
      </w:r>
      <w:r>
        <w:rPr>
          <w:rFonts w:ascii="Times New Roman" w:hAnsi="Times New Roman"/>
        </w:rPr>
        <w:t xml:space="preserve"> 170–180.</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Muñoz-Muñoz F, Perpiñán D. 2010.</w:t>
      </w:r>
      <w:r>
        <w:rPr>
          <w:rFonts w:ascii="Times New Roman" w:hAnsi="Times New Roman"/>
        </w:rPr>
        <w:t xml:space="preserve"> Measurement error in morphometric studies: comparison between manual and computerized methods. </w:t>
      </w:r>
      <w:r>
        <w:rPr>
          <w:rFonts w:ascii="Times New Roman" w:hAnsi="Times New Roman"/>
          <w:i/>
          <w:iCs/>
        </w:rPr>
        <w:t>Annales Zoologici Fennici</w:t>
      </w:r>
      <w:r>
        <w:rPr>
          <w:rFonts w:ascii="Times New Roman" w:hAnsi="Times New Roman"/>
          <w:i w:val="false"/>
          <w:iCs w:val="false"/>
        </w:rPr>
        <w:t xml:space="preserve"> </w:t>
      </w:r>
      <w:r>
        <w:rPr>
          <w:rFonts w:ascii="Times New Roman" w:hAnsi="Times New Roman"/>
          <w:b/>
          <w:bCs/>
        </w:rPr>
        <w:t>47:</w:t>
      </w:r>
      <w:r>
        <w:rPr>
          <w:rFonts w:ascii="Times New Roman" w:hAnsi="Times New Roman"/>
        </w:rPr>
        <w:t xml:space="preserve"> 46–56.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Navega D, Vicente R, Vieira DN, Ross AH, Cunha E. 2015.</w:t>
      </w:r>
      <w:r>
        <w:rPr>
          <w:rFonts w:ascii="Times New Roman" w:hAnsi="Times New Roman"/>
        </w:rPr>
        <w:t xml:space="preserve"> Sex estimation from the tarsal bones in a Portuguese sample: a machine learning approach. </w:t>
      </w:r>
      <w:r>
        <w:rPr>
          <w:rFonts w:ascii="Times New Roman" w:hAnsi="Times New Roman"/>
          <w:i/>
          <w:iCs/>
        </w:rPr>
        <w:t>International Journal of Legal Medicine</w:t>
      </w:r>
      <w:r>
        <w:rPr>
          <w:rFonts w:ascii="Times New Roman" w:hAnsi="Times New Roman"/>
        </w:rPr>
        <w:t xml:space="preserve"> </w:t>
      </w:r>
      <w:r>
        <w:rPr>
          <w:rFonts w:ascii="Times New Roman" w:hAnsi="Times New Roman"/>
          <w:b/>
          <w:bCs/>
        </w:rPr>
        <w:t>129:</w:t>
      </w:r>
      <w:r>
        <w:rPr>
          <w:rFonts w:ascii="Times New Roman" w:hAnsi="Times New Roman"/>
        </w:rPr>
        <w:t xml:space="preserve"> 651–659.</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O’Meara BC. 2010.</w:t>
      </w:r>
      <w:r>
        <w:rPr>
          <w:rFonts w:ascii="Times New Roman" w:hAnsi="Times New Roman"/>
        </w:rPr>
        <w:t xml:space="preserve"> New heuristic methods for joint species delimitation and species tree inference. </w:t>
      </w:r>
      <w:r>
        <w:rPr>
          <w:rFonts w:ascii="Times New Roman" w:hAnsi="Times New Roman"/>
          <w:i/>
          <w:iCs/>
        </w:rPr>
        <w:t>Systematic Biology</w:t>
      </w:r>
      <w:r>
        <w:rPr>
          <w:rFonts w:ascii="Times New Roman" w:hAnsi="Times New Roman"/>
        </w:rPr>
        <w:t xml:space="preserve"> </w:t>
      </w:r>
      <w:r>
        <w:rPr>
          <w:rFonts w:ascii="Times New Roman" w:hAnsi="Times New Roman"/>
          <w:i/>
          <w:iCs/>
        </w:rPr>
        <w:t>59:</w:t>
      </w:r>
      <w:r>
        <w:rPr>
          <w:rFonts w:ascii="Times New Roman" w:hAnsi="Times New Roman"/>
        </w:rPr>
        <w:t xml:space="preserve"> 59–73.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Padial JM, Miralles A, De la Riva I, Vences M. 2010.</w:t>
      </w:r>
      <w:r>
        <w:rPr>
          <w:rFonts w:ascii="Times New Roman" w:hAnsi="Times New Roman"/>
        </w:rPr>
        <w:t xml:space="preserve"> The integrative future of taxonomy. </w:t>
      </w:r>
      <w:r>
        <w:rPr>
          <w:rFonts w:ascii="Times New Roman" w:hAnsi="Times New Roman"/>
          <w:i/>
          <w:iCs/>
        </w:rPr>
        <w:t>Frontiers in Zoology</w:t>
      </w:r>
      <w:r>
        <w:rPr>
          <w:rFonts w:ascii="Times New Roman" w:hAnsi="Times New Roman"/>
        </w:rPr>
        <w:t xml:space="preserve"> </w:t>
      </w:r>
      <w:r>
        <w:rPr>
          <w:rFonts w:ascii="Times New Roman" w:hAnsi="Times New Roman"/>
          <w:b/>
          <w:bCs/>
          <w:i w:val="false"/>
          <w:iCs w:val="false"/>
        </w:rPr>
        <w:t>7:</w:t>
      </w:r>
      <w:r>
        <w:rPr>
          <w:rFonts w:ascii="Times New Roman" w:hAnsi="Times New Roman"/>
        </w:rPr>
        <w:t xml:space="preserve"> 1–14.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Parham JF, Papenfuss TJ, Van Dijk PP, Wilson BS, Marte C, Schettino LR, Simison WB. 2013.</w:t>
      </w:r>
      <w:r>
        <w:rPr>
          <w:rFonts w:ascii="Times New Roman" w:hAnsi="Times New Roman"/>
        </w:rPr>
        <w:t xml:space="preserve"> Genetic introgression and hybridization in Antillean freshwater turtles (</w:t>
      </w:r>
      <w:r>
        <w:rPr>
          <w:rFonts w:ascii="Times New Roman" w:hAnsi="Times New Roman"/>
          <w:i/>
          <w:iCs/>
        </w:rPr>
        <w:t>Trachemys</w:t>
      </w:r>
      <w:r>
        <w:rPr>
          <w:rFonts w:ascii="Times New Roman" w:hAnsi="Times New Roman"/>
        </w:rPr>
        <w:t xml:space="preserve">) revealed by coalescent analyses of mitochondrial and cloned nuclear markers. </w:t>
      </w:r>
      <w:r>
        <w:rPr>
          <w:rFonts w:ascii="Times New Roman" w:hAnsi="Times New Roman"/>
          <w:i/>
          <w:iCs/>
        </w:rPr>
        <w:t>Molecular Phylogenetics and Evolution</w:t>
      </w:r>
      <w:r>
        <w:rPr>
          <w:rFonts w:ascii="Times New Roman" w:hAnsi="Times New Roman"/>
        </w:rPr>
        <w:t xml:space="preserve"> </w:t>
      </w:r>
      <w:r>
        <w:rPr>
          <w:rFonts w:ascii="Times New Roman" w:hAnsi="Times New Roman"/>
          <w:b/>
          <w:bCs/>
        </w:rPr>
        <w:t>67:</w:t>
      </w:r>
      <w:r>
        <w:rPr>
          <w:rFonts w:ascii="Times New Roman" w:hAnsi="Times New Roman"/>
        </w:rPr>
        <w:t xml:space="preserve"> 176–87.</w:t>
      </w:r>
    </w:p>
    <w:p>
      <w:pPr>
        <w:pStyle w:val="Normal"/>
        <w:widowControl w:val="false"/>
        <w:suppressAutoHyphens w:val="true"/>
        <w:bidi w:val="0"/>
        <w:spacing w:lineRule="auto" w:line="480"/>
        <w:ind w:left="540" w:right="0" w:hanging="540"/>
        <w:jc w:val="left"/>
        <w:rPr/>
      </w:pPr>
      <w:r>
        <w:rPr>
          <w:rFonts w:ascii="Times New Roman" w:hAnsi="Times New Roman"/>
          <w:b/>
          <w:bCs/>
        </w:rPr>
        <w:t>Pfenninger M Schwenk K. 2007.</w:t>
      </w:r>
      <w:r>
        <w:rPr>
          <w:rFonts w:ascii="Times New Roman" w:hAnsi="Times New Roman"/>
        </w:rPr>
        <w:t xml:space="preserve"> Cryptic animal species are homogeneously distributed among taxa and biogeographical regions. </w:t>
      </w:r>
      <w:r>
        <w:rPr>
          <w:rFonts w:ascii="Times New Roman" w:hAnsi="Times New Roman"/>
          <w:i/>
          <w:iCs/>
        </w:rPr>
        <w:t>BMC Evolutionary Biology</w:t>
      </w:r>
      <w:r>
        <w:rPr>
          <w:rFonts w:ascii="Times New Roman" w:hAnsi="Times New Roman"/>
        </w:rPr>
        <w:t xml:space="preserve"> </w:t>
      </w:r>
      <w:r>
        <w:rPr>
          <w:rFonts w:ascii="Times New Roman" w:hAnsi="Times New Roman"/>
          <w:b/>
          <w:bCs/>
        </w:rPr>
        <w:t>7:</w:t>
      </w:r>
      <w:r>
        <w:rPr>
          <w:rFonts w:ascii="Times New Roman" w:hAnsi="Times New Roman"/>
        </w:rPr>
        <w:t xml:space="preserve"> 121. doi:</w:t>
      </w:r>
      <w:hyperlink r:id="rId7">
        <w:r>
          <w:rPr>
            <w:rStyle w:val="InternetLink"/>
            <w:rFonts w:ascii="Times New Roman" w:hAnsi="Times New Roman"/>
          </w:rPr>
          <w:t>10.1186/1471-2148-7-121</w:t>
        </w:r>
      </w:hyperlink>
      <w:r>
        <w:rPr>
          <w:rFonts w:ascii="Times New Roman" w:hAnsi="Times New Roman"/>
        </w:rPr>
        <w:t>.</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Polly PD. 2003.</w:t>
      </w:r>
      <w:r>
        <w:rPr>
          <w:rFonts w:ascii="Times New Roman" w:hAnsi="Times New Roman"/>
        </w:rPr>
        <w:t xml:space="preserve"> Paleophylogeography of </w:t>
      </w:r>
      <w:r>
        <w:rPr>
          <w:rFonts w:ascii="Times New Roman" w:hAnsi="Times New Roman"/>
          <w:i/>
          <w:iCs/>
        </w:rPr>
        <w:t>Sorex araneus</w:t>
      </w:r>
      <w:r>
        <w:rPr>
          <w:rFonts w:ascii="Times New Roman" w:hAnsi="Times New Roman"/>
        </w:rPr>
        <w:t xml:space="preserve">: molar shape as a morphological marker for fossil shrews. </w:t>
      </w:r>
      <w:r>
        <w:rPr>
          <w:rFonts w:ascii="Times New Roman" w:hAnsi="Times New Roman"/>
          <w:i/>
          <w:iCs/>
        </w:rPr>
        <w:t>Mammalia</w:t>
      </w:r>
      <w:r>
        <w:rPr>
          <w:rFonts w:ascii="Times New Roman" w:hAnsi="Times New Roman"/>
        </w:rPr>
        <w:t xml:space="preserve"> </w:t>
      </w:r>
      <w:r>
        <w:rPr>
          <w:rFonts w:ascii="Times New Roman" w:hAnsi="Times New Roman"/>
          <w:b/>
          <w:bCs/>
        </w:rPr>
        <w:t>68:</w:t>
      </w:r>
      <w:r>
        <w:rPr>
          <w:rFonts w:ascii="Times New Roman" w:hAnsi="Times New Roman"/>
        </w:rPr>
        <w:t xml:space="preserve"> 233–243.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Polly PD. 2007.</w:t>
      </w:r>
      <w:r>
        <w:rPr>
          <w:rFonts w:ascii="Times New Roman" w:hAnsi="Times New Roman"/>
        </w:rPr>
        <w:t xml:space="preserve"> Phylogeographic differentiation in </w:t>
      </w:r>
      <w:r>
        <w:rPr>
          <w:rFonts w:ascii="Times New Roman" w:hAnsi="Times New Roman"/>
          <w:i/>
          <w:iCs/>
        </w:rPr>
        <w:t>Sorex araneus</w:t>
      </w:r>
      <w:r>
        <w:rPr>
          <w:rFonts w:ascii="Times New Roman" w:hAnsi="Times New Roman"/>
        </w:rPr>
        <w:t xml:space="preserve">: morphology in relation to geography and karyotype. </w:t>
      </w:r>
      <w:r>
        <w:rPr>
          <w:rFonts w:ascii="Times New Roman" w:hAnsi="Times New Roman"/>
          <w:i/>
          <w:iCs/>
        </w:rPr>
        <w:t>Russian Journal of Theriology</w:t>
      </w:r>
      <w:r>
        <w:rPr>
          <w:rFonts w:ascii="Times New Roman" w:hAnsi="Times New Roman"/>
        </w:rPr>
        <w:t xml:space="preserve"> </w:t>
      </w:r>
      <w:r>
        <w:rPr>
          <w:rFonts w:ascii="Times New Roman" w:hAnsi="Times New Roman"/>
          <w:b/>
          <w:bCs/>
        </w:rPr>
        <w:t>6:</w:t>
      </w:r>
      <w:r>
        <w:rPr>
          <w:rFonts w:ascii="Times New Roman" w:hAnsi="Times New Roman"/>
        </w:rPr>
        <w:t xml:space="preserve"> 73–84.</w:t>
      </w:r>
    </w:p>
    <w:p>
      <w:pPr>
        <w:pStyle w:val="Normal"/>
        <w:widowControl w:val="false"/>
        <w:suppressAutoHyphens w:val="true"/>
        <w:bidi w:val="0"/>
        <w:spacing w:lineRule="auto" w:line="480"/>
        <w:ind w:left="540" w:right="0" w:hanging="540"/>
        <w:jc w:val="left"/>
        <w:rPr/>
      </w:pPr>
      <w:r>
        <w:rPr>
          <w:rFonts w:ascii="Times New Roman" w:hAnsi="Times New Roman"/>
          <w:b/>
          <w:bCs/>
        </w:rPr>
        <w:t>Polly, PD, Stayton CT, Dumont ER, Pierce SE, Rayfield EJ, Angielczyk KD. 2016.</w:t>
      </w:r>
      <w:r>
        <w:rPr>
          <w:rFonts w:ascii="Times New Roman" w:hAnsi="Times New Roman"/>
        </w:rPr>
        <w:t xml:space="preserve"> Combining geometric morphometrics and finite element analysis with evolutionary modeling: towards a synthesis. </w:t>
      </w:r>
      <w:r>
        <w:rPr>
          <w:rFonts w:ascii="Times New Roman" w:hAnsi="Times New Roman"/>
          <w:i/>
          <w:iCs/>
        </w:rPr>
        <w:t>Journal of Vertebrate Paleontology</w:t>
      </w:r>
      <w:r>
        <w:rPr>
          <w:rFonts w:ascii="Times New Roman" w:hAnsi="Times New Roman"/>
        </w:rPr>
        <w:t>. doi:</w:t>
      </w:r>
      <w:hyperlink r:id="rId8">
        <w:r>
          <w:rPr>
            <w:rStyle w:val="InternetLink"/>
            <w:rFonts w:ascii="Times New Roman" w:hAnsi="Times New Roman"/>
          </w:rPr>
          <w:t>10.1080/02724634.2016.1111225</w:t>
        </w:r>
      </w:hyperlink>
      <w:r>
        <w:rPr>
          <w:rFonts w:ascii="Times New Roman" w:hAnsi="Times New Roman"/>
        </w:rPr>
        <w:t>.</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Pons J, Barraclough T, Gomez-Zurita J, Cardoso A, Duran D, Hazell S, Kamoun S, Sumlin W, Vogler A. 2006.</w:t>
      </w:r>
      <w:r>
        <w:rPr>
          <w:rFonts w:ascii="Times New Roman" w:hAnsi="Times New Roman"/>
        </w:rPr>
        <w:t xml:space="preserve"> Sequence-based species delimitation for the DNA taxonomy of undescribed insects. </w:t>
      </w:r>
      <w:r>
        <w:rPr>
          <w:rFonts w:ascii="Times New Roman" w:hAnsi="Times New Roman"/>
          <w:i/>
          <w:iCs/>
        </w:rPr>
        <w:t>Systematic Biology</w:t>
      </w:r>
      <w:r>
        <w:rPr>
          <w:rFonts w:ascii="Times New Roman" w:hAnsi="Times New Roman"/>
        </w:rPr>
        <w:t xml:space="preserve"> </w:t>
      </w:r>
      <w:r>
        <w:rPr>
          <w:rFonts w:ascii="Times New Roman" w:hAnsi="Times New Roman"/>
          <w:b/>
          <w:bCs/>
        </w:rPr>
        <w:t>55:</w:t>
      </w:r>
      <w:r>
        <w:rPr>
          <w:rFonts w:ascii="Times New Roman" w:hAnsi="Times New Roman"/>
        </w:rPr>
        <w:t xml:space="preserve"> 595–609.</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Rivera, G. 2008.</w:t>
      </w:r>
      <w:r>
        <w:rPr>
          <w:rFonts w:ascii="Times New Roman" w:hAnsi="Times New Roman"/>
        </w:rPr>
        <w:t xml:space="preserve"> Ecomorphological variation in shell shape of the freshwater turtle </w:t>
      </w:r>
      <w:r>
        <w:rPr>
          <w:rFonts w:ascii="Times New Roman" w:hAnsi="Times New Roman"/>
          <w:i/>
          <w:iCs/>
        </w:rPr>
        <w:t>Pseudemys concinna</w:t>
      </w:r>
      <w:r>
        <w:rPr>
          <w:rFonts w:ascii="Times New Roman" w:hAnsi="Times New Roman"/>
        </w:rPr>
        <w:t xml:space="preserve"> inhabiting different aquatic flow regimes. </w:t>
      </w:r>
      <w:r>
        <w:rPr>
          <w:rFonts w:ascii="Times New Roman" w:hAnsi="Times New Roman"/>
          <w:i/>
          <w:iCs/>
        </w:rPr>
        <w:t>Integrative and Comparative Biology</w:t>
      </w:r>
      <w:r>
        <w:rPr>
          <w:rFonts w:ascii="Times New Roman" w:hAnsi="Times New Roman"/>
        </w:rPr>
        <w:t xml:space="preserve"> </w:t>
      </w:r>
      <w:r>
        <w:rPr>
          <w:rFonts w:ascii="Times New Roman" w:hAnsi="Times New Roman"/>
          <w:b/>
          <w:bCs/>
        </w:rPr>
        <w:t>48:</w:t>
      </w:r>
      <w:r>
        <w:rPr>
          <w:rFonts w:ascii="Times New Roman" w:hAnsi="Times New Roman"/>
        </w:rPr>
        <w:t xml:space="preserve"> 769–787.</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Rivera G, Stayton CT. 2011.</w:t>
      </w:r>
      <w:r>
        <w:rPr>
          <w:rFonts w:ascii="Times New Roman" w:hAnsi="Times New Roman"/>
        </w:rPr>
        <w:t xml:space="preserve"> Finite element modeling of shell shape in the freshwater turtle </w:t>
      </w:r>
      <w:r>
        <w:rPr>
          <w:rFonts w:ascii="Times New Roman" w:hAnsi="Times New Roman"/>
          <w:i/>
          <w:iCs/>
        </w:rPr>
        <w:t>Pseudemys concinna</w:t>
      </w:r>
      <w:r>
        <w:rPr>
          <w:rFonts w:ascii="Times New Roman" w:hAnsi="Times New Roman"/>
        </w:rPr>
        <w:t xml:space="preserve"> reveals a trade-off between mechanical strength and hydrodynamic efficiency. </w:t>
      </w:r>
      <w:r>
        <w:rPr>
          <w:rFonts w:ascii="Times New Roman" w:hAnsi="Times New Roman"/>
          <w:i/>
          <w:iCs/>
        </w:rPr>
        <w:t>Journal of Morphology</w:t>
      </w:r>
      <w:r>
        <w:rPr>
          <w:rFonts w:ascii="Times New Roman" w:hAnsi="Times New Roman"/>
        </w:rPr>
        <w:t xml:space="preserve"> </w:t>
      </w:r>
      <w:r>
        <w:rPr>
          <w:rFonts w:ascii="Times New Roman" w:hAnsi="Times New Roman"/>
          <w:b/>
          <w:bCs/>
        </w:rPr>
        <w:t>272:</w:t>
      </w:r>
      <w:r>
        <w:rPr>
          <w:rFonts w:ascii="Times New Roman" w:hAnsi="Times New Roman"/>
        </w:rPr>
        <w:t xml:space="preserve"> 1192–1203.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Rivera G, Davis JN, Godwin JC, Adams DC. 2014.</w:t>
      </w:r>
      <w:r>
        <w:rPr>
          <w:rFonts w:ascii="Times New Roman" w:hAnsi="Times New Roman"/>
        </w:rPr>
        <w:t xml:space="preserve"> Repeatability of habitat-associated divergence in shell shape of turtles. </w:t>
      </w:r>
      <w:r>
        <w:rPr>
          <w:rFonts w:ascii="Times New Roman" w:hAnsi="Times New Roman"/>
          <w:i/>
          <w:iCs/>
        </w:rPr>
        <w:t>Evolutionary Biology</w:t>
      </w:r>
      <w:r>
        <w:rPr>
          <w:rFonts w:ascii="Times New Roman" w:hAnsi="Times New Roman"/>
        </w:rPr>
        <w:t xml:space="preserve"> </w:t>
      </w:r>
      <w:r>
        <w:rPr>
          <w:rFonts w:ascii="Times New Roman" w:hAnsi="Times New Roman"/>
          <w:b/>
          <w:bCs/>
        </w:rPr>
        <w:t>41:</w:t>
      </w:r>
      <w:r>
        <w:rPr>
          <w:rFonts w:ascii="Times New Roman" w:hAnsi="Times New Roman"/>
        </w:rPr>
        <w:t xml:space="preserve"> 29–37.</w:t>
      </w:r>
    </w:p>
    <w:p>
      <w:pPr>
        <w:pStyle w:val="Normal"/>
        <w:widowControl w:val="false"/>
        <w:tabs>
          <w:tab w:val="left" w:pos="630" w:leader="none"/>
        </w:tabs>
        <w:suppressAutoHyphens w:val="true"/>
        <w:bidi w:val="0"/>
        <w:spacing w:lineRule="auto" w:line="480"/>
        <w:ind w:left="180" w:right="0" w:hanging="180"/>
        <w:jc w:val="left"/>
        <w:rPr>
          <w:rFonts w:ascii="Times New Roman" w:hAnsi="Times New Roman" w:cs="Times New Roman"/>
        </w:rPr>
      </w:pPr>
      <w:r>
        <w:rPr>
          <w:rFonts w:cs="Times New Roman" w:ascii="Times New Roman" w:hAnsi="Times New Roman"/>
          <w:b/>
          <w:bCs/>
        </w:rPr>
        <w:t>Rohlf FJ. 2005.</w:t>
      </w:r>
      <w:r>
        <w:rPr>
          <w:rFonts w:cs="Times New Roman" w:ascii="Times New Roman" w:hAnsi="Times New Roman"/>
        </w:rPr>
        <w:t xml:space="preserve"> tpsDig 2.04. Stony Brook, USA: Department of Ecology and Evolution, State University of New York, Stony Brook.</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Schilck-Steiner BC, Seifert B, Stauffer C, Christian E, Crozier RH, Steiner FM. 2007.</w:t>
      </w:r>
      <w:r>
        <w:rPr>
          <w:rFonts w:ascii="Times New Roman" w:hAnsi="Times New Roman"/>
        </w:rPr>
        <w:t xml:space="preserve"> Without morphology, cryptic species stay in taxonomic crypsis following discovery. </w:t>
      </w:r>
      <w:r>
        <w:rPr>
          <w:rFonts w:ascii="Times New Roman" w:hAnsi="Times New Roman"/>
          <w:i/>
          <w:iCs/>
        </w:rPr>
        <w:t>Trends in Ecology &amp; Evolution</w:t>
      </w:r>
      <w:r>
        <w:rPr>
          <w:rFonts w:ascii="Times New Roman" w:hAnsi="Times New Roman"/>
        </w:rPr>
        <w:t xml:space="preserve"> </w:t>
      </w:r>
      <w:r>
        <w:rPr>
          <w:rFonts w:ascii="Times New Roman" w:hAnsi="Times New Roman"/>
          <w:b/>
          <w:bCs/>
        </w:rPr>
        <w:t>22:</w:t>
      </w:r>
      <w:r>
        <w:rPr>
          <w:rFonts w:ascii="Times New Roman" w:hAnsi="Times New Roman"/>
        </w:rPr>
        <w:t xml:space="preserve"> 391–392.</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Seeliger LM. 1945.</w:t>
      </w:r>
      <w:r>
        <w:rPr>
          <w:rFonts w:ascii="Times New Roman" w:hAnsi="Times New Roman"/>
        </w:rPr>
        <w:t xml:space="preserve"> Variation in the Pacific Mud Turtle. </w:t>
      </w:r>
      <w:r>
        <w:rPr>
          <w:rFonts w:ascii="Times New Roman" w:hAnsi="Times New Roman"/>
          <w:i/>
          <w:iCs/>
        </w:rPr>
        <w:t>Copeia</w:t>
      </w:r>
      <w:r>
        <w:rPr>
          <w:rFonts w:ascii="Times New Roman" w:hAnsi="Times New Roman"/>
        </w:rPr>
        <w:t xml:space="preserve"> </w:t>
      </w:r>
      <w:r>
        <w:rPr>
          <w:rFonts w:ascii="Times New Roman" w:hAnsi="Times New Roman"/>
          <w:b/>
          <w:bCs/>
        </w:rPr>
        <w:t>1945:</w:t>
      </w:r>
      <w:r>
        <w:rPr>
          <w:rFonts w:ascii="Times New Roman" w:hAnsi="Times New Roman"/>
        </w:rPr>
        <w:t xml:space="preserve"> 150–159.</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Spinks PQ, Shaffer HB. 2005.</w:t>
      </w:r>
      <w:r>
        <w:rPr>
          <w:rFonts w:ascii="Times New Roman" w:hAnsi="Times New Roman"/>
        </w:rPr>
        <w:t xml:space="preserve"> Range-wide molecular analysis of the western pond turtle (</w:t>
      </w:r>
      <w:r>
        <w:rPr>
          <w:rFonts w:ascii="Times New Roman" w:hAnsi="Times New Roman"/>
          <w:i/>
          <w:iCs/>
        </w:rPr>
        <w:t>Emys marmorata</w:t>
      </w:r>
      <w:r>
        <w:rPr>
          <w:rFonts w:ascii="Times New Roman" w:hAnsi="Times New Roman"/>
        </w:rPr>
        <w:t xml:space="preserve">): cryptic variation, isolation by distance, and their conservation implications.” </w:t>
      </w:r>
      <w:r>
        <w:rPr>
          <w:rFonts w:ascii="Times New Roman" w:hAnsi="Times New Roman"/>
          <w:i/>
          <w:iCs/>
        </w:rPr>
        <w:t>Molecular Ecology</w:t>
      </w:r>
      <w:r>
        <w:rPr>
          <w:rFonts w:ascii="Times New Roman" w:hAnsi="Times New Roman"/>
        </w:rPr>
        <w:t xml:space="preserve"> </w:t>
      </w:r>
      <w:r>
        <w:rPr>
          <w:rFonts w:ascii="Times New Roman" w:hAnsi="Times New Roman"/>
          <w:b/>
          <w:bCs/>
        </w:rPr>
        <w:t>14:</w:t>
      </w:r>
      <w:r>
        <w:rPr>
          <w:rFonts w:ascii="Times New Roman" w:hAnsi="Times New Roman"/>
        </w:rPr>
        <w:t xml:space="preserve"> 2047–2064.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Spinks PQ, Shaffer HB.</w:t>
      </w:r>
      <w:r>
        <w:rPr>
          <w:rFonts w:ascii="Times New Roman" w:hAnsi="Times New Roman"/>
        </w:rPr>
        <w:t xml:space="preserve"> </w:t>
      </w:r>
      <w:r>
        <w:rPr>
          <w:rFonts w:ascii="Times New Roman" w:hAnsi="Times New Roman"/>
          <w:b/>
          <w:bCs/>
        </w:rPr>
        <w:t>2009.</w:t>
      </w:r>
      <w:r>
        <w:rPr>
          <w:rFonts w:ascii="Times New Roman" w:hAnsi="Times New Roman"/>
        </w:rPr>
        <w:t xml:space="preserve"> Conflicting mitochondrial and nuclear phylogenies for the widely disjunct </w:t>
      </w:r>
      <w:r>
        <w:rPr>
          <w:rFonts w:ascii="Times New Roman" w:hAnsi="Times New Roman"/>
          <w:i/>
          <w:iCs/>
        </w:rPr>
        <w:t>Emys</w:t>
      </w:r>
      <w:r>
        <w:rPr>
          <w:rFonts w:ascii="Times New Roman" w:hAnsi="Times New Roman"/>
        </w:rPr>
        <w:t xml:space="preserve"> (Testudines: Emydidae) species complex, and what they tell us about biogeography and hybridization. </w:t>
      </w:r>
      <w:r>
        <w:rPr>
          <w:rFonts w:ascii="Times New Roman" w:hAnsi="Times New Roman"/>
          <w:i/>
          <w:iCs/>
        </w:rPr>
        <w:t>Systematic Biology</w:t>
      </w:r>
      <w:r>
        <w:rPr>
          <w:rFonts w:ascii="Times New Roman" w:hAnsi="Times New Roman"/>
        </w:rPr>
        <w:t xml:space="preserve"> </w:t>
      </w:r>
      <w:r>
        <w:rPr>
          <w:rFonts w:ascii="Times New Roman" w:hAnsi="Times New Roman"/>
          <w:b/>
          <w:bCs/>
          <w:i w:val="false"/>
          <w:iCs w:val="false"/>
        </w:rPr>
        <w:t>58:</w:t>
      </w:r>
      <w:r>
        <w:rPr>
          <w:rFonts w:ascii="Times New Roman" w:hAnsi="Times New Roman"/>
        </w:rPr>
        <w:t xml:space="preserve"> 1–20.</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Spinks PQ, Thomson RC, Shaffer HB.</w:t>
      </w:r>
      <w:r>
        <w:rPr>
          <w:rFonts w:ascii="Times New Roman" w:hAnsi="Times New Roman"/>
        </w:rPr>
        <w:t xml:space="preserve"> </w:t>
      </w:r>
      <w:r>
        <w:rPr>
          <w:rFonts w:ascii="Times New Roman" w:hAnsi="Times New Roman"/>
          <w:b/>
          <w:bCs/>
        </w:rPr>
        <w:t>2010.</w:t>
      </w:r>
      <w:r>
        <w:rPr>
          <w:rFonts w:ascii="Times New Roman" w:hAnsi="Times New Roman"/>
        </w:rPr>
        <w:t xml:space="preserve"> Nuclear gene phylogeography reveals the historical legacy of an ancient inland sea on lineages of the western pond turtle, </w:t>
      </w:r>
      <w:r>
        <w:rPr>
          <w:rFonts w:ascii="Times New Roman" w:hAnsi="Times New Roman"/>
          <w:i/>
          <w:iCs/>
        </w:rPr>
        <w:t>Emys marmorata</w:t>
      </w:r>
      <w:r>
        <w:rPr>
          <w:rFonts w:ascii="Times New Roman" w:hAnsi="Times New Roman"/>
        </w:rPr>
        <w:t xml:space="preserve"> in California. </w:t>
      </w:r>
      <w:r>
        <w:rPr>
          <w:rFonts w:ascii="Times New Roman" w:hAnsi="Times New Roman"/>
          <w:i/>
          <w:iCs/>
        </w:rPr>
        <w:t>Molecular Ecology</w:t>
      </w:r>
      <w:r>
        <w:rPr>
          <w:rFonts w:ascii="Times New Roman" w:hAnsi="Times New Roman"/>
        </w:rPr>
        <w:t xml:space="preserve"> </w:t>
      </w:r>
      <w:r>
        <w:rPr>
          <w:rFonts w:ascii="Times New Roman" w:hAnsi="Times New Roman"/>
          <w:b/>
          <w:bCs/>
        </w:rPr>
        <w:t>19:</w:t>
      </w:r>
      <w:r>
        <w:rPr>
          <w:rFonts w:ascii="Times New Roman" w:hAnsi="Times New Roman"/>
        </w:rPr>
        <w:t xml:space="preserve"> 542–556.</w:t>
      </w:r>
    </w:p>
    <w:p>
      <w:pPr>
        <w:pStyle w:val="Normal"/>
        <w:widowControl w:val="false"/>
        <w:suppressAutoHyphens w:val="true"/>
        <w:bidi w:val="0"/>
        <w:spacing w:lineRule="auto" w:line="480"/>
        <w:ind w:left="540" w:right="0" w:hanging="540"/>
        <w:jc w:val="left"/>
        <w:rPr>
          <w:rFonts w:ascii="Times New Roman" w:hAnsi="Times New Roman"/>
          <w:b w:val="false"/>
          <w:b w:val="false"/>
          <w:bCs w:val="false"/>
        </w:rPr>
      </w:pPr>
      <w:r>
        <w:rPr>
          <w:rFonts w:ascii="Times New Roman" w:hAnsi="Times New Roman"/>
          <w:b/>
          <w:bCs/>
        </w:rPr>
        <w:t>Spinks PQ, Thomson RC, Shaffer HB.</w:t>
      </w:r>
      <w:r>
        <w:rPr>
          <w:rFonts w:ascii="Times New Roman" w:hAnsi="Times New Roman"/>
        </w:rPr>
        <w:t xml:space="preserve"> </w:t>
      </w:r>
      <w:r>
        <w:rPr>
          <w:rFonts w:ascii="Times New Roman" w:hAnsi="Times New Roman"/>
          <w:b/>
          <w:bCs/>
        </w:rPr>
        <w:t>2014.</w:t>
      </w:r>
      <w:r>
        <w:rPr>
          <w:rFonts w:ascii="Times New Roman" w:hAnsi="Times New Roman"/>
        </w:rPr>
        <w:t xml:space="preserve"> The advantages of going large: genome wide SNPs clarify the complex population history and systematics of the threatened western pond turtle. </w:t>
      </w:r>
      <w:r>
        <w:rPr>
          <w:rFonts w:ascii="Times New Roman" w:hAnsi="Times New Roman"/>
          <w:i/>
          <w:iCs/>
        </w:rPr>
        <w:t>Molecular Ecology</w:t>
      </w:r>
      <w:r>
        <w:rPr>
          <w:rFonts w:ascii="Times New Roman" w:hAnsi="Times New Roman"/>
        </w:rPr>
        <w:t xml:space="preserve"> </w:t>
      </w:r>
      <w:r>
        <w:rPr>
          <w:rFonts w:ascii="Times New Roman" w:hAnsi="Times New Roman"/>
          <w:b/>
          <w:bCs/>
        </w:rPr>
        <w:t xml:space="preserve">23: </w:t>
      </w:r>
      <w:r>
        <w:rPr>
          <w:rFonts w:ascii="Times New Roman" w:hAnsi="Times New Roman"/>
          <w:b w:val="false"/>
          <w:bCs w:val="false"/>
        </w:rPr>
        <w:t>2228–2241.</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Stayton CT. 2011.</w:t>
      </w:r>
      <w:r>
        <w:rPr>
          <w:rFonts w:ascii="Times New Roman" w:hAnsi="Times New Roman"/>
        </w:rPr>
        <w:t xml:space="preserve"> Biomechanics on the half shell: functional performance influences patterns of morphological variation in the emydid turtle carapace. </w:t>
      </w:r>
      <w:r>
        <w:rPr>
          <w:rFonts w:ascii="Times New Roman" w:hAnsi="Times New Roman"/>
          <w:i/>
          <w:iCs/>
        </w:rPr>
        <w:t>Zoology</w:t>
      </w:r>
      <w:r>
        <w:rPr>
          <w:rFonts w:ascii="Times New Roman" w:hAnsi="Times New Roman"/>
        </w:rPr>
        <w:t xml:space="preserve"> </w:t>
      </w:r>
      <w:r>
        <w:rPr>
          <w:rFonts w:ascii="Times New Roman" w:hAnsi="Times New Roman"/>
          <w:b/>
          <w:bCs/>
        </w:rPr>
        <w:t>114:</w:t>
      </w:r>
      <w:r>
        <w:rPr>
          <w:rFonts w:ascii="Times New Roman" w:hAnsi="Times New Roman"/>
        </w:rPr>
        <w:t xml:space="preserve"> 213–223.</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Stuart BL, Inger RF, Voris HK. 2006.</w:t>
      </w:r>
      <w:r>
        <w:rPr>
          <w:rFonts w:ascii="Times New Roman" w:hAnsi="Times New Roman"/>
        </w:rPr>
        <w:t xml:space="preserve"> High level of cryptic species diversity revealed by sympatric lineages of Southeast Asian forest frogs. </w:t>
      </w:r>
      <w:r>
        <w:rPr>
          <w:rFonts w:ascii="Times New Roman" w:hAnsi="Times New Roman"/>
          <w:i/>
          <w:iCs/>
        </w:rPr>
        <w:t>Biology Letters</w:t>
      </w:r>
      <w:r>
        <w:rPr>
          <w:rFonts w:ascii="Times New Roman" w:hAnsi="Times New Roman"/>
        </w:rPr>
        <w:t xml:space="preserve"> </w:t>
      </w:r>
      <w:r>
        <w:rPr>
          <w:rFonts w:ascii="Times New Roman" w:hAnsi="Times New Roman"/>
          <w:b/>
          <w:bCs/>
        </w:rPr>
        <w:t>2:</w:t>
      </w:r>
      <w:r>
        <w:rPr>
          <w:rFonts w:ascii="Times New Roman" w:hAnsi="Times New Roman"/>
        </w:rPr>
        <w:t xml:space="preserve"> 470–474.</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Sztencel-Jabłonka A, Jones G, BogdanowicZ W. 2009.</w:t>
      </w:r>
      <w:r>
        <w:rPr>
          <w:rFonts w:ascii="Times New Roman" w:hAnsi="Times New Roman"/>
        </w:rPr>
        <w:t xml:space="preserve"> Skull morphology of two cryptic bat species: </w:t>
      </w:r>
      <w:r>
        <w:rPr>
          <w:rFonts w:ascii="Times New Roman" w:hAnsi="Times New Roman"/>
          <w:i/>
          <w:iCs/>
        </w:rPr>
        <w:t>Pipistrellus pipistrellus</w:t>
      </w:r>
      <w:r>
        <w:rPr>
          <w:rFonts w:ascii="Times New Roman" w:hAnsi="Times New Roman"/>
        </w:rPr>
        <w:t xml:space="preserve"> and </w:t>
      </w:r>
      <w:r>
        <w:rPr>
          <w:rFonts w:ascii="Times New Roman" w:hAnsi="Times New Roman"/>
          <w:i/>
          <w:iCs/>
        </w:rPr>
        <w:t>P. pygmaeus</w:t>
      </w:r>
      <w:r>
        <w:rPr>
          <w:rFonts w:ascii="Times New Roman" w:hAnsi="Times New Roman"/>
        </w:rPr>
        <w:t xml:space="preserve"> — a 3D geometric morphometrics approach with landmark reconstruction. </w:t>
      </w:r>
      <w:r>
        <w:rPr>
          <w:rFonts w:ascii="Times New Roman" w:hAnsi="Times New Roman"/>
          <w:i/>
          <w:iCs/>
        </w:rPr>
        <w:t>Acta Chiropterologica</w:t>
      </w:r>
      <w:r>
        <w:rPr>
          <w:rFonts w:ascii="Times New Roman" w:hAnsi="Times New Roman"/>
        </w:rPr>
        <w:t xml:space="preserve"> </w:t>
      </w:r>
      <w:r>
        <w:rPr>
          <w:rFonts w:ascii="Times New Roman" w:hAnsi="Times New Roman"/>
          <w:b/>
          <w:bCs/>
        </w:rPr>
        <w:t>11:</w:t>
      </w:r>
      <w:r>
        <w:rPr>
          <w:rFonts w:ascii="Times New Roman" w:hAnsi="Times New Roman"/>
        </w:rPr>
        <w:t xml:space="preserve"> 113–126.</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Van Bocxlaer B, Schultheiß R. 2010.</w:t>
      </w:r>
      <w:r>
        <w:rPr>
          <w:rFonts w:ascii="Times New Roman" w:hAnsi="Times New Roman"/>
        </w:rPr>
        <w:t xml:space="preserve"> Comparison of morphometric techniques for shapes with few homologous landmarks based on machine-learning approaches to biological discrimination. </w:t>
      </w:r>
      <w:r>
        <w:rPr>
          <w:rFonts w:ascii="Times New Roman" w:hAnsi="Times New Roman"/>
          <w:i/>
          <w:iCs/>
        </w:rPr>
        <w:t>Paleobiology</w:t>
      </w:r>
      <w:r>
        <w:rPr>
          <w:rFonts w:ascii="Times New Roman" w:hAnsi="Times New Roman"/>
        </w:rPr>
        <w:t xml:space="preserve"> </w:t>
      </w:r>
      <w:r>
        <w:rPr>
          <w:rFonts w:ascii="Times New Roman" w:hAnsi="Times New Roman"/>
          <w:b/>
          <w:bCs/>
        </w:rPr>
        <w:t>36:</w:t>
      </w:r>
      <w:r>
        <w:rPr>
          <w:rFonts w:ascii="Times New Roman" w:hAnsi="Times New Roman"/>
        </w:rPr>
        <w:t xml:space="preserve"> 497–515.</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Van Bocxlaer B, Hunt G. 2013.</w:t>
      </w:r>
      <w:r>
        <w:rPr>
          <w:rFonts w:ascii="Times New Roman" w:hAnsi="Times New Roman"/>
        </w:rPr>
        <w:t xml:space="preserve"> Morphological stasis in an ongoing gastropod radiation from Lake Malawi. </w:t>
      </w:r>
      <w:r>
        <w:rPr>
          <w:rFonts w:ascii="Times New Roman" w:hAnsi="Times New Roman"/>
          <w:i/>
          <w:iCs/>
        </w:rPr>
        <w:t xml:space="preserve">Proceedings of the National Academy of Sciences </w:t>
      </w:r>
      <w:r>
        <w:rPr>
          <w:rFonts w:ascii="Times New Roman" w:hAnsi="Times New Roman"/>
          <w:b/>
          <w:bCs/>
          <w:i w:val="false"/>
          <w:iCs w:val="false"/>
        </w:rPr>
        <w:t xml:space="preserve">110: </w:t>
      </w:r>
      <w:r>
        <w:rPr>
          <w:rFonts w:ascii="Times New Roman" w:hAnsi="Times New Roman"/>
        </w:rPr>
        <w:t>13892–13897.</w:t>
      </w:r>
    </w:p>
    <w:p>
      <w:pPr>
        <w:pStyle w:val="Normal"/>
        <w:widowControl w:val="false"/>
        <w:suppressAutoHyphens w:val="true"/>
        <w:bidi w:val="0"/>
        <w:spacing w:lineRule="auto" w:line="480"/>
        <w:ind w:left="540" w:right="0" w:hanging="540"/>
        <w:jc w:val="left"/>
        <w:rPr>
          <w:rFonts w:ascii="Times New Roman" w:hAnsi="Times New Roman"/>
          <w:i w:val="false"/>
          <w:i w:val="false"/>
          <w:iCs w:val="false"/>
        </w:rPr>
      </w:pPr>
      <w:r>
        <w:rPr>
          <w:rFonts w:ascii="Times New Roman" w:hAnsi="Times New Roman"/>
          <w:b/>
          <w:bCs/>
        </w:rPr>
        <w:t>Venables WN, Ripley BD. 2002.</w:t>
      </w:r>
      <w:r>
        <w:rPr>
          <w:rFonts w:ascii="Times New Roman" w:hAnsi="Times New Roman"/>
        </w:rPr>
        <w:t xml:space="preserve"> </w:t>
      </w:r>
      <w:r>
        <w:rPr>
          <w:rFonts w:ascii="Times New Roman" w:hAnsi="Times New Roman"/>
          <w:i/>
          <w:iCs/>
        </w:rPr>
        <w:t>Modern applied statistics with S.</w:t>
      </w:r>
      <w:r>
        <w:rPr>
          <w:rFonts w:ascii="Times New Roman" w:hAnsi="Times New Roman"/>
          <w:i w:val="false"/>
          <w:iCs w:val="false"/>
        </w:rPr>
        <w:t xml:space="preserve"> 4</w:t>
      </w:r>
      <w:r>
        <w:rPr>
          <w:rFonts w:ascii="Times New Roman" w:hAnsi="Times New Roman"/>
          <w:i w:val="false"/>
          <w:iCs w:val="false"/>
          <w:vertAlign w:val="superscript"/>
        </w:rPr>
        <w:t>th</w:t>
      </w:r>
      <w:r>
        <w:rPr>
          <w:rFonts w:ascii="Times New Roman" w:hAnsi="Times New Roman"/>
          <w:i w:val="false"/>
          <w:iCs w:val="false"/>
        </w:rPr>
        <w:t xml:space="preserve"> edition. Springer: New York.</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Vitek NS, Manz CL, Gao T, Bloch JI, Strait S.G, Boyer DM. 2017.</w:t>
      </w:r>
      <w:r>
        <w:rPr>
          <w:rFonts w:ascii="Times New Roman" w:hAnsi="Times New Roman"/>
        </w:rPr>
        <w:t xml:space="preserve"> Semi-supervised determination of pseudocryptic morphotypes using observer-free characterizations of anatomical alignment and </w:t>
      </w:r>
      <w:r>
        <w:rPr>
          <w:rFonts w:ascii="Times New Roman" w:hAnsi="Times New Roman"/>
          <w:b w:val="false"/>
          <w:bCs w:val="false"/>
        </w:rPr>
        <w:t xml:space="preserve">shape. </w:t>
      </w:r>
      <w:r>
        <w:rPr>
          <w:rFonts w:ascii="Times New Roman" w:hAnsi="Times New Roman"/>
          <w:b w:val="false"/>
          <w:bCs w:val="false"/>
          <w:i/>
          <w:iCs/>
        </w:rPr>
        <w:t>Ecology and Evolution</w:t>
      </w:r>
      <w:r>
        <w:rPr>
          <w:rFonts w:ascii="Times New Roman" w:hAnsi="Times New Roman"/>
        </w:rPr>
        <w:t xml:space="preserve"> </w:t>
      </w:r>
      <w:r>
        <w:rPr>
          <w:rFonts w:ascii="Times New Roman" w:hAnsi="Times New Roman"/>
          <w:b/>
          <w:bCs/>
          <w:i w:val="false"/>
          <w:iCs w:val="false"/>
        </w:rPr>
        <w:t>7:</w:t>
      </w:r>
      <w:r>
        <w:rPr>
          <w:rFonts w:ascii="Times New Roman" w:hAnsi="Times New Roman"/>
        </w:rPr>
        <w:t xml:space="preserve"> 5041–5055.</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Yang Z, Rannala B. 2010.</w:t>
      </w:r>
      <w:r>
        <w:rPr>
          <w:rFonts w:ascii="Times New Roman" w:hAnsi="Times New Roman"/>
        </w:rPr>
        <w:t xml:space="preserve"> Bayesian species delimitation using multilocus sequence data. </w:t>
      </w:r>
      <w:r>
        <w:rPr>
          <w:rFonts w:ascii="Times New Roman" w:hAnsi="Times New Roman"/>
          <w:i/>
          <w:iCs/>
        </w:rPr>
        <w:t>Proceedings of the National Academy of Sciences</w:t>
      </w:r>
      <w:r>
        <w:rPr>
          <w:rFonts w:ascii="Times New Roman" w:hAnsi="Times New Roman"/>
        </w:rPr>
        <w:t xml:space="preserve"> </w:t>
      </w:r>
      <w:r>
        <w:rPr>
          <w:rFonts w:ascii="Times New Roman" w:hAnsi="Times New Roman"/>
          <w:b/>
          <w:bCs/>
        </w:rPr>
        <w:t>107:</w:t>
      </w:r>
      <w:r>
        <w:rPr>
          <w:rFonts w:ascii="Times New Roman" w:hAnsi="Times New Roman"/>
        </w:rPr>
        <w:t xml:space="preserve"> 9264–9269.</w:t>
      </w:r>
    </w:p>
    <w:p>
      <w:pPr>
        <w:pStyle w:val="Normal"/>
        <w:widowControl w:val="false"/>
        <w:suppressAutoHyphens w:val="true"/>
        <w:bidi w:val="0"/>
        <w:spacing w:lineRule="auto" w:line="480"/>
        <w:ind w:left="540" w:right="0" w:hanging="540"/>
        <w:jc w:val="left"/>
        <w:rPr>
          <w:rFonts w:ascii="Times New Roman" w:hAnsi="Times New Roman"/>
        </w:rPr>
      </w:pPr>
      <w:r>
        <w:rPr>
          <w:rFonts w:ascii="Times New Roman" w:hAnsi="Times New Roman"/>
          <w:b/>
          <w:bCs/>
        </w:rPr>
        <w:t>Zelditch M, Swiderski DL, Sheets HD. 2004.</w:t>
      </w:r>
      <w:r>
        <w:rPr>
          <w:rFonts w:ascii="Times New Roman" w:hAnsi="Times New Roman"/>
        </w:rPr>
        <w:t xml:space="preserve"> </w:t>
      </w:r>
      <w:r>
        <w:rPr>
          <w:rFonts w:ascii="Times New Roman" w:hAnsi="Times New Roman"/>
          <w:i/>
          <w:iCs/>
        </w:rPr>
        <w:t>Geometric morphometrics for biologists: a primer.</w:t>
      </w:r>
      <w:r>
        <w:rPr>
          <w:rFonts w:ascii="Times New Roman" w:hAnsi="Times New Roman"/>
        </w:rPr>
        <w:t xml:space="preserve"> Elsevier Academic Press: Amsterdam.</w:t>
      </w:r>
      <w:r>
        <w:br w:type="page"/>
      </w:r>
    </w:p>
    <w:p>
      <w:pPr>
        <w:pStyle w:val="Normal"/>
        <w:widowControl w:val="false"/>
        <w:suppressAutoHyphens w:val="true"/>
        <w:bidi w:val="0"/>
        <w:spacing w:lineRule="auto" w:line="480"/>
        <w:ind w:left="0" w:right="0" w:hanging="0"/>
        <w:jc w:val="center"/>
        <w:rPr>
          <w:rFonts w:ascii="Times New Roman" w:hAnsi="Times New Roman"/>
        </w:rPr>
      </w:pPr>
      <w:r>
        <w:rPr>
          <w:rFonts w:ascii="Times New Roman" w:hAnsi="Times New Roman"/>
        </w:rPr>
        <w:t>SUPPORTING INFORMATION</w:t>
      </w:r>
    </w:p>
    <w:p>
      <w:pPr>
        <w:pStyle w:val="Normal"/>
        <w:widowControl w:val="false"/>
        <w:suppressAutoHyphens w:val="true"/>
        <w:bidi w:val="0"/>
        <w:spacing w:lineRule="auto" w:line="480"/>
        <w:ind w:left="0" w:right="0" w:hanging="0"/>
        <w:jc w:val="center"/>
        <w:rPr/>
      </w:pPr>
      <w:r>
        <w:rPr/>
      </w:r>
    </w:p>
    <w:p>
      <w:pPr>
        <w:pStyle w:val="Normal"/>
        <w:widowControl w:val="false"/>
        <w:suppressAutoHyphens w:val="true"/>
        <w:bidi w:val="0"/>
        <w:spacing w:lineRule="auto" w:line="480"/>
        <w:ind w:left="0" w:right="0" w:hanging="0"/>
        <w:jc w:val="left"/>
        <w:rPr/>
      </w:pPr>
      <w:r>
        <w:rPr/>
      </w:r>
      <w:r>
        <w:br w:type="page"/>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rPr>
      </w:pPr>
      <w:r>
        <w:rPr>
          <w:rFonts w:ascii="Times New Roman" w:hAnsi="Times New Roman"/>
          <w:b/>
          <w:bCs/>
        </w:rPr>
        <w:t xml:space="preserve">Table 1. </w:t>
      </w:r>
      <w:r>
        <w:rPr>
          <w:rFonts w:ascii="Times New Roman" w:hAnsi="Times New Roman"/>
          <w:b w:val="false"/>
          <w:bCs w:val="false"/>
        </w:rPr>
        <w:t xml:space="preserve">Species delimitation hypotheses for </w:t>
      </w:r>
      <w:r>
        <w:rPr>
          <w:rFonts w:ascii="Times New Roman" w:hAnsi="Times New Roman"/>
          <w:b w:val="false"/>
          <w:bCs w:val="false"/>
          <w:i/>
          <w:iCs/>
        </w:rPr>
        <w:t>E. marmorata</w:t>
      </w:r>
      <w:r>
        <w:rPr>
          <w:rFonts w:ascii="Times New Roman" w:hAnsi="Times New Roman"/>
          <w:b w:val="false"/>
          <w:bCs w:val="false"/>
          <w:i w:val="false"/>
          <w:iCs w:val="false"/>
        </w:rPr>
        <w:t>.</w:t>
      </w:r>
    </w:p>
    <w:tbl>
      <w:tblPr>
        <w:tblW w:w="5580"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440"/>
        <w:gridCol w:w="1980"/>
        <w:gridCol w:w="2160"/>
      </w:tblGrid>
      <w:tr>
        <w:trPr/>
        <w:tc>
          <w:tcPr>
            <w:tcW w:w="144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Abbreviation</w:t>
            </w:r>
          </w:p>
        </w:tc>
        <w:tc>
          <w:tcPr>
            <w:tcW w:w="198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Number of classes</w:t>
            </w:r>
          </w:p>
        </w:tc>
        <w:tc>
          <w:tcPr>
            <w:tcW w:w="216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Citation</w:t>
            </w:r>
          </w:p>
        </w:tc>
      </w:tr>
      <w:tr>
        <w:trPr/>
        <w:tc>
          <w:tcPr>
            <w:tcW w:w="1440" w:type="dxa"/>
            <w:tcBorders/>
            <w:shd w:fill="auto" w:val="clear"/>
          </w:tcPr>
          <w:p>
            <w:pPr>
              <w:pStyle w:val="TableContents"/>
              <w:rPr>
                <w:rFonts w:ascii="Times New Roman" w:hAnsi="Times New Roman"/>
              </w:rPr>
            </w:pPr>
            <w:r>
              <w:rPr>
                <w:rFonts w:ascii="Times New Roman" w:hAnsi="Times New Roman"/>
              </w:rPr>
              <w:t>SP10.1</w:t>
            </w:r>
          </w:p>
        </w:tc>
        <w:tc>
          <w:tcPr>
            <w:tcW w:w="1980" w:type="dxa"/>
            <w:tcBorders/>
            <w:shd w:fill="auto" w:val="clear"/>
          </w:tcPr>
          <w:p>
            <w:pPr>
              <w:pStyle w:val="TableContents"/>
              <w:rPr>
                <w:rFonts w:ascii="Times New Roman" w:hAnsi="Times New Roman"/>
              </w:rPr>
            </w:pPr>
            <w:r>
              <w:rPr>
                <w:rFonts w:ascii="Times New Roman" w:hAnsi="Times New Roman"/>
              </w:rPr>
              <w:t>3</w:t>
            </w:r>
          </w:p>
        </w:tc>
        <w:tc>
          <w:tcPr>
            <w:tcW w:w="2160" w:type="dxa"/>
            <w:tcBorders/>
            <w:shd w:fill="auto" w:val="clear"/>
          </w:tcPr>
          <w:p>
            <w:pPr>
              <w:pStyle w:val="TableContents"/>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(2010)</w:t>
            </w:r>
          </w:p>
        </w:tc>
      </w:tr>
      <w:tr>
        <w:trPr/>
        <w:tc>
          <w:tcPr>
            <w:tcW w:w="1440" w:type="dxa"/>
            <w:tcBorders/>
            <w:shd w:fill="auto" w:val="clear"/>
          </w:tcPr>
          <w:p>
            <w:pPr>
              <w:pStyle w:val="TableContents"/>
              <w:rPr>
                <w:rFonts w:ascii="Times New Roman" w:hAnsi="Times New Roman"/>
              </w:rPr>
            </w:pPr>
            <w:r>
              <w:rPr>
                <w:rFonts w:ascii="Times New Roman" w:hAnsi="Times New Roman"/>
              </w:rPr>
              <w:t>SP10.2</w:t>
            </w:r>
          </w:p>
        </w:tc>
        <w:tc>
          <w:tcPr>
            <w:tcW w:w="1980" w:type="dxa"/>
            <w:tcBorders/>
            <w:shd w:fill="auto" w:val="clear"/>
          </w:tcPr>
          <w:p>
            <w:pPr>
              <w:pStyle w:val="TableContents"/>
              <w:rPr>
                <w:rFonts w:ascii="Times New Roman" w:hAnsi="Times New Roman"/>
              </w:rPr>
            </w:pPr>
            <w:r>
              <w:rPr>
                <w:rFonts w:ascii="Times New Roman" w:hAnsi="Times New Roman"/>
              </w:rPr>
              <w:t>3</w:t>
            </w:r>
          </w:p>
        </w:tc>
        <w:tc>
          <w:tcPr>
            <w:tcW w:w="2160" w:type="dxa"/>
            <w:tcBorders/>
            <w:shd w:fill="auto" w:val="clear"/>
          </w:tcPr>
          <w:p>
            <w:pPr>
              <w:pStyle w:val="TableContents"/>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(2010)</w:t>
            </w:r>
          </w:p>
        </w:tc>
      </w:tr>
      <w:tr>
        <w:trPr/>
        <w:tc>
          <w:tcPr>
            <w:tcW w:w="1440" w:type="dxa"/>
            <w:tcBorders/>
            <w:shd w:fill="auto" w:val="clear"/>
          </w:tcPr>
          <w:p>
            <w:pPr>
              <w:pStyle w:val="TableContents"/>
              <w:rPr>
                <w:rFonts w:ascii="Times New Roman" w:hAnsi="Times New Roman"/>
              </w:rPr>
            </w:pPr>
            <w:r>
              <w:rPr>
                <w:rFonts w:ascii="Times New Roman" w:hAnsi="Times New Roman"/>
              </w:rPr>
              <w:t>SP10.3</w:t>
            </w:r>
          </w:p>
        </w:tc>
        <w:tc>
          <w:tcPr>
            <w:tcW w:w="1980" w:type="dxa"/>
            <w:tcBorders/>
            <w:shd w:fill="auto" w:val="clear"/>
          </w:tcPr>
          <w:p>
            <w:pPr>
              <w:pStyle w:val="TableContents"/>
              <w:rPr>
                <w:rFonts w:ascii="Times New Roman" w:hAnsi="Times New Roman"/>
              </w:rPr>
            </w:pPr>
            <w:r>
              <w:rPr>
                <w:rFonts w:ascii="Times New Roman" w:hAnsi="Times New Roman"/>
              </w:rPr>
              <w:t>4</w:t>
            </w:r>
          </w:p>
        </w:tc>
        <w:tc>
          <w:tcPr>
            <w:tcW w:w="2160" w:type="dxa"/>
            <w:tcBorders/>
            <w:shd w:fill="auto" w:val="clear"/>
          </w:tcPr>
          <w:p>
            <w:pPr>
              <w:pStyle w:val="TableContents"/>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(2010)</w:t>
            </w:r>
          </w:p>
        </w:tc>
      </w:tr>
      <w:tr>
        <w:trPr/>
        <w:tc>
          <w:tcPr>
            <w:tcW w:w="1440" w:type="dxa"/>
            <w:tcBorders/>
            <w:shd w:fill="auto" w:val="clear"/>
          </w:tcPr>
          <w:p>
            <w:pPr>
              <w:pStyle w:val="TableContents"/>
              <w:rPr>
                <w:rFonts w:ascii="Times New Roman" w:hAnsi="Times New Roman"/>
              </w:rPr>
            </w:pPr>
            <w:r>
              <w:rPr>
                <w:rFonts w:ascii="Times New Roman" w:hAnsi="Times New Roman"/>
              </w:rPr>
              <w:t>SP14.1</w:t>
            </w:r>
          </w:p>
        </w:tc>
        <w:tc>
          <w:tcPr>
            <w:tcW w:w="1980" w:type="dxa"/>
            <w:tcBorders/>
            <w:shd w:fill="auto" w:val="clear"/>
          </w:tcPr>
          <w:p>
            <w:pPr>
              <w:pStyle w:val="TableContents"/>
              <w:rPr>
                <w:rFonts w:ascii="Times New Roman" w:hAnsi="Times New Roman"/>
              </w:rPr>
            </w:pPr>
            <w:r>
              <w:rPr>
                <w:rFonts w:ascii="Times New Roman" w:hAnsi="Times New Roman"/>
              </w:rPr>
              <w:t>2</w:t>
            </w:r>
          </w:p>
        </w:tc>
        <w:tc>
          <w:tcPr>
            <w:tcW w:w="2160" w:type="dxa"/>
            <w:tcBorders/>
            <w:shd w:fill="auto" w:val="clear"/>
          </w:tcPr>
          <w:p>
            <w:pPr>
              <w:pStyle w:val="TableContents"/>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(2014)</w:t>
            </w:r>
          </w:p>
        </w:tc>
      </w:tr>
      <w:tr>
        <w:trPr/>
        <w:tc>
          <w:tcPr>
            <w:tcW w:w="1440" w:type="dxa"/>
            <w:tcBorders/>
            <w:shd w:fill="auto" w:val="clear"/>
          </w:tcPr>
          <w:p>
            <w:pPr>
              <w:pStyle w:val="TableContents"/>
              <w:rPr>
                <w:rFonts w:ascii="Times New Roman" w:hAnsi="Times New Roman"/>
              </w:rPr>
            </w:pPr>
            <w:r>
              <w:rPr>
                <w:rFonts w:ascii="Times New Roman" w:hAnsi="Times New Roman"/>
              </w:rPr>
              <w:t>SP14.2</w:t>
            </w:r>
          </w:p>
        </w:tc>
        <w:tc>
          <w:tcPr>
            <w:tcW w:w="1980" w:type="dxa"/>
            <w:tcBorders/>
            <w:shd w:fill="auto" w:val="clear"/>
          </w:tcPr>
          <w:p>
            <w:pPr>
              <w:pStyle w:val="TableContents"/>
              <w:rPr>
                <w:rFonts w:ascii="Times New Roman" w:hAnsi="Times New Roman"/>
              </w:rPr>
            </w:pPr>
            <w:r>
              <w:rPr>
                <w:rFonts w:ascii="Times New Roman" w:hAnsi="Times New Roman"/>
              </w:rPr>
              <w:t>4</w:t>
            </w:r>
          </w:p>
        </w:tc>
        <w:tc>
          <w:tcPr>
            <w:tcW w:w="2160" w:type="dxa"/>
            <w:tcBorders/>
            <w:shd w:fill="auto" w:val="clear"/>
          </w:tcPr>
          <w:p>
            <w:pPr>
              <w:pStyle w:val="TableContents"/>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(2014)</w:t>
            </w:r>
          </w:p>
        </w:tc>
      </w:tr>
      <w:tr>
        <w:trPr/>
        <w:tc>
          <w:tcPr>
            <w:tcW w:w="144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Morph</w:t>
            </w:r>
          </w:p>
        </w:tc>
        <w:tc>
          <w:tcPr>
            <w:tcW w:w="198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2</w:t>
            </w:r>
          </w:p>
        </w:tc>
        <w:tc>
          <w:tcPr>
            <w:tcW w:w="216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 xml:space="preserve">Spinks </w:t>
            </w:r>
            <w:r>
              <w:rPr>
                <w:rFonts w:ascii="Times New Roman" w:hAnsi="Times New Roman"/>
                <w:i/>
                <w:iCs/>
              </w:rPr>
              <w:t>et al.</w:t>
            </w:r>
            <w:r>
              <w:rPr>
                <w:rFonts w:ascii="Times New Roman" w:hAnsi="Times New Roman"/>
              </w:rPr>
              <w:t xml:space="preserve"> (2010)</w:t>
            </w:r>
          </w:p>
        </w:tc>
      </w:tr>
    </w:tbl>
    <w:p>
      <w:pPr>
        <w:pStyle w:val="Normal"/>
        <w:widowControl w:val="false"/>
        <w:suppressAutoHyphens w:val="true"/>
        <w:bidi w:val="0"/>
        <w:spacing w:lineRule="auto" w:line="480"/>
        <w:ind w:left="0" w:right="0" w:hanging="0"/>
        <w:jc w:val="left"/>
        <w:rPr>
          <w:rFonts w:ascii="Times New Roman" w:hAnsi="Times New Roman"/>
          <w:b/>
          <w:b/>
          <w:bCs/>
        </w:rPr>
      </w:pPr>
      <w:r>
        <w:rPr>
          <w:rFonts w:ascii="Times New Roman" w:hAnsi="Times New Roman"/>
          <w:b/>
          <w:bCs/>
        </w:rPr>
      </w:r>
    </w:p>
    <w:p>
      <w:pPr>
        <w:pStyle w:val="Normal"/>
        <w:widowControl w:val="false"/>
        <w:suppressAutoHyphens w:val="true"/>
        <w:bidi w:val="0"/>
        <w:spacing w:lineRule="auto" w:line="480"/>
        <w:ind w:left="0" w:right="0" w:hanging="0"/>
        <w:jc w:val="left"/>
        <w:rPr>
          <w:rFonts w:ascii="Times New Roman" w:hAnsi="Times New Roman"/>
        </w:rPr>
      </w:pPr>
      <w:r>
        <w:rPr>
          <w:rFonts w:ascii="Times New Roman" w:hAnsi="Times New Roman"/>
        </w:rPr>
      </w:r>
      <w:r>
        <w:br w:type="page"/>
      </w:r>
    </w:p>
    <w:p>
      <w:pPr>
        <w:pStyle w:val="Normal"/>
        <w:widowControl w:val="false"/>
        <w:suppressAutoHyphens w:val="true"/>
        <w:bidi w:val="0"/>
        <w:spacing w:lineRule="auto" w:line="480"/>
        <w:ind w:left="0" w:right="0" w:hanging="0"/>
        <w:jc w:val="left"/>
        <w:rPr>
          <w:rFonts w:ascii="Times New Roman" w:hAnsi="Times New Roman"/>
          <w:b w:val="false"/>
          <w:b w:val="false"/>
          <w:bCs w:val="false"/>
        </w:rPr>
      </w:pPr>
      <w:r>
        <w:rPr>
          <w:rFonts w:ascii="Times New Roman" w:hAnsi="Times New Roman"/>
          <w:b/>
          <w:bCs/>
        </w:rPr>
        <w:t>Table 2.</w:t>
      </w:r>
      <w:r>
        <w:rPr>
          <w:rFonts w:ascii="Times New Roman" w:hAnsi="Times New Roman"/>
          <w:b w:val="false"/>
          <w:bCs w:val="false"/>
        </w:rPr>
        <w:t xml:space="preserve"> Supervised learning methods used in this analysis.</w:t>
      </w:r>
    </w:p>
    <w:tbl>
      <w:tblPr>
        <w:tblW w:w="9270"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3599"/>
        <w:gridCol w:w="1386"/>
        <w:gridCol w:w="1584"/>
        <w:gridCol w:w="2700"/>
      </w:tblGrid>
      <w:tr>
        <w:trPr/>
        <w:tc>
          <w:tcPr>
            <w:tcW w:w="3599"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Method</w:t>
            </w:r>
          </w:p>
        </w:tc>
        <w:tc>
          <w:tcPr>
            <w:tcW w:w="1386"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Abbreviation</w:t>
            </w:r>
          </w:p>
        </w:tc>
        <w:tc>
          <w:tcPr>
            <w:tcW w:w="1584"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R package</w:t>
            </w:r>
          </w:p>
        </w:tc>
        <w:tc>
          <w:tcPr>
            <w:tcW w:w="270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Citation</w:t>
            </w:r>
          </w:p>
        </w:tc>
      </w:tr>
      <w:tr>
        <w:trPr/>
        <w:tc>
          <w:tcPr>
            <w:tcW w:w="3599" w:type="dxa"/>
            <w:tcBorders/>
            <w:shd w:fill="auto" w:val="clear"/>
          </w:tcPr>
          <w:p>
            <w:pPr>
              <w:pStyle w:val="TableContents"/>
              <w:rPr>
                <w:rFonts w:ascii="Times New Roman" w:hAnsi="Times New Roman"/>
              </w:rPr>
            </w:pPr>
            <w:r>
              <w:rPr>
                <w:rFonts w:ascii="Times New Roman" w:hAnsi="Times New Roman"/>
              </w:rPr>
              <w:t>multinomial logistic regression</w:t>
            </w:r>
          </w:p>
        </w:tc>
        <w:tc>
          <w:tcPr>
            <w:tcW w:w="1386" w:type="dxa"/>
            <w:tcBorders/>
            <w:shd w:fill="auto" w:val="clear"/>
          </w:tcPr>
          <w:p>
            <w:pPr>
              <w:pStyle w:val="TableContents"/>
              <w:rPr>
                <w:rFonts w:ascii="Times New Roman" w:hAnsi="Times New Roman"/>
              </w:rPr>
            </w:pPr>
            <w:r>
              <w:rPr>
                <w:rFonts w:ascii="Times New Roman" w:hAnsi="Times New Roman"/>
              </w:rPr>
              <w:t>MLR</w:t>
            </w:r>
          </w:p>
        </w:tc>
        <w:tc>
          <w:tcPr>
            <w:tcW w:w="1584" w:type="dxa"/>
            <w:tcBorders/>
            <w:shd w:fill="auto" w:val="clear"/>
          </w:tcPr>
          <w:p>
            <w:pPr>
              <w:pStyle w:val="TableContents"/>
              <w:rPr>
                <w:rFonts w:ascii="Times New Roman" w:hAnsi="Times New Roman"/>
              </w:rPr>
            </w:pPr>
            <w:r>
              <w:rPr>
                <w:rFonts w:ascii="Times New Roman" w:hAnsi="Times New Roman"/>
              </w:rPr>
              <w:t>nnet</w:t>
            </w:r>
          </w:p>
        </w:tc>
        <w:tc>
          <w:tcPr>
            <w:tcW w:w="2700" w:type="dxa"/>
            <w:tcBorders/>
            <w:shd w:fill="auto" w:val="clear"/>
          </w:tcPr>
          <w:p>
            <w:pPr>
              <w:pStyle w:val="TableContents"/>
              <w:rPr>
                <w:rFonts w:ascii="Times New Roman" w:hAnsi="Times New Roman"/>
              </w:rPr>
            </w:pPr>
            <w:r>
              <w:rPr>
                <w:rFonts w:ascii="Times New Roman" w:hAnsi="Times New Roman"/>
              </w:rPr>
              <w:t>Venables &amp; Ripley (2002)</w:t>
            </w:r>
          </w:p>
        </w:tc>
      </w:tr>
      <w:tr>
        <w:trPr/>
        <w:tc>
          <w:tcPr>
            <w:tcW w:w="3599" w:type="dxa"/>
            <w:tcBorders/>
            <w:shd w:fill="auto" w:val="clear"/>
          </w:tcPr>
          <w:p>
            <w:pPr>
              <w:pStyle w:val="TableContents"/>
              <w:rPr>
                <w:rFonts w:ascii="Times New Roman" w:hAnsi="Times New Roman"/>
              </w:rPr>
            </w:pPr>
            <w:r>
              <w:rPr>
                <w:rFonts w:ascii="Times New Roman" w:hAnsi="Times New Roman"/>
              </w:rPr>
              <w:t>linear discriminate analysis</w:t>
            </w:r>
          </w:p>
        </w:tc>
        <w:tc>
          <w:tcPr>
            <w:tcW w:w="1386" w:type="dxa"/>
            <w:tcBorders/>
            <w:shd w:fill="auto" w:val="clear"/>
          </w:tcPr>
          <w:p>
            <w:pPr>
              <w:pStyle w:val="TableContents"/>
              <w:rPr>
                <w:rFonts w:ascii="Times New Roman" w:hAnsi="Times New Roman"/>
              </w:rPr>
            </w:pPr>
            <w:r>
              <w:rPr>
                <w:rFonts w:ascii="Times New Roman" w:hAnsi="Times New Roman"/>
              </w:rPr>
              <w:t>LDA</w:t>
            </w:r>
          </w:p>
        </w:tc>
        <w:tc>
          <w:tcPr>
            <w:tcW w:w="1584" w:type="dxa"/>
            <w:tcBorders/>
            <w:shd w:fill="auto" w:val="clear"/>
          </w:tcPr>
          <w:p>
            <w:pPr>
              <w:pStyle w:val="TableContents"/>
              <w:rPr>
                <w:rFonts w:ascii="Times New Roman" w:hAnsi="Times New Roman"/>
              </w:rPr>
            </w:pPr>
            <w:r>
              <w:rPr>
                <w:rFonts w:ascii="Times New Roman" w:hAnsi="Times New Roman"/>
              </w:rPr>
              <w:t>MASS</w:t>
            </w:r>
          </w:p>
        </w:tc>
        <w:tc>
          <w:tcPr>
            <w:tcW w:w="2700" w:type="dxa"/>
            <w:tcBorders/>
            <w:shd w:fill="auto" w:val="clear"/>
          </w:tcPr>
          <w:p>
            <w:pPr>
              <w:pStyle w:val="TableContents"/>
              <w:rPr>
                <w:rFonts w:ascii="Times New Roman" w:hAnsi="Times New Roman"/>
              </w:rPr>
            </w:pPr>
            <w:r>
              <w:rPr>
                <w:rFonts w:ascii="Times New Roman" w:hAnsi="Times New Roman"/>
              </w:rPr>
              <w:t>Venables &amp; Ripley (2002)</w:t>
            </w:r>
          </w:p>
        </w:tc>
      </w:tr>
      <w:tr>
        <w:trPr/>
        <w:tc>
          <w:tcPr>
            <w:tcW w:w="3599" w:type="dxa"/>
            <w:tcBorders/>
            <w:shd w:fill="auto" w:val="clear"/>
          </w:tcPr>
          <w:p>
            <w:pPr>
              <w:pStyle w:val="TableContents"/>
              <w:rPr>
                <w:rFonts w:ascii="Times New Roman" w:hAnsi="Times New Roman"/>
              </w:rPr>
            </w:pPr>
            <w:r>
              <w:rPr>
                <w:rFonts w:ascii="Times New Roman" w:hAnsi="Times New Roman"/>
              </w:rPr>
              <w:t>penalized discriminate analysis</w:t>
            </w:r>
          </w:p>
        </w:tc>
        <w:tc>
          <w:tcPr>
            <w:tcW w:w="1386" w:type="dxa"/>
            <w:tcBorders/>
            <w:shd w:fill="auto" w:val="clear"/>
          </w:tcPr>
          <w:p>
            <w:pPr>
              <w:pStyle w:val="TableContents"/>
              <w:rPr>
                <w:rFonts w:ascii="Times New Roman" w:hAnsi="Times New Roman"/>
              </w:rPr>
            </w:pPr>
            <w:r>
              <w:rPr>
                <w:rFonts w:ascii="Times New Roman" w:hAnsi="Times New Roman"/>
              </w:rPr>
              <w:t>PDA</w:t>
            </w:r>
          </w:p>
        </w:tc>
        <w:tc>
          <w:tcPr>
            <w:tcW w:w="1584" w:type="dxa"/>
            <w:tcBorders/>
            <w:shd w:fill="auto" w:val="clear"/>
          </w:tcPr>
          <w:p>
            <w:pPr>
              <w:pStyle w:val="TableContents"/>
              <w:rPr>
                <w:rFonts w:ascii="Times New Roman" w:hAnsi="Times New Roman"/>
              </w:rPr>
            </w:pPr>
            <w:r>
              <w:rPr>
                <w:rFonts w:ascii="Times New Roman" w:hAnsi="Times New Roman"/>
              </w:rPr>
              <w:t>mda</w:t>
            </w:r>
          </w:p>
        </w:tc>
        <w:tc>
          <w:tcPr>
            <w:tcW w:w="2700" w:type="dxa"/>
            <w:tcBorders/>
            <w:shd w:fill="auto" w:val="clear"/>
          </w:tcPr>
          <w:p>
            <w:pPr>
              <w:pStyle w:val="TableContents"/>
              <w:rPr>
                <w:rFonts w:ascii="Times New Roman" w:hAnsi="Times New Roman"/>
              </w:rPr>
            </w:pPr>
            <w:r>
              <w:rPr>
                <w:rFonts w:ascii="Times New Roman" w:hAnsi="Times New Roman"/>
              </w:rPr>
              <w:t xml:space="preserve">Hastie </w:t>
            </w:r>
            <w:r>
              <w:rPr>
                <w:rFonts w:ascii="Times New Roman" w:hAnsi="Times New Roman"/>
                <w:i/>
                <w:iCs/>
              </w:rPr>
              <w:t>et al.</w:t>
            </w:r>
            <w:r>
              <w:rPr>
                <w:rFonts w:ascii="Times New Roman" w:hAnsi="Times New Roman"/>
              </w:rPr>
              <w:t xml:space="preserve"> (2015)</w:t>
            </w:r>
          </w:p>
        </w:tc>
      </w:tr>
      <w:tr>
        <w:trPr/>
        <w:tc>
          <w:tcPr>
            <w:tcW w:w="3599" w:type="dxa"/>
            <w:tcBorders/>
            <w:shd w:fill="auto" w:val="clear"/>
          </w:tcPr>
          <w:p>
            <w:pPr>
              <w:pStyle w:val="TableContents"/>
              <w:rPr>
                <w:rFonts w:ascii="Times New Roman" w:hAnsi="Times New Roman"/>
              </w:rPr>
            </w:pPr>
            <w:r>
              <w:rPr>
                <w:rFonts w:ascii="Times New Roman" w:hAnsi="Times New Roman"/>
              </w:rPr>
              <w:t>single-hidden-layer neural network</w:t>
            </w:r>
          </w:p>
        </w:tc>
        <w:tc>
          <w:tcPr>
            <w:tcW w:w="1386" w:type="dxa"/>
            <w:tcBorders/>
            <w:shd w:fill="auto" w:val="clear"/>
          </w:tcPr>
          <w:p>
            <w:pPr>
              <w:pStyle w:val="TableContents"/>
              <w:rPr>
                <w:rFonts w:ascii="Times New Roman" w:hAnsi="Times New Roman"/>
              </w:rPr>
            </w:pPr>
            <w:r>
              <w:rPr>
                <w:rFonts w:ascii="Times New Roman" w:hAnsi="Times New Roman"/>
              </w:rPr>
              <w:t>NN</w:t>
            </w:r>
          </w:p>
        </w:tc>
        <w:tc>
          <w:tcPr>
            <w:tcW w:w="1584" w:type="dxa"/>
            <w:tcBorders/>
            <w:shd w:fill="auto" w:val="clear"/>
          </w:tcPr>
          <w:p>
            <w:pPr>
              <w:pStyle w:val="TableContents"/>
              <w:rPr>
                <w:rFonts w:ascii="Times New Roman" w:hAnsi="Times New Roman"/>
              </w:rPr>
            </w:pPr>
            <w:r>
              <w:rPr>
                <w:rFonts w:ascii="Times New Roman" w:hAnsi="Times New Roman"/>
              </w:rPr>
              <w:t>nnet</w:t>
            </w:r>
          </w:p>
        </w:tc>
        <w:tc>
          <w:tcPr>
            <w:tcW w:w="2700" w:type="dxa"/>
            <w:tcBorders/>
            <w:shd w:fill="auto" w:val="clear"/>
          </w:tcPr>
          <w:p>
            <w:pPr>
              <w:pStyle w:val="TableContents"/>
              <w:rPr>
                <w:rFonts w:ascii="Times New Roman" w:hAnsi="Times New Roman"/>
              </w:rPr>
            </w:pPr>
            <w:r>
              <w:rPr>
                <w:rFonts w:ascii="Times New Roman" w:hAnsi="Times New Roman"/>
              </w:rPr>
              <w:t>Venables &amp; Ripley (2002)</w:t>
            </w:r>
          </w:p>
        </w:tc>
      </w:tr>
      <w:tr>
        <w:trPr/>
        <w:tc>
          <w:tcPr>
            <w:tcW w:w="3599"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random forests</w:t>
            </w:r>
          </w:p>
        </w:tc>
        <w:tc>
          <w:tcPr>
            <w:tcW w:w="1386"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RF</w:t>
            </w:r>
          </w:p>
        </w:tc>
        <w:tc>
          <w:tcPr>
            <w:tcW w:w="1584"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randomForest</w:t>
            </w:r>
          </w:p>
        </w:tc>
        <w:tc>
          <w:tcPr>
            <w:tcW w:w="270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Liaw &amp; Wiener (2002)</w:t>
            </w:r>
          </w:p>
        </w:tc>
      </w:tr>
    </w:tbl>
    <w:p>
      <w:pPr>
        <w:pStyle w:val="Normal"/>
        <w:widowControl w:val="false"/>
        <w:suppressAutoHyphens w:val="true"/>
        <w:bidi w:val="0"/>
        <w:spacing w:lineRule="auto" w:line="480"/>
        <w:ind w:left="0" w:right="0" w:hanging="0"/>
        <w:jc w:val="left"/>
        <w:rPr>
          <w:rFonts w:ascii="Times New Roman" w:hAnsi="Times New Roman"/>
        </w:rPr>
      </w:pPr>
      <w:r>
        <w:rPr>
          <w:rFonts w:ascii="Times New Roman" w:hAnsi="Times New Roman"/>
        </w:rPr>
      </w:r>
    </w:p>
    <w:p>
      <w:pPr>
        <w:pStyle w:val="Normal"/>
        <w:widowControl w:val="false"/>
        <w:suppressAutoHyphens w:val="true"/>
        <w:bidi w:val="0"/>
        <w:spacing w:lineRule="auto" w:line="480"/>
        <w:ind w:left="0" w:right="0" w:hanging="0"/>
        <w:jc w:val="left"/>
        <w:rPr>
          <w:rFonts w:ascii="Times New Roman" w:hAnsi="Times New Roman"/>
        </w:rPr>
      </w:pPr>
      <w:r>
        <w:rPr>
          <w:rFonts w:ascii="Times New Roman" w:hAnsi="Times New Roman"/>
        </w:rPr>
      </w:r>
      <w:r>
        <w:br w:type="page"/>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rPr>
      </w:pPr>
      <w:r>
        <w:rPr>
          <w:rFonts w:ascii="Times New Roman" w:hAnsi="Times New Roman"/>
          <w:b/>
          <w:bCs/>
        </w:rPr>
        <w:t xml:space="preserve">Table 3. </w:t>
      </w:r>
      <w:r>
        <w:rPr>
          <w:rFonts w:ascii="Times New Roman" w:hAnsi="Times New Roman"/>
          <w:b w:val="false"/>
          <w:bCs w:val="false"/>
        </w:rPr>
        <w:t xml:space="preserve">Results from the within-individual to between-individual Procrustes distances for the replicated plastron shape data. Results are presented for all three datasets analyzed here: the eight species dataset, the </w:t>
      </w:r>
      <w:r>
        <w:rPr>
          <w:rFonts w:ascii="Times New Roman" w:hAnsi="Times New Roman"/>
          <w:b w:val="false"/>
          <w:bCs w:val="false"/>
          <w:i/>
          <w:iCs/>
        </w:rPr>
        <w:t xml:space="preserve">Trachemys </w:t>
      </w:r>
      <w:r>
        <w:rPr>
          <w:rFonts w:ascii="Times New Roman" w:hAnsi="Times New Roman"/>
          <w:b w:val="false"/>
          <w:bCs w:val="false"/>
          <w:i w:val="false"/>
          <w:iCs w:val="false"/>
        </w:rPr>
        <w:t xml:space="preserve">dataset, and each of the </w:t>
      </w:r>
      <w:r>
        <w:rPr>
          <w:rFonts w:ascii="Times New Roman" w:hAnsi="Times New Roman"/>
          <w:b w:val="false"/>
          <w:bCs w:val="false"/>
          <w:i/>
          <w:iCs/>
        </w:rPr>
        <w:t>E. marmorata</w:t>
      </w:r>
      <w:r>
        <w:rPr>
          <w:rFonts w:ascii="Times New Roman" w:hAnsi="Times New Roman"/>
          <w:b w:val="false"/>
          <w:bCs w:val="false"/>
          <w:i w:val="false"/>
          <w:iCs w:val="false"/>
        </w:rPr>
        <w:t xml:space="preserve"> classification schemes.</w:t>
      </w:r>
    </w:p>
    <w:tbl>
      <w:tblPr>
        <w:tblW w:w="4950" w:type="dxa"/>
        <w:jc w:val="left"/>
        <w:tblInd w:w="55" w:type="dxa"/>
        <w:tblBorders>
          <w:top w:val="single" w:sz="2" w:space="0" w:color="000001"/>
          <w:bottom w:val="single" w:sz="2" w:space="0" w:color="000001"/>
          <w:insideH w:val="single" w:sz="2" w:space="0" w:color="000001"/>
        </w:tblBorders>
        <w:tblCellMar>
          <w:top w:w="55" w:type="dxa"/>
          <w:left w:w="55" w:type="dxa"/>
          <w:bottom w:w="55" w:type="dxa"/>
          <w:right w:w="55" w:type="dxa"/>
        </w:tblCellMar>
      </w:tblPr>
      <w:tblGrid>
        <w:gridCol w:w="1620"/>
        <w:gridCol w:w="990"/>
        <w:gridCol w:w="719"/>
        <w:gridCol w:w="1620"/>
      </w:tblGrid>
      <w:tr>
        <w:trPr/>
        <w:tc>
          <w:tcPr>
            <w:tcW w:w="162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Dataset</w:t>
            </w:r>
          </w:p>
        </w:tc>
        <w:tc>
          <w:tcPr>
            <w:tcW w:w="99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Scheme</w:t>
            </w:r>
          </w:p>
        </w:tc>
        <w:tc>
          <w:tcPr>
            <w:tcW w:w="719"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Ratio</w:t>
            </w:r>
          </w:p>
        </w:tc>
        <w:tc>
          <w:tcPr>
            <w:tcW w:w="1620" w:type="dxa"/>
            <w:tcBorders>
              <w:top w:val="single" w:sz="2" w:space="0" w:color="000001"/>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Corrected ratio</w:t>
            </w:r>
          </w:p>
        </w:tc>
      </w:tr>
      <w:tr>
        <w:trPr/>
        <w:tc>
          <w:tcPr>
            <w:tcW w:w="1620" w:type="dxa"/>
            <w:tcBorders/>
            <w:shd w:fill="auto" w:val="clear"/>
          </w:tcPr>
          <w:p>
            <w:pPr>
              <w:pStyle w:val="TableContents"/>
              <w:rPr>
                <w:rFonts w:ascii="Times New Roman" w:hAnsi="Times New Roman"/>
              </w:rPr>
            </w:pPr>
            <w:r>
              <w:rPr>
                <w:rFonts w:ascii="Times New Roman" w:hAnsi="Times New Roman"/>
              </w:rPr>
              <w:t>replicates</w:t>
            </w:r>
          </w:p>
        </w:tc>
        <w:tc>
          <w:tcPr>
            <w:tcW w:w="990" w:type="dxa"/>
            <w:tcBorders/>
            <w:shd w:fill="auto" w:val="clear"/>
          </w:tcPr>
          <w:p>
            <w:pPr>
              <w:pStyle w:val="TableContents"/>
              <w:rPr>
                <w:rFonts w:ascii="Times New Roman" w:hAnsi="Times New Roman"/>
              </w:rPr>
            </w:pPr>
            <w:r>
              <w:rPr>
                <w:rFonts w:ascii="Times New Roman" w:hAnsi="Times New Roman"/>
              </w:rPr>
            </w:r>
          </w:p>
        </w:tc>
        <w:tc>
          <w:tcPr>
            <w:tcW w:w="719" w:type="dxa"/>
            <w:tcBorders/>
            <w:shd w:fill="auto" w:val="clear"/>
          </w:tcPr>
          <w:p>
            <w:pPr>
              <w:pStyle w:val="TableContents"/>
              <w:rPr>
                <w:rFonts w:ascii="Times New Roman" w:hAnsi="Times New Roman"/>
              </w:rPr>
            </w:pPr>
            <w:r>
              <w:rPr>
                <w:rFonts w:ascii="Times New Roman" w:hAnsi="Times New Roman"/>
              </w:rPr>
              <w:t>1.11</w:t>
            </w:r>
          </w:p>
        </w:tc>
        <w:tc>
          <w:tcPr>
            <w:tcW w:w="1620" w:type="dxa"/>
            <w:tcBorders/>
            <w:shd w:fill="auto" w:val="clear"/>
          </w:tcPr>
          <w:p>
            <w:pPr>
              <w:pStyle w:val="TableContents"/>
              <w:rPr>
                <w:rFonts w:ascii="Times New Roman" w:hAnsi="Times New Roman"/>
              </w:rPr>
            </w:pPr>
            <w:r>
              <w:rPr>
                <w:rFonts w:ascii="Times New Roman" w:hAnsi="Times New Roman"/>
              </w:rPr>
            </w:r>
          </w:p>
        </w:tc>
      </w:tr>
      <w:tr>
        <w:trPr/>
        <w:tc>
          <w:tcPr>
            <w:tcW w:w="1620" w:type="dxa"/>
            <w:tcBorders/>
            <w:shd w:fill="auto" w:val="clear"/>
          </w:tcPr>
          <w:p>
            <w:pPr>
              <w:pStyle w:val="TableContents"/>
              <w:rPr>
                <w:rFonts w:ascii="Times New Roman" w:hAnsi="Times New Roman"/>
              </w:rPr>
            </w:pPr>
            <w:r>
              <w:rPr>
                <w:rFonts w:ascii="Times New Roman" w:hAnsi="Times New Roman"/>
              </w:rPr>
              <w:t>eight species</w:t>
            </w:r>
          </w:p>
        </w:tc>
        <w:tc>
          <w:tcPr>
            <w:tcW w:w="990" w:type="dxa"/>
            <w:tcBorders/>
            <w:shd w:fill="auto" w:val="clear"/>
          </w:tcPr>
          <w:p>
            <w:pPr>
              <w:pStyle w:val="TableContents"/>
              <w:rPr>
                <w:rFonts w:ascii="Times New Roman" w:hAnsi="Times New Roman"/>
              </w:rPr>
            </w:pPr>
            <w:r>
              <w:rPr>
                <w:rFonts w:ascii="Times New Roman" w:hAnsi="Times New Roman"/>
              </w:rPr>
            </w:r>
          </w:p>
        </w:tc>
        <w:tc>
          <w:tcPr>
            <w:tcW w:w="719" w:type="dxa"/>
            <w:tcBorders/>
            <w:shd w:fill="auto" w:val="clear"/>
          </w:tcPr>
          <w:p>
            <w:pPr>
              <w:pStyle w:val="TableContents"/>
              <w:rPr>
                <w:rFonts w:ascii="Times New Roman" w:hAnsi="Times New Roman"/>
              </w:rPr>
            </w:pPr>
            <w:r>
              <w:rPr>
                <w:rFonts w:ascii="Times New Roman" w:hAnsi="Times New Roman"/>
              </w:rPr>
              <w:t>0.33</w:t>
            </w:r>
          </w:p>
        </w:tc>
        <w:tc>
          <w:tcPr>
            <w:tcW w:w="1620" w:type="dxa"/>
            <w:tcBorders/>
            <w:shd w:fill="auto" w:val="clear"/>
          </w:tcPr>
          <w:p>
            <w:pPr>
              <w:pStyle w:val="TableContents"/>
              <w:rPr>
                <w:rFonts w:ascii="Times New Roman" w:hAnsi="Times New Roman"/>
              </w:rPr>
            </w:pPr>
            <w:r>
              <w:rPr>
                <w:rFonts w:ascii="Times New Roman" w:hAnsi="Times New Roman"/>
              </w:rPr>
              <w:t>0.37</w:t>
            </w:r>
          </w:p>
        </w:tc>
      </w:tr>
      <w:tr>
        <w:trPr/>
        <w:tc>
          <w:tcPr>
            <w:tcW w:w="1620" w:type="dxa"/>
            <w:tcBorders/>
            <w:shd w:fill="auto" w:val="clear"/>
          </w:tcPr>
          <w:p>
            <w:pPr>
              <w:pStyle w:val="TableContents"/>
              <w:rPr>
                <w:rFonts w:ascii="Times New Roman" w:hAnsi="Times New Roman"/>
                <w:i/>
                <w:i/>
                <w:iCs/>
              </w:rPr>
            </w:pPr>
            <w:r>
              <w:rPr>
                <w:rFonts w:ascii="Times New Roman" w:hAnsi="Times New Roman"/>
                <w:i/>
                <w:iCs/>
              </w:rPr>
              <w:t>Trachemys</w:t>
            </w:r>
          </w:p>
        </w:tc>
        <w:tc>
          <w:tcPr>
            <w:tcW w:w="990" w:type="dxa"/>
            <w:tcBorders/>
            <w:shd w:fill="auto" w:val="clear"/>
          </w:tcPr>
          <w:p>
            <w:pPr>
              <w:pStyle w:val="TableContents"/>
              <w:rPr>
                <w:rFonts w:ascii="Times New Roman" w:hAnsi="Times New Roman"/>
              </w:rPr>
            </w:pPr>
            <w:r>
              <w:rPr>
                <w:rFonts w:ascii="Times New Roman" w:hAnsi="Times New Roman"/>
              </w:rPr>
            </w:r>
          </w:p>
        </w:tc>
        <w:tc>
          <w:tcPr>
            <w:tcW w:w="719" w:type="dxa"/>
            <w:tcBorders/>
            <w:shd w:fill="auto" w:val="clear"/>
          </w:tcPr>
          <w:p>
            <w:pPr>
              <w:pStyle w:val="TableContents"/>
              <w:rPr>
                <w:rFonts w:ascii="Times New Roman" w:hAnsi="Times New Roman"/>
              </w:rPr>
            </w:pPr>
            <w:r>
              <w:rPr>
                <w:rFonts w:ascii="Times New Roman" w:hAnsi="Times New Roman"/>
              </w:rPr>
              <w:t>0.76</w:t>
            </w:r>
          </w:p>
        </w:tc>
        <w:tc>
          <w:tcPr>
            <w:tcW w:w="1620" w:type="dxa"/>
            <w:tcBorders/>
            <w:shd w:fill="auto" w:val="clear"/>
          </w:tcPr>
          <w:p>
            <w:pPr>
              <w:pStyle w:val="TableContents"/>
              <w:rPr>
                <w:rFonts w:ascii="Times New Roman" w:hAnsi="Times New Roman"/>
              </w:rPr>
            </w:pPr>
            <w:r>
              <w:rPr>
                <w:rFonts w:ascii="Times New Roman" w:hAnsi="Times New Roman"/>
              </w:rPr>
              <w:t>0.84</w:t>
            </w:r>
          </w:p>
        </w:tc>
      </w:tr>
      <w:tr>
        <w:trPr/>
        <w:tc>
          <w:tcPr>
            <w:tcW w:w="1620" w:type="dxa"/>
            <w:tcBorders/>
            <w:shd w:fill="auto" w:val="clear"/>
          </w:tcPr>
          <w:p>
            <w:pPr>
              <w:pStyle w:val="TableContents"/>
              <w:rPr>
                <w:rFonts w:ascii="Times New Roman" w:hAnsi="Times New Roman"/>
                <w:i/>
                <w:i/>
                <w:iCs/>
              </w:rPr>
            </w:pPr>
            <w:r>
              <w:rPr>
                <w:rFonts w:ascii="Times New Roman" w:hAnsi="Times New Roman"/>
                <w:i/>
                <w:iCs/>
              </w:rPr>
              <w:t>E. marmorata</w:t>
            </w:r>
          </w:p>
        </w:tc>
        <w:tc>
          <w:tcPr>
            <w:tcW w:w="990" w:type="dxa"/>
            <w:tcBorders/>
            <w:shd w:fill="auto" w:val="clear"/>
          </w:tcPr>
          <w:p>
            <w:pPr>
              <w:pStyle w:val="TableContents"/>
              <w:rPr>
                <w:rFonts w:ascii="Times New Roman" w:hAnsi="Times New Roman"/>
              </w:rPr>
            </w:pPr>
            <w:r>
              <w:rPr>
                <w:rFonts w:ascii="Times New Roman" w:hAnsi="Times New Roman"/>
              </w:rPr>
              <w:t>SP10.1</w:t>
            </w:r>
          </w:p>
        </w:tc>
        <w:tc>
          <w:tcPr>
            <w:tcW w:w="719" w:type="dxa"/>
            <w:tcBorders/>
            <w:shd w:fill="auto" w:val="clear"/>
          </w:tcPr>
          <w:p>
            <w:pPr>
              <w:pStyle w:val="TableContents"/>
              <w:rPr>
                <w:rFonts w:ascii="Times New Roman" w:hAnsi="Times New Roman"/>
              </w:rPr>
            </w:pPr>
            <w:r>
              <w:rPr>
                <w:rFonts w:ascii="Times New Roman" w:hAnsi="Times New Roman"/>
              </w:rPr>
              <w:t>0.99</w:t>
            </w:r>
          </w:p>
        </w:tc>
        <w:tc>
          <w:tcPr>
            <w:tcW w:w="1620" w:type="dxa"/>
            <w:tcBorders/>
            <w:shd w:fill="auto" w:val="clear"/>
          </w:tcPr>
          <w:p>
            <w:pPr>
              <w:pStyle w:val="TableContents"/>
              <w:rPr>
                <w:rFonts w:ascii="Times New Roman" w:hAnsi="Times New Roman"/>
              </w:rPr>
            </w:pPr>
            <w:r>
              <w:rPr>
                <w:rFonts w:ascii="Times New Roman" w:hAnsi="Times New Roman"/>
              </w:rPr>
              <w:t>1.10</w:t>
            </w:r>
          </w:p>
        </w:tc>
      </w:tr>
      <w:tr>
        <w:trPr/>
        <w:tc>
          <w:tcPr>
            <w:tcW w:w="1620" w:type="dxa"/>
            <w:tcBorders/>
            <w:shd w:fill="auto" w:val="clear"/>
          </w:tcPr>
          <w:p>
            <w:pPr>
              <w:pStyle w:val="TableContents"/>
              <w:rPr>
                <w:rFonts w:ascii="Times New Roman" w:hAnsi="Times New Roman"/>
              </w:rPr>
            </w:pPr>
            <w:r>
              <w:rPr>
                <w:rFonts w:ascii="Times New Roman" w:hAnsi="Times New Roman"/>
              </w:rPr>
            </w:r>
          </w:p>
        </w:tc>
        <w:tc>
          <w:tcPr>
            <w:tcW w:w="990" w:type="dxa"/>
            <w:tcBorders/>
            <w:shd w:fill="auto" w:val="clear"/>
          </w:tcPr>
          <w:p>
            <w:pPr>
              <w:pStyle w:val="TableContents"/>
              <w:rPr>
                <w:rFonts w:ascii="Times New Roman" w:hAnsi="Times New Roman"/>
              </w:rPr>
            </w:pPr>
            <w:r>
              <w:rPr>
                <w:rFonts w:ascii="Times New Roman" w:hAnsi="Times New Roman"/>
              </w:rPr>
              <w:t>SP10.2</w:t>
            </w:r>
          </w:p>
        </w:tc>
        <w:tc>
          <w:tcPr>
            <w:tcW w:w="719" w:type="dxa"/>
            <w:tcBorders/>
            <w:shd w:fill="auto" w:val="clear"/>
          </w:tcPr>
          <w:p>
            <w:pPr>
              <w:pStyle w:val="TableContents"/>
              <w:rPr>
                <w:rFonts w:ascii="Times New Roman" w:hAnsi="Times New Roman"/>
              </w:rPr>
            </w:pPr>
            <w:r>
              <w:rPr>
                <w:rFonts w:ascii="Times New Roman" w:hAnsi="Times New Roman"/>
              </w:rPr>
              <w:t>1.00</w:t>
            </w:r>
          </w:p>
        </w:tc>
        <w:tc>
          <w:tcPr>
            <w:tcW w:w="1620" w:type="dxa"/>
            <w:tcBorders/>
            <w:shd w:fill="auto" w:val="clear"/>
          </w:tcPr>
          <w:p>
            <w:pPr>
              <w:pStyle w:val="TableContents"/>
              <w:rPr>
                <w:rFonts w:ascii="Times New Roman" w:hAnsi="Times New Roman"/>
              </w:rPr>
            </w:pPr>
            <w:r>
              <w:rPr>
                <w:rFonts w:ascii="Times New Roman" w:hAnsi="Times New Roman"/>
              </w:rPr>
              <w:t>1.11</w:t>
            </w:r>
          </w:p>
        </w:tc>
      </w:tr>
      <w:tr>
        <w:trPr/>
        <w:tc>
          <w:tcPr>
            <w:tcW w:w="1620" w:type="dxa"/>
            <w:tcBorders/>
            <w:shd w:fill="auto" w:val="clear"/>
          </w:tcPr>
          <w:p>
            <w:pPr>
              <w:pStyle w:val="TableContents"/>
              <w:rPr>
                <w:rFonts w:ascii="Times New Roman" w:hAnsi="Times New Roman"/>
              </w:rPr>
            </w:pPr>
            <w:r>
              <w:rPr>
                <w:rFonts w:ascii="Times New Roman" w:hAnsi="Times New Roman"/>
              </w:rPr>
            </w:r>
          </w:p>
        </w:tc>
        <w:tc>
          <w:tcPr>
            <w:tcW w:w="990" w:type="dxa"/>
            <w:tcBorders/>
            <w:shd w:fill="auto" w:val="clear"/>
          </w:tcPr>
          <w:p>
            <w:pPr>
              <w:pStyle w:val="TableContents"/>
              <w:rPr>
                <w:rFonts w:ascii="Times New Roman" w:hAnsi="Times New Roman"/>
              </w:rPr>
            </w:pPr>
            <w:r>
              <w:rPr>
                <w:rFonts w:ascii="Times New Roman" w:hAnsi="Times New Roman"/>
              </w:rPr>
              <w:t>SP10.3</w:t>
            </w:r>
          </w:p>
        </w:tc>
        <w:tc>
          <w:tcPr>
            <w:tcW w:w="719" w:type="dxa"/>
            <w:tcBorders/>
            <w:shd w:fill="auto" w:val="clear"/>
          </w:tcPr>
          <w:p>
            <w:pPr>
              <w:pStyle w:val="TableContents"/>
              <w:rPr>
                <w:rFonts w:ascii="Times New Roman" w:hAnsi="Times New Roman"/>
              </w:rPr>
            </w:pPr>
            <w:r>
              <w:rPr>
                <w:rFonts w:ascii="Times New Roman" w:hAnsi="Times New Roman"/>
              </w:rPr>
              <w:t>0.94</w:t>
            </w:r>
          </w:p>
        </w:tc>
        <w:tc>
          <w:tcPr>
            <w:tcW w:w="1620" w:type="dxa"/>
            <w:tcBorders/>
            <w:shd w:fill="auto" w:val="clear"/>
          </w:tcPr>
          <w:p>
            <w:pPr>
              <w:pStyle w:val="TableContents"/>
              <w:rPr>
                <w:rFonts w:ascii="Times New Roman" w:hAnsi="Times New Roman"/>
              </w:rPr>
            </w:pPr>
            <w:r>
              <w:rPr>
                <w:rFonts w:ascii="Times New Roman" w:hAnsi="Times New Roman"/>
              </w:rPr>
              <w:t>1.04</w:t>
            </w:r>
          </w:p>
        </w:tc>
      </w:tr>
      <w:tr>
        <w:trPr/>
        <w:tc>
          <w:tcPr>
            <w:tcW w:w="1620" w:type="dxa"/>
            <w:tcBorders/>
            <w:shd w:fill="auto" w:val="clear"/>
          </w:tcPr>
          <w:p>
            <w:pPr>
              <w:pStyle w:val="TableContents"/>
              <w:rPr>
                <w:rFonts w:ascii="Times New Roman" w:hAnsi="Times New Roman"/>
              </w:rPr>
            </w:pPr>
            <w:r>
              <w:rPr>
                <w:rFonts w:ascii="Times New Roman" w:hAnsi="Times New Roman"/>
              </w:rPr>
            </w:r>
          </w:p>
        </w:tc>
        <w:tc>
          <w:tcPr>
            <w:tcW w:w="990" w:type="dxa"/>
            <w:tcBorders/>
            <w:shd w:fill="auto" w:val="clear"/>
          </w:tcPr>
          <w:p>
            <w:pPr>
              <w:pStyle w:val="TableContents"/>
              <w:rPr>
                <w:rFonts w:ascii="Times New Roman" w:hAnsi="Times New Roman"/>
              </w:rPr>
            </w:pPr>
            <w:r>
              <w:rPr>
                <w:rFonts w:ascii="Times New Roman" w:hAnsi="Times New Roman"/>
              </w:rPr>
              <w:t>SP14.1</w:t>
            </w:r>
          </w:p>
        </w:tc>
        <w:tc>
          <w:tcPr>
            <w:tcW w:w="719" w:type="dxa"/>
            <w:tcBorders/>
            <w:shd w:fill="auto" w:val="clear"/>
          </w:tcPr>
          <w:p>
            <w:pPr>
              <w:pStyle w:val="TableContents"/>
              <w:rPr>
                <w:rFonts w:ascii="Times New Roman" w:hAnsi="Times New Roman"/>
              </w:rPr>
            </w:pPr>
            <w:r>
              <w:rPr>
                <w:rFonts w:ascii="Times New Roman" w:hAnsi="Times New Roman"/>
              </w:rPr>
              <w:t>1.01</w:t>
            </w:r>
          </w:p>
        </w:tc>
        <w:tc>
          <w:tcPr>
            <w:tcW w:w="1620" w:type="dxa"/>
            <w:tcBorders/>
            <w:shd w:fill="auto" w:val="clear"/>
          </w:tcPr>
          <w:p>
            <w:pPr>
              <w:pStyle w:val="TableContents"/>
              <w:rPr>
                <w:rFonts w:ascii="Times New Roman" w:hAnsi="Times New Roman"/>
              </w:rPr>
            </w:pPr>
            <w:r>
              <w:rPr>
                <w:rFonts w:ascii="Times New Roman" w:hAnsi="Times New Roman"/>
              </w:rPr>
              <w:t>1.12</w:t>
            </w:r>
          </w:p>
        </w:tc>
      </w:tr>
      <w:tr>
        <w:trPr/>
        <w:tc>
          <w:tcPr>
            <w:tcW w:w="1620" w:type="dxa"/>
            <w:tcBorders/>
            <w:shd w:fill="auto" w:val="clear"/>
          </w:tcPr>
          <w:p>
            <w:pPr>
              <w:pStyle w:val="TableContents"/>
              <w:rPr>
                <w:rFonts w:ascii="Times New Roman" w:hAnsi="Times New Roman"/>
              </w:rPr>
            </w:pPr>
            <w:r>
              <w:rPr>
                <w:rFonts w:ascii="Times New Roman" w:hAnsi="Times New Roman"/>
              </w:rPr>
            </w:r>
          </w:p>
        </w:tc>
        <w:tc>
          <w:tcPr>
            <w:tcW w:w="990" w:type="dxa"/>
            <w:tcBorders/>
            <w:shd w:fill="auto" w:val="clear"/>
          </w:tcPr>
          <w:p>
            <w:pPr>
              <w:pStyle w:val="TableContents"/>
              <w:rPr>
                <w:rFonts w:ascii="Times New Roman" w:hAnsi="Times New Roman"/>
              </w:rPr>
            </w:pPr>
            <w:r>
              <w:rPr>
                <w:rFonts w:ascii="Times New Roman" w:hAnsi="Times New Roman"/>
              </w:rPr>
              <w:t>SP14.2</w:t>
            </w:r>
          </w:p>
        </w:tc>
        <w:tc>
          <w:tcPr>
            <w:tcW w:w="719" w:type="dxa"/>
            <w:tcBorders/>
            <w:shd w:fill="auto" w:val="clear"/>
          </w:tcPr>
          <w:p>
            <w:pPr>
              <w:pStyle w:val="TableContents"/>
              <w:rPr>
                <w:rFonts w:ascii="Times New Roman" w:hAnsi="Times New Roman"/>
              </w:rPr>
            </w:pPr>
            <w:r>
              <w:rPr>
                <w:rFonts w:ascii="Times New Roman" w:hAnsi="Times New Roman"/>
              </w:rPr>
              <w:t>0.93</w:t>
            </w:r>
          </w:p>
        </w:tc>
        <w:tc>
          <w:tcPr>
            <w:tcW w:w="1620" w:type="dxa"/>
            <w:tcBorders/>
            <w:shd w:fill="auto" w:val="clear"/>
          </w:tcPr>
          <w:p>
            <w:pPr>
              <w:pStyle w:val="TableContents"/>
              <w:rPr>
                <w:rFonts w:ascii="Times New Roman" w:hAnsi="Times New Roman"/>
              </w:rPr>
            </w:pPr>
            <w:r>
              <w:rPr>
                <w:rFonts w:ascii="Times New Roman" w:hAnsi="Times New Roman"/>
              </w:rPr>
              <w:t>1.04</w:t>
            </w:r>
          </w:p>
        </w:tc>
      </w:tr>
      <w:tr>
        <w:trPr/>
        <w:tc>
          <w:tcPr>
            <w:tcW w:w="162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r>
          </w:p>
        </w:tc>
        <w:tc>
          <w:tcPr>
            <w:tcW w:w="99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Morph</w:t>
            </w:r>
          </w:p>
        </w:tc>
        <w:tc>
          <w:tcPr>
            <w:tcW w:w="719"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0.99</w:t>
            </w:r>
          </w:p>
        </w:tc>
        <w:tc>
          <w:tcPr>
            <w:tcW w:w="1620" w:type="dxa"/>
            <w:tcBorders>
              <w:bottom w:val="single" w:sz="2" w:space="0" w:color="000001"/>
              <w:insideH w:val="single" w:sz="2" w:space="0" w:color="000001"/>
            </w:tcBorders>
            <w:shd w:fill="auto" w:val="clear"/>
          </w:tcPr>
          <w:p>
            <w:pPr>
              <w:pStyle w:val="TableContents"/>
              <w:rPr>
                <w:rFonts w:ascii="Times New Roman" w:hAnsi="Times New Roman"/>
              </w:rPr>
            </w:pPr>
            <w:r>
              <w:rPr>
                <w:rFonts w:ascii="Times New Roman" w:hAnsi="Times New Roman"/>
              </w:rPr>
              <w:t>1.09</w:t>
            </w:r>
          </w:p>
        </w:tc>
      </w:tr>
    </w:tbl>
    <w:p>
      <w:pPr>
        <w:pStyle w:val="Normal"/>
        <w:widowControl w:val="false"/>
        <w:suppressAutoHyphens w:val="true"/>
        <w:bidi w:val="0"/>
        <w:spacing w:lineRule="auto" w:line="480"/>
        <w:ind w:left="0" w:right="0" w:hanging="0"/>
        <w:jc w:val="left"/>
        <w:rPr>
          <w:rFonts w:ascii="Times New Roman" w:hAnsi="Times New Roman"/>
        </w:rPr>
      </w:pPr>
      <w:r>
        <w:rPr>
          <w:rFonts w:ascii="Times New Roman" w:hAnsi="Times New Roman"/>
        </w:rPr>
      </w:r>
    </w:p>
    <w:p>
      <w:pPr>
        <w:pStyle w:val="Normal"/>
        <w:widowControl w:val="false"/>
        <w:suppressAutoHyphens w:val="true"/>
        <w:bidi w:val="0"/>
        <w:spacing w:lineRule="auto" w:line="480"/>
        <w:ind w:left="0" w:right="0" w:hanging="0"/>
        <w:jc w:val="left"/>
        <w:rPr>
          <w:rFonts w:ascii="Times New Roman" w:hAnsi="Times New Roman"/>
        </w:rPr>
      </w:pPr>
      <w:r>
        <w:rPr>
          <w:rFonts w:ascii="Times New Roman" w:hAnsi="Times New Roman"/>
        </w:rPr>
      </w:r>
      <w:r>
        <w:br w:type="page"/>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rPr>
      </w:pPr>
      <w:r>
        <w:rPr>
          <w:rFonts w:ascii="Times New Roman" w:hAnsi="Times New Roman"/>
          <w:b/>
          <w:bCs/>
        </w:rPr>
        <w:t>Figure 1.</w:t>
      </w:r>
      <w:r>
        <w:rPr>
          <w:rFonts w:ascii="Times New Roman" w:hAnsi="Times New Roman"/>
          <w:b w:val="false"/>
          <w:bCs w:val="false"/>
        </w:rPr>
        <w:t xml:space="preserve"> Geographic distribution of specimens sampled for comparing the hypothesized subdivisions of </w:t>
      </w:r>
      <w:r>
        <w:rPr>
          <w:rFonts w:ascii="Times New Roman" w:hAnsi="Times New Roman"/>
          <w:b w:val="false"/>
          <w:bCs w:val="false"/>
          <w:i/>
          <w:iCs/>
        </w:rPr>
        <w:t>Emys marmorata</w:t>
      </w:r>
      <w:r>
        <w:rPr>
          <w:rFonts w:ascii="Times New Roman" w:hAnsi="Times New Roman"/>
          <w:b w:val="false"/>
          <w:bCs w:val="false"/>
          <w:i w:val="false"/>
          <w:iCs w:val="false"/>
        </w:rPr>
        <w:t xml:space="preserve">. Each hypothesized scheme has two or more possible classes. Samples size differs between schemes because of our ability to confidently assing museum specimens to the various schemes. The number of localities shown on each map is less than the number of specimens sampled because some localities produced multiple specimens. The different classification abbreviations are as follows: </w:t>
      </w:r>
      <w:r>
        <w:rPr>
          <w:rFonts w:ascii="Times New Roman" w:hAnsi="Times New Roman"/>
          <w:b w:val="false"/>
          <w:bCs w:val="false"/>
          <w:i/>
          <w:iCs/>
        </w:rPr>
        <w:t>E. marmorata</w:t>
      </w:r>
      <w:r>
        <w:rPr>
          <w:rFonts w:ascii="Times New Roman" w:hAnsi="Times New Roman"/>
          <w:b w:val="false"/>
          <w:bCs w:val="false"/>
          <w:i w:val="false"/>
          <w:iCs w:val="false"/>
        </w:rPr>
        <w:t xml:space="preserve"> = “marm,” </w:t>
      </w:r>
      <w:r>
        <w:rPr>
          <w:rFonts w:ascii="Times New Roman" w:hAnsi="Times New Roman"/>
          <w:b w:val="false"/>
          <w:bCs w:val="false"/>
          <w:i/>
          <w:iCs/>
        </w:rPr>
        <w:t>E. pallida</w:t>
      </w:r>
      <w:r>
        <w:rPr>
          <w:rFonts w:ascii="Times New Roman" w:hAnsi="Times New Roman"/>
          <w:b w:val="false"/>
          <w:bCs w:val="false"/>
          <w:i w:val="false"/>
          <w:iCs w:val="false"/>
        </w:rPr>
        <w:t xml:space="preserve"> = “pall,” Central Coast Ranges = “CCR,” San Joaquin Valley = “SJ,” Baja Peninsula = “Baja,” and Sierra Foothills = “Foothill.”</w:t>
      </w:r>
    </w:p>
    <w:p>
      <w:pPr>
        <w:pStyle w:val="Normal"/>
        <w:widowControl w:val="false"/>
        <w:suppressAutoHyphens w:val="true"/>
        <w:bidi w:val="0"/>
        <w:spacing w:lineRule="auto" w:line="480"/>
        <w:ind w:left="0" w:right="0" w:hanging="0"/>
        <w:jc w:val="left"/>
        <w:rPr>
          <w:rFonts w:ascii="Times New Roman" w:hAnsi="Times New Roman"/>
          <w:b/>
          <w:b/>
          <w:bCs/>
        </w:rPr>
      </w:pPr>
      <w:r>
        <w:rPr>
          <w:rFonts w:ascii="Times New Roman" w:hAnsi="Times New Roman"/>
          <w:b/>
          <w:bCs/>
        </w:rPr>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rPr>
      </w:pPr>
      <w:r>
        <w:rPr>
          <w:rFonts w:ascii="Times New Roman" w:hAnsi="Times New Roman"/>
          <w:b/>
          <w:bCs/>
          <w:i w:val="false"/>
          <w:iCs w:val="false"/>
        </w:rPr>
        <w:t>Figure 2.</w:t>
      </w:r>
      <w:r>
        <w:rPr>
          <w:rFonts w:ascii="Times New Roman" w:hAnsi="Times New Roman"/>
          <w:b w:val="false"/>
          <w:bCs w:val="false"/>
          <w:i w:val="false"/>
          <w:iCs w:val="false"/>
        </w:rPr>
        <w:t xml:space="preserve"> Depiction of general plastral shape of </w:t>
      </w:r>
      <w:r>
        <w:rPr>
          <w:rFonts w:ascii="Times New Roman" w:hAnsi="Times New Roman"/>
          <w:b w:val="false"/>
          <w:bCs w:val="false"/>
          <w:i/>
          <w:iCs/>
        </w:rPr>
        <w:t>E. marmorata</w:t>
      </w:r>
      <w:r>
        <w:rPr>
          <w:rFonts w:ascii="Times New Roman" w:hAnsi="Times New Roman"/>
          <w:b w:val="false"/>
          <w:bCs w:val="false"/>
          <w:i w:val="false"/>
          <w:iCs w:val="false"/>
        </w:rPr>
        <w:t xml:space="preserve"> and position of the 19 landmarks used in this study. Anterior is towards the top of the figure.</w:t>
      </w:r>
    </w:p>
    <w:p>
      <w:pPr>
        <w:pStyle w:val="Normal"/>
        <w:widowControl w:val="false"/>
        <w:suppressAutoHyphens w:val="true"/>
        <w:bidi w:val="0"/>
        <w:spacing w:lineRule="auto" w:line="480"/>
        <w:ind w:left="0" w:right="0" w:hanging="0"/>
        <w:jc w:val="left"/>
        <w:rPr>
          <w:rFonts w:ascii="Times New Roman" w:hAnsi="Times New Roman"/>
          <w:b/>
          <w:b/>
          <w:bCs/>
        </w:rPr>
      </w:pPr>
      <w:r>
        <w:rPr>
          <w:rFonts w:ascii="Times New Roman" w:hAnsi="Times New Roman"/>
          <w:b/>
          <w:bCs/>
        </w:rPr>
      </w:r>
    </w:p>
    <w:p>
      <w:pPr>
        <w:pStyle w:val="Normal"/>
        <w:widowControl w:val="false"/>
        <w:suppressAutoHyphens w:val="true"/>
        <w:bidi w:val="0"/>
        <w:spacing w:lineRule="auto" w:line="480"/>
        <w:ind w:left="0" w:right="0" w:hanging="0"/>
        <w:jc w:val="left"/>
        <w:rPr>
          <w:rFonts w:ascii="Times New Roman" w:hAnsi="Times New Roman"/>
          <w:sz w:val="24"/>
          <w:szCs w:val="24"/>
        </w:rPr>
      </w:pPr>
      <w:r>
        <w:rPr>
          <w:rFonts w:ascii="Times New Roman" w:hAnsi="Times New Roman"/>
          <w:b/>
          <w:bCs/>
          <w:i w:val="false"/>
          <w:iCs w:val="false"/>
          <w:sz w:val="24"/>
          <w:szCs w:val="24"/>
        </w:rPr>
        <w:t>Figure 3.</w:t>
      </w:r>
      <w:r>
        <w:rPr>
          <w:rFonts w:ascii="Times New Roman" w:hAnsi="Times New Roman"/>
          <w:b w:val="false"/>
          <w:bCs w:val="false"/>
          <w:i w:val="false"/>
          <w:iCs w:val="false"/>
          <w:sz w:val="24"/>
          <w:szCs w:val="24"/>
        </w:rPr>
        <w:t xml:space="preserve"> </w:t>
      </w:r>
      <w:r>
        <w:rPr>
          <w:rFonts w:ascii="Times New Roman" w:hAnsi="Times New Roman"/>
          <w:sz w:val="24"/>
          <w:szCs w:val="24"/>
        </w:rPr>
        <w:t>Two scatterplots of morphological differences from two of the three datasets analyzed in this study. (</w:t>
      </w:r>
      <w:r>
        <w:rPr>
          <w:rFonts w:ascii="Times New Roman" w:hAnsi="Times New Roman"/>
          <w:b/>
          <w:bCs/>
          <w:sz w:val="24"/>
          <w:szCs w:val="24"/>
        </w:rPr>
        <w:t>A</w:t>
      </w:r>
      <w:r>
        <w:rPr>
          <w:rFonts w:ascii="Times New Roman" w:hAnsi="Times New Roman"/>
          <w:sz w:val="24"/>
          <w:szCs w:val="24"/>
        </w:rPr>
        <w:t>) Scatterplot of the first two PCA axes from the landmarks from the eight species dataset, and (</w:t>
      </w:r>
      <w:r>
        <w:rPr>
          <w:rFonts w:ascii="Times New Roman" w:hAnsi="Times New Roman"/>
          <w:b/>
          <w:bCs/>
          <w:sz w:val="24"/>
          <w:szCs w:val="24"/>
        </w:rPr>
        <w:t>B</w:t>
      </w:r>
      <w:r>
        <w:rPr>
          <w:rFonts w:ascii="Times New Roman" w:hAnsi="Times New Roman"/>
          <w:sz w:val="24"/>
          <w:szCs w:val="24"/>
        </w:rPr>
        <w:t xml:space="preserve">) the first two axes of variation from two subspecies of </w:t>
      </w:r>
      <w:r>
        <w:rPr>
          <w:rFonts w:ascii="Times New Roman" w:hAnsi="Times New Roman"/>
          <w:i/>
          <w:iCs/>
          <w:sz w:val="24"/>
          <w:szCs w:val="24"/>
        </w:rPr>
        <w:t>Trachemys</w:t>
      </w:r>
      <w:r>
        <w:rPr>
          <w:rFonts w:ascii="Times New Roman" w:hAnsi="Times New Roman"/>
          <w:sz w:val="24"/>
          <w:szCs w:val="24"/>
        </w:rPr>
        <w:t xml:space="preserve"> dataset. Point colors correspond to the categories within each dataset whereas point size is proportional to individual centroid size. The percentage of total variation accounted for by an axis is show in parentheses next to the axis labels. For both datasets there are clear distinctions between the different categories.</w:t>
      </w:r>
    </w:p>
    <w:p>
      <w:pPr>
        <w:pStyle w:val="Normal"/>
        <w:widowControl w:val="false"/>
        <w:suppressAutoHyphens w:val="true"/>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sz w:val="24"/>
          <w:szCs w:val="24"/>
        </w:rPr>
      </w:pPr>
      <w:r>
        <w:rPr>
          <w:rFonts w:ascii="Times New Roman" w:hAnsi="Times New Roman"/>
          <w:b/>
          <w:bCs/>
          <w:sz w:val="24"/>
          <w:szCs w:val="24"/>
        </w:rPr>
        <w:t>Figure 4.</w:t>
      </w:r>
      <w:r>
        <w:rPr>
          <w:rFonts w:ascii="Times New Roman" w:hAnsi="Times New Roman"/>
          <w:b w:val="false"/>
          <w:bCs w:val="false"/>
          <w:sz w:val="24"/>
          <w:szCs w:val="24"/>
        </w:rPr>
        <w:t xml:space="preserve"> Scatterplot of the first two axes of morphological variation in the </w:t>
      </w:r>
      <w:r>
        <w:rPr>
          <w:rFonts w:ascii="Times New Roman" w:hAnsi="Times New Roman"/>
          <w:b w:val="false"/>
          <w:bCs w:val="false"/>
          <w:i/>
          <w:iCs/>
          <w:sz w:val="24"/>
          <w:szCs w:val="24"/>
        </w:rPr>
        <w:t>Emys marmorata</w:t>
      </w:r>
      <w:r>
        <w:rPr>
          <w:rFonts w:ascii="Times New Roman" w:hAnsi="Times New Roman"/>
          <w:b w:val="false"/>
          <w:bCs w:val="false"/>
          <w:i w:val="false"/>
          <w:iCs w:val="false"/>
          <w:sz w:val="24"/>
          <w:szCs w:val="24"/>
        </w:rPr>
        <w:t xml:space="preserve"> dataset. Each panel corresponds to one of the six different classification schemes analyzed here (Table 1). Point color corresponds to the categories within each scheme, and the class names correspond to geographic regions. Point size is proportional to centroid size of that specimen. The percentage of total variation accounted for by an axis is show in parentheses next to the axis labels.</w:t>
      </w:r>
    </w:p>
    <w:p>
      <w:pPr>
        <w:pStyle w:val="Normal"/>
        <w:widowControl w:val="false"/>
        <w:suppressAutoHyphens w:val="true"/>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Figure 5.</w:t>
      </w:r>
      <w:r>
        <w:rPr>
          <w:rFonts w:ascii="Times New Roman" w:hAnsi="Times New Roman"/>
          <w:b w:val="false"/>
          <w:bCs w:val="false"/>
          <w:i w:val="false"/>
          <w:iCs w:val="false"/>
          <w:sz w:val="24"/>
          <w:szCs w:val="24"/>
        </w:rPr>
        <w:t xml:space="preserve"> Comparison of observed Procrustes distance between the centroids of each sex (vertical line) to a null distribution generated from 1000 permutations of the sex-labels. This result indicates that the difference between the centroids is as small/smaller than expected at random.</w:t>
      </w:r>
    </w:p>
    <w:p>
      <w:pPr>
        <w:pStyle w:val="Normal"/>
        <w:widowControl w:val="false"/>
        <w:suppressAutoHyphens w:val="true"/>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val="false"/>
        <w:suppressAutoHyphens w:val="true"/>
        <w:bidi w:val="0"/>
        <w:spacing w:lineRule="auto" w:line="480"/>
        <w:ind w:left="0" w:right="0" w:hanging="0"/>
        <w:jc w:val="left"/>
        <w:rPr>
          <w:rFonts w:ascii="Times New Roman" w:hAnsi="Times New Roman"/>
          <w:b w:val="false"/>
          <w:b w:val="false"/>
          <w:bCs w:val="false"/>
          <w:i w:val="false"/>
          <w:i w:val="false"/>
          <w:iCs w:val="false"/>
          <w:sz w:val="24"/>
          <w:szCs w:val="24"/>
        </w:rPr>
      </w:pPr>
      <w:r>
        <w:rPr>
          <w:rFonts w:ascii="Times New Roman" w:hAnsi="Times New Roman"/>
          <w:b/>
          <w:bCs/>
          <w:i w:val="false"/>
          <w:iCs w:val="false"/>
          <w:sz w:val="24"/>
          <w:szCs w:val="24"/>
        </w:rPr>
        <w:t>Figure 6.</w:t>
      </w:r>
      <w:r>
        <w:rPr>
          <w:rFonts w:ascii="Times New Roman" w:hAnsi="Times New Roman"/>
          <w:b w:val="false"/>
          <w:bCs w:val="false"/>
          <w:i w:val="false"/>
          <w:iCs w:val="false"/>
          <w:sz w:val="24"/>
          <w:szCs w:val="24"/>
        </w:rPr>
        <w:t xml:space="preserve"> Comparisons of model fit to the training dataset for each of the supervised learning methods applied to the first two datasets. The results from the eight species dataset are presented in the left column; those from the </w:t>
      </w:r>
      <w:r>
        <w:rPr>
          <w:rFonts w:ascii="Times New Roman" w:hAnsi="Times New Roman"/>
          <w:b w:val="false"/>
          <w:bCs w:val="false"/>
          <w:i/>
          <w:iCs/>
          <w:sz w:val="24"/>
          <w:szCs w:val="24"/>
        </w:rPr>
        <w:t>Trachemys</w:t>
      </w:r>
      <w:r>
        <w:rPr>
          <w:rFonts w:ascii="Times New Roman" w:hAnsi="Times New Roman"/>
          <w:b w:val="false"/>
          <w:bCs w:val="false"/>
          <w:i w:val="false"/>
          <w:iCs w:val="false"/>
          <w:sz w:val="24"/>
          <w:szCs w:val="24"/>
        </w:rPr>
        <w:t xml:space="preserve"> dataset are presented in the right column. Models were fit to datasets of varying complexity, with the number of parameters listed along the x-axis. Model fit is measured as the area under the receiver operating characteristic (AUC), which ranges from 0.5 to 1. Error bars correspond to one standard error estimated from 10 rounds of 5-fold cross-validation. The red dot corresponds to the model selected for further analysis. In some cases there is no difference in complexity between the best and selected models.</w:t>
      </w:r>
    </w:p>
    <w:p>
      <w:pPr>
        <w:pStyle w:val="Normal"/>
        <w:widowControl w:val="false"/>
        <w:suppressAutoHyphens w:val="true"/>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val="false"/>
        <w:suppressAutoHyphens w:val="true"/>
        <w:bidi w:val="0"/>
        <w:spacing w:lineRule="auto" w:line="480"/>
        <w:ind w:left="0" w:right="0" w:hanging="0"/>
        <w:jc w:val="left"/>
        <w:rPr>
          <w:rFonts w:ascii="Times New Roman" w:hAnsi="Times New Roman"/>
          <w:sz w:val="24"/>
          <w:szCs w:val="24"/>
        </w:rPr>
      </w:pPr>
      <w:r>
        <w:rPr>
          <w:rFonts w:ascii="Times New Roman" w:hAnsi="Times New Roman"/>
          <w:b/>
          <w:bCs/>
          <w:i w:val="false"/>
          <w:iCs w:val="false"/>
          <w:sz w:val="24"/>
          <w:szCs w:val="24"/>
        </w:rPr>
        <w:t>Figure 7.</w:t>
      </w:r>
      <w:r>
        <w:rPr>
          <w:rFonts w:ascii="Times New Roman" w:hAnsi="Times New Roman"/>
          <w:b w:val="false"/>
          <w:bCs w:val="false"/>
          <w:i w:val="false"/>
          <w:iCs w:val="false"/>
          <w:sz w:val="24"/>
          <w:szCs w:val="24"/>
        </w:rPr>
        <w:t xml:space="preserve"> </w:t>
      </w:r>
      <w:r>
        <w:rPr>
          <w:rFonts w:ascii="Times New Roman" w:hAnsi="Times New Roman"/>
          <w:sz w:val="24"/>
          <w:szCs w:val="24"/>
        </w:rPr>
        <w:t xml:space="preserve">The results of out-of-sample predictive performance of the selected models for both the eight species (left) and </w:t>
      </w:r>
      <w:r>
        <w:rPr>
          <w:rFonts w:ascii="Times New Roman" w:hAnsi="Times New Roman"/>
          <w:i/>
          <w:iCs/>
          <w:sz w:val="24"/>
          <w:szCs w:val="24"/>
        </w:rPr>
        <w:t>Trachemys</w:t>
      </w:r>
      <w:r>
        <w:rPr>
          <w:rFonts w:ascii="Times New Roman" w:hAnsi="Times New Roman"/>
          <w:sz w:val="24"/>
          <w:szCs w:val="24"/>
        </w:rPr>
        <w:t xml:space="preserve"> (right) datasets. Predictive performance is measured as the area under the receiver operating characteristic (AUC), which ranges from 0.5 to 1. Points correspond to the individual out-of-sample predictive performance of the specific model, indicated along the x-axis. The horizontal bars correspond the average out-of-sample predictive performance of all the models.</w:t>
      </w:r>
    </w:p>
    <w:p>
      <w:pPr>
        <w:pStyle w:val="Normal"/>
        <w:widowControl w:val="false"/>
        <w:suppressAutoHyphens w:val="true"/>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val="false"/>
        <w:suppressAutoHyphens w:val="true"/>
        <w:bidi w:val="0"/>
        <w:spacing w:lineRule="auto" w:line="480"/>
        <w:ind w:left="0" w:right="0" w:hanging="0"/>
        <w:jc w:val="left"/>
        <w:rPr>
          <w:rFonts w:ascii="Times New Roman" w:hAnsi="Times New Roman"/>
          <w:sz w:val="24"/>
          <w:szCs w:val="24"/>
        </w:rPr>
      </w:pPr>
      <w:r>
        <w:rPr>
          <w:rFonts w:ascii="Times New Roman" w:hAnsi="Times New Roman"/>
          <w:b/>
          <w:bCs/>
          <w:i w:val="false"/>
          <w:iCs w:val="false"/>
          <w:sz w:val="24"/>
          <w:szCs w:val="24"/>
        </w:rPr>
        <w:t>Figure 8.</w:t>
      </w:r>
      <w:r>
        <w:rPr>
          <w:rFonts w:ascii="Times New Roman" w:hAnsi="Times New Roman"/>
          <w:b w:val="false"/>
          <w:bCs w:val="false"/>
          <w:i w:val="false"/>
          <w:iCs w:val="false"/>
          <w:sz w:val="24"/>
          <w:szCs w:val="24"/>
        </w:rPr>
        <w:t xml:space="preserve"> </w:t>
      </w:r>
      <w:r>
        <w:rPr>
          <w:rFonts w:ascii="Times New Roman" w:hAnsi="Times New Roman"/>
          <w:sz w:val="24"/>
          <w:szCs w:val="24"/>
        </w:rPr>
        <w:t xml:space="preserve">AUC values for models of varying complexity fit to the </w:t>
      </w:r>
      <w:r>
        <w:rPr>
          <w:rFonts w:ascii="Times New Roman" w:hAnsi="Times New Roman"/>
          <w:i/>
          <w:iCs/>
          <w:sz w:val="24"/>
          <w:szCs w:val="24"/>
        </w:rPr>
        <w:t>Emys marmorata</w:t>
      </w:r>
      <w:r>
        <w:rPr>
          <w:rFonts w:ascii="Times New Roman" w:hAnsi="Times New Roman"/>
          <w:sz w:val="24"/>
          <w:szCs w:val="24"/>
        </w:rPr>
        <w:t xml:space="preserve"> training datasets for each classification scheme. The x-axis corresponds to the total number of predictors included in each model, whereas the y-axis corresponds to the AUC value, which is a measure of goodness of fit for classification datasets. A model with a high AUC value corresponds to better classification performance than a model with a lower AUC value. Standard errors on AUC estimates are calculated from 10 rounds of 5-fold cross-validation. Indicated are the best performing and the selected models, in red and blue, respectively. In some cases, there is no difference in complexity between the best and selected models.</w:t>
      </w:r>
    </w:p>
    <w:p>
      <w:pPr>
        <w:pStyle w:val="Normal"/>
        <w:widowControl w:val="false"/>
        <w:suppressAutoHyphens w:val="true"/>
        <w:bidi w:val="0"/>
        <w:spacing w:lineRule="auto" w:line="480"/>
        <w:ind w:left="0" w:right="0" w:hanging="0"/>
        <w:jc w:val="left"/>
        <w:rPr>
          <w:rFonts w:ascii="Times New Roman" w:hAnsi="Times New Roman"/>
          <w:b/>
          <w:b/>
          <w:bCs/>
          <w:sz w:val="24"/>
          <w:szCs w:val="24"/>
        </w:rPr>
      </w:pPr>
      <w:r>
        <w:rPr>
          <w:rFonts w:ascii="Times New Roman" w:hAnsi="Times New Roman"/>
          <w:b/>
          <w:bCs/>
          <w:sz w:val="24"/>
          <w:szCs w:val="24"/>
        </w:rPr>
      </w:r>
    </w:p>
    <w:p>
      <w:pPr>
        <w:pStyle w:val="Normal"/>
        <w:widowControl w:val="false"/>
        <w:suppressAutoHyphens w:val="true"/>
        <w:bidi w:val="0"/>
        <w:spacing w:lineRule="auto" w:line="480"/>
        <w:ind w:left="0" w:right="0" w:hanging="0"/>
        <w:jc w:val="left"/>
        <w:rPr/>
      </w:pPr>
      <w:r>
        <w:rPr>
          <w:rFonts w:ascii="Times New Roman" w:hAnsi="Times New Roman"/>
          <w:b/>
          <w:bCs/>
          <w:i w:val="false"/>
          <w:iCs w:val="false"/>
          <w:sz w:val="24"/>
          <w:szCs w:val="24"/>
        </w:rPr>
        <w:t>Figure 9.</w:t>
      </w:r>
      <w:r>
        <w:rPr>
          <w:rFonts w:ascii="Times New Roman" w:hAnsi="Times New Roman"/>
          <w:b w:val="false"/>
          <w:bCs w:val="false"/>
          <w:i w:val="false"/>
          <w:iCs w:val="false"/>
          <w:sz w:val="24"/>
          <w:szCs w:val="24"/>
        </w:rPr>
        <w:t xml:space="preserve"> Comparison of out-of-sample AUC estimates from the predications of selected models (Fig. 8), grouped by classification scheme. The horizontal line in each panel corresponds to the average AUC value across all models of that classification scheme.</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SourceText">
    <w:name w:val="Source_Text"/>
    <w:qFormat/>
    <w:rPr>
      <w:rFonts w:ascii="Courier New" w:hAnsi="Courier New" w:eastAsia="Courier New" w:cs="Courier New"/>
      <w:sz w:val="20"/>
      <w:szCs w:val="20"/>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Quotations">
    <w:name w:val="Quotations"/>
    <w:basedOn w:val="Normal"/>
    <w:qFormat/>
    <w:pPr>
      <w:spacing w:before="0" w:after="283"/>
      <w:ind w:left="567" w:right="567" w:hanging="0"/>
    </w:pPr>
    <w:rPr/>
  </w:style>
  <w:style w:type="paragraph" w:styleId="Subtitle">
    <w:name w:val="Subtitle"/>
    <w:basedOn w:val="Heading"/>
    <w:qFormat/>
    <w:pPr>
      <w:spacing w:before="60" w:after="120"/>
      <w:jc w:val="center"/>
    </w:pPr>
    <w:rPr>
      <w:sz w:val="36"/>
      <w:szCs w:val="36"/>
    </w:rPr>
  </w:style>
  <w:style w:type="paragraph" w:styleId="Author">
    <w:name w:val="Author"/>
    <w:basedOn w:val="Normal"/>
    <w:qFormat/>
    <w:pPr/>
    <w:rPr>
      <w:i/>
    </w:rPr>
  </w:style>
  <w:style w:type="paragraph" w:styleId="Date">
    <w:name w:val="Date"/>
    <w:basedOn w:val="Normal"/>
    <w:qFormat/>
    <w:pPr/>
    <w:rPr>
      <w:i/>
    </w:rPr>
  </w:style>
  <w:style w:type="paragraph" w:styleId="Firstparagraph">
    <w:name w:val="First paragraph"/>
    <w:basedOn w:val="Normal"/>
    <w:qFormat/>
    <w:pPr/>
    <w:rPr/>
  </w:style>
  <w:style w:type="paragraph" w:styleId="Bibliography">
    <w:name w:val="Bibliography"/>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smits@berkeley.edu" TargetMode="External"/><Relationship Id="rId3" Type="http://schemas.openxmlformats.org/officeDocument/2006/relationships/hyperlink" Target="https://doi.org/10.1371/journal.pone.0021460" TargetMode="External"/><Relationship Id="rId4" Type="http://schemas.openxmlformats.org/officeDocument/2006/relationships/hyperlink" Target="https://CRAN.R-project.org/package=mda" TargetMode="External"/><Relationship Id="rId5" Type="http://schemas.openxmlformats.org/officeDocument/2006/relationships/hyperlink" Target="https://doi.org/10.4137/EBO.S6761" TargetMode="External"/><Relationship Id="rId6" Type="http://schemas.openxmlformats.org/officeDocument/2006/relationships/hyperlink" Target="https://doi.org/10.1186/1471-2148-13-233" TargetMode="External"/><Relationship Id="rId7" Type="http://schemas.openxmlformats.org/officeDocument/2006/relationships/hyperlink" Target="https://doi.org/10.1186/1471-2148-7-121" TargetMode="External"/><Relationship Id="rId8" Type="http://schemas.openxmlformats.org/officeDocument/2006/relationships/hyperlink" Target="https://doi.org/10.1080/02724634.2016.1111225"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LibreOffice/5.4.2.2$Linux_X86_64 LibreOffice_project/40m0$Build-2</Application>
  <Pages>36</Pages>
  <Words>9607</Words>
  <Characters>54636</Characters>
  <CharactersWithSpaces>63947</CharactersWithSpaces>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2018-01-13T20:43:57Z</dcterms:created>
  <dc:creator/>
  <dc:description/>
  <dc:language>en-US</dc:language>
  <cp:lastModifiedBy/>
  <dcterms:modified xsi:type="dcterms:W3CDTF">2018-01-22T19:26:01Z</dcterms:modified>
  <cp:revision>1</cp:revision>
  <dc:subject/>
  <dc:title/>
</cp:coreProperties>
</file>