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How cryptic is cryptic diversity? Machine learning approaches to classifying morphological variation in the Pacific Pond Turtle (</w:t>
      </w:r>
      <w:r>
        <w:rPr>
          <w:i/>
        </w:rPr>
        <w:t>Emys marmorata</w:t>
      </w:r>
      <w:r>
        <w:rPr/>
        <w:t>)</w:t>
      </w:r>
    </w:p>
    <w:p>
      <w:pPr>
        <w:pStyle w:val="Authors"/>
        <w:rPr/>
      </w:pPr>
      <w:r>
        <w:rPr/>
      </w:r>
    </w:p>
    <w:p>
      <w:pPr>
        <w:pStyle w:val="Normal"/>
        <w:rPr/>
      </w:pPr>
      <w:r>
        <w:rPr/>
        <w:t xml:space="preserve">The turtle species </w:t>
      </w:r>
      <w:r>
        <w:rPr>
          <w:i/>
        </w:rPr>
        <w:t>Emys marmorata</w:t>
      </w:r>
      <w:r>
        <w:rPr/>
        <w:t xml:space="preserve"> has multiple competing hypotheses of how many subgroups are present based on morphology, mitochondrial, and nuclear information. We analyzed plastron shape variation across the entire range of </w:t>
      </w:r>
      <w:r>
        <w:rPr>
          <w:i/>
        </w:rPr>
        <w:t>Emys marmorata</w:t>
      </w:r>
      <w:r>
        <w:rPr/>
        <w:t xml:space="preserve"> in order to asses whether the observed morphological variation is congruent with any of the proposed classification schemes. We compared the predictive power of multiple (sub-)species classification schemes of </w:t>
      </w:r>
      <w:r>
        <w:rPr>
          <w:i/>
        </w:rPr>
        <w:t>Emys marmorata</w:t>
      </w:r>
      <w:r>
        <w:rPr/>
        <w:t xml:space="preserve"> using multiple supervised learning approaches, both unsupervised and supervised. Our results demonstrate that there is no congruence between any of the proposed classification schemes and pastron shape variation. This may be due to pastron shape variation reflecting local adaptation to, for example, hydrological regimes as opposed to correlating with mate choice.</w:t>
      </w:r>
    </w:p>
    <w:p>
      <w:pPr>
        <w:pStyle w:val="Heading1"/>
        <w:rPr/>
      </w:pPr>
      <w:bookmarkStart w:id="0" w:name="introduction"/>
      <w:bookmarkEnd w:id="0"/>
      <w:r>
        <w:rPr/>
        <w:t>Introduction</w:t>
      </w:r>
    </w:p>
    <w:p>
      <w:pPr>
        <w:pStyle w:val="Normal"/>
        <w:rPr/>
      </w:pPr>
      <w:bookmarkStart w:id="1" w:name="introduction"/>
      <w:bookmarkEnd w:id="1"/>
      <w:r>
        <w:rPr/>
        <w:t>Molecular systematics has repeatedly demonstrated the existence of cryptic species that can only be diagnosed using genetic data (Stuart, Inger, and Voris 2006; Bickford et al. 2007; Schilck-Steiner et al. 2007; Pfenninger and Schwenk 2007; Clare 2011; Funk, Caminer, and Ron 2012). In attempts to streamline the documentation of biodiversity, several methods of species delimitation that rely almost entirely on genetic data have recently been proposed (Pons et al. 2006; B.C. Carstens and Dewey 2010; Hausdorf and Hennig 2010; O’Meara 2010; Yang and Rannala 2010; J. P. Huelsenbeck, Andolfatto, and Huelsenbeck 2011). Although strong caveats on the utility of these methods have been raised (Bauer et al. 2000; Bryan C. Carstens et al. 2013), they are nevertheless being used to name species (Leaché and Fujita 2010; Spinks, Thomson, and Bradley Shaffer 2014).</w:t>
      </w:r>
    </w:p>
    <w:p>
      <w:pPr>
        <w:pStyle w:val="Normal"/>
        <w:rPr/>
      </w:pPr>
      <w:r>
        <w:rPr/>
        <w:t>The majority of extant taxa, and almost all extinct taxa, are delimited by morphology alone. This disjunction complicates interpretations of variation and diversity in deep time, as apparent morphological stasis may not reflect the true underlying diversity (Eldredge and Gould 1972; Gould and Eldredge 1977; G. Hunt 2008; Van Bocxlaer and Hunt 2013). Similarly, for many museum specimens of extant taxa (e.g. those preserved in formalin), it is difficult to acquire the genetic data needed for non-morphological species delimitation methods.</w:t>
      </w:r>
    </w:p>
    <w:p>
      <w:pPr>
        <w:pStyle w:val="Normal"/>
        <w:rPr/>
      </w:pPr>
      <w:r>
        <w:rPr/>
        <w:t>These considerations have sparked interest in whether geometric morphometric analyses can capture fine-scale variation that can be used for identifying cryptic species. Most such studies focus on using morphometrics to discover differences between taxa that were identified by other means (Polly 2003; Zelditch, Swiderski, and Sheets 2004; Gaubert et al. 2005; Gündüz et al. 2007; Polly 2007; Demandt and Bergek 2009). Additionally, there has been a fair amount of work on automated taxon identification and classification of taxa into groups (Baylac, Villemant, and Simbolotti 2003; Dobigny et al. 2003; MacLeod 2007; van den Brink and Bokma 2011). In cases where genetic data are ambiguous or lacking for many samples, morphometric approaches could help identify cryptic species. This would make the task of identifying and maintaining endangered or conserved groups much easier and could contribute to improved classifications of extinct taxa and populations.</w:t>
      </w:r>
    </w:p>
    <w:p>
      <w:pPr>
        <w:pStyle w:val="Normal"/>
        <w:rPr/>
      </w:pPr>
      <w:r>
        <w:rPr/>
        <w:t>Here, we investigate the morphometric identification of cryptic species using machine-learning approaches. In particular, we ask whether it is possible to determine which amongst a set of classification hypotheses is best and examine the implications of the results for a recently proposed set of cryptic turtle species.</w:t>
      </w:r>
    </w:p>
    <w:p>
      <w:pPr>
        <w:pStyle w:val="Heading2"/>
        <w:rPr/>
      </w:pPr>
      <w:bookmarkStart w:id="2" w:name="background-and-study-system"/>
      <w:bookmarkEnd w:id="2"/>
      <w:r>
        <w:rPr/>
        <w:t>Background and study system</w:t>
      </w:r>
    </w:p>
    <w:p>
      <w:pPr>
        <w:pStyle w:val="Normal"/>
        <w:rPr/>
      </w:pPr>
      <w:bookmarkStart w:id="3" w:name="background-and-study-system"/>
      <w:bookmarkEnd w:id="3"/>
      <w:r>
        <w:rPr/>
        <w:t>Machine learning is an extension of known statistical methodology (Hastie, Tibshirani, and Friedman 2009) 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 (Hastie, Tibshirani, and Friedman 2009). Machine learning approaches have found use in medical research, epidemiology, economics and automated image identification such as handwritten zip codes (Hastie, Tibshirani, and Friedman 2009). The two major classes of machine learning methods are unsupervised and supervised learning. Unsupervised learning methods are used with unlabeled data where the underlying structure is estimated, and they are analogous to clustering and density estimation methods (Kaufman and Rousseeuw 1990). Supervised learning methods are used with labeled data where the final output of data is known and the rules for going from input to output are inferred. These are analogous to classification and regression models (Breiman et al. 1984). Out application of the alternative approaches used in this study illustrates only a sampling of the various previously-derived methods for clustering observations and fitting classification models.</w:t>
      </w:r>
    </w:p>
    <w:p>
      <w:pPr>
        <w:pStyle w:val="Normal"/>
        <w:rPr/>
      </w:pPr>
      <w:r>
        <w:rPr/>
        <w:t>Geometric morphometric approaches to identifying differences in morphological variation between different classes, including cryptic species, mostly have used methods like linear discriminate analysis and canonical variates analysis (Polly 2003; Zelditch, Swiderski, and Sheets 2004; Gaubert et al. 2005; Gündüz et al. 2007; Polly 2007; Francoy et al. 2009; Sztencel-Jabłonka, Jones, and BogdanowicZ 2009; Mitrovski-Bogdanovic et al. 2013). Because of their similarity to multivariate approaches like principle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and Polly (2005) and Polly (2007) focused on comparing different aspects of morphology and their fidelity to a classification scheme instead of comparing the fidelity of one aspect of morphology to multiple classification schemes. In this context, the study of Cardini et al. (2009) is noteworthy because they compared morphological variation in marmots at the population, regional, and species level and determined the fidelity of shape to divisions at each of these levels.</w:t>
      </w:r>
    </w:p>
    <w:p>
      <w:pPr>
        <w:pStyle w:val="Normal"/>
        <w:rPr/>
      </w:pPr>
      <w:r>
        <w:rPr/>
        <w:t>Here, we used multiple machine learning methods, both unsupervised and supervised, to compare different classification hypotheses. These methods provide different and unique advantages for understanding how to classify taxa, as well as the accuracy of the resulting classifications. Although machine learning methods such as neural networks have been applied to studying shape variation (Baylac, Villemant, and Simbolotti 2003; Dobigny et al. 2003; MacLeod 2007; van den Brink and Bokma 2011),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pPr>
        <w:pStyle w:val="Normal"/>
        <w:rPr/>
      </w:pPr>
      <w:r>
        <w:rPr/>
        <w:t xml:space="preserve">We analyzed the problem of whether there are distinct subspecies or cryptic species within the western pond turtle, </w:t>
      </w:r>
      <w:r>
        <w:rPr>
          <w:i/>
        </w:rPr>
        <w:t>Emys marmorata</w:t>
      </w:r>
      <w:r>
        <w:rPr/>
        <w:t xml:space="preserve"> (Baird and Girard 1852) (formerly </w:t>
      </w:r>
      <w:r>
        <w:rPr>
          <w:i/>
        </w:rPr>
        <w:t>Clemmys marmorata</w:t>
      </w:r>
      <w:r>
        <w:rPr/>
        <w:t xml:space="preserve">; see (Feldman and Parham 2002)). </w:t>
      </w:r>
      <w:r>
        <w:rPr>
          <w:i/>
        </w:rPr>
        <w:t>Emys marmorata</w:t>
      </w:r>
      <w:r>
        <w:rPr/>
        <w:t xml:space="preserve"> is distributed from northern Washington State, USA to Baja California, Mexico.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(Seeliger 1945),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though they are considerably smaller. Seeliger (1945) did not formally include the Baja California populations of </w:t>
      </w:r>
      <w:r>
        <w:rPr>
          <w:i/>
        </w:rPr>
        <w:t>E. marmorata</w:t>
      </w:r>
      <w:r>
        <w:rPr/>
        <w:t xml:space="preserve"> in either taxon, implying the existence of a third distinct but unnamed subspecies.</w:t>
      </w:r>
    </w:p>
    <w:p>
      <w:pPr>
        <w:pStyle w:val="Normal"/>
        <w:rPr/>
      </w:pPr>
      <w:r>
        <w:rPr/>
        <w:t xml:space="preserve">Previous work on morphological variation in </w:t>
      </w:r>
      <w:r>
        <w:rPr>
          <w:i/>
        </w:rPr>
        <w:t>E. marmorata</w:t>
      </w:r>
      <w:r>
        <w:rPr/>
        <w:t xml:space="preserve"> has focused primarily on differentiation between populations over a portion of the species’ total range (Lubcke and Wilson 2007; Germano and Rathbun 2008; Germano and Bury 2009; Bury, Germano, and Bury 2010); comparatively few studies have included specimens from across the entire range (Holland 1992). Most of these studies considered how local biotic and abiotic factors may contribute to differences in carapace length and found that size can vary greatly between different populations (Lubcke and Wilson 2007; Germano and Rathbun 2008; Germano and Bury 2009). There also has been interest in size-based sexual dimorphism in </w:t>
      </w:r>
      <w:r>
        <w:rPr>
          <w:i/>
        </w:rPr>
        <w:t>E. marmorata</w:t>
      </w:r>
      <w:r>
        <w:rPr/>
        <w:t xml:space="preserve"> (Holland 1992; Lubcke and Wilson 2007; Germano and Bury 2009), with males being on average larger than females based on total carapace length and other linear measurements. However, the quality of size as a classifier of sex can vary greatly between populations (Holland 1992) because of the amount of size differences among populations (Lubcke and Wilson 2007; Germano and Bury 2009). However, the effect of sexual dimorphism on shape, </w:t>
      </w:r>
      <w:r>
        <w:rPr>
          <w:i/>
        </w:rPr>
        <w:t>sensu</w:t>
      </w:r>
      <w:r>
        <w:rPr/>
        <w:t xml:space="preserve"> David G. Kendall (1977), has not been assessed (Holland 1992; Lubcke and Wilson 2007; Germano and Rathbun 2008).</w:t>
      </w:r>
    </w:p>
    <w:p>
      <w:pPr>
        <w:pStyle w:val="Normal"/>
        <w:rPr/>
      </w:pPr>
      <w:r>
        <w:rPr/>
        <w:t xml:space="preserve">Of particular importance in the context of cryptic diversity in </w:t>
      </w:r>
      <w:r>
        <w:rPr>
          <w:i/>
        </w:rPr>
        <w:t>E. marmorata</w:t>
      </w:r>
      <w:r>
        <w:rPr/>
        <w:t xml:space="preserve"> is the morphometric analysis of carapace shape carried out by Holland (1992), who compared populations of </w:t>
      </w:r>
      <w:r>
        <w:rPr>
          <w:i/>
        </w:rPr>
        <w:t>E. marmorata</w:t>
      </w:r>
      <w:r>
        <w:rPr/>
        <w:t xml:space="preserve"> from three areas of its range. This study concluded that geographic distance was a poor indicator of mophological differentiation, and instead hypothesized that geographic features such as breaks between different drainage basis are probably more important barriers to dispersal and interbreeding. Additionally, (Holland 1992)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souther species, and a Columbia Basin species. This classification is similar to that of Seeliger (1945), except elevated to the species level and without recognition of a distinct Baja species.</w:t>
      </w:r>
    </w:p>
    <w:p>
      <w:pPr>
        <w:pStyle w:val="Normal"/>
        <w:rPr/>
      </w:pPr>
      <w:r>
        <w:rPr/>
        <w:t xml:space="preserve">More recently, the phylogeography of </w:t>
      </w:r>
      <w:r>
        <w:rPr>
          <w:i/>
        </w:rPr>
        <w:t>E. marmorata</w:t>
      </w:r>
      <w:r>
        <w:rPr/>
        <w:t xml:space="preserve"> and the possibility of cryptic diversity was investigated using molecular data (Spinks and Shaffer 2005; Spinks, Thomson, and Shaffer 2010; Spinks, Thomson, and Bradley Shaffer 2014). Based on mitochondrial DNA, Spinks and Shaffer (2005) recognized four subclades within </w:t>
      </w:r>
      <w:r>
        <w:rPr>
          <w:i/>
        </w:rPr>
        <w:t>E. marmorata</w:t>
      </w:r>
      <w:r>
        <w:rPr/>
        <w:t xml:space="preserve">, a northern clade, a San Joaquin Valley clade, a Santa Barbara clade, and a southern clade. Analyses with nuclear DNA (Spinks, Thomson, and Shaffer 2010) with single-nucleotide polymorphism (SNP) data suggest a primarily north–south division in </w:t>
      </w:r>
      <w:r>
        <w:rPr>
          <w:i/>
        </w:rPr>
        <w:t>E. marmorata</w:t>
      </w:r>
      <w:r>
        <w:rPr/>
        <w:t>, although the dataset differed from that of Spinks and Shaffer (2005) in the location of this break point. These studies discussed the potential taxonomic implications of their results, with Spinks, Thomson, and Bradley Shaffer (2014)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(1945). Given that these characters are somewhat 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Normal"/>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past divisions based on other morphological features or molecular data. We are particularly interested in whether any aspect of plastron shape can be used to reliably diagnose Spinks, Thomson, and Bradley Shaffer (2014) proposed species, and if so, the nature of that shape variation.</w:t>
      </w:r>
    </w:p>
    <w:p>
      <w:pPr>
        <w:pStyle w:val="Normal"/>
        <w:rPr/>
      </w:pPr>
      <w:r>
        <w:rPr/>
        <w:t xml:space="preserve">Because of unclear geographic boundaries between subgroups of </w:t>
      </w:r>
      <w:r>
        <w:rPr>
          <w:i/>
        </w:rPr>
        <w:t>E. marmorata</w:t>
      </w:r>
      <w:r>
        <w:rPr/>
        <w:t xml:space="preserve">, we compare multiple hypotheses of morphologically– and molecularly–based classification. We hypothesize that if morphological variation corresponds to class assignment, it should be possible to determine the best classification hypothesis of </w:t>
      </w:r>
      <w:r>
        <w:rPr>
          <w:i/>
        </w:rPr>
        <w:t>E. marmorata</w:t>
      </w:r>
      <w:r>
        <w:rPr/>
        <w:t xml:space="preserve"> from amongst multiple candidate hypotheses. However, if morphological variation does not correspond to any of the standing hypothesis, then supervised learning model generalization performance will be poor.</w:t>
      </w:r>
    </w:p>
    <w:p>
      <w:pPr>
        <w:pStyle w:val="Heading1"/>
        <w:rPr/>
      </w:pPr>
      <w:bookmarkStart w:id="4" w:name="materials-and-methods"/>
      <w:bookmarkEnd w:id="4"/>
      <w:r>
        <w:rPr/>
        <w:t>Materials and Methods</w:t>
      </w:r>
    </w:p>
    <w:p>
      <w:pPr>
        <w:pStyle w:val="Heading2"/>
        <w:rPr/>
      </w:pPr>
      <w:bookmarkStart w:id="5" w:name="materials-and-methods"/>
      <w:bookmarkStart w:id="6" w:name="specimens-sampling-morphometrics"/>
      <w:bookmarkEnd w:id="5"/>
      <w:bookmarkEnd w:id="6"/>
      <w:r>
        <w:rPr/>
        <w:t>Specimens, sampling, morphometrics</w:t>
      </w:r>
    </w:p>
    <w:p>
      <w:pPr>
        <w:pStyle w:val="Normal"/>
        <w:rPr/>
      </w:pPr>
      <w:bookmarkStart w:id="7" w:name="specimens-sampling-morphometrics"/>
      <w:bookmarkEnd w:id="7"/>
      <w:r>
        <w:rPr/>
        <w:t xml:space="preserve">We collected landmark-based morphometric data from 354 adult </w:t>
      </w:r>
      <w:r>
        <w:rPr>
          <w:i/>
        </w:rPr>
        <w:t>E. marmorata</w:t>
      </w:r>
      <w:r>
        <w:rPr/>
        <w:t xml:space="preserve"> museum specimens. These specimens are a subset of those included in Angielczyk and Sheets (2007), Angielczyk, Feldman, and Miller (2011), and Angielczyk and Feldman (2013), essentially representing the adult individuals included in those papers. We chose to focus on adults because significant changes in plastron shape occur over the course of ontogeny in </w:t>
      </w:r>
      <w:r>
        <w:rPr>
          <w:i/>
        </w:rPr>
        <w:t>E. mamorata</w:t>
      </w:r>
      <w:r>
        <w:rPr/>
        <w:t xml:space="preserve"> and other emydines (Angielczyk and Feldman 2013).</w:t>
      </w:r>
    </w:p>
    <w:p>
      <w:pPr>
        <w:pStyle w:val="Normal"/>
        <w:rPr/>
      </w:pPr>
      <w:r>
        <w:rPr/>
        <w:t>We assigned a classification to each specimen for the different binning schemes based on geographic occurrence data recorded in museum collection archives. When precise latitude and longitude information were not available we estimated them from locality information. Because Spinks and Shaffer (2005), Spinks, Thomson, and Shaffer (2010), and Spinks, Thomson, and Bradley Shaffer (2014) did not use vouchered specimens we were not able to example the sample individuals. Therefore our specimen classifications were based solely on the geographic information, not explicit assignment in previous studies. Because the exact barriers between different biogeographic regions are unknown and unclear, we represented each hypothesis with two schemes for a total of six different schemes. The schemes differed based on where geographic boundaries were assigned. This changes the classification of certain individuals near the boundaries between groups, providing a test of the robustness of the classification schemes.</w:t>
      </w:r>
    </w:p>
    <w:p>
      <w:pPr>
        <w:pStyle w:val="Normal"/>
        <w:rPr/>
      </w:pPr>
      <w:r>
        <w:rPr/>
        <w:t xml:space="preserve">Following previous work on plastron variation (Angielczyk and Sheets 2007; Angielczyk, Feldman, and Miller 2011; Angielczyk and Feldman 2013), we used TpsDig 2.04 (Rohlf 2005) to digitize 19 landmarks (Fig. [fig:plastra]). Seventeen of the landmarks are at the endpoints or intersection of the keratinous plastral scutes that cover the platron. Twelve of the landmarks were symmetrical across the axis of symmetry and, in order to prevent issues related to degrees of freedom and other similar concerns (Klingenberg, Barluenga, and Meyer 2002), we reflected these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and Mardia 1998), after which, we calculated the principal components (PC) of shape using the </w:t>
      </w:r>
      <w:r>
        <w:rPr>
          <w:rStyle w:val="VerbatimChar"/>
        </w:rPr>
        <w:t>shapes</w:t>
      </w:r>
      <w:r>
        <w:rPr/>
        <w:t xml:space="preserve"> package for R ([CSL BIBLIOGRAPHIC DATA ERROR: reference "2013" not found.]; [CSL BIBLIOGRAPHIC DATA ERROR: reference "Dryden2013" not found.]).</w:t>
      </w:r>
    </w:p>
    <w:p>
      <w:pPr>
        <w:pStyle w:val="Heading2"/>
        <w:rPr/>
      </w:pPr>
      <w:bookmarkStart w:id="8" w:name="machine-learning-analyses"/>
      <w:bookmarkEnd w:id="8"/>
      <w:r>
        <w:rPr/>
        <w:t>Machine learning analyses</w:t>
      </w:r>
    </w:p>
    <w:p>
      <w:pPr>
        <w:pStyle w:val="Heading3"/>
        <w:rPr/>
      </w:pPr>
      <w:bookmarkStart w:id="9" w:name="machine-learning-analyses"/>
      <w:bookmarkStart w:id="10" w:name="unsupervised-learning"/>
      <w:bookmarkEnd w:id="9"/>
      <w:bookmarkEnd w:id="10"/>
      <w:r>
        <w:rPr/>
        <w:t>Unsupervised learning</w:t>
      </w:r>
    </w:p>
    <w:p>
      <w:pPr>
        <w:pStyle w:val="Normal"/>
        <w:rPr/>
      </w:pPr>
      <w:bookmarkStart w:id="11" w:name="unsupervised-learning"/>
      <w:bookmarkEnd w:id="11"/>
      <w:r>
        <w:rPr/>
        <w:t xml:space="preserve">In order to preserve the relationship between all landmark configurations in shape space, we measured the dissimilarity between observations using Kendall’s Riemannian shape distance or </w:t>
      </w:r>
      <w:r>
        <w:rPr/>
      </w:r>
      <m:oMath xmlns:m="http://schemas.openxmlformats.org/officeDocument/2006/math">
        <m:r>
          <w:rPr>
            <w:rFonts w:ascii="Cambria Math" w:hAnsi="Cambria Math"/>
          </w:rPr>
          <m:t xml:space="preserve">ρ</m:t>
        </m:r>
      </m:oMath>
      <w:r>
        <w:rPr/>
        <w:t xml:space="preserve"> (D.G. Kendall 1984; Dryden and Mardia 1998). We chose this metric because shape space, or the set of all possible shape configurations following Procrustes superimposition, is a Riemannian manifold and thus non-Euclidean (Dryden and Mardia 1998). </w:t>
      </w:r>
      <w:r>
        <w:rPr/>
      </w:r>
      <m:oMath xmlns:m="http://schemas.openxmlformats.org/officeDocument/2006/math">
        <m:r>
          <w:rPr>
            <w:rFonts w:ascii="Cambria Math" w:hAnsi="Cambria Math"/>
          </w:rPr>
          <m:t xml:space="preserve">ρ</m:t>
        </m:r>
      </m:oMath>
      <w:r>
        <w:rPr/>
        <w:t xml:space="preserve"> varies between 0 and </w:t>
      </w:r>
      <w:r>
        <w:rPr/>
      </w:r>
      <m:oMath xmlns:m="http://schemas.openxmlformats.org/officeDocument/2006/math">
        <m:f>
          <m:fPr>
            <m:type m:val="lin"/>
          </m:fPr>
          <m:num>
            <m:r>
              <w:rPr>
                <w:rFonts w:ascii="Cambria Math" w:hAnsi="Cambria Math"/>
              </w:rPr>
              <m:t xml:space="preserve">π</m:t>
            </m:r>
          </m:num>
          <m:den>
            <m:r>
              <w:rPr>
                <w:rFonts w:ascii="Cambria Math" w:hAnsi="Cambria Math"/>
              </w:rPr>
              <m:t xml:space="preserve">2</m:t>
            </m:r>
          </m:den>
        </m:f>
      </m:oMath>
      <w:r>
        <w:rPr/>
        <w:t xml:space="preserve"> when there is no reflection invariance, which should not be a concern in the case of the half plastral landmark configurations used in the study.</w:t>
      </w:r>
    </w:p>
    <w:p>
      <w:pPr>
        <w:pStyle w:val="Normal"/>
        <w:rPr/>
      </w:pPr>
      <w:r>
        <w:rPr/>
        <w:t xml:space="preserve">We divisively clustered the shape dissimilarity matrix using partitioning around mediods clustering (PAM), a method similar to </w:t>
      </w:r>
      <w:r>
        <w:rPr>
          <w:i/>
        </w:rPr>
        <w:t>k</w:t>
      </w:r>
      <w:r>
        <w:rPr/>
        <w:t>-means clustering except that instead of minimizing the sum of squared Euclidean distances between observations and centroids, the sum of squared dissimilarities between observations and mediods is minimized (Kaufman and Rousseeuw 1990). Because the optimal number of clusters of shape configurations in the study was unknown, being possibly three, four, or some other value, we estimated clustering solutions in which the number of clusters varied between one and eight. We compared clustering solutions using the gap statistic, which is a measure of goodness of clustering (Tibshirani, Walther, and Hastie 2001).</w:t>
      </w:r>
    </w:p>
    <w:p>
      <w:pPr>
        <w:pStyle w:val="Normal"/>
        <w:rPr/>
      </w:pPr>
      <w:r>
        <w:rPr/>
        <w:t xml:space="preserve">We conducted this analysis using the </w:t>
      </w:r>
      <w:r>
        <w:rPr>
          <w:rStyle w:val="VerbatimChar"/>
        </w:rPr>
        <w:t>cluster</w:t>
      </w:r>
      <w:r>
        <w:rPr/>
        <w:t xml:space="preserve"> package for R ([CSL BIBLIOGRAPHIC DATA ERROR: reference "Maechler2013" not found.]).</w:t>
      </w:r>
    </w:p>
    <w:p>
      <w:pPr>
        <w:pStyle w:val="Heading3"/>
        <w:rPr/>
      </w:pPr>
      <w:bookmarkStart w:id="12" w:name="supervised-learning"/>
      <w:bookmarkEnd w:id="12"/>
      <w:r>
        <w:rPr/>
        <w:t>Supervised learning</w:t>
      </w:r>
    </w:p>
    <w:p>
      <w:pPr>
        <w:pStyle w:val="Normal"/>
        <w:rPr/>
      </w:pPr>
      <w:bookmarkStart w:id="13" w:name="supervised-learning"/>
      <w:bookmarkEnd w:id="13"/>
      <w:r>
        <w:rPr/>
        <w:t>We used three different supervised learning, or classification, approaches: linear discriminate analysis, multinomial logistic regression, and random forests. Linear discriminate analysis, also known as canonical variate analysis, is commonly used in studies of geometric morphometric data (Zelditch, Swiderski, and Sheets 2004; Mitteroecker and Bookstein 2011). The other two methods, however, are not. In all cases, the optimal number of PCs used as predictors was chosen via maximum within-sample AUC value, explained below.</w:t>
      </w:r>
    </w:p>
    <w:p>
      <w:pPr>
        <w:pStyle w:val="Normal"/>
        <w:rPr/>
      </w:pPr>
      <w:r>
        <w:rPr/>
        <w:t>Linear discriminate analysis (LDA) attempts to find a linear combination of predictors that best model two or more classes. LDA is very similar to PCA except that instead of finding the linear combination of features that maximize the amount of explained variance in the data, LDA maximizes the differences between classes. The results of this analysis produces a transformation matrix by which the original features can be transformed to reflect the best discrimination between the classes. In this study, we applied LDA to the eigenscores from a subset of the total number of PCs, ranging from two to 6 in increasing order of complexity. In total, this produced nine different LDA scaling matrices.</w:t>
      </w:r>
    </w:p>
    <w:p>
      <w:pPr>
        <w:pStyle w:val="Normal"/>
        <w:rPr/>
      </w:pPr>
      <w:r>
        <w:rPr/>
        <w:t>Multinomial logistic regression is an extension of logistic regression, where instead of a binary response there are three or more response classes (Venables and Ripley 2002). Similar to the odds ratios calculated from the coefficients of a logistic regression, the relative risk of a classification can be determined from the coefficients of the model.</w:t>
      </w:r>
    </w:p>
    <w:p>
      <w:pPr>
        <w:pStyle w:val="Normal"/>
        <w:rPr/>
      </w:pPr>
      <w:r>
        <w:rPr/>
        <w:t>Random forest models are an extension of classification and regression trees (CART) (Breiman et al. 1984; Breiman 2001). The goal of CARTs is to use a series of different features (i.e. predictors) to estimate the class of an observation. In top-down induction of decision trees for each member of a given set of predictor variables, attribute value tests are used to estimate the differences between classes. This process, called recursive partitioning, is then repeated on each subset. The recursion continues until the resulting observations all share the same class or no more meaningful partitions are possible. The resulting model is a tree structure by which observations are classified at each intersection via the estimated cutoff points from the attribute tests made during model fitting. In a random forest model, many CARTs are built from a random subsample of both the features and the observations (specimens). This process is then repeated many times and the parameters of the final model are chosen as the mode of estimates from the distribution of CARTs (Breiman 2001). In addition to classifying the observations, this procedure allows for the features to be ranked in order of importance. This is a generally useful property for studies in which the goal is to describe and model the differences between classes and the relative importance of different predictors.</w:t>
      </w:r>
    </w:p>
    <w:p>
      <w:pPr>
        <w:pStyle w:val="Normal"/>
        <w:rPr/>
      </w:pPr>
      <w:r>
        <w:rPr/>
        <w:t xml:space="preserve">In this analysis, we used 1000 subtrees to estimate the random forest model parameters. We estimated the best set of predictors necessary for each classification scheme using a recursive feature selection algorithm, and we chose the optimal number of PCs to include based on the AUC of the model. Following the backwards selection algorithm implemented in </w:t>
      </w:r>
      <w:r>
        <w:rPr>
          <w:rStyle w:val="VerbatimChar"/>
        </w:rPr>
        <w:t>caret</w:t>
      </w:r>
      <w:r>
        <w:rPr/>
        <w:t xml:space="preserve"> ([CSL BIBLIOGRAPHIC DATA ERROR: reference "KuhnMAN2013" not found.]), the maximum number of features were included in the initial model, their importance ranked, and the AUC of the model calculated. The lowest ranked feature was then removed, and the AUC of the model recalculated. This was repeated until only one feature, remained. Because PCs were kept in order of importance and not in relation to the amount of variance each PC described, the PCs are not included in the order of ascending eigenvalue.</w:t>
      </w:r>
    </w:p>
    <w:p>
      <w:pPr>
        <w:pStyle w:val="Normal"/>
        <w:rPr/>
      </w:pPr>
      <w:r>
        <w:rPr/>
        <w:t>In classification studies, such as this one, a common metric of performance is area under the receiver operating characteristic curve (AUC). AUC is an estimate of the relationship between the false positive and true positive rates, as opposed to just the true positive rate (accuracy). This relationship is especially useful in cases such as this study where misclassification needs to be minimized just as much as an accurate classification must be obtained. AUC ranges between 0.5 and 1, with 0.5 indicating classification no better than random and 1 indicating perfect classification (Hastie, Tibshirani, and Friedman 2009).</w:t>
      </w:r>
    </w:p>
    <w:p>
      <w:pPr>
        <w:pStyle w:val="Normal"/>
        <w:rPr/>
      </w:pPr>
      <w:r>
        <w:rPr/>
        <w:t>The standard AUC calculation is defined for binary classifications, however in our application there are multiple categories. The alternative calculation that we used follows an all-against-one strategy where the individual AUC values for each class versus all others are averaged to produce a multiclass AUC (Hand and Till 2001). To estimate confidence intervals on the out-of-sample AUC values, we performed a nonparametric bootstrap in which the true and estimated classifications were resampled with replacement. This was done 1000 times.</w:t>
      </w:r>
    </w:p>
    <w:p>
      <w:pPr>
        <w:pStyle w:val="Normal"/>
        <w:rPr/>
      </w:pPr>
      <w:r>
        <w:rPr/>
        <w:t>The ultimate measure of model fit is accurately predicting the values of unobserved samples (Hastie, Tibshirani, and Friedman 2009; Kuhn and Johnson 2013). Within-sample performance is inherently biased upwards, so model evaluation requires overcoming this bias. With very large sample sizes, as in this study, part of the sample can be used as the “training set” and the remainder acts as the “testing set.” The former is used for fitting the model where as the later is used for measuring model performance, a process called model generalization. In this analysis, we used 75% of samples as the training set while the remaining 25% were used as the testing set.</w:t>
      </w:r>
    </w:p>
    <w:p>
      <w:pPr>
        <w:pStyle w:val="Normal"/>
        <w:rPr/>
      </w:pPr>
      <w:r>
        <w:rPr/>
        <w:t>It is common for some out of sample observations to be misclassified. This misclassification may be due to the model not accurately representing shape variance, systematic differences between the training and test sets, or systematic differences between the accurately and inaccurately classified samples. Testing and training sets are determined completely at random within each class and with respect to shape. Results were not effected by the individual specimen class assignments to the testing or training sets.</w:t>
      </w:r>
    </w:p>
    <w:p>
      <w:pPr>
        <w:pStyle w:val="Normal"/>
        <w:rPr/>
      </w:pPr>
      <w:r>
        <w:rPr/>
        <w:t xml:space="preserve">To determine if there were systematic differences in plastron shape between the correctly and incorrectly classified samples, we used a permutation test to estimate if the dissimilarity between the correctly and incorrectly classified individuals was significantly greater than random. The group labels were permuted 1000 times and the distance between the new centroids was calculated. The number of permutations less than the empirical difference divided by 1000 gives a </w:t>
      </w:r>
      <w:r>
        <w:rPr>
          <w:i/>
        </w:rPr>
        <w:t>p</w:t>
      </w:r>
      <w:r>
        <w:rPr/>
        <w:t>-value for the test. Significant results indicate that correctly and incorrectly classified specimens are systematically different. This was done only for classes where there were 10 or more observations.</w:t>
      </w:r>
    </w:p>
    <w:p>
      <w:pPr>
        <w:pStyle w:val="Heading2"/>
        <w:rPr/>
      </w:pPr>
      <w:bookmarkStart w:id="14" w:name="comparison-with-clear-cut-example"/>
      <w:bookmarkEnd w:id="14"/>
      <w:r>
        <w:rPr/>
        <w:t>Comparison with clear-cut example</w:t>
      </w:r>
    </w:p>
    <w:p>
      <w:pPr>
        <w:pStyle w:val="Normal"/>
        <w:rPr/>
      </w:pPr>
      <w:bookmarkStart w:id="15" w:name="comparison-with-clear-cut-example"/>
      <w:bookmarkEnd w:id="15"/>
      <w:r>
        <w:rPr/>
        <w:t xml:space="preserve">In addition to the above analysis of classification schemes of </w:t>
      </w:r>
      <w:r>
        <w:rPr>
          <w:i/>
        </w:rPr>
        <w:t>E. marmorata/pallida</w:t>
      </w:r>
      <w:r>
        <w:rPr/>
        <w:t xml:space="preserve">, we applied the above approach to a selection of seven morphologically distinct species. This additional analysis was done in order to confirm the efficacy of our supervised learning approach. The seven species analyzed were </w:t>
      </w:r>
      <w:r>
        <w:rPr>
          <w:i/>
        </w:rPr>
        <w:t>Emys blandigii</w:t>
      </w:r>
      <w:r>
        <w:rPr/>
        <w:t xml:space="preserve">, </w:t>
      </w:r>
      <w:r>
        <w:rPr>
          <w:i/>
        </w:rPr>
        <w:t>Terrapene coahuila</w:t>
      </w:r>
      <w:r>
        <w:rPr/>
        <w:t xml:space="preserve">, </w:t>
      </w:r>
      <w:r>
        <w:rPr>
          <w:i/>
        </w:rPr>
        <w:t>Clemmys guttata</w:t>
      </w:r>
      <w:r>
        <w:rPr/>
        <w:t xml:space="preserve">, </w:t>
      </w:r>
      <w:r>
        <w:rPr>
          <w:i/>
        </w:rPr>
        <w:t>Glyptemys insculpta</w:t>
      </w:r>
      <w:r>
        <w:rPr/>
        <w:t xml:space="preserve">, </w:t>
      </w:r>
      <w:r>
        <w:rPr>
          <w:i/>
        </w:rPr>
        <w:t>Glyptemys muhlenbergii</w:t>
      </w:r>
      <w:r>
        <w:rPr/>
        <w:t xml:space="preserve">, </w:t>
      </w:r>
      <w:r>
        <w:rPr>
          <w:i/>
        </w:rPr>
        <w:t>Emys orbicularis</w:t>
      </w:r>
      <w:r>
        <w:rPr/>
        <w:t xml:space="preserve">, and </w:t>
      </w:r>
      <w:r>
        <w:rPr>
          <w:i/>
        </w:rPr>
        <w:t>Terrapene ornata</w:t>
      </w:r>
      <w:r>
        <w:rPr/>
        <w:t xml:space="preserve"> with a total of XXX specimens analyzed in total.</w:t>
      </w:r>
    </w:p>
    <w:p>
      <w:pPr>
        <w:pStyle w:val="Normal"/>
        <w:rPr/>
      </w:pPr>
      <w:r>
        <w:rPr/>
        <w:t xml:space="preserve">As with the </w:t>
      </w:r>
      <w:r>
        <w:rPr>
          <w:i/>
        </w:rPr>
        <w:t>E. marmorata/pallida</w:t>
      </w:r>
      <w:r>
        <w:rPr/>
        <w:t xml:space="preserve"> analysis, we analyzed plastron shape variation. The support for a seven category classification scheme was evaluated using random forest, linear discriminate analysis, and multinomial logistic regression where the number of PCs used as predictors ranged from 2 to 11. Data was split into training and testing sets and model performance for both sets was evaluated using the AUC metric.</w:t>
      </w:r>
    </w:p>
    <w:p>
      <w:pPr>
        <w:pStyle w:val="Heading1"/>
        <w:rPr/>
      </w:pPr>
      <w:bookmarkStart w:id="16" w:name="results"/>
      <w:bookmarkEnd w:id="16"/>
      <w:r>
        <w:rPr/>
        <w:t>Results</w:t>
      </w:r>
    </w:p>
    <w:p>
      <w:pPr>
        <w:pStyle w:val="Heading2"/>
        <w:rPr/>
      </w:pPr>
      <w:bookmarkStart w:id="17" w:name="results"/>
      <w:bookmarkStart w:id="18" w:name="unsupervised-learning-1"/>
      <w:bookmarkEnd w:id="17"/>
      <w:bookmarkEnd w:id="18"/>
      <w:r>
        <w:rPr/>
        <w:t>Unsupervised learning</w:t>
      </w:r>
    </w:p>
    <w:p>
      <w:pPr>
        <w:pStyle w:val="Normal"/>
        <w:rPr/>
      </w:pPr>
      <w:bookmarkStart w:id="19" w:name="unsupervised-learning-1"/>
      <w:bookmarkEnd w:id="19"/>
      <w:r>
        <w:rPr/>
        <w:t>Comparison of gap statistic values from PAM clustering show that the optimal, minimal number of clusters is most likely one (Fig. [fig:gap]). There is some ambiguity in choice because, although it is not statistically different from a solution with only one group, the solution with two groupings does have the greatest mean gap statistic. However, there is no geographical signal in the results of this clustering solution (Fig. [fig:gap</w:t>
      </w:r>
      <w:r>
        <w:rPr>
          <w:vertAlign w:val="subscript"/>
        </w:rPr>
        <w:t>m</w:t>
      </w:r>
      <w:r>
        <w:rPr/>
        <w:t>ap]). Because of this, we assert that there is no means of naturally partitioning plastron shape into distinct subgroups with out reference to external information.</w:t>
      </w:r>
    </w:p>
    <w:p>
      <w:pPr>
        <w:pStyle w:val="Heading2"/>
        <w:rPr/>
      </w:pPr>
      <w:bookmarkStart w:id="20" w:name="supervised-learning-1"/>
      <w:bookmarkEnd w:id="20"/>
      <w:r>
        <w:rPr/>
        <w:t>Supervised learning</w:t>
      </w:r>
    </w:p>
    <w:p>
      <w:pPr>
        <w:pStyle w:val="Normal"/>
        <w:rPr/>
      </w:pPr>
      <w:bookmarkStart w:id="21" w:name="supervised-learning-1"/>
      <w:bookmarkEnd w:id="21"/>
      <w:r>
        <w:rPr/>
        <w:t>AUC–based model selection revealed some important patterns of variation and congruence between the classification schemes and the actual data. Generally, the best performing models tended to include as many PCs as possible [fig:sel]). Note that the best random forest models were determined via recursive feature selection, so PCs were not included in order of percent variance explained. That almost all LDA and multinomial logistic regression models were as complex as possible indicates that the differences between the different groups within each classification scheme are very small.</w:t>
      </w:r>
    </w:p>
    <w:p>
      <w:pPr>
        <w:pStyle w:val="Normal"/>
        <w:rPr/>
      </w:pPr>
      <w:r>
        <w:rPr/>
        <w:t>As part of fitting a random forest model, a ranking of variable importance also is determined. Interestingly, the order of variable importance is not the same as the order of the PCs ([fig:var</w:t>
      </w:r>
      <w:r>
        <w:rPr>
          <w:vertAlign w:val="subscript"/>
        </w:rPr>
        <w:t>i</w:t>
      </w:r>
      <w:r>
        <w:rPr/>
        <w:t>mp]). This means that the variance describing the differences between the classes does not align with the major axes of variance (i.e. the PCs). Such a result is expected if variation between classes was extremely fine grained and not a part of the principal form or function of the plastron. Moreover, this result is congruous with the results from the AUC–based model selection for the multinomial logistic regression and LDA models.</w:t>
      </w:r>
    </w:p>
    <w:p>
      <w:pPr>
        <w:pStyle w:val="Normal"/>
        <w:rPr/>
      </w:pPr>
      <w:r>
        <w:rPr/>
        <w:t>Observed AUC values for all of the optimal models are not exceptionally high ([fig:sel]). In most cases the different proposed classification schemes are generally poor descriptors of the observed variation. It appears that the data set is overwhelmed by noise, making any accurate classifications difficult at best. This observation is cemented with the generalizations of the models to the testing data set ([fig:gen</w:t>
      </w:r>
      <w:r>
        <w:rPr>
          <w:vertAlign w:val="subscript"/>
        </w:rPr>
        <w:t>h</w:t>
      </w:r>
      <w:r>
        <w:rPr/>
        <w:t>ist]).</w:t>
      </w:r>
    </w:p>
    <w:p>
      <w:pPr>
        <w:pStyle w:val="Normal"/>
        <w:rPr/>
      </w:pPr>
      <w:r>
        <w:rPr/>
        <w:t>Mean AUC values for the model generalizations, in most cases, are approximately equal to the observed AUC values from the training data set (Table [tab:comp]). The cases in which the AUC from the generalizations is less than the observed, indicate poor model fit and a poor classification scheme. AUC values from model generalization, or estimating testing data set membership, does not indicate a clear “best” classification scheme (Fig. [fig:gen</w:t>
      </w:r>
      <w:r>
        <w:rPr>
          <w:vertAlign w:val="subscript"/>
        </w:rPr>
        <w:t>h</w:t>
      </w:r>
      <w:r>
        <w:rPr/>
        <w:t>ist]). Although the scheme with two species has the greatest AUC point estimate for each modeling approach, this scheme is not significantly greater than any other except in some limited cases (e.g. LDA, Table [tab:gen</w:t>
      </w:r>
      <w:r>
        <w:rPr>
          <w:vertAlign w:val="subscript"/>
        </w:rPr>
        <w:t>t</w:t>
      </w:r>
      <w:r>
        <w:rPr/>
        <w:t>ests]). Differences in mean shape between correctly and incorrectly classified observations from test set frequently were statistically significant, though there are exceptions. Again, this test was to determine if the mean shapes were statistically different or not. The frequency of these results, however, is important because it means that the different models are poor predictors of class membership. This may be because differences in plastron shape do not align with the any of the hypothesized classification schemes.</w:t>
      </w:r>
    </w:p>
    <w:p>
      <w:pPr>
        <w:pStyle w:val="Heading2"/>
        <w:rPr/>
      </w:pPr>
      <w:bookmarkStart w:id="22" w:name="comparison-with-clear-cut-example-1"/>
      <w:bookmarkEnd w:id="22"/>
      <w:r>
        <w:rPr/>
        <w:t>Comparison with clear-cut example</w:t>
      </w:r>
    </w:p>
    <w:p>
      <w:pPr>
        <w:pStyle w:val="Normal"/>
        <w:rPr/>
      </w:pPr>
      <w:bookmarkStart w:id="23" w:name="comparison-with-clear-cut-example-1"/>
      <w:bookmarkEnd w:id="23"/>
      <w:r>
        <w:rPr/>
        <w:t>In contrast with the above results, the analysis of the supplemental seven species dataset demonstrates near perfect classification of the both the in-sample and out-of-sample datasets (Table [tab:second</w:t>
      </w:r>
      <w:r>
        <w:rPr>
          <w:vertAlign w:val="subscript"/>
        </w:rPr>
        <w:t>r</w:t>
      </w:r>
      <w:r>
        <w:rPr/>
        <w:t>es]). These results demonstrate that if there were strong distinctions between the states of the classification schemes, the methods used here would be able to recover this.</w:t>
      </w:r>
    </w:p>
    <w:p>
      <w:pPr>
        <w:pStyle w:val="Heading1"/>
        <w:rPr/>
      </w:pPr>
      <w:bookmarkStart w:id="24" w:name="discussion"/>
      <w:bookmarkEnd w:id="24"/>
      <w:r>
        <w:rPr/>
        <w:t>Discussion</w:t>
      </w:r>
    </w:p>
    <w:p>
      <w:pPr>
        <w:pStyle w:val="Normal"/>
        <w:rPr/>
      </w:pPr>
      <w:bookmarkStart w:id="25" w:name="discussion"/>
      <w:bookmarkEnd w:id="25"/>
      <w:r>
        <w:rPr/>
        <w:t xml:space="preserve">The results of this study indicate that there is no clear grouping of </w:t>
      </w:r>
      <w:r>
        <w:rPr>
          <w:i/>
        </w:rPr>
        <w:t>E. marmorata</w:t>
      </w:r>
      <w:r>
        <w:rPr/>
        <w:t xml:space="preserve"> based on plastron shape.</w:t>
      </w:r>
    </w:p>
    <w:p>
      <w:pPr>
        <w:pStyle w:val="Normal"/>
        <w:rPr/>
      </w:pPr>
      <w:r>
        <w:rPr/>
        <w:t>The unsupervised learning results indicate only a single group of observations being optimal, which is congruous with the results from the generalizations of the supervised learning models. The classification schemes used in the supervised learning models correspond, loosely, to unsupervised learning solutions with multiple groups. Because unsupervised learning solutions with multiple groups are poor descriptors of the observed variation, it is important to see this generally supported by the supervised learning results.</w:t>
      </w:r>
    </w:p>
    <w:p>
      <w:pPr>
        <w:pStyle w:val="Normal"/>
        <w:rPr/>
      </w:pPr>
      <w:r>
        <w:rPr/>
        <w:t xml:space="preserve">The results from fitting the various supervised learning models to each of the classification schemes generally shows that no one scheme is “best.” Possible explanations include that the genetic differentiation is not associated with plastron shape variation and/or that local selective pressures (e.g. from hydrological regime) overwhelm morphological differentiation. This makes sense given that the plastron is involved in both protection and hydrodynamics, and not necessary mate choice (Rivera 2008; Rivera and Stayton 2011; Stayton 2011; Rivera et al. 2014) and that shell shape in </w:t>
      </w:r>
      <w:r>
        <w:rPr>
          <w:i/>
        </w:rPr>
        <w:t>E. marmorata</w:t>
      </w:r>
      <w:r>
        <w:rPr/>
        <w:t xml:space="preserve"> is known to vary among populations inhabiting water bodies with different flow regimes (Holland 1992; Lubcke and Wilson 2007; Germano and Bury 2009). Plastron shape does not seem to preserve a strong phylogenetic signal at the interspecific level in emydine turtles (Angielczyk, Feldman, and Miller 2011), and out current results suggest that this may be the case for phylogeographic signal within emydine species as well. Stated another way, plastron shape may be a poor morphological marker for phylogenetic and phylogeographic studies, despite the ease with which its shape can be quantified. A final possibility (explored below) is that the proposed classification schemes themselves do not represent significant evolutionary lineages.</w:t>
      </w:r>
    </w:p>
    <w:p>
      <w:pPr>
        <w:pStyle w:val="Normal"/>
        <w:rPr/>
      </w:pPr>
      <w:r>
        <w:rPr/>
        <w:t>Both the low AUC values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9</m:t>
        </m:r>
      </m:oMath>
      <w:r>
        <w:rPr/>
        <w:t>) and the significant difference between the correctly and incorrectly classified observations support the conclusion that none of the hypothesized classification schemes are good descriptors of the observed plastral variation.</w:t>
      </w:r>
    </w:p>
    <w:p>
      <w:pPr>
        <w:pStyle w:val="Heading2"/>
        <w:rPr/>
      </w:pPr>
      <w:bookmarkStart w:id="26" w:name="is-there-more-than-one-species-of-western-pond-turtle"/>
      <w:bookmarkEnd w:id="26"/>
      <w:r>
        <w:rPr/>
        <w:t>Is there more than one species of Western Pond Turtle?</w:t>
      </w:r>
    </w:p>
    <w:p>
      <w:pPr>
        <w:pStyle w:val="Normal"/>
        <w:rPr/>
      </w:pPr>
      <w:bookmarkStart w:id="27" w:name="is-there-more-than-one-species-of-western-pond-turtle"/>
      <w:bookmarkEnd w:id="27"/>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In other words, before we can assess the significance of the morphological non-diagnosablity, it is essential to evaluate the methods and concepts that led to taxonomic revision.</w:t>
      </w:r>
    </w:p>
    <w:p>
      <w:pPr>
        <w:pStyle w:val="Normal"/>
        <w:rPr/>
      </w:pPr>
      <w:r>
        <w:rPr/>
        <w:t xml:space="preserve">Spinks, Thomson, and Bradley Shaffer (2014) elevated </w:t>
      </w:r>
      <w:r>
        <w:rPr>
          <w:i/>
        </w:rPr>
        <w:t>E. pallida</w:t>
      </w:r>
      <w:r>
        <w:rPr/>
        <w:t xml:space="preserve"> based on a Bayesian species delimitation analysis of SNP data using BPP (Yang and Rannala 2010). However, Spinks, Thomson, and Bradley Shaffer (2014) did not heed the caveats about species delimitation methods raised by Bryan C. Carstens et al. (2013). In addition to specifically addressing the shortcomings of validation methods such as BPP that rely on guide trees and so “should be interpreted with caution,” Bryan C. Carstens et al. (2013) also strongly emphasize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Integrative Taxonomy (Padial et al. 2010),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w:t>
      </w:r>
    </w:p>
    <w:p>
      <w:pPr>
        <w:pStyle w:val="Normal"/>
        <w:rPr/>
      </w:pPr>
      <w:r>
        <w:rPr/>
        <w:t xml:space="preserve">In particular, the natural history and geographical distribution of </w:t>
      </w:r>
      <w:r>
        <w:rPr>
          <w:i/>
        </w:rPr>
        <w:t>E. marmorata</w:t>
      </w:r>
      <w:r>
        <w:rPr/>
        <w:t xml:space="preserve"> and </w:t>
      </w:r>
      <w:r>
        <w:rPr>
          <w:i/>
        </w:rPr>
        <w:t>E. pallida</w:t>
      </w:r>
      <w:r>
        <w:rPr/>
        <w:t xml:space="preserve"> make the recognition of these taxa implausible. The data from Spinks, Thomson, and Bradley Shaffer (2014) show extensive introgression and admixture in Central California, which is expected because there are no significant barriers to gene flow in this region. Combined with the well-demonstrated ability for testudinoid turtles, including emydids and even </w:t>
      </w:r>
      <w:r>
        <w:rPr>
          <w:i/>
        </w:rPr>
        <w:t>Emys</w:t>
      </w:r>
      <w:r>
        <w:rPr/>
        <w:t xml:space="preserve">, to hybridize (e.g. Buskirk, Parham, and Feldman (2005; Spinks and Shaffer 2009; Parham et al. 2013)) it is hard to imagine how </w:t>
      </w:r>
      <w:r>
        <w:rPr>
          <w:i/>
        </w:rPr>
        <w:t>E. marmorata</w:t>
      </w:r>
      <w:r>
        <w:rPr/>
        <w:t xml:space="preserve"> and </w:t>
      </w:r>
      <w:r>
        <w:rPr>
          <w:i/>
        </w:rPr>
        <w:t>E. pallida</w:t>
      </w:r>
      <w:r>
        <w:rPr/>
        <w:t xml:space="preserve"> could maintain their integrity in the face of such admixture. Because the geography, natural history, and demonstrated genetic admixture of </w:t>
      </w:r>
      <w:r>
        <w:rPr>
          <w:i/>
        </w:rPr>
        <w:t>E. marmorata</w:t>
      </w:r>
      <w:r>
        <w:rPr/>
        <w:t xml:space="preserve"> conflict with the recognition of </w:t>
      </w:r>
      <w:r>
        <w:rPr>
          <w:i/>
        </w:rPr>
        <w:t>E. pallida</w:t>
      </w:r>
      <w:r>
        <w:rPr/>
        <w:t xml:space="preserve">, we hypothesize that out inability to classify the morphological data by proposed species is because </w:t>
      </w:r>
      <w:r>
        <w:rPr>
          <w:i/>
        </w:rPr>
        <w:t>E. pallida</w:t>
      </w:r>
      <w:r>
        <w:rPr/>
        <w:t xml:space="preserve"> is not a distinct species. We agree with Bryan C. Carstens et al. (2013) that “the inferences drawn from species delimitation studies should be conservative, for in most contexts it is better to fail to delimit species than it is to falsely delimit entities that do not represent actual evolutionary lineages.”</w:t>
      </w:r>
    </w:p>
    <w:p>
      <w:pPr>
        <w:pStyle w:val="Normal"/>
        <w:rPr/>
      </w:pPr>
      <w:r>
        <w:rPr/>
        <w:t xml:space="preserve">We fully agree with Spinks, Thomson, and Bradley Shaffer (2014) that </w:t>
      </w:r>
      <w:r>
        <w:rPr>
          <w:i/>
        </w:rPr>
        <w:t>E. marmorata</w:t>
      </w:r>
      <w:r>
        <w:rPr/>
        <w:t xml:space="preserve"> (</w:t>
      </w:r>
      <w:r>
        <w:rPr>
          <w:i/>
        </w:rPr>
        <w:t>sensu lato</w:t>
      </w:r>
      <w:r>
        <w:rPr/>
        <w:t>) is a species deserving of strong conservation efforts, we do not wish to trivialize this need. Moreover, the genetic diversity uncovered by the analysis of Spinks, Thomson, and Bradley Shaffer (2014) should be explicitly accounted for in any conservation plan. Given the apparent lack of morphological distinction, however, we consider that this diversity should be considered Evolutionary Significant Units or Distinct Population Segments instead of distinct species.</w:t>
      </w:r>
    </w:p>
    <w:p>
      <w:pPr>
        <w:pStyle w:val="Normal"/>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 Tests of both our preferred conclusion (</w:t>
      </w:r>
      <w:r>
        <w:rPr>
          <w:i/>
        </w:rPr>
        <w:t>E. marmorata</w:t>
      </w:r>
      <w:r>
        <w:rPr/>
        <w:t xml:space="preserve"> as a single species) and that Spinks, Thomson, and Bradley Shaffer (2014) should include additional tests of species delimitation using different methods and search for corroborating evidence as suggested by Bryan C. Carstens et al. (2013). From a morphological standpoint, support for the validity of “</w:t>
      </w:r>
      <w:r>
        <w:rPr>
          <w:i/>
        </w:rPr>
        <w:t>E. Pallida</w:t>
      </w:r>
      <w:r>
        <w:rPr/>
        <w:t xml:space="preserve">” may come from other aspects of morphology, such as carapace shape or other features that might be more informative. Lifewise, further investigation of the phylogeographic utility of plastron shape in other turtle species will help to clarify whether the lack of differentiation seen in </w:t>
      </w:r>
      <w:r>
        <w:rPr>
          <w:i/>
        </w:rPr>
        <w:t>E. marmoarata</w:t>
      </w:r>
      <w:r>
        <w:rPr/>
        <w:t xml:space="preserve"> is typical or an unusual case.</w:t>
      </w:r>
    </w:p>
    <w:p>
      <w:pPr>
        <w:pStyle w:val="Heading1"/>
        <w:rPr/>
      </w:pPr>
      <w:bookmarkStart w:id="28" w:name="acknowledgements"/>
      <w:bookmarkEnd w:id="28"/>
      <w:r>
        <w:rPr/>
        <w:t>Acknowledgements</w:t>
      </w:r>
    </w:p>
    <w:p>
      <w:pPr>
        <w:pStyle w:val="Normal"/>
        <w:rPr/>
      </w:pPr>
      <w:bookmarkStart w:id="29" w:name="acknowledgements"/>
      <w:bookmarkEnd w:id="29"/>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p>
    <w:p>
      <w:pPr>
        <w:pStyle w:val="Normal"/>
        <w:rPr/>
      </w:pPr>
      <w:r>
        <w:rPr/>
        <w:t>[ht]</w:t>
      </w:r>
    </w:p>
    <w:p>
      <w:pPr>
        <w:pStyle w:val="Normal"/>
        <w:rPr/>
      </w:pPr>
      <w:r>
        <w:rPr/>
        <w:t>l | c c | c c | c c &amp; &amp; &amp;</w:t>
      </w:r>
    </w:p>
    <w:p>
      <w:pPr>
        <w:pStyle w:val="Normal"/>
        <w:rPr/>
      </w:pPr>
      <w:r>
        <w:rPr/>
        <w:t>Scheme &amp; Observed &amp; Generalized &amp; Observed &amp; Generalized &amp; Observed &amp; Geneeralized</w:t>
      </w:r>
    </w:p>
    <w:p>
      <w:pPr>
        <w:pStyle w:val="Normal"/>
        <w:rPr/>
      </w:pPr>
      <w:r>
        <w:rPr/>
        <w:t>Morph 1 &amp; 0.63 &amp; 0.73 &amp; 0.75 &amp; 0.79 &amp; 0.75 &amp; 0.80</w:t>
      </w:r>
    </w:p>
    <w:p>
      <w:pPr>
        <w:pStyle w:val="Normal"/>
        <w:rPr/>
      </w:pPr>
      <w:r>
        <w:rPr/>
        <w:t>Morph 2 &amp; 0.61 &amp; 0.58 &amp; 0.76 &amp; 0.77 &amp; 0.76 &amp; 0.77</w:t>
      </w:r>
    </w:p>
    <w:p>
      <w:pPr>
        <w:pStyle w:val="Normal"/>
        <w:rPr/>
      </w:pPr>
      <w:r>
        <w:rPr/>
        <w:t>Mito 1&amp; 0.63 &amp; 0.62 &amp; 0.75 &amp; 0.63 &amp; 0.75 &amp; 0.63</w:t>
      </w:r>
    </w:p>
    <w:p>
      <w:pPr>
        <w:pStyle w:val="Normal"/>
        <w:rPr/>
      </w:pPr>
      <w:r>
        <w:rPr/>
        <w:t>Mito 2 &amp; 0.77 &amp; 0.67 &amp; 0.80 &amp; 0.64 &amp; 0.80 &amp; 0.63</w:t>
      </w:r>
    </w:p>
    <w:p>
      <w:pPr>
        <w:pStyle w:val="Normal"/>
        <w:rPr/>
      </w:pPr>
      <w:r>
        <w:rPr/>
        <w:t>Mito 3 &amp; 0.56 &amp; 0.64 &amp; 0.71 &amp; 0.74 &amp; 0.71 &amp; 0.73</w:t>
      </w:r>
    </w:p>
    <w:p>
      <w:pPr>
        <w:pStyle w:val="Normal"/>
        <w:rPr/>
      </w:pPr>
      <w:r>
        <w:rPr/>
        <w:t>Nuclear &amp; 0.56 &amp; 0.67 &amp; 0.74 &amp; 0.62 &amp; 0.74 &amp; 0.77</w:t>
      </w:r>
    </w:p>
    <w:p>
      <w:pPr>
        <w:pStyle w:val="Normal"/>
        <w:rPr/>
      </w:pPr>
      <w:r>
        <w:rPr/>
      </w:r>
    </w:p>
    <w:p>
      <w:pPr>
        <w:pStyle w:val="Normal"/>
        <w:rPr/>
      </w:pPr>
      <w:r>
        <w:rPr/>
        <w:t>[tab:comp]</w:t>
      </w:r>
    </w:p>
    <w:p>
      <w:pPr>
        <w:pStyle w:val="Normal"/>
        <w:rPr/>
      </w:pPr>
      <w:r>
        <w:rPr/>
        <w:t>l r r r Scheme &amp; RF &amp; MLR &amp; LDA</w:t>
      </w:r>
    </w:p>
    <w:p>
      <w:pPr>
        <w:pStyle w:val="Normal"/>
        <w:rPr/>
      </w:pPr>
      <w:r>
        <w:rPr/>
        <w:t xml:space="preserve">Morph 1 &amp; </w:t>
      </w:r>
      <w:r>
        <w:rPr/>
      </w:r>
      <m:oMath xmlns:m="http://schemas.openxmlformats.org/officeDocument/2006/math"/>
      <w:r>
        <w:rPr/>
        <w:t xml:space="preserve"> &amp; </w:t>
      </w:r>
      <w:r>
        <w:rPr/>
      </w:r>
      <m:oMath xmlns:m="http://schemas.openxmlformats.org/officeDocument/2006/math"/>
      <w:r>
        <w:rPr/>
        <w:t xml:space="preserve"> &amp; 1</w:t>
      </w:r>
    </w:p>
    <w:p>
      <w:pPr>
        <w:pStyle w:val="Normal"/>
        <w:rPr/>
      </w:pPr>
      <w:r>
        <w:rPr/>
        <w:t>Morph 2 &amp; 0.79 &amp; 0.55 &amp; 1</w:t>
      </w:r>
    </w:p>
    <w:p>
      <w:pPr>
        <w:pStyle w:val="Normal"/>
        <w:rPr/>
      </w:pPr>
      <w:r>
        <w:rPr/>
        <w:t>Mito 1 &amp; 0.89 &amp; 0.94 &amp; 1</w:t>
      </w:r>
    </w:p>
    <w:p>
      <w:pPr>
        <w:pStyle w:val="Normal"/>
        <w:rPr/>
      </w:pPr>
      <w:r>
        <w:rPr/>
        <w:t xml:space="preserve">Mito 2 &amp; 0.82 &amp; 0.57 &amp; </w:t>
      </w:r>
      <w:r>
        <w:rPr/>
      </w:r>
      <m:oMath xmlns:m="http://schemas.openxmlformats.org/officeDocument/2006/math"/>
    </w:p>
    <w:p>
      <w:pPr>
        <w:pStyle w:val="Normal"/>
        <w:rPr/>
      </w:pPr>
      <w:r>
        <w:rPr/>
        <w:t>Mito 3 &amp; 0.79 &amp; 0.69 &amp; 0.73</w:t>
      </w:r>
    </w:p>
    <w:p>
      <w:pPr>
        <w:pStyle w:val="Normal"/>
        <w:rPr/>
      </w:pPr>
      <w:r>
        <w:rPr/>
        <w:t>Nuclear &amp; 0.79 &amp; 0.96 &amp; 0.96</w:t>
      </w:r>
    </w:p>
    <w:p>
      <w:pPr>
        <w:pStyle w:val="Normal"/>
        <w:rPr/>
      </w:pPr>
      <w:r>
        <w:rPr/>
      </w:r>
    </w:p>
    <w:p>
      <w:pPr>
        <w:pStyle w:val="Normal"/>
        <w:rPr/>
      </w:pPr>
      <w:r>
        <w:rPr/>
        <w:t>[tab:gen</w:t>
      </w:r>
      <w:r>
        <w:rPr>
          <w:vertAlign w:val="subscript"/>
        </w:rPr>
        <w:t>t</w:t>
      </w:r>
      <w:r>
        <w:rPr/>
        <w:t>ests]</w:t>
      </w:r>
    </w:p>
    <w:p>
      <w:pPr>
        <w:pStyle w:val="Normal"/>
        <w:rPr/>
      </w:pPr>
      <w:r>
        <w:rPr/>
        <w:t>l | l r r r Scheme &amp; Class &amp; RF &amp; MLR &amp; LDA</w:t>
      </w:r>
    </w:p>
    <w:p>
      <w:pPr>
        <w:pStyle w:val="Normal"/>
        <w:rPr/>
      </w:pPr>
      <w:r>
        <w:rPr/>
        <w:t xml:space="preserve"> </w:t>
      </w:r>
      <w:r>
        <w:rPr/>
        <w:t>&amp; CCR &amp; 0.77 &amp; 1.00 &amp; 1.00</w:t>
      </w:r>
    </w:p>
    <w:p>
      <w:pPr>
        <w:pStyle w:val="Normal"/>
        <w:rPr/>
      </w:pPr>
      <w:r>
        <w:rPr/>
        <w:t>&amp; marm &amp; 0.87 &amp; 0.93 &amp; 1.00</w:t>
      </w:r>
    </w:p>
    <w:p>
      <w:pPr>
        <w:pStyle w:val="Normal"/>
        <w:rPr/>
      </w:pPr>
      <w:r>
        <w:rPr/>
        <w:t xml:space="preserve"> </w:t>
      </w:r>
      <w:r>
        <w:rPr/>
        <w:t>&amp; CCR &amp; 0.88 &amp; 1.00 &amp; 1.00</w:t>
      </w:r>
    </w:p>
    <w:p>
      <w:pPr>
        <w:pStyle w:val="Normal"/>
        <w:rPr/>
      </w:pPr>
      <w:r>
        <w:rPr/>
        <w:t>&amp; marm &amp; 1.00 &amp; 1.00 &amp; 0.98</w:t>
      </w:r>
    </w:p>
    <w:p>
      <w:pPr>
        <w:pStyle w:val="Normal"/>
        <w:rPr/>
      </w:pPr>
      <w:r>
        <w:rPr/>
        <w:t xml:space="preserve"> </w:t>
      </w:r>
      <w:r>
        <w:rPr/>
        <w:t>&amp; CCR &amp; 0.94 &amp; 0.99 &amp; 0.98</w:t>
      </w:r>
    </w:p>
    <w:p>
      <w:pPr>
        <w:pStyle w:val="Normal"/>
        <w:rPr/>
      </w:pPr>
      <w:r>
        <w:rPr/>
        <w:t>&amp; marm &amp; 0.99 &amp; 0.98 &amp; 0.47</w:t>
      </w:r>
    </w:p>
    <w:p>
      <w:pPr>
        <w:pStyle w:val="Normal"/>
        <w:rPr/>
      </w:pPr>
      <w:r>
        <w:rPr/>
        <w:t xml:space="preserve"> </w:t>
      </w:r>
      <w:r>
        <w:rPr/>
        <w:t>&amp; marm &amp; 0.85 &amp; 0.97 &amp; 0.96</w:t>
      </w:r>
    </w:p>
    <w:p>
      <w:pPr>
        <w:pStyle w:val="Normal"/>
        <w:rPr/>
      </w:pPr>
      <w:r>
        <w:rPr/>
        <w:t>&amp; pall &amp; 0.94 &amp; 1.00 &amp; 1.00</w:t>
      </w:r>
    </w:p>
    <w:p>
      <w:pPr>
        <w:pStyle w:val="Normal"/>
        <w:rPr/>
      </w:pPr>
      <w:r>
        <w:rPr/>
        <w:t xml:space="preserve"> </w:t>
      </w:r>
      <w:r>
        <w:rPr/>
        <w:t>&amp; 1 &amp; 0.40 &amp; 0.92 &amp; 0.90</w:t>
      </w:r>
    </w:p>
    <w:p>
      <w:pPr>
        <w:pStyle w:val="Normal"/>
        <w:rPr/>
      </w:pPr>
      <w:r>
        <w:rPr/>
        <w:t>&amp; 3 &amp; 0.97 &amp; 0.99 &amp; 1.00</w:t>
      </w:r>
    </w:p>
    <w:p>
      <w:pPr>
        <w:pStyle w:val="Normal"/>
        <w:rPr/>
      </w:pPr>
      <w:r>
        <w:rPr/>
        <w:t xml:space="preserve"> </w:t>
      </w:r>
      <w:r>
        <w:rPr/>
        <w:t>&amp; marm &amp; 1.00 &amp; 1.00 &amp; 1.00</w:t>
      </w:r>
    </w:p>
    <w:p>
      <w:pPr>
        <w:pStyle w:val="Normal"/>
        <w:rPr/>
      </w:pPr>
      <w:r>
        <w:rPr/>
        <w:t>&amp; pall &amp; 0.99 &amp; 1.00 &amp; 1.00</w:t>
      </w:r>
    </w:p>
    <w:p>
      <w:pPr>
        <w:pStyle w:val="Normal"/>
        <w:rPr/>
      </w:pPr>
      <w:r>
        <w:rPr/>
      </w:r>
    </w:p>
    <w:p>
      <w:pPr>
        <w:pStyle w:val="Normal"/>
        <w:rPr/>
      </w:pPr>
      <w:r>
        <w:rPr/>
        <w:t>[tab:miss</w:t>
      </w:r>
      <w:r>
        <w:rPr>
          <w:vertAlign w:val="subscript"/>
        </w:rPr>
        <w:t>t</w:t>
      </w:r>
      <w:r>
        <w:rPr/>
        <w:t>ests]</w:t>
      </w:r>
    </w:p>
    <w:p>
      <w:pPr>
        <w:pStyle w:val="Normal"/>
        <w:rPr/>
      </w:pPr>
      <w:r>
        <w:rPr/>
        <w:t>[ht] image [fig:plastra]</w:t>
      </w:r>
    </w:p>
    <w:p>
      <w:pPr>
        <w:pStyle w:val="Normal"/>
        <w:rPr/>
      </w:pPr>
      <w:r>
        <w:rPr/>
        <w:t>[ht] image [fig:gap]</w:t>
      </w:r>
    </w:p>
    <w:p>
      <w:pPr>
        <w:pStyle w:val="Normal"/>
        <w:rPr/>
      </w:pPr>
      <w:r>
        <w:rPr/>
        <w:t>[ht] image [fig:gap</w:t>
      </w:r>
      <w:r>
        <w:rPr>
          <w:vertAlign w:val="subscript"/>
        </w:rPr>
        <w:t>m</w:t>
      </w:r>
      <w:r>
        <w:rPr/>
        <w:t>ap]</w:t>
      </w:r>
    </w:p>
    <w:p>
      <w:pPr>
        <w:pStyle w:val="Normal"/>
        <w:rPr/>
      </w:pPr>
      <w:r>
        <w:rPr/>
        <w:t>[ht] image [fig:sel]</w:t>
      </w:r>
    </w:p>
    <w:p>
      <w:pPr>
        <w:pStyle w:val="Normal"/>
        <w:rPr/>
      </w:pPr>
      <w:r>
        <w:rPr/>
        <w:t>[ht] image [fig:var</w:t>
      </w:r>
      <w:r>
        <w:rPr>
          <w:vertAlign w:val="subscript"/>
        </w:rPr>
        <w:t>i</w:t>
      </w:r>
      <w:r>
        <w:rPr/>
        <w:t>mp]</w:t>
      </w:r>
    </w:p>
    <w:p>
      <w:pPr>
        <w:pStyle w:val="Normal"/>
        <w:rPr/>
      </w:pPr>
      <w:r>
        <w:rPr/>
        <w:t>[ht] image [fig:gen</w:t>
      </w:r>
      <w:r>
        <w:rPr>
          <w:vertAlign w:val="subscript"/>
        </w:rPr>
        <w:t>h</w:t>
      </w:r>
      <w:r>
        <w:rPr/>
        <w:t>ist]</w:t>
      </w:r>
    </w:p>
    <w:p>
      <w:pPr>
        <w:pStyle w:val="Normal"/>
        <w:rPr/>
      </w:pPr>
      <w:r>
        <w:rPr/>
        <w:t>[ht]</w:t>
      </w:r>
    </w:p>
    <w:p>
      <w:pPr>
        <w:pStyle w:val="Normal"/>
        <w:rPr/>
      </w:pPr>
      <w:r>
        <w:rPr/>
        <w:t>l r r r &amp; # predictors &amp; In-sample AUC &amp; Out-of-sample AUC</w:t>
      </w:r>
    </w:p>
    <w:p>
      <w:pPr>
        <w:pStyle w:val="Normal"/>
        <w:rPr/>
      </w:pPr>
      <w:r>
        <w:rPr/>
        <w:t>RF &amp; 11 &amp; 1.000 &amp; 0.999</w:t>
      </w:r>
    </w:p>
    <w:p>
      <w:pPr>
        <w:pStyle w:val="Normal"/>
        <w:rPr/>
      </w:pPr>
      <w:r>
        <w:rPr/>
        <w:t>MLR &amp; 6 &amp; 1.000 &amp; 0.998</w:t>
      </w:r>
    </w:p>
    <w:p>
      <w:pPr>
        <w:pStyle w:val="Normal"/>
        <w:rPr/>
      </w:pPr>
      <w:r>
        <w:rPr/>
        <w:t>LDA &amp; 10 &amp; 1.000 &amp; 1.000</w:t>
      </w:r>
    </w:p>
    <w:p>
      <w:pPr>
        <w:pStyle w:val="Normal"/>
        <w:rPr/>
      </w:pPr>
      <w:r>
        <w:rPr/>
      </w:r>
    </w:p>
    <w:p>
      <w:pPr>
        <w:pStyle w:val="Normal"/>
        <w:rPr/>
      </w:pPr>
      <w:r>
        <w:rPr/>
        <w:t>[tab:second</w:t>
      </w:r>
      <w:r>
        <w:rPr>
          <w:vertAlign w:val="subscript"/>
        </w:rPr>
        <w:t>r</w:t>
      </w:r>
      <w:r>
        <w:rPr/>
        <w:t>es]</w:t>
      </w:r>
    </w:p>
    <w:p>
      <w:pPr>
        <w:pStyle w:val="Normal"/>
        <w:rPr/>
      </w:pPr>
      <w:r>
        <w:rPr/>
        <w:t xml:space="preserve">Angielczyk, Kenneth D., Chris R. Feldman, and Gretchen R. Miller. 2011. “Adaptive evolution of plastron shape in emydine turtles.” </w:t>
      </w:r>
      <w:r>
        <w:rPr>
          <w:i/>
        </w:rPr>
        <w:t>Evolution</w:t>
      </w:r>
      <w:r>
        <w:rPr/>
        <w:t xml:space="preserve"> 65 (2) (feb): 377–394. doi:10.1111/j.1558-5646.2010.01118.x.</w:t>
      </w:r>
    </w:p>
    <w:p>
      <w:pPr>
        <w:pStyle w:val="Normal"/>
        <w:rPr/>
      </w:pPr>
      <w:r>
        <w:rPr/>
        <w:t xml:space="preserve">Angielczyk, Kenneth D., and Chris R. Feldman. 2013. “Are diminutive turtles miniaturized? The ontogeny of plastron shape in emydine turtles.” </w:t>
      </w:r>
      <w:r>
        <w:rPr>
          <w:i/>
        </w:rPr>
        <w:t>Biological Journal of the Linnean Society</w:t>
      </w:r>
      <w:r>
        <w:rPr/>
        <w:t xml:space="preserve"> 108 (4) (apr): 727–755. doi:10.1111/bij.12010. </w:t>
      </w:r>
      <w:hyperlink r:id="rId2">
        <w:r>
          <w:rPr>
            <w:rStyle w:val="InternetLink"/>
          </w:rPr>
          <w:t>http://doi.wiley.com/10.1111/bij.12010</w:t>
        </w:r>
      </w:hyperlink>
      <w:r>
        <w:rPr/>
        <w:t>.</w:t>
      </w:r>
    </w:p>
    <w:p>
      <w:pPr>
        <w:pStyle w:val="Normal"/>
        <w:rPr/>
      </w:pPr>
      <w:r>
        <w:rPr/>
        <w:t xml:space="preserve">Angielczyk, Kenneth D., and H. David Sheets. 2007. “Investigation of simulated tectonic deformation in fossils using geometric morphometrics.” </w:t>
      </w:r>
      <w:r>
        <w:rPr>
          <w:i/>
        </w:rPr>
        <w:t>Paleobiology</w:t>
      </w:r>
      <w:r>
        <w:rPr/>
        <w:t xml:space="preserve"> 33 (1): 125–148.</w:t>
      </w:r>
    </w:p>
    <w:p>
      <w:pPr>
        <w:pStyle w:val="Normal"/>
        <w:rPr/>
      </w:pPr>
      <w:r>
        <w:rPr/>
        <w:t>Anon. “2013 not found!”</w:t>
      </w:r>
    </w:p>
    <w:p>
      <w:pPr>
        <w:pStyle w:val="Normal"/>
        <w:rPr/>
      </w:pPr>
      <w:r>
        <w:rPr/>
        <w:t>Anon. “Dryden2013 not found!”</w:t>
      </w:r>
    </w:p>
    <w:p>
      <w:pPr>
        <w:pStyle w:val="Normal"/>
        <w:rPr/>
      </w:pPr>
      <w:r>
        <w:rPr/>
        <w:t>Anon. “Maechler2013 not found!”</w:t>
      </w:r>
    </w:p>
    <w:p>
      <w:pPr>
        <w:pStyle w:val="Normal"/>
        <w:rPr/>
      </w:pPr>
      <w:r>
        <w:rPr/>
        <w:t>Anon. “KuhnMAN2013 not found!”</w:t>
      </w:r>
    </w:p>
    <w:p>
      <w:pPr>
        <w:pStyle w:val="Normal"/>
        <w:rPr/>
      </w:pPr>
      <w:r>
        <w:rPr/>
        <w:t xml:space="preserve">Baird, S. F., and C. Girard. 1852. “Descriptions of new species of reptiles collected by the U.S. Exploring Expedition under the command of Capt. Charles Wilkes.” </w:t>
      </w:r>
      <w:r>
        <w:rPr>
          <w:i/>
        </w:rPr>
        <w:t>Proceedings of the National Academy of Sciences Philadelphia</w:t>
      </w:r>
      <w:r>
        <w:rPr/>
        <w:t xml:space="preserve"> 6: 174–177.</w:t>
      </w:r>
    </w:p>
    <w:p>
      <w:pPr>
        <w:pStyle w:val="Normal"/>
        <w:rPr/>
      </w:pPr>
      <w:r>
        <w:rPr/>
        <w:t xml:space="preserve">Bauer, Aaron M., James F. Parham, Rafe M. Brown, Bryan L. Stuart, Lee Grismer, Theodore J. Papenfuss, W. Bohme, et al. 2000. “Availability of new Baysian-delimited gecko names and the importance of character-based species descriptions.” </w:t>
      </w:r>
      <w:r>
        <w:rPr>
          <w:i/>
        </w:rPr>
        <w:t>Proceedings of the Royal Society B: Biological Sciences</w:t>
      </w:r>
      <w:r>
        <w:rPr/>
        <w:t xml:space="preserve"> 278: 490–492. doi:10.2307/1467045. </w:t>
      </w:r>
      <w:hyperlink r:id="rId3">
        <w:r>
          <w:rPr>
            <w:rStyle w:val="InternetLink"/>
          </w:rPr>
          <w:t>http://www.jstor.org/stable/1467045?origin=crossref</w:t>
        </w:r>
      </w:hyperlink>
      <w:r>
        <w:rPr/>
        <w:t>.</w:t>
      </w:r>
    </w:p>
    <w:p>
      <w:pPr>
        <w:pStyle w:val="Normal"/>
        <w:rPr/>
      </w:pPr>
      <w:r>
        <w:rPr/>
        <w:t xml:space="preserve">Baylac, Michel, Claire Villemant, and Giuseppina Simbolotti. 2003. “Combining geometric morphometrics with pattern recognition for the investigation of species complexes.” </w:t>
      </w:r>
      <w:r>
        <w:rPr>
          <w:i/>
        </w:rPr>
        <w:t>Biological Journal of the Linnean Society</w:t>
      </w:r>
      <w:r>
        <w:rPr/>
        <w:t xml:space="preserve"> 80: 89–98.</w:t>
      </w:r>
    </w:p>
    <w:p>
      <w:pPr>
        <w:pStyle w:val="Normal"/>
        <w:rPr/>
      </w:pPr>
      <w:r>
        <w:rPr/>
        <w:t xml:space="preserve">Bickford, David, David J. Lohman, Navjot S. Sodhi, Peter K. L. Ng, Rudolf Meier, Kevin Winker, Krista K. Ingram, and Indraneil Das. 2007. “Cryptic species as a window on diversity and conservation.” </w:t>
      </w:r>
      <w:r>
        <w:rPr>
          <w:i/>
        </w:rPr>
        <w:t>Trends in ecology &amp; evolution</w:t>
      </w:r>
      <w:r>
        <w:rPr/>
        <w:t xml:space="preserve"> 22 (3) (mar): 148–55. doi:10.1016/j.tree.2006.11.004. </w:t>
      </w:r>
      <w:hyperlink r:id="rId4">
        <w:r>
          <w:rPr>
            <w:rStyle w:val="InternetLink"/>
          </w:rPr>
          <w:t>http://www.ncbi.nlm.nih.gov/pubmed/17129636</w:t>
        </w:r>
      </w:hyperlink>
      <w:r>
        <w:rPr/>
        <w:t>.</w:t>
      </w:r>
    </w:p>
    <w:p>
      <w:pPr>
        <w:pStyle w:val="Normal"/>
        <w:rPr/>
      </w:pPr>
      <w:r>
        <w:rPr/>
        <w:t xml:space="preserve">Breiman, Leo. 2001. “Random Forests.” </w:t>
      </w:r>
      <w:r>
        <w:rPr>
          <w:i/>
        </w:rPr>
        <w:t>Machine Learning</w:t>
      </w:r>
      <w:r>
        <w:rPr/>
        <w:t xml:space="preserve"> 45 (1): 5–32.</w:t>
      </w:r>
    </w:p>
    <w:p>
      <w:pPr>
        <w:pStyle w:val="Normal"/>
        <w:rPr/>
      </w:pPr>
      <w:r>
        <w:rPr/>
        <w:t xml:space="preserve">Breiman, Leo, Jerome Friedman, Charles J. Stone, and R. A. Olshen. 1984. </w:t>
      </w:r>
      <w:r>
        <w:rPr>
          <w:i/>
        </w:rPr>
        <w:t>Classification and regression trees</w:t>
      </w:r>
      <w:r>
        <w:rPr/>
        <w:t>. Belmont: Wadsworth International Group.</w:t>
      </w:r>
    </w:p>
    <w:p>
      <w:pPr>
        <w:pStyle w:val="Normal"/>
        <w:rPr/>
      </w:pPr>
      <w:r>
        <w:rPr/>
        <w:t xml:space="preserve">van den Brink, Valentijn, and Folmer Bokma. 2011. “Morphometric shape analysis using learning vector quantization neural networks — an example distinguishing two microtine vole species.” </w:t>
      </w:r>
      <w:r>
        <w:rPr>
          <w:i/>
        </w:rPr>
        <w:t>Annales Zoologici Fennici</w:t>
      </w:r>
      <w:r>
        <w:rPr/>
        <w:t xml:space="preserve"> 48: 359–364.</w:t>
      </w:r>
    </w:p>
    <w:p>
      <w:pPr>
        <w:pStyle w:val="Normal"/>
        <w:rPr/>
      </w:pPr>
      <w:r>
        <w:rPr/>
        <w:t xml:space="preserve">Bury, R. Bruce, David J. Germano, and Gwendolynn W. Bury. 2010. “Population Structure and Growth of the Turtle Actinemys marmorata from the Klamath–Siskiyou Ecoregion: Age, Not Size, Matters.” </w:t>
      </w:r>
      <w:r>
        <w:rPr>
          <w:i/>
        </w:rPr>
        <w:t>Copeia</w:t>
      </w:r>
      <w:r>
        <w:rPr/>
        <w:t xml:space="preserve"> 2010 (3) (sep): 443–451. doi:10.1643/CH-08-096. </w:t>
      </w:r>
      <w:hyperlink r:id="rId5">
        <w:r>
          <w:rPr>
            <w:rStyle w:val="InternetLink"/>
          </w:rPr>
          <w:t>http://www.bioone.org/doi/abs/10.1643/CH-08-096</w:t>
        </w:r>
      </w:hyperlink>
      <w:r>
        <w:rPr/>
        <w:t>.</w:t>
      </w:r>
    </w:p>
    <w:p>
      <w:pPr>
        <w:pStyle w:val="Normal"/>
        <w:rPr/>
      </w:pPr>
      <w:r>
        <w:rPr/>
        <w:t xml:space="preserve">Buskirk, S. W., James F. Parham, and Chris R. Feldman. 2005. “On the hybridisation between two distantly related Asian turtles (Testudines: Scalia x Mauremys).” </w:t>
      </w:r>
      <w:r>
        <w:rPr>
          <w:i/>
        </w:rPr>
        <w:t>Salamandra</w:t>
      </w:r>
      <w:r>
        <w:rPr/>
        <w:t xml:space="preserve"> 41: 21–26.</w:t>
      </w:r>
    </w:p>
    <w:p>
      <w:pPr>
        <w:pStyle w:val="Normal"/>
        <w:rPr/>
      </w:pPr>
      <w:r>
        <w:rPr/>
        <w:t xml:space="preserve">Cardini, A., D. Nagorsen, P. O’Higgins, P. David Polly, R. W. Thorington Jr, and P. Tongiorgi. 2009. “Detecting biological distinctiveness using geometric morphometrics: an example case from the Vancouver Island marmot.” </w:t>
      </w:r>
      <w:r>
        <w:rPr>
          <w:i/>
        </w:rPr>
        <w:t>Ethology Ecology &amp; Evolution</w:t>
      </w:r>
      <w:r>
        <w:rPr/>
        <w:t xml:space="preserve"> 21: 209–223.</w:t>
      </w:r>
    </w:p>
    <w:p>
      <w:pPr>
        <w:pStyle w:val="Normal"/>
        <w:rPr/>
      </w:pPr>
      <w:r>
        <w:rPr/>
        <w:t xml:space="preserve">Carstens, B. C., and T. A. Dewey. 2010. “Species Delimitation Using a Combined Coalescent and Information-Theoretic Approach: An Example from North American Myotis Bats.” </w:t>
      </w:r>
      <w:r>
        <w:rPr>
          <w:i/>
        </w:rPr>
        <w:t>Systematic Biology</w:t>
      </w:r>
      <w:r>
        <w:rPr/>
        <w:t xml:space="preserve"> 59 (4): 400–414. </w:t>
      </w:r>
      <w:hyperlink r:id="rId6">
        <w:r>
          <w:rPr>
            <w:rStyle w:val="InternetLink"/>
          </w:rPr>
          <w:t>papers2://publication/doi/10.1093/sysbio/syq024</w:t>
        </w:r>
      </w:hyperlink>
      <w:r>
        <w:rPr/>
        <w:t>.</w:t>
      </w:r>
    </w:p>
    <w:p>
      <w:pPr>
        <w:pStyle w:val="Normal"/>
        <w:rPr/>
      </w:pPr>
      <w:r>
        <w:rPr/>
        <w:t xml:space="preserve">Carstens, Bryan C., Tara a Pelletier, Noah M. Reid, and Jordan D. Satler. 2013. “How to fail at species delimitation.” </w:t>
      </w:r>
      <w:r>
        <w:rPr>
          <w:i/>
        </w:rPr>
        <w:t>Molecular ecology</w:t>
      </w:r>
      <w:r>
        <w:rPr/>
        <w:t xml:space="preserve"> 22 (17) (sep): 4369–83. doi:10.1111/mec.12413. </w:t>
      </w:r>
      <w:hyperlink r:id="rId7">
        <w:r>
          <w:rPr>
            <w:rStyle w:val="InternetLink"/>
          </w:rPr>
          <w:t>http://www.ncbi.nlm.nih.gov/pubmed/23855767</w:t>
        </w:r>
      </w:hyperlink>
      <w:r>
        <w:rPr/>
        <w:t>.</w:t>
      </w:r>
    </w:p>
    <w:p>
      <w:pPr>
        <w:pStyle w:val="Normal"/>
        <w:rPr/>
      </w:pPr>
      <w:r>
        <w:rPr/>
        <w:t xml:space="preserve">Caumul, Radhekshmi, and P. David Polly. 2005. “Phylogenetic and environmental components of morphological variation: skull, mandible, and molar shape in marmots (Marmota, Rodentia).” </w:t>
      </w:r>
      <w:r>
        <w:rPr>
          <w:i/>
        </w:rPr>
        <w:t>Evolution; international journal of organic evolution</w:t>
      </w:r>
      <w:r>
        <w:rPr/>
        <w:t xml:space="preserve"> 59 (11) (nov): 2460–72. </w:t>
      </w:r>
      <w:hyperlink r:id="rId8">
        <w:r>
          <w:rPr>
            <w:rStyle w:val="InternetLink"/>
          </w:rPr>
          <w:t>http://www.ncbi.nlm.nih.gov/pubmed/16396186</w:t>
        </w:r>
      </w:hyperlink>
      <w:r>
        <w:rPr/>
        <w:t>.</w:t>
      </w:r>
    </w:p>
    <w:p>
      <w:pPr>
        <w:pStyle w:val="Normal"/>
        <w:rPr/>
      </w:pPr>
      <w:r>
        <w:rPr/>
        <w:t xml:space="preserve">Clare, Elizabeth L. 2011. “Cryptic species? Patterns of maternal and paternal gene flow in eight neotropical bats.” </w:t>
      </w:r>
      <w:r>
        <w:rPr>
          <w:i/>
        </w:rPr>
        <w:t>PloS one</w:t>
      </w:r>
      <w:r>
        <w:rPr/>
        <w:t xml:space="preserve"> 6 (7) (jan): e21460. doi:10.1371/journal.pone.0021460.</w:t>
      </w:r>
    </w:p>
    <w:p>
      <w:pPr>
        <w:pStyle w:val="Normal"/>
        <w:rPr/>
      </w:pPr>
      <w:r>
        <w:rPr/>
        <w:t xml:space="preserve">Dayrat, Benoît. 2005. “Towards integrative taxonomy.” </w:t>
      </w:r>
      <w:r>
        <w:rPr>
          <w:i/>
        </w:rPr>
        <w:t>Biological Journal of the Linnean Society</w:t>
      </w:r>
      <w:r>
        <w:rPr/>
        <w:t xml:space="preserve"> 85: 407–415.</w:t>
      </w:r>
    </w:p>
    <w:p>
      <w:pPr>
        <w:pStyle w:val="Normal"/>
        <w:rPr/>
      </w:pPr>
      <w:r>
        <w:rPr/>
        <w:t xml:space="preserve">De Queiroz, Kevin. 2007. “Species concepts and species delimitation.” </w:t>
      </w:r>
      <w:r>
        <w:rPr>
          <w:i/>
        </w:rPr>
        <w:t>Systematic Biology</w:t>
      </w:r>
      <w:r>
        <w:rPr/>
        <w:t xml:space="preserve"> 56 (6) (dec): 879–86. doi:10.1080/10635150701701083. </w:t>
      </w:r>
      <w:hyperlink r:id="rId9">
        <w:r>
          <w:rPr>
            <w:rStyle w:val="InternetLink"/>
          </w:rPr>
          <w:t>http://www.ncbi.nlm.nih.gov/pubmed/18027281</w:t>
        </w:r>
      </w:hyperlink>
      <w:r>
        <w:rPr/>
        <w:t>.</w:t>
      </w:r>
    </w:p>
    <w:p>
      <w:pPr>
        <w:pStyle w:val="Normal"/>
        <w:rPr/>
      </w:pPr>
      <w:r>
        <w:rPr/>
        <w:t xml:space="preserve">Demandt, M. H., and S. Bergek. 2009. “Identification of cyprinid hybrids by using geometric morphometrics and microsatellites.” </w:t>
      </w:r>
      <w:r>
        <w:rPr>
          <w:i/>
        </w:rPr>
        <w:t>Journal of Applied Ichthyology</w:t>
      </w:r>
      <w:r>
        <w:rPr/>
        <w:t xml:space="preserve"> 25 (6) (dec): 695–701. doi:10.1111/j.1439-0426.2009.01329.x. </w:t>
      </w:r>
      <w:hyperlink r:id="rId10">
        <w:r>
          <w:rPr>
            <w:rStyle w:val="InternetLink"/>
          </w:rPr>
          <w:t>http://doi.wiley.com/10.1111/j.1439-0426.2009.01329.x</w:t>
        </w:r>
      </w:hyperlink>
      <w:r>
        <w:rPr/>
        <w:t>.</w:t>
      </w:r>
    </w:p>
    <w:p>
      <w:pPr>
        <w:pStyle w:val="Normal"/>
        <w:rPr/>
      </w:pPr>
      <w:r>
        <w:rPr/>
        <w:t xml:space="preserve">Dobigny, G., L. Granjon, V. Aniskin, K. Ba, and V. Voloboulev. 2003. “A new sigling species of Taterillus (Muridae, Gerbillinae) from West Agrica.” </w:t>
      </w:r>
      <w:r>
        <w:rPr>
          <w:i/>
        </w:rPr>
        <w:t>Mammalian Biology</w:t>
      </w:r>
      <w:r>
        <w:rPr/>
        <w:t xml:space="preserve"> 68: 299–316.</w:t>
      </w:r>
    </w:p>
    <w:p>
      <w:pPr>
        <w:pStyle w:val="Normal"/>
        <w:rPr/>
      </w:pPr>
      <w:r>
        <w:rPr/>
        <w:t xml:space="preserve">Dryden, Ian L., and Kanti Y. Mardia. 1998. </w:t>
      </w:r>
      <w:r>
        <w:rPr>
          <w:i/>
        </w:rPr>
        <w:t>Statistical shape analysis</w:t>
      </w:r>
      <w:r>
        <w:rPr/>
        <w:t>. New York: Wiley.</w:t>
      </w:r>
    </w:p>
    <w:p>
      <w:pPr>
        <w:pStyle w:val="Normal"/>
        <w:rPr/>
      </w:pPr>
      <w:r>
        <w:rPr/>
        <w:t xml:space="preserve">Eldredge, Niles, and Stephen Jay Gould. 1972. “Punctuated equilibria: an alternative to phyletic gradualism.” In </w:t>
      </w:r>
      <w:r>
        <w:rPr>
          <w:i/>
        </w:rPr>
        <w:t>Models in Paleobiology</w:t>
      </w:r>
      <w:r>
        <w:rPr/>
        <w:t>, ed. Thomas J. M. Schopf, 82–115. San Francisco: Freeman Cooper.</w:t>
      </w:r>
    </w:p>
    <w:p>
      <w:pPr>
        <w:pStyle w:val="Normal"/>
        <w:rPr/>
      </w:pPr>
      <w:r>
        <w:rPr/>
        <w:t xml:space="preserve">Feldman, Chris R., and James Ford Parham. 2002. “Molecular phylogenetics of emydine turtles: taxonomic revision and the evolution of shell kinesis.” </w:t>
      </w:r>
      <w:r>
        <w:rPr>
          <w:i/>
        </w:rPr>
        <w:t>Molecular Phylogenetics and Evolution</w:t>
      </w:r>
      <w:r>
        <w:rPr/>
        <w:t xml:space="preserve"> 22 (3) (mar): 388–98. doi:10.1006/mpev.2001.1070. </w:t>
      </w:r>
      <w:hyperlink r:id="rId11">
        <w:r>
          <w:rPr>
            <w:rStyle w:val="InternetLink"/>
          </w:rPr>
          <w:t>http://www.ncbi.nlm.nih.gov/pubmed/11884163</w:t>
        </w:r>
      </w:hyperlink>
      <w:r>
        <w:rPr/>
        <w:t>.</w:t>
      </w:r>
    </w:p>
    <w:p>
      <w:pPr>
        <w:pStyle w:val="Normal"/>
        <w:rPr/>
      </w:pPr>
      <w:r>
        <w:rPr/>
        <w:t xml:space="preserve">Francoy, T. M., R. A. O. Silva, P. Nunes-Silva, C. Menezes, and V. L. Imperatriz-Fonseca. 2009. “Gender identification of five genera of stingless bees (Apidae, Meliponini) based on wing morphology.” </w:t>
      </w:r>
      <w:r>
        <w:rPr>
          <w:i/>
        </w:rPr>
        <w:t>Genetics and molecular research</w:t>
      </w:r>
      <w:r>
        <w:rPr/>
        <w:t xml:space="preserve"> 8 (1): 207–214.</w:t>
      </w:r>
    </w:p>
    <w:p>
      <w:pPr>
        <w:pStyle w:val="Normal"/>
        <w:rPr/>
      </w:pPr>
      <w:r>
        <w:rPr/>
        <w:t xml:space="preserve">Funk, W. Chris, Marcel Caminer, and Santiago R. Ron. 2012. “High levels of cryptic species diversity uncovered in Amazonian frogs.” </w:t>
      </w:r>
      <w:r>
        <w:rPr>
          <w:i/>
        </w:rPr>
        <w:t>Proceedings of the Royal Society B: Biological Sciences</w:t>
      </w:r>
      <w:r>
        <w:rPr/>
        <w:t xml:space="preserve"> 279 (1734) (may): 1806–14. doi:10.1098/rspb.2011.1653.</w:t>
      </w:r>
    </w:p>
    <w:p>
      <w:pPr>
        <w:pStyle w:val="Normal"/>
        <w:rPr/>
      </w:pPr>
      <w:r>
        <w:rPr/>
        <w:t xml:space="preserve">Gaubert, Philippe, Peter J. Taylor, Carlos a Fernandes, Michael W. Bruford, and Geraldine Veron. 2005. “Patterns of cryptic hybridization revealed using an integrative approach: a case study on genets (Carnivora, Viverridae, Genetta spp.) from the southern African subregion.” </w:t>
      </w:r>
      <w:r>
        <w:rPr>
          <w:i/>
        </w:rPr>
        <w:t>Biological Journal of the Linnean Society</w:t>
      </w:r>
      <w:r>
        <w:rPr/>
        <w:t xml:space="preserve"> 86 (1) (aug): 11–33. doi:10.1111/j.1095-8312.2005.00518.x. </w:t>
      </w:r>
      <w:hyperlink r:id="rId12">
        <w:r>
          <w:rPr>
            <w:rStyle w:val="InternetLink"/>
          </w:rPr>
          <w:t>http://doi.wiley.com/10.1111/j.1095-8312.2005.00518.x</w:t>
        </w:r>
      </w:hyperlink>
      <w:r>
        <w:rPr/>
        <w:t>.</w:t>
      </w:r>
    </w:p>
    <w:p>
      <w:pPr>
        <w:pStyle w:val="Normal"/>
        <w:rPr/>
      </w:pPr>
      <w:r>
        <w:rPr/>
        <w:t xml:space="preserve">Germano, David J., and R. Bruce Bury. 2009. “Variation in body size, growth, and population structure of Actinemys marmorata from lentic and lotic habitats in Southern Oregon.” </w:t>
      </w:r>
      <w:r>
        <w:rPr>
          <w:i/>
        </w:rPr>
        <w:t>Journal of Herpetology</w:t>
      </w:r>
      <w:r>
        <w:rPr/>
        <w:t xml:space="preserve"> 43 (3): 510–520.</w:t>
      </w:r>
    </w:p>
    <w:p>
      <w:pPr>
        <w:pStyle w:val="Normal"/>
        <w:rPr/>
      </w:pPr>
      <w:r>
        <w:rPr/>
        <w:t xml:space="preserve">Germano, David J., and Galen B. Rathbun. 2008. “Growth, population structure, and reproduction of western pond turtles (Actinemys marmorata) on the Central Coast of California.” </w:t>
      </w:r>
      <w:r>
        <w:rPr>
          <w:i/>
        </w:rPr>
        <w:t>Chelonian Conservation and Biology</w:t>
      </w:r>
      <w:r>
        <w:rPr/>
        <w:t xml:space="preserve"> 7 (2): 188–194.</w:t>
      </w:r>
    </w:p>
    <w:p>
      <w:pPr>
        <w:pStyle w:val="Normal"/>
        <w:rPr/>
      </w:pPr>
      <w:r>
        <w:rPr/>
        <w:t xml:space="preserve">Gould, Stephen Jay, and Niles Eldredge. 1977. “Punctuated equilibria: the tempo and mode of evolution reconsidered.” </w:t>
      </w:r>
      <w:r>
        <w:rPr>
          <w:i/>
        </w:rPr>
        <w:t>Paleobiology</w:t>
      </w:r>
      <w:r>
        <w:rPr/>
        <w:t xml:space="preserve"> 3 (2): 115–151.</w:t>
      </w:r>
    </w:p>
    <w:p>
      <w:pPr>
        <w:pStyle w:val="Normal"/>
        <w:rPr/>
      </w:pPr>
      <w:r>
        <w:rPr/>
        <w:t xml:space="preserve">Gündüz, Islam, Maarit Jaarola, Coskun Tez, Can Yeniyurt, P. David Polly, and Jeremy B. Searle. 2007. “Multigenic and morphometric differentiation of ground squirrels (Spermophilus, Scuiridae, Rodentia) in Turkey, with a description of a new species.” </w:t>
      </w:r>
      <w:r>
        <w:rPr>
          <w:i/>
        </w:rPr>
        <w:t>Molecular phylogenetics and evolution</w:t>
      </w:r>
      <w:r>
        <w:rPr/>
        <w:t xml:space="preserve"> 43 (3) (jun): 916–35. doi:10.1016/j.ympev.2007.02.021. </w:t>
      </w:r>
      <w:hyperlink r:id="rId13">
        <w:r>
          <w:rPr>
            <w:rStyle w:val="InternetLink"/>
          </w:rPr>
          <w:t>http://www.ncbi.nlm.nih.gov/pubmed/17500011</w:t>
        </w:r>
      </w:hyperlink>
      <w:r>
        <w:rPr/>
        <w:t>.</w:t>
      </w:r>
    </w:p>
    <w:p>
      <w:pPr>
        <w:pStyle w:val="Normal"/>
        <w:rPr/>
      </w:pPr>
      <w:r>
        <w:rPr/>
        <w:t xml:space="preserve">Hand, David J., and Robert J. Till. 2001. “A Simple Generalisation of the Area Under the ROC Curve for Multiple Class Classification Problems.” </w:t>
      </w:r>
      <w:r>
        <w:rPr>
          <w:i/>
        </w:rPr>
        <w:t>Machine Learning</w:t>
      </w:r>
      <w:r>
        <w:rPr/>
        <w:t xml:space="preserve"> 45: 171–186.</w:t>
      </w:r>
    </w:p>
    <w:p>
      <w:pPr>
        <w:pStyle w:val="Normal"/>
        <w:rPr/>
      </w:pPr>
      <w:r>
        <w:rPr/>
        <w:t xml:space="preserve">Hastie, Trevor, Robert Tibshirani, and Jerome Friedman. 2009. </w:t>
      </w:r>
      <w:r>
        <w:rPr>
          <w:i/>
        </w:rPr>
        <w:t>The elements of statistical learning: data mining, inference, and prediction</w:t>
      </w:r>
      <w:r>
        <w:rPr/>
        <w:t>. 2nd ed.. New York: Springer.</w:t>
      </w:r>
    </w:p>
    <w:p>
      <w:pPr>
        <w:pStyle w:val="Normal"/>
        <w:rPr/>
      </w:pPr>
      <w:r>
        <w:rPr/>
        <w:t xml:space="preserve">Hausdorf, Bernhard, and Christian Hennig. 2010. “Species delimitation using dominant and codominant multilocus markers.” </w:t>
      </w:r>
      <w:r>
        <w:rPr>
          <w:i/>
        </w:rPr>
        <w:t>Systematic biology</w:t>
      </w:r>
      <w:r>
        <w:rPr/>
        <w:t xml:space="preserve"> 59 (5) (oct): 491–503. doi:10.1093/sysbio/syq039. </w:t>
      </w:r>
      <w:hyperlink r:id="rId14">
        <w:r>
          <w:rPr>
            <w:rStyle w:val="InternetLink"/>
          </w:rPr>
          <w:t>http://www.ncbi.nlm.nih.gov/pubmed/20693311</w:t>
        </w:r>
      </w:hyperlink>
      <w:r>
        <w:rPr/>
        <w:t>.</w:t>
      </w:r>
    </w:p>
    <w:p>
      <w:pPr>
        <w:pStyle w:val="Normal"/>
        <w:rPr/>
      </w:pPr>
      <w:r>
        <w:rPr/>
        <w:t>Holland, Dan C. 1992. “Level and pattern in morphological variation: a phylogeographic study of the western pond turtle (Clemmys marmorata).” University of Southwestern Louisiana.</w:t>
      </w:r>
    </w:p>
    <w:p>
      <w:pPr>
        <w:pStyle w:val="Normal"/>
        <w:rPr/>
      </w:pPr>
      <w:r>
        <w:rPr/>
        <w:t xml:space="preserve">Huelsenbeck, John P., Peter Andolfatto, and Edna T. Huelsenbeck. 2011. “Structurama: bayesian inference of population structure.” </w:t>
      </w:r>
      <w:r>
        <w:rPr>
          <w:i/>
        </w:rPr>
        <w:t>Evolutionary bioinformatics online</w:t>
      </w:r>
      <w:r>
        <w:rPr/>
        <w:t xml:space="preserve"> 7 (jan): 55–9. doi:10.4137/EBO.S6761. </w:t>
      </w:r>
      <w:hyperlink r:id="rId15">
        <w:r>
          <w:rPr>
            <w:rStyle w:val="InternetLink"/>
          </w:rPr>
          <w:t>http://www.pubmedcentral.nih.gov/articlerender.fcgi?artid=3118697\&amp;tool=pmcentrez\&amp;rendertype=abstract</w:t>
        </w:r>
      </w:hyperlink>
      <w:r>
        <w:rPr/>
        <w:t>.</w:t>
      </w:r>
    </w:p>
    <w:p>
      <w:pPr>
        <w:pStyle w:val="Normal"/>
        <w:rPr/>
      </w:pPr>
      <w:r>
        <w:rPr/>
        <w:t xml:space="preserve">Hunt, Gene. 2008. “Gradual or pulsed evolution: when should punctuational explanations be preferred?” </w:t>
      </w:r>
      <w:r>
        <w:rPr>
          <w:i/>
        </w:rPr>
        <w:t>Paleobiology</w:t>
      </w:r>
      <w:r>
        <w:rPr/>
        <w:t xml:space="preserve"> 34 (3): 360–377. doi:10.1666/07073.1.</w:t>
      </w:r>
    </w:p>
    <w:p>
      <w:pPr>
        <w:pStyle w:val="Normal"/>
        <w:rPr/>
      </w:pPr>
      <w:r>
        <w:rPr/>
        <w:t xml:space="preserve">Kaufman, L., and P. J. Rousseeuw. 1990. </w:t>
      </w:r>
      <w:r>
        <w:rPr>
          <w:i/>
        </w:rPr>
        <w:t>Finding groups in data : an introduction to cluster analysis</w:t>
      </w:r>
      <w:r>
        <w:rPr/>
        <w:t>. New York: Wiley.</w:t>
      </w:r>
    </w:p>
    <w:p>
      <w:pPr>
        <w:pStyle w:val="Normal"/>
        <w:rPr/>
      </w:pPr>
      <w:r>
        <w:rPr/>
        <w:t xml:space="preserve">Kendall, D. G. 1984. “Shape Manifolds, Procrustean Metrics, and Complex Projective Spaces.” </w:t>
      </w:r>
      <w:r>
        <w:rPr>
          <w:i/>
        </w:rPr>
        <w:t>Bulletin of the London Mathematical Society</w:t>
      </w:r>
      <w:r>
        <w:rPr/>
        <w:t xml:space="preserve"> 16 (2) (mar): 81–121. doi:10.1112/blms/16.2.81. </w:t>
      </w:r>
      <w:hyperlink r:id="rId16">
        <w:r>
          <w:rPr>
            <w:rStyle w:val="InternetLink"/>
          </w:rPr>
          <w:t>http://blms.oxfordjournals.org/cgi/doi/10.1112/blms/16.2.81</w:t>
        </w:r>
      </w:hyperlink>
      <w:r>
        <w:rPr/>
        <w:t>.</w:t>
      </w:r>
    </w:p>
    <w:p>
      <w:pPr>
        <w:pStyle w:val="Normal"/>
        <w:rPr/>
      </w:pPr>
      <w:r>
        <w:rPr/>
        <w:t xml:space="preserve">Kendall, David G. 1977. “The diffusion of shape.” </w:t>
      </w:r>
      <w:r>
        <w:rPr>
          <w:i/>
        </w:rPr>
        <w:t>Advances in Applied Probability</w:t>
      </w:r>
      <w:r>
        <w:rPr/>
        <w:t xml:space="preserve"> 9 (3): 428–430.</w:t>
      </w:r>
    </w:p>
    <w:p>
      <w:pPr>
        <w:pStyle w:val="Normal"/>
        <w:rPr/>
      </w:pPr>
      <w:r>
        <w:rPr/>
        <w:t xml:space="preserve">Klingenberg, Christian Peter, Marta Barluenga, and Axel Meyer. 2002. “Shape analysis of symetric structures: quantifying variation among individuals and asymmetry.” </w:t>
      </w:r>
      <w:r>
        <w:rPr>
          <w:i/>
        </w:rPr>
        <w:t>Evolution</w:t>
      </w:r>
      <w:r>
        <w:rPr/>
        <w:t xml:space="preserve"> 56 (2002): 1909–1920.</w:t>
      </w:r>
    </w:p>
    <w:p>
      <w:pPr>
        <w:pStyle w:val="Normal"/>
        <w:rPr/>
      </w:pPr>
      <w:r>
        <w:rPr/>
        <w:t xml:space="preserve">Kuhn, Max, and Kjell Johnson. 2013. </w:t>
      </w:r>
      <w:r>
        <w:rPr>
          <w:i/>
        </w:rPr>
        <w:t>Applied predictive modeling</w:t>
      </w:r>
      <w:r>
        <w:rPr/>
        <w:t>. New York, NY: Springer.</w:t>
      </w:r>
    </w:p>
    <w:p>
      <w:pPr>
        <w:pStyle w:val="Normal"/>
        <w:rPr/>
      </w:pPr>
      <w:r>
        <w:rPr/>
        <w:t xml:space="preserve">Leaché, Adam D., and Matthew K. Fujita. 2010. “Bayesian species delimitation in West African forest geckos (Hemidactylus fasciatus).” </w:t>
      </w:r>
      <w:r>
        <w:rPr>
          <w:i/>
        </w:rPr>
        <w:t>Proceedings. Biological sciences / The Royal Society</w:t>
      </w:r>
      <w:r>
        <w:rPr/>
        <w:t xml:space="preserve"> 277 (1697) (oct): 3071–7. doi:10.1098/rspb.2010.0662. </w:t>
      </w:r>
      <w:hyperlink r:id="rId17">
        <w:r>
          <w:rPr>
            <w:rStyle w:val="InternetLink"/>
          </w:rPr>
          <w:t>http://www.pubmedcentral.nih.gov/articlerender.fcgi?artid=2982061\&amp;tool=pmcentrez\&amp;rendertype=abstract</w:t>
        </w:r>
      </w:hyperlink>
      <w:r>
        <w:rPr/>
        <w:t>.</w:t>
      </w:r>
    </w:p>
    <w:p>
      <w:pPr>
        <w:pStyle w:val="Normal"/>
        <w:rPr/>
      </w:pPr>
      <w:r>
        <w:rPr/>
        <w:t xml:space="preserve">Lubcke, Glen M., and Dawn S. Wilson. 2007. “Variation in shell morphology of the Western Pond Turtle (Actinemys marmorata Baird and Giarard) from three aquativ habitats in Northern California.” </w:t>
      </w:r>
      <w:r>
        <w:rPr>
          <w:i/>
        </w:rPr>
        <w:t>Journal of Herpetology</w:t>
      </w:r>
      <w:r>
        <w:rPr/>
        <w:t xml:space="preserve"> 41 (1): 107–114.</w:t>
      </w:r>
    </w:p>
    <w:p>
      <w:pPr>
        <w:pStyle w:val="Normal"/>
        <w:rPr/>
      </w:pPr>
      <w:r>
        <w:rPr/>
        <w:t xml:space="preserve">MacLeod, Norman. 2007. </w:t>
      </w:r>
      <w:r>
        <w:rPr>
          <w:i/>
        </w:rPr>
        <w:t>Automated taxon identification in systematics: theory, approaches and applications</w:t>
      </w:r>
      <w:r>
        <w:rPr/>
        <w:t>. Boca Raton: CRC Press.</w:t>
      </w:r>
    </w:p>
    <w:p>
      <w:pPr>
        <w:pStyle w:val="Normal"/>
        <w:rPr/>
      </w:pPr>
      <w:r>
        <w:rP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 </w:t>
      </w:r>
      <w:r>
        <w:rPr>
          <w:i/>
        </w:rPr>
        <w:t>Annals of the entomological society of America</w:t>
      </w:r>
      <w:r>
        <w:rPr/>
        <w:t xml:space="preserve"> 106 (2): 170–180.</w:t>
      </w:r>
    </w:p>
    <w:p>
      <w:pPr>
        <w:pStyle w:val="Normal"/>
        <w:rPr/>
      </w:pPr>
      <w:r>
        <w:rPr/>
        <w:t xml:space="preserve">Mitteroecker, Philipp, and Fred Bookstein. 2011. “Linear Discrimination, Ordination, and the Visualization of Selection Gradients in Modern Morphometrics.” </w:t>
      </w:r>
      <w:r>
        <w:rPr>
          <w:i/>
        </w:rPr>
        <w:t>Evolutionary Biology</w:t>
      </w:r>
      <w:r>
        <w:rPr/>
        <w:t xml:space="preserve"> 38 (1) (feb): 100–114. doi:10.1007/s11692-011-9109-8. </w:t>
      </w:r>
      <w:hyperlink r:id="rId18">
        <w:r>
          <w:rPr>
            <w:rStyle w:val="InternetLink"/>
          </w:rPr>
          <w:t>http://link.springer.com/10.1007/s11692-011-9109-8</w:t>
        </w:r>
      </w:hyperlink>
      <w:r>
        <w:rPr/>
        <w:t>.</w:t>
      </w:r>
    </w:p>
    <w:p>
      <w:pPr>
        <w:pStyle w:val="Normal"/>
        <w:rPr/>
      </w:pPr>
      <w:r>
        <w:rPr/>
        <w:t xml:space="preserve">O’Meara, Brian C. 2010. “New heuristic methods for joint species delimitation and species tree inference.” </w:t>
      </w:r>
      <w:r>
        <w:rPr>
          <w:i/>
        </w:rPr>
        <w:t>Systematic biology</w:t>
      </w:r>
      <w:r>
        <w:rPr/>
        <w:t xml:space="preserve"> 59 (1) (jan): 59–73. doi:10.1093/sysbio/syp077. </w:t>
      </w:r>
      <w:hyperlink r:id="rId19">
        <w:r>
          <w:rPr>
            <w:rStyle w:val="InternetLink"/>
          </w:rPr>
          <w:t>http://www.ncbi.nlm.nih.gov/pubmed/20525620</w:t>
        </w:r>
      </w:hyperlink>
      <w:r>
        <w:rPr/>
        <w:t>.</w:t>
      </w:r>
    </w:p>
    <w:p>
      <w:pPr>
        <w:pStyle w:val="Normal"/>
        <w:rPr/>
      </w:pPr>
      <w:r>
        <w:rPr/>
        <w:t xml:space="preserve">Padial, Jose M., Aurelien Miralles, Ignacio De la Riva, and Miguel Vences. 2010. “The integrative future of taxonomy.” </w:t>
      </w:r>
      <w:r>
        <w:rPr>
          <w:i/>
        </w:rPr>
        <w:t>Frontiers in Zoology</w:t>
      </w:r>
      <w:r>
        <w:rPr/>
        <w:t xml:space="preserve"> 7 (16): 1–14.</w:t>
      </w:r>
    </w:p>
    <w:p>
      <w:pPr>
        <w:pStyle w:val="Normal"/>
        <w:rPr/>
      </w:pPr>
      <w:r>
        <w:rP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 </w:t>
      </w:r>
      <w:r>
        <w:rPr>
          <w:i/>
        </w:rPr>
        <w:t>Molecular phylogenetics and evolution</w:t>
      </w:r>
      <w:r>
        <w:rPr/>
        <w:t xml:space="preserve"> 67 (1) (apr): 176–87. doi:10.1016/j.ympev.2013.01.004. </w:t>
      </w:r>
      <w:hyperlink r:id="rId20">
        <w:r>
          <w:rPr>
            <w:rStyle w:val="InternetLink"/>
          </w:rPr>
          <w:t>http://www.ncbi.nlm.nih.gov/pubmed/23353072</w:t>
        </w:r>
      </w:hyperlink>
      <w:r>
        <w:rPr/>
        <w:t>.</w:t>
      </w:r>
    </w:p>
    <w:p>
      <w:pPr>
        <w:pStyle w:val="Normal"/>
        <w:rPr/>
      </w:pPr>
      <w:r>
        <w:rPr/>
        <w:t xml:space="preserve">Pfenninger, Markus, and Klaus Schwenk. 2007. “Cryptic animal species are homogeneously distributed among taxa and biogeographical regions.” </w:t>
      </w:r>
      <w:r>
        <w:rPr>
          <w:i/>
        </w:rPr>
        <w:t>BMC evolutionary biology</w:t>
      </w:r>
      <w:r>
        <w:rPr/>
        <w:t xml:space="preserve"> 7 (jan): 121. doi:10.1186/1471-2148-7-121. </w:t>
      </w:r>
      <w:hyperlink r:id="rId21">
        <w:r>
          <w:rPr>
            <w:rStyle w:val="InternetLink"/>
          </w:rPr>
          <w:t>http://www.pubmedcentral.nih.gov/articlerender.fcgi?artid=1939701\&amp;tool=pmcentrez\&amp;rendertype=abstract</w:t>
        </w:r>
      </w:hyperlink>
      <w:r>
        <w:rPr/>
        <w:t>.</w:t>
      </w:r>
    </w:p>
    <w:p>
      <w:pPr>
        <w:pStyle w:val="Normal"/>
        <w:rPr/>
      </w:pPr>
      <w:r>
        <w:rPr/>
        <w:t xml:space="preserve">Polly, P. David. 2003. “Paleophylogeography of Sorex araneus: molar shape as a morphological marker for fossil shrews.” </w:t>
      </w:r>
      <w:r>
        <w:rPr>
          <w:i/>
        </w:rPr>
        <w:t>Mammalia</w:t>
      </w:r>
      <w:r>
        <w:rPr/>
        <w:t xml:space="preserve"> 68 (2): 233–243.</w:t>
      </w:r>
    </w:p>
    <w:p>
      <w:pPr>
        <w:pStyle w:val="Normal"/>
        <w:rPr/>
      </w:pPr>
      <w:r>
        <w:rPr/>
        <w:t>———</w:t>
      </w:r>
      <w:r>
        <w:rPr/>
        <w:t xml:space="preserve">. 2007. “Phylogeographic differentiation in Sorex araneus: morphology in relation to geography and karyotype.” </w:t>
      </w:r>
      <w:r>
        <w:rPr>
          <w:i/>
        </w:rPr>
        <w:t>Russian Journal of Theriology</w:t>
      </w:r>
      <w:r>
        <w:rPr/>
        <w:t xml:space="preserve"> 6 (1): 73–84.</w:t>
      </w:r>
    </w:p>
    <w:p>
      <w:pPr>
        <w:pStyle w:val="Normal"/>
        <w:rPr/>
      </w:pPr>
      <w:r>
        <w:rPr/>
        <w:t xml:space="preserve">Pons, Joan, Timothy Barraclough, Jesus Gomez-Zurita, Anabela Cardoso, Daniel Duran, Steaphan Hazell, Sophien Kamoun, William Sumlin, and Alfried Vogler. 2006. “Sequence-Based Species Delimitation for the DNA Taxonomy of Undescribed Insects.” </w:t>
      </w:r>
      <w:r>
        <w:rPr>
          <w:i/>
        </w:rPr>
        <w:t>Systematic Biology</w:t>
      </w:r>
      <w:r>
        <w:rPr/>
        <w:t xml:space="preserve"> 55 (4) (aug): 595–609. doi:10.1080/10635150600852011. </w:t>
      </w:r>
      <w:hyperlink r:id="rId22">
        <w:r>
          <w:rPr>
            <w:rStyle w:val="InternetLink"/>
          </w:rPr>
          <w:t>http://sysbio.oxfordjournals.org/cgi/doi/10.1080/10635150600852011</w:t>
        </w:r>
      </w:hyperlink>
      <w:r>
        <w:rPr/>
        <w:t>.</w:t>
      </w:r>
    </w:p>
    <w:p>
      <w:pPr>
        <w:pStyle w:val="Normal"/>
        <w:rPr/>
      </w:pPr>
      <w:r>
        <w:rPr/>
        <w:t xml:space="preserve">Rivera, Gabriel. 2008. “Ecomorphological variation in shell shape of the freshwater turtle Pseudemys concinna inhabiting different aquatic flow regimes.” </w:t>
      </w:r>
      <w:r>
        <w:rPr>
          <w:i/>
        </w:rPr>
        <w:t>Integrative and comparative biology</w:t>
      </w:r>
      <w:r>
        <w:rPr/>
        <w:t xml:space="preserve"> 48 (6) (dec): 769–87. doi:10.1093/icb/icn088. </w:t>
      </w:r>
      <w:hyperlink r:id="rId23">
        <w:r>
          <w:rPr>
            <w:rStyle w:val="InternetLink"/>
          </w:rPr>
          <w:t>http://www.ncbi.nlm.nih.gov/pubmed/21669831</w:t>
        </w:r>
      </w:hyperlink>
      <w:r>
        <w:rPr/>
        <w:t>.</w:t>
      </w:r>
    </w:p>
    <w:p>
      <w:pPr>
        <w:pStyle w:val="Normal"/>
        <w:rPr/>
      </w:pPr>
      <w:r>
        <w:rPr/>
        <w:t xml:space="preserve">Rivera, Gabriel, Joi N. Davis, James C. Godwin, and Dean C. Adams. 2014. “Repeatability of Habitat-Associated Divergence in Shell Shape of Turtles.” </w:t>
      </w:r>
      <w:r>
        <w:rPr>
          <w:i/>
        </w:rPr>
        <w:t>Evolutionary Biology</w:t>
      </w:r>
      <w:r>
        <w:rPr/>
        <w:t xml:space="preserve"> (jul): 29–37. doi:10.1007/s11692-013-9243-6. </w:t>
      </w:r>
      <w:hyperlink r:id="rId24">
        <w:r>
          <w:rPr>
            <w:rStyle w:val="InternetLink"/>
          </w:rPr>
          <w:t>http://link.springer.com/10.1007/s11692-013-9243-6</w:t>
        </w:r>
      </w:hyperlink>
      <w:r>
        <w:rPr/>
        <w:t>.</w:t>
      </w:r>
    </w:p>
    <w:p>
      <w:pPr>
        <w:pStyle w:val="Normal"/>
        <w:rPr/>
      </w:pPr>
      <w:r>
        <w:rPr/>
        <w:t xml:space="preserve">Rivera, Gabriel, and C. Tristan Stayton. 2011. “Finite element modeling of shell shape in the freshwater turtle Pseudemys concinna reveals a trade-off between mechanical strength and hydrodynamic efficiency.” </w:t>
      </w:r>
      <w:r>
        <w:rPr>
          <w:i/>
        </w:rPr>
        <w:t>Journal of morphology</w:t>
      </w:r>
      <w:r>
        <w:rPr/>
        <w:t xml:space="preserve"> 272 (10) (oct): 1192–203. doi:10.1002/jmor.10974. </w:t>
      </w:r>
      <w:hyperlink r:id="rId25">
        <w:r>
          <w:rPr>
            <w:rStyle w:val="InternetLink"/>
          </w:rPr>
          <w:t>http://www.ncbi.nlm.nih.gov/pubmed/21630321</w:t>
        </w:r>
      </w:hyperlink>
      <w:r>
        <w:rPr/>
        <w:t>.</w:t>
      </w:r>
    </w:p>
    <w:p>
      <w:pPr>
        <w:pStyle w:val="Normal"/>
        <w:rPr/>
      </w:pPr>
      <w:r>
        <w:rPr/>
        <w:t>Rohlf, F. James. 2005. “TpsDig 2.04.”</w:t>
      </w:r>
    </w:p>
    <w:p>
      <w:pPr>
        <w:pStyle w:val="Normal"/>
        <w:rPr/>
      </w:pPr>
      <w:r>
        <w:rPr/>
        <w:t xml:space="preserve">Schilck-Steiner, Brigit C., B. Seifert, C. Stauffer, E. Christian, R. H. Crozier, and F. M. Steiner. 2007. “Without morphology, cryptic species stay in taxonomic crypsis following discovery.” </w:t>
      </w:r>
      <w:r>
        <w:rPr>
          <w:i/>
        </w:rPr>
        <w:t>Trends in ecology &amp; evolution</w:t>
      </w:r>
      <w:r>
        <w:rPr/>
        <w:t xml:space="preserve"> 22 (8) (aug): 391–392. doi:10.1016/j.tree.2007.05.003. </w:t>
      </w:r>
      <w:hyperlink r:id="rId26">
        <w:r>
          <w:rPr>
            <w:rStyle w:val="InternetLink"/>
          </w:rPr>
          <w:t>http://www.ncbi.nlm.nih.gov/pubmed/17573147</w:t>
        </w:r>
      </w:hyperlink>
      <w:r>
        <w:rPr/>
        <w:t>.</w:t>
      </w:r>
    </w:p>
    <w:p>
      <w:pPr>
        <w:pStyle w:val="Normal"/>
        <w:rPr/>
      </w:pPr>
      <w:r>
        <w:rPr/>
        <w:t xml:space="preserve">Seeliger, L. M. 1945. “Variation in the Pacific Mud Turtle.” </w:t>
      </w:r>
      <w:r>
        <w:rPr>
          <w:i/>
        </w:rPr>
        <w:t>Copeia</w:t>
      </w:r>
      <w:r>
        <w:rPr/>
        <w:t xml:space="preserve"> 1945 (3): 150–159.</w:t>
      </w:r>
    </w:p>
    <w:p>
      <w:pPr>
        <w:pStyle w:val="Normal"/>
        <w:rPr/>
      </w:pPr>
      <w:r>
        <w:rPr/>
        <w:t xml:space="preserve">Spinks, Phillip Q., Robert C. Thomson, and H. Bradley Shaffer. 2014. “The advantages of going large: genome wide SNPs clarify the complex population history and systematics of the threatened western pond turtle.” </w:t>
      </w:r>
      <w:r>
        <w:rPr>
          <w:i/>
        </w:rPr>
        <w:t>Molecular Ecology</w:t>
      </w:r>
      <w:r>
        <w:rPr/>
        <w:t xml:space="preserve"> (mar): n/a–n/a. doi:10.1111/mec.12736. </w:t>
      </w:r>
      <w:hyperlink r:id="rId27">
        <w:r>
          <w:rPr>
            <w:rStyle w:val="InternetLink"/>
          </w:rPr>
          <w:t>http://doi.wiley.com/10.1111/mec.12736</w:t>
        </w:r>
      </w:hyperlink>
      <w:r>
        <w:rPr/>
        <w:t>.</w:t>
      </w:r>
    </w:p>
    <w:p>
      <w:pPr>
        <w:pStyle w:val="Normal"/>
        <w:rPr/>
      </w:pPr>
      <w:r>
        <w:rPr/>
        <w:t xml:space="preserve">Spinks, Phillip Q., Robert C. Thomson, and H. Bradley Shaffer. 2010. “Nuclear gene phylogeography reveals the historical legacy of an ancient inland sea on lineages of the western pond turtle, Emys marmorata in California.” </w:t>
      </w:r>
      <w:r>
        <w:rPr>
          <w:i/>
        </w:rPr>
        <w:t>Molecular ecology</w:t>
      </w:r>
      <w:r>
        <w:rPr/>
        <w:t xml:space="preserve"> 19 (3) (feb): 542–56. doi:10.1111/j.1365-294X.2009.04451.x. </w:t>
      </w:r>
      <w:hyperlink r:id="rId28">
        <w:r>
          <w:rPr>
            <w:rStyle w:val="InternetLink"/>
          </w:rPr>
          <w:t>http://www.ncbi.nlm.nih.gov/pubmed/20051011</w:t>
        </w:r>
      </w:hyperlink>
      <w:r>
        <w:rPr/>
        <w:t>.</w:t>
      </w:r>
    </w:p>
    <w:p>
      <w:pPr>
        <w:pStyle w:val="Normal"/>
        <w:rPr/>
      </w:pPr>
      <w:r>
        <w:rPr/>
        <w:t xml:space="preserve">Spinks, Phillip Q., and H. Bradley Shaffer. 2005. “Range-wide molecular analysis of the western pond turtle (Emys marmorata): cryptic variation, isolation by distance, and their conservation implications.” </w:t>
      </w:r>
      <w:r>
        <w:rPr>
          <w:i/>
        </w:rPr>
        <w:t>Molecular ecology</w:t>
      </w:r>
      <w:r>
        <w:rPr/>
        <w:t xml:space="preserve"> 14 (7) (jun): 2047–64. doi:10.1111/j.1365-294X.2005.02564.x. </w:t>
      </w:r>
      <w:hyperlink r:id="rId29">
        <w:r>
          <w:rPr>
            <w:rStyle w:val="InternetLink"/>
          </w:rPr>
          <w:t>http://www.ncbi.nlm.nih.gov/pubmed/15910326</w:t>
        </w:r>
      </w:hyperlink>
      <w:r>
        <w:rPr/>
        <w:t>.</w:t>
      </w:r>
    </w:p>
    <w:p>
      <w:pPr>
        <w:pStyle w:val="Normal"/>
        <w:rPr/>
      </w:pPr>
      <w:r>
        <w:rPr/>
        <w:t>———</w:t>
      </w:r>
      <w:r>
        <w:rPr/>
        <w:t xml:space="preserve">. 2009. “Conflicting mitochondrial and nuclear phylogenies for the widely disjunct Emys (Testudines: Emydidae) species complex, and what they tell us about biogeography and hybridization.” </w:t>
      </w:r>
      <w:r>
        <w:rPr>
          <w:i/>
        </w:rPr>
        <w:t>Systematic biology</w:t>
      </w:r>
      <w:r>
        <w:rPr/>
        <w:t xml:space="preserve"> 58 (1) (feb): 1–20. doi:10.1093/sysbio/syp005. </w:t>
      </w:r>
      <w:hyperlink r:id="rId30">
        <w:r>
          <w:rPr>
            <w:rStyle w:val="InternetLink"/>
          </w:rPr>
          <w:t>http://www.ncbi.nlm.nih.gov/pubmed/20525565</w:t>
        </w:r>
      </w:hyperlink>
      <w:r>
        <w:rPr/>
        <w:t>.</w:t>
      </w:r>
    </w:p>
    <w:p>
      <w:pPr>
        <w:pStyle w:val="Normal"/>
        <w:rPr/>
      </w:pPr>
      <w:r>
        <w:rPr/>
        <w:t xml:space="preserve">Stayton, C. Tristan. 2011. “Biomechanics on the half shell: functional performance influences patterns of morphological variation in the emydid turtle carapace.” </w:t>
      </w:r>
      <w:r>
        <w:rPr>
          <w:i/>
        </w:rPr>
        <w:t>Zoology (Jena, Germany)</w:t>
      </w:r>
      <w:r>
        <w:rPr/>
        <w:t xml:space="preserve"> 114 (4) (sep): 213–23. doi:10.1016/j.zool.2011.03.002. </w:t>
      </w:r>
      <w:hyperlink r:id="rId31">
        <w:r>
          <w:rPr>
            <w:rStyle w:val="InternetLink"/>
          </w:rPr>
          <w:t>http://www.ncbi.nlm.nih.gov/pubmed/21820295</w:t>
        </w:r>
      </w:hyperlink>
      <w:r>
        <w:rPr/>
        <w:t>.</w:t>
      </w:r>
    </w:p>
    <w:p>
      <w:pPr>
        <w:pStyle w:val="Normal"/>
        <w:rPr/>
      </w:pPr>
      <w:r>
        <w:rPr/>
        <w:t xml:space="preserve">Stuart, Bryan L., Robert F. Inger, and Harold K. Voris. 2006. “High level of cryptic species diversity revealed by sympatric lineages of Southeast Asian forest frogs.” </w:t>
      </w:r>
      <w:r>
        <w:rPr>
          <w:i/>
        </w:rPr>
        <w:t>Biology letters</w:t>
      </w:r>
      <w:r>
        <w:rPr/>
        <w:t xml:space="preserve"> 2 (3) (sep): 470–4. doi:10.1098/rsbl.2006.0505. </w:t>
      </w:r>
      <w:hyperlink r:id="rId32">
        <w:r>
          <w:rPr>
            <w:rStyle w:val="InternetLink"/>
          </w:rPr>
          <w:t>http://www.pubmedcentral.nih.gov/articlerender.fcgi?artid=1686201\&amp;tool=pmcentrez\&amp;rendertype=abstract</w:t>
        </w:r>
      </w:hyperlink>
      <w:r>
        <w:rPr/>
        <w:t>.</w:t>
      </w:r>
    </w:p>
    <w:p>
      <w:pPr>
        <w:pStyle w:val="Normal"/>
        <w:rPr/>
      </w:pPr>
      <w:r>
        <w:rPr/>
        <w:t xml:space="preserve">Sztencel-Jabłonka, Anna, Gareth Jones, and Wiesław BogdanowicZ. 2009. “Skull Morphology of Two Cryptic Bat Species: Pipistrellus pipistrellus and P. pygmaeus — A 3D Geometric Morphometrics Approach with Landmark Reconstruction.” </w:t>
      </w:r>
      <w:r>
        <w:rPr>
          <w:i/>
        </w:rPr>
        <w:t>Acta Chiropterologica</w:t>
      </w:r>
      <w:r>
        <w:rPr/>
        <w:t xml:space="preserve"> 11 (1) (jun): 113–126. doi:10.3161/150811009X465730. </w:t>
      </w:r>
      <w:hyperlink r:id="rId33">
        <w:r>
          <w:rPr>
            <w:rStyle w:val="InternetLink"/>
          </w:rPr>
          <w:t>http://www.bioone.org/doi/abs/10.3161/150811009X465730</w:t>
        </w:r>
      </w:hyperlink>
      <w:r>
        <w:rPr/>
        <w:t>.</w:t>
      </w:r>
    </w:p>
    <w:p>
      <w:pPr>
        <w:pStyle w:val="Normal"/>
        <w:rPr/>
      </w:pPr>
      <w:r>
        <w:rPr/>
        <w:t xml:space="preserve">Tibshirani, Robert, Guenther Walther, and Trevor Hastie. 2001. “Estimating the number of clusters in a data set via the gap statistic.” </w:t>
      </w:r>
      <w:r>
        <w:rPr>
          <w:i/>
        </w:rPr>
        <w:t>Journal of the Royal Statistical Society: Series B (Statistical Methodology)</w:t>
      </w:r>
      <w:r>
        <w:rPr/>
        <w:t xml:space="preserve"> 63 (2) (may): 411–423. doi:10.1111/1467-9868.00293. </w:t>
      </w:r>
      <w:hyperlink r:id="rId34">
        <w:r>
          <w:rPr>
            <w:rStyle w:val="InternetLink"/>
          </w:rPr>
          <w:t>http://doi.wiley.com/10.1111/1467-9868.00293</w:t>
        </w:r>
      </w:hyperlink>
      <w:r>
        <w:rPr/>
        <w:t>.</w:t>
      </w:r>
    </w:p>
    <w:p>
      <w:pPr>
        <w:pStyle w:val="Normal"/>
        <w:rPr/>
      </w:pPr>
      <w:r>
        <w:rPr/>
        <w:t xml:space="preserve">Van Bocxlaer, B., and G. Hunt. 2013. “Morphological stasis in an ongoing gastropod radiation from Lake Malawi.” </w:t>
      </w:r>
      <w:r>
        <w:rPr>
          <w:i/>
        </w:rPr>
        <w:t>Proceedings of the National Academy of Sciences</w:t>
      </w:r>
      <w:r>
        <w:rPr/>
        <w:t xml:space="preserve"> (aug). doi:10.1073/pnas.1308588110. </w:t>
      </w:r>
      <w:hyperlink r:id="rId35">
        <w:r>
          <w:rPr>
            <w:rStyle w:val="InternetLink"/>
          </w:rPr>
          <w:t>http://www.pnas.org/cgi/doi/10.1073/pnas.1308588110</w:t>
        </w:r>
      </w:hyperlink>
      <w:r>
        <w:rPr/>
        <w:t>.</w:t>
      </w:r>
    </w:p>
    <w:p>
      <w:pPr>
        <w:pStyle w:val="Normal"/>
        <w:rPr/>
      </w:pPr>
      <w:r>
        <w:rPr/>
        <w:t xml:space="preserve">Venables, William, and B. D. Ripley. 2002. </w:t>
      </w:r>
      <w:r>
        <w:rPr>
          <w:i/>
        </w:rPr>
        <w:t>Modern applied statistics with S</w:t>
      </w:r>
      <w:r>
        <w:rPr/>
        <w:t>. 4 ed.. New York: Springer.</w:t>
      </w:r>
    </w:p>
    <w:p>
      <w:pPr>
        <w:pStyle w:val="Normal"/>
        <w:rPr/>
      </w:pPr>
      <w:r>
        <w:rPr/>
        <w:t xml:space="preserve">Yang, Ziheng, and Bruce Rannala. 2010. “Bayesian species delimitation using multilocus sequence data.” </w:t>
      </w:r>
      <w:r>
        <w:rPr>
          <w:i/>
        </w:rPr>
        <w:t>Proceedings of the National Academy of Sciences</w:t>
      </w:r>
      <w:r>
        <w:rPr/>
        <w:t xml:space="preserve"> 107 (20) (may): 9264–9. doi:10.1073/pnas.0913022107. </w:t>
      </w:r>
      <w:hyperlink r:id="rId36">
        <w:r>
          <w:rPr>
            <w:rStyle w:val="InternetLink"/>
          </w:rPr>
          <w:t>http://www.pubmedcentral.nih.gov/articlerender.fcgi?artid=2889046\&amp;tool=pmcentrez\&amp;rendertype=abstract</w:t>
        </w:r>
      </w:hyperlink>
      <w:r>
        <w:rPr/>
        <w:t>.</w:t>
      </w:r>
    </w:p>
    <w:p>
      <w:pPr>
        <w:pStyle w:val="Normal"/>
        <w:rPr/>
      </w:pPr>
      <w:r>
        <w:rPr/>
        <w:t xml:space="preserve">Zelditch, Miriam Leah, Donald L. Swiderski, and H. David Sheets. 2004. </w:t>
      </w:r>
      <w:r>
        <w:rPr>
          <w:i/>
        </w:rPr>
        <w:t>Geometric morphometrics for biologists: a primer</w:t>
      </w:r>
      <w:r>
        <w:rPr/>
        <w:t>. Amsterdam: Elsevier Academic Press.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customStyle="1">
    <w:name w:val="Footnote Anchor"/>
    <w:basedOn w:val="BodyTextChar"/>
    <w:rPr>
      <w:vertAlign w:val="superscript"/>
    </w:rPr>
  </w:style>
  <w:style w:type="character" w:styleId="InternetLink" w:customStyle="1">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wiley.com/10.1111/bij.12010" TargetMode="External"/><Relationship Id="rId3" Type="http://schemas.openxmlformats.org/officeDocument/2006/relationships/hyperlink" Target="http://www.jstor.org/stable/1467045?origin=crossref" TargetMode="External"/><Relationship Id="rId4" Type="http://schemas.openxmlformats.org/officeDocument/2006/relationships/hyperlink" Target="http://www.ncbi.nlm.nih.gov/pubmed/17129636" TargetMode="External"/><Relationship Id="rId5" Type="http://schemas.openxmlformats.org/officeDocument/2006/relationships/hyperlink" Target="http://www.bioone.org/doi/abs/10.1643/CH-08-096" TargetMode="External"/><Relationship Id="rId6" Type="http://schemas.openxmlformats.org/officeDocument/2006/relationships/hyperlink" Target="papers2://publication/doi/10.1093/sysbio/syq024" TargetMode="External"/><Relationship Id="rId7" Type="http://schemas.openxmlformats.org/officeDocument/2006/relationships/hyperlink" Target="http://www.ncbi.nlm.nih.gov/pubmed/23855767" TargetMode="External"/><Relationship Id="rId8" Type="http://schemas.openxmlformats.org/officeDocument/2006/relationships/hyperlink" Target="http://www.ncbi.nlm.nih.gov/pubmed/16396186" TargetMode="External"/><Relationship Id="rId9" Type="http://schemas.openxmlformats.org/officeDocument/2006/relationships/hyperlink" Target="http://www.ncbi.nlm.nih.gov/pubmed/18027281" TargetMode="External"/><Relationship Id="rId10" Type="http://schemas.openxmlformats.org/officeDocument/2006/relationships/hyperlink" Target="http://doi.wiley.com/10.1111/j.1439-0426.2009.01329.x" TargetMode="External"/><Relationship Id="rId11" Type="http://schemas.openxmlformats.org/officeDocument/2006/relationships/hyperlink" Target="http://www.ncbi.nlm.nih.gov/pubmed/11884163" TargetMode="External"/><Relationship Id="rId12" Type="http://schemas.openxmlformats.org/officeDocument/2006/relationships/hyperlink" Target="http://doi.wiley.com/10.1111/j.1095-8312.2005.00518.x" TargetMode="External"/><Relationship Id="rId13" Type="http://schemas.openxmlformats.org/officeDocument/2006/relationships/hyperlink" Target="http://www.ncbi.nlm.nih.gov/pubmed/17500011" TargetMode="External"/><Relationship Id="rId14" Type="http://schemas.openxmlformats.org/officeDocument/2006/relationships/hyperlink" Target="http://www.ncbi.nlm.nih.gov/pubmed/20693311" TargetMode="External"/><Relationship Id="rId15" Type="http://schemas.openxmlformats.org/officeDocument/2006/relationships/hyperlink" Target="http://www.pubmedcentral.nih.gov/articlerender.fcgi?artid=3118697\&amp;tool=pmcentrez\&amp;rendertype=abstract" TargetMode="External"/><Relationship Id="rId16" Type="http://schemas.openxmlformats.org/officeDocument/2006/relationships/hyperlink" Target="http://blms.oxfordjournals.org/cgi/doi/10.1112/blms/16.2.81" TargetMode="External"/><Relationship Id="rId17" Type="http://schemas.openxmlformats.org/officeDocument/2006/relationships/hyperlink" Target="http://www.pubmedcentral.nih.gov/articlerender.fcgi?artid=2982061\&amp;tool=pmcentrez\&amp;rendertype=abstract" TargetMode="External"/><Relationship Id="rId18" Type="http://schemas.openxmlformats.org/officeDocument/2006/relationships/hyperlink" Target="http://link.springer.com/10.1007/s11692-011-9109-8" TargetMode="External"/><Relationship Id="rId19" Type="http://schemas.openxmlformats.org/officeDocument/2006/relationships/hyperlink" Target="http://www.ncbi.nlm.nih.gov/pubmed/20525620" TargetMode="External"/><Relationship Id="rId20" Type="http://schemas.openxmlformats.org/officeDocument/2006/relationships/hyperlink" Target="http://www.ncbi.nlm.nih.gov/pubmed/23353072" TargetMode="External"/><Relationship Id="rId21" Type="http://schemas.openxmlformats.org/officeDocument/2006/relationships/hyperlink" Target="http://www.pubmedcentral.nih.gov/articlerender.fcgi?artid=1939701\&amp;tool=pmcentrez\&amp;rendertype=abstract" TargetMode="External"/><Relationship Id="rId22" Type="http://schemas.openxmlformats.org/officeDocument/2006/relationships/hyperlink" Target="http://sysbio.oxfordjournals.org/cgi/doi/10.1080/10635150600852011" TargetMode="External"/><Relationship Id="rId23" Type="http://schemas.openxmlformats.org/officeDocument/2006/relationships/hyperlink" Target="http://www.ncbi.nlm.nih.gov/pubmed/21669831" TargetMode="External"/><Relationship Id="rId24" Type="http://schemas.openxmlformats.org/officeDocument/2006/relationships/hyperlink" Target="http://link.springer.com/10.1007/s11692-013-9243-6" TargetMode="External"/><Relationship Id="rId25" Type="http://schemas.openxmlformats.org/officeDocument/2006/relationships/hyperlink" Target="http://www.ncbi.nlm.nih.gov/pubmed/21630321" TargetMode="External"/><Relationship Id="rId26" Type="http://schemas.openxmlformats.org/officeDocument/2006/relationships/hyperlink" Target="http://www.ncbi.nlm.nih.gov/pubmed/17573147" TargetMode="External"/><Relationship Id="rId27" Type="http://schemas.openxmlformats.org/officeDocument/2006/relationships/hyperlink" Target="http://doi.wiley.com/10.1111/mec.12736" TargetMode="External"/><Relationship Id="rId28" Type="http://schemas.openxmlformats.org/officeDocument/2006/relationships/hyperlink" Target="http://www.ncbi.nlm.nih.gov/pubmed/20051011" TargetMode="External"/><Relationship Id="rId29" Type="http://schemas.openxmlformats.org/officeDocument/2006/relationships/hyperlink" Target="http://www.ncbi.nlm.nih.gov/pubmed/15910326" TargetMode="External"/><Relationship Id="rId30" Type="http://schemas.openxmlformats.org/officeDocument/2006/relationships/hyperlink" Target="http://www.ncbi.nlm.nih.gov/pubmed/20525565" TargetMode="External"/><Relationship Id="rId31" Type="http://schemas.openxmlformats.org/officeDocument/2006/relationships/hyperlink" Target="http://www.ncbi.nlm.nih.gov/pubmed/21820295" TargetMode="External"/><Relationship Id="rId32" Type="http://schemas.openxmlformats.org/officeDocument/2006/relationships/hyperlink" Target="http://www.pubmedcentral.nih.gov/articlerender.fcgi?artid=1686201\&amp;tool=pmcentrez\&amp;rendertype=abstract" TargetMode="External"/><Relationship Id="rId33" Type="http://schemas.openxmlformats.org/officeDocument/2006/relationships/hyperlink" Target="http://www.bioone.org/doi/abs/10.3161/150811009X465730" TargetMode="External"/><Relationship Id="rId34" Type="http://schemas.openxmlformats.org/officeDocument/2006/relationships/hyperlink" Target="http://doi.wiley.com/10.1111/1467-9868.00293" TargetMode="External"/><Relationship Id="rId35" Type="http://schemas.openxmlformats.org/officeDocument/2006/relationships/hyperlink" Target="http://www.pnas.org/cgi/doi/10.1073/pnas.1308588110" TargetMode="External"/><Relationship Id="rId36" Type="http://schemas.openxmlformats.org/officeDocument/2006/relationships/hyperlink" Target="http://www.pubmedcentral.nih.gov/articlerender.fcgi?artid=2889046\&amp;tool=pmcentrez\&amp;rendertype=abstract" TargetMode="Externa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Parham</dc:creator>
  <dc:language>en-US</dc:language>
  <cp:revision>0</cp:revision>
  <dc:title>How cryptic is cryptic diversity? Machine learning approaches to classifying morphological variation in the Pacific Pond Turtle (Emys marmorata)</dc:title>
</cp:coreProperties>
</file>