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One</w:t>
      </w:r>
      <w:r>
        <w:t xml:space="preserve"> </w:t>
      </w:r>
      <w:r>
        <w:t xml:space="preserve">of</w:t>
      </w:r>
      <w:r>
        <w:t xml:space="preserve"> </w:t>
      </w:r>
      <w:r>
        <w:t xml:space="preserve">the</w:t>
      </w:r>
      <w:r>
        <w:t xml:space="preserve"> </w:t>
      </w:r>
      <w:r>
        <w:t xml:space="preserve">central</w:t>
      </w:r>
      <w:r>
        <w:t xml:space="preserve"> </w:t>
      </w:r>
      <w:r>
        <w:t xml:space="preserve">tenants</w:t>
      </w:r>
      <w:r>
        <w:t xml:space="preserve"> </w:t>
      </w:r>
      <w:r>
        <w:t xml:space="preserve">of</w:t>
      </w:r>
      <w:r>
        <w:t xml:space="preserve"> </w:t>
      </w:r>
      <w:r>
        <w:t xml:space="preserve">conservation</w:t>
      </w:r>
      <w:r>
        <w:t xml:space="preserve"> </w:t>
      </w:r>
      <w:r>
        <w:t xml:space="preserve">paleobiology</w:t>
      </w:r>
      <w:r>
        <w:t xml:space="preserve"> </w:t>
      </w:r>
      <w:r>
        <w:t xml:space="preserve">is</w:t>
      </w:r>
      <w:r>
        <w:t xml:space="preserve"> </w:t>
      </w:r>
      <w:r>
        <w:t xml:space="preserve">that</w:t>
      </w:r>
      <w:r>
        <w:t xml:space="preserve"> </w:t>
      </w:r>
      <w:r>
        <w:t xml:space="preserve">risk</w:t>
      </w:r>
      <w:r>
        <w:t xml:space="preserve"> </w:t>
      </w:r>
      <w:r>
        <w:t xml:space="preserve">assessments</w:t>
      </w:r>
      <w:r>
        <w:t xml:space="preserve"> </w:t>
      </w:r>
      <w:r>
        <w:t xml:space="preserve">for</w:t>
      </w:r>
      <w:r>
        <w:t xml:space="preserve"> </w:t>
      </w:r>
      <w:r>
        <w:t xml:space="preserve">extant</w:t>
      </w:r>
      <w:r>
        <w:t xml:space="preserve"> </w:t>
      </w:r>
      <w:r>
        <w:t xml:space="preserve">species</w:t>
      </w:r>
      <w:r>
        <w:t xml:space="preserve"> </w:t>
      </w:r>
      <w:r>
        <w:t xml:space="preserve">can</w:t>
      </w:r>
      <w:r>
        <w:t xml:space="preserve"> </w:t>
      </w:r>
      <w:r>
        <w:t xml:space="preserve">be</w:t>
      </w:r>
      <w:r>
        <w:t xml:space="preserve"> </w:t>
      </w:r>
      <w:r>
        <w:t xml:space="preserve">improved</w:t>
      </w:r>
      <w:r>
        <w:t xml:space="preserve"> </w:t>
      </w:r>
      <w:r>
        <w:t xml:space="preserve">by</w:t>
      </w:r>
      <w:r>
        <w:t xml:space="preserve"> </w:t>
      </w:r>
      <w:r>
        <w:t xml:space="preserve">examining</w:t>
      </w:r>
      <w:r>
        <w:t xml:space="preserve"> </w:t>
      </w:r>
      <w:r>
        <w:t xml:space="preserve">past</w:t>
      </w:r>
      <w:r>
        <w:t xml:space="preserve"> </w:t>
      </w:r>
      <w:r>
        <w:t xml:space="preserve">extinction</w:t>
      </w:r>
      <w:r>
        <w:t xml:space="preserve"> </w:t>
      </w:r>
      <w:r>
        <w:t xml:space="preserve">patterns</w:t>
      </w:r>
      <w:r>
        <w:t xml:space="preserve"> </w:t>
      </w:r>
      <w:r>
        <w:t xml:space="preserve">and</w:t>
      </w:r>
      <w:r>
        <w:t xml:space="preserve"> </w:t>
      </w:r>
      <w:r>
        <w:t xml:space="preserve">by</w:t>
      </w:r>
      <w:r>
        <w:t xml:space="preserve"> </w:t>
      </w:r>
      <w:r>
        <w:t xml:space="preserve">using</w:t>
      </w:r>
      <w:r>
        <w:t xml:space="preserve"> </w:t>
      </w:r>
      <w:r>
        <w:t xml:space="preserve">paleontological</w:t>
      </w:r>
      <w:r>
        <w:t xml:space="preserve"> </w:t>
      </w:r>
      <w:r>
        <w:t xml:space="preserve">records</w:t>
      </w:r>
      <w:r>
        <w:t xml:space="preserve"> </w:t>
      </w:r>
      <w:r>
        <w:t xml:space="preserve">to</w:t>
      </w:r>
      <w:r>
        <w:t xml:space="preserve"> </w:t>
      </w:r>
      <w:r>
        <w:t xml:space="preserve">establish</w:t>
      </w:r>
      <w:r>
        <w:t xml:space="preserve"> </w:t>
      </w:r>
      <w:r>
        <w:t xml:space="preserve">geographic</w:t>
      </w:r>
      <w:r>
        <w:t xml:space="preserve"> </w:t>
      </w:r>
      <w:r>
        <w:t xml:space="preserve">range</w:t>
      </w:r>
      <w:r>
        <w:t xml:space="preserve"> </w:t>
      </w:r>
      <w:r>
        <w:t xml:space="preserve">and</w:t>
      </w:r>
      <w:r>
        <w:t xml:space="preserve"> </w:t>
      </w:r>
      <w:r>
        <w:t xml:space="preserve">abundance</w:t>
      </w:r>
      <w:r>
        <w:t xml:space="preserve"> </w:t>
      </w:r>
      <w:r>
        <w:t xml:space="preserve">trajectories</w:t>
      </w:r>
      <w:r>
        <w:t xml:space="preserve"> </w:t>
      </w:r>
      <w:r>
        <w:t xml:space="preserve">on</w:t>
      </w:r>
      <w:r>
        <w:t xml:space="preserve"> </w:t>
      </w:r>
      <w:r>
        <w:t xml:space="preserve">geological</w:t>
      </w:r>
      <w:r>
        <w:t xml:space="preserve"> </w:t>
      </w:r>
      <w:r>
        <w:t xml:space="preserve">timescales.</w:t>
      </w:r>
      <w:r>
        <w:t xml:space="preserve"> </w:t>
      </w:r>
      <w:r>
        <w:t xml:space="preserve">We</w:t>
      </w:r>
      <w:r>
        <w:t xml:space="preserve"> </w:t>
      </w:r>
      <w:r>
        <w:t xml:space="preserve">ask</w:t>
      </w:r>
      <w:r>
        <w:t xml:space="preserve"> </w:t>
      </w:r>
      <w:r>
        <w:t xml:space="preserve">if,</w:t>
      </w:r>
      <w:r>
        <w:t xml:space="preserve"> </w:t>
      </w:r>
      <w:r>
        <w:t xml:space="preserve">at</w:t>
      </w:r>
      <w:r>
        <w:t xml:space="preserve"> </w:t>
      </w:r>
      <w:r>
        <w:t xml:space="preserve">a</w:t>
      </w:r>
      <w:r>
        <w:t xml:space="preserve"> </w:t>
      </w:r>
      <w:r>
        <w:t xml:space="preserve">given</w:t>
      </w:r>
      <w:r>
        <w:t xml:space="preserve"> </w:t>
      </w:r>
      <w:r>
        <w:t xml:space="preserve">point</w:t>
      </w:r>
      <w:r>
        <w:t xml:space="preserve"> </w:t>
      </w:r>
      <w:r>
        <w:t xml:space="preserve">in</w:t>
      </w:r>
      <w:r>
        <w:t xml:space="preserve"> </w:t>
      </w:r>
      <w:r>
        <w:t xml:space="preserve">time,</w:t>
      </w:r>
      <w:r>
        <w:t xml:space="preserve"> </w:t>
      </w:r>
      <w:r>
        <w:t xml:space="preserve">how</w:t>
      </w:r>
      <w:r>
        <w:t xml:space="preserve"> </w:t>
      </w:r>
      <w:r>
        <w:t xml:space="preserve">accurate</w:t>
      </w:r>
      <w:r>
        <w:t xml:space="preserve"> </w:t>
      </w:r>
      <w:r>
        <w:t xml:space="preserve">are</w:t>
      </w:r>
      <w:r>
        <w:t xml:space="preserve"> </w:t>
      </w:r>
      <w:r>
        <w:t xml:space="preserve">extinction</w:t>
      </w:r>
      <w:r>
        <w:t xml:space="preserve"> </w:t>
      </w:r>
      <w:r>
        <w:t xml:space="preserve">risk</w:t>
      </w:r>
      <w:r>
        <w:t xml:space="preserve"> </w:t>
      </w:r>
      <w:r>
        <w:t xml:space="preserve">predictions</w:t>
      </w:r>
      <w:r>
        <w:t xml:space="preserve"> </w:t>
      </w:r>
      <w:r>
        <w:t xml:space="preserve">based</w:t>
      </w:r>
      <w:r>
        <w:t xml:space="preserve"> </w:t>
      </w:r>
      <w:r>
        <w:t xml:space="preserve">on</w:t>
      </w:r>
      <w:r>
        <w:t xml:space="preserve"> </w:t>
      </w:r>
      <w:r>
        <w:t xml:space="preserve">instantaneous</w:t>
      </w:r>
      <w:r>
        <w:t xml:space="preserve"> </w:t>
      </w:r>
      <w:r>
        <w:t xml:space="preserve">geographic</w:t>
      </w:r>
      <w:r>
        <w:t xml:space="preserve"> </w:t>
      </w:r>
      <w:r>
        <w:t xml:space="preserve">ranges</w:t>
      </w:r>
      <w:r>
        <w:t xml:space="preserve"> </w:t>
      </w:r>
      <w:r>
        <w:t xml:space="preserve">and</w:t>
      </w:r>
      <w:r>
        <w:t xml:space="preserve"> </w:t>
      </w:r>
      <w:r>
        <w:t xml:space="preserve">knowledge</w:t>
      </w:r>
      <w:r>
        <w:t xml:space="preserve"> </w:t>
      </w:r>
      <w:r>
        <w:t xml:space="preserve">of</w:t>
      </w:r>
      <w:r>
        <w:t xml:space="preserve"> </w:t>
      </w:r>
      <w:r>
        <w:t xml:space="preserve">past</w:t>
      </w:r>
      <w:r>
        <w:t xml:space="preserve"> </w:t>
      </w:r>
      <w:r>
        <w:t xml:space="preserve">extinction/survival</w:t>
      </w:r>
      <w:r>
        <w:t xml:space="preserve"> </w:t>
      </w:r>
      <w:r>
        <w:t xml:space="preserve">patterns?</w:t>
      </w:r>
      <w:r>
        <w:t xml:space="preserve"> </w:t>
      </w:r>
      <w:r>
        <w:t xml:space="preserve">To</w:t>
      </w:r>
      <w:r>
        <w:t xml:space="preserve"> </w:t>
      </w:r>
      <w:r>
        <w:t xml:space="preserve">address</w:t>
      </w:r>
      <w:r>
        <w:t xml:space="preserve"> </w:t>
      </w:r>
      <w:r>
        <w:t xml:space="preserve">these</w:t>
      </w:r>
      <w:r>
        <w:t xml:space="preserve"> </w:t>
      </w:r>
      <w:r>
        <w:t xml:space="preserve">questions</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recent</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the</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Our</w:t>
      </w:r>
      <w:r>
        <w:t xml:space="preserve"> </w:t>
      </w:r>
      <w:r>
        <w:t xml:space="preserve">best</w:t>
      </w:r>
      <w:r>
        <w:t xml:space="preserve"> </w:t>
      </w:r>
      <w:r>
        <w:t xml:space="preserve">performing</w:t>
      </w:r>
      <w:r>
        <w:t xml:space="preserve"> </w:t>
      </w:r>
      <w:r>
        <w:t xml:space="preserve">model</w:t>
      </w:r>
      <w:r>
        <w:t xml:space="preserve"> </w:t>
      </w:r>
      <w:r>
        <w:t xml:space="preserve">has</w:t>
      </w:r>
      <w:r>
        <w:t xml:space="preserve"> </w:t>
      </w:r>
      <w:r>
        <w:t xml:space="preserve">an</w:t>
      </w:r>
      <w:r>
        <w:t xml:space="preserve"> </w:t>
      </w:r>
      <w:r>
        <w:t xml:space="preserve">approximately</w:t>
      </w:r>
      <w:r>
        <w:t xml:space="preserve"> </w:t>
      </w:r>
      <w:r>
        <w:t xml:space="preserve">78%</w:t>
      </w:r>
      <w:r>
        <w:t xml:space="preserve"> </w:t>
      </w:r>
      <w:r>
        <w:t xml:space="preserve">median</w:t>
      </w:r>
      <w:r>
        <w:t xml:space="preserve"> </w:t>
      </w:r>
      <w:r>
        <w:t xml:space="preserve">probability</w:t>
      </w:r>
      <w:r>
        <w:t xml:space="preserve"> </w:t>
      </w:r>
      <w:r>
        <w:t xml:space="preserve">of</w:t>
      </w:r>
      <w:r>
        <w:t xml:space="preserve"> </w:t>
      </w:r>
      <w:r>
        <w:t xml:space="preserve">correctly</w:t>
      </w:r>
      <w:r>
        <w:t xml:space="preserve"> </w:t>
      </w:r>
      <w:r>
        <w:t xml:space="preserve">ranking</w:t>
      </w:r>
      <w:r>
        <w:t xml:space="preserve"> </w:t>
      </w:r>
      <w:r>
        <w:t xml:space="preserve">the</w:t>
      </w:r>
      <w:r>
        <w:t xml:space="preserve"> </w:t>
      </w:r>
      <w:r>
        <w:t xml:space="preserve">relative</w:t>
      </w:r>
      <w:r>
        <w:t xml:space="preserve"> </w:t>
      </w:r>
      <w:r>
        <w:t xml:space="preserve">extinction</w:t>
      </w:r>
      <w:r>
        <w:t xml:space="preserve"> </w:t>
      </w:r>
      <w:r>
        <w:t xml:space="preserve">risk</w:t>
      </w:r>
      <w:r>
        <w:t xml:space="preserve"> </w:t>
      </w:r>
      <w:r>
        <w:t xml:space="preserve">any</w:t>
      </w:r>
      <w:r>
        <w:t xml:space="preserve"> </w:t>
      </w:r>
      <w:r>
        <w:t xml:space="preserve">two</w:t>
      </w:r>
      <w:r>
        <w:t xml:space="preserve"> </w:t>
      </w:r>
      <w:r>
        <w:t xml:space="preserve">randomly</w:t>
      </w:r>
      <w:r>
        <w:t xml:space="preserve"> </w:t>
      </w:r>
      <w:r>
        <w:t xml:space="preserve">selected</w:t>
      </w:r>
      <w:r>
        <w:t xml:space="preserve"> </w:t>
      </w:r>
      <w:r>
        <w:t xml:space="preserve">species.</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paleobiology, extinction</w:t>
      </w:r>
    </w:p>
    <w:p>
      <w:pPr>
        <w:pStyle w:val="Heading1"/>
      </w:pPr>
      <w:bookmarkStart w:id="21" w:name="introduction"/>
      <w:bookmarkEnd w:id="21"/>
      <w:r>
        <w:t xml:space="preserve">Introduction</w:t>
      </w:r>
    </w:p>
    <w:p>
      <w:pPr>
        <w:pStyle w:val="FirstParagraph"/>
      </w:pPr>
      <w:r>
        <w:t xml:space="preserve">Being able to predict which species are more likely than others to go extinct over a given time frame is crucial for planning decisions policies to ameliorate the current biodiversity crisis. Some species have been the focus of intense study to define short-term (e.g. decadal to centennial scale) abundance and geographic range trajectories.</w:t>
      </w:r>
    </w:p>
    <w:p>
      <w:pPr>
        <w:pStyle w:val="BodyText"/>
      </w:pPr>
      <w:r>
        <w:t xml:space="preserve">We cannot know, however, we do not yet know which species are going to go extinct because this has not happened yet – it is unobservable. We approach this this problem by analyzing the past in order to predict the future. The fossil record preserves past extinction events, allowing us to develop a predictive model of species extinction based on this record and the properties of the observed species, both extinct and extant</w:t>
      </w:r>
      <w:r>
        <w:t xml:space="preserve"> </w:t>
      </w:r>
      <w:r>
        <w:t xml:space="preserve">(Harnik et al. 2012; Finnegan et al. 2015)</w:t>
      </w:r>
      <w:r>
        <w:t xml:space="preserve">. By assessing the predictive performance of this model on unobserved data, we can quantify how precise our best estimates will be for future extinctions – we ask the probability that, given two random species, we correctly rank their relative risks of extinction.</w:t>
      </w:r>
    </w:p>
    <w:p>
      <w:pPr>
        <w:pStyle w:val="BodyText"/>
      </w:pPr>
      <w:r>
        <w:t xml:space="preserve">Studying how species vary in their extinction risk over time means we can assess which species are at greater risk under unobserved conditions. We know that a species’ risk of extinction varies over time in both intensity (average rate) and selectivity (difference in risk between taxa)</w:t>
      </w:r>
      <w:r>
        <w:t xml:space="preserve"> </w:t>
      </w:r>
      <w:r>
        <w:t xml:space="preserve">(Payne and Finnegan 2007; Payne et al. 2016; Ezard et al. 2011)</w:t>
      </w:r>
      <w:r>
        <w:t xml:space="preserve">. Species, after all, can go extinct at any</w:t>
      </w:r>
      <w:r>
        <w:t xml:space="preserve"> </w:t>
      </w:r>
      <w:r>
        <w:t xml:space="preserve">“</w:t>
      </w:r>
      <w:r>
        <w:t xml:space="preserve">moment</w:t>
      </w:r>
      <w:r>
        <w:t xml:space="preserve">”</w:t>
      </w:r>
      <w:r>
        <w:t xml:space="preserve"> </w:t>
      </w:r>
      <w:r>
        <w:t xml:space="preserve">and the relative risk of extinction exhibited by different taxonomic groups and how that risk varies over time is an important dynamic which shapes the rate and structure of extinction. What has not been evaluated is that as extinction intensity and selectivity change over time, how accurate are our assessments based on past events likely to be when applied to the future? By specifically including and modeling the temporal variation in extinction risk, we are able to improve our overall predictions because we incorporate and explicitly model differences between observations from across a range extinction intensities and selectivities.</w:t>
      </w:r>
    </w:p>
    <w:p>
      <w:pPr>
        <w:pStyle w:val="BodyText"/>
      </w:pPr>
      <w:r>
        <w:t xml:space="preserve">By analyzing extinction and survival data from the fossil record, the hope is this can aide in predicting the extinction risk of extant species – after all, the present must at some level be a function of the past. Past paleobiological studies of extinction have frequently focused on identifying and measuring the effect of various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(J. Alroy 2010; Alroy 2014; Alroy et al. 2001; Alroy, Koch, and Zachos 2000; Alroy 2000; Foote 2001)</w:t>
      </w:r>
      <w:r>
        <w:t xml:space="preserve">. This focus means that while we have a good understanding of which factors are strong and general determinates of extinction risk, we have less knowledge of how accurate or strong our predictions about the differences in extinction risk are. For example, while a predictor may be</w:t>
      </w:r>
      <w:r>
        <w:t xml:space="preserve"> </w:t>
      </w:r>
      <w:r>
        <w:t xml:space="preserve">“</w:t>
      </w:r>
      <w:r>
        <w:t xml:space="preserve">significant</w:t>
      </w:r>
      <w:r>
        <w:t xml:space="preserve">”</w:t>
      </w:r>
      <w:r>
        <w:t xml:space="preserve"> </w:t>
      </w:r>
      <w:r>
        <w:t xml:space="preserve">when comparing the odds of extinction risk between groups, the practical difference that predictor makes on prediction can be minimal</w:t>
      </w:r>
      <w:r>
        <w:t xml:space="preserve"> </w:t>
      </w:r>
      <w:r>
        <w:t xml:space="preserve">(Gelman and Hill 2006)</w:t>
      </w:r>
      <w:r>
        <w:t xml:space="preserve">. By including the kinds of biological and abiotic predictors that have been shown to affect differences in extinction risk, we can quantify their actual, as opposed to relative, effects on predictive performance.</w:t>
      </w:r>
    </w:p>
    <w:p>
      <w:pPr>
        <w:pStyle w:val="BodyText"/>
      </w:pPr>
      <w:r>
        <w:t xml:space="preserve">A related question is if the changes to biotic or abiotic predictors, and not just their values, are similarly important factors for predicting extinction. For example, we know that a species’ global geographic range changes over its duration</w:t>
      </w:r>
      <w:r>
        <w:t xml:space="preserve"> </w:t>
      </w:r>
      <w:r>
        <w:t xml:space="preserve">(Foote 2007; Liow et al. 2010; Liow and Stenseth 2007; Kiessling and Kocsis 2016)</w:t>
      </w:r>
      <w:r>
        <w:t xml:space="preserve">. We also know that a species’ geographic range size is a good predictor of differences extinction risk</w:t>
      </w:r>
      <w:r>
        <w:t xml:space="preserve"> </w:t>
      </w:r>
      <w:r>
        <w:t xml:space="preserve">(Payne and Finnegan 2007; Jablonski and Roy 2003; Jablonski 2008; Jablonski and Hunt 2006)</w:t>
      </w:r>
      <w:r>
        <w:t xml:space="preserve">. This begs the question: how does a species’ extinction risk change over its duration? While the phenomenon of species’ geographic range change over time has been studied</w:t>
      </w:r>
      <w:r>
        <w:t xml:space="preserve"> </w:t>
      </w:r>
      <w:r>
        <w:t xml:space="preserve">(Foote 2007; Liow et al. 2010; Liow and Stenseth 2007; Kiessling and Kocsis 2016)</w:t>
      </w:r>
      <w:r>
        <w:t xml:space="preserve">, the potential predictive impact of this change has been under-evaluated (but see</w:t>
      </w:r>
      <w:r>
        <w:t xml:space="preserve"> </w:t>
      </w:r>
      <w:r>
        <w:t xml:space="preserve">Kiessling and Kocsis (2016)</w:t>
      </w:r>
      <w:r>
        <w:t xml:space="preserve">).</w:t>
      </w:r>
      <w:r>
        <w:t xml:space="preserve"> </w:t>
      </w:r>
      <w:r>
        <w:t xml:space="preserve">Here, we explicitly estimate the effects of changing geographic range as well as differences in global climate on how well we can predict species extinction. Importantly, the inclusion of these</w:t>
      </w:r>
      <w:r>
        <w:t xml:space="preserve"> </w:t>
      </w:r>
      <w:r>
        <w:t xml:space="preserve">“</w:t>
      </w:r>
      <w:r>
        <w:t xml:space="preserve">historical</w:t>
      </w:r>
      <w:r>
        <w:t xml:space="preserve">”</w:t>
      </w:r>
      <w:r>
        <w:t xml:space="preserve"> </w:t>
      </w:r>
      <w:r>
        <w:t xml:space="preserve">predictors allows us to more fully evaluate the question of how much information about a species’ past is necessary or useful when predicting a species’ risk of extinction.</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internally consistent taxonomic identification strategy – as close to ideal data for this analysis as possible.</w:t>
      </w:r>
      <w:r>
        <w:t xml:space="preserve"> </w:t>
      </w:r>
      <w:r>
        <w:t xml:space="preserve">The Neptune database records multiple phyla-scale taxonomic groups for over 60 million years, with incredible temporal resolution supported by the various age-models of the deep-sea cores from which the occurrences are recorded.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which was downloaded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All occurrence information was downloaded for calcareous nannoplankton, diatoms, foraminifera, and radiolarians.This dataset of occurrences was then filtered to just those species which have their first occurrence at most 63 Mya. This choice means that our analysis avoids those taxa which survived the K/Pg boundary, those taxa which arose just after the K/Pg boundary, and means that our occurrence histories line up with the temperature time-series which was used as a predictor of extinction as discussed below.</w:t>
      </w:r>
    </w:p>
    <w:p>
      <w:pPr>
        <w:pStyle w:val="BodyText"/>
      </w:pPr>
      <w:r>
        <w:t xml:space="preserve">All fossil occurrences were assigned to 1 My bins based on the estimated age of the fossil occurrence. After binning, each taxon’s geographic range was calculated for each of the 1 My bins in which it occurred. Geographic range was calculated as the maximum great circle distance on an ellipsoid (i.e. the Earth) between any two occurrences of that species; this distance was measured in kilometers.</w:t>
      </w:r>
    </w:p>
    <w:p>
      <w:pPr>
        <w:pStyle w:val="BodyText"/>
      </w:pPr>
      <w:r>
        <w:t xml:space="preserve">Temperature data used as covariates in this analysis are based on Magnesium/Calcium isotope ratios sourced from</w:t>
      </w:r>
      <w:r>
        <w:t xml:space="preserve"> </w:t>
      </w:r>
      <w:r>
        <w:t xml:space="preserve">Cramer et al. (2011)</w:t>
      </w:r>
      <w:r>
        <w:t xml:space="preserve">. These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w:t>
      </w:r>
      <w:r>
        <w:t xml:space="preserve"> </w:t>
      </w:r>
      <w:r>
        <w:t xml:space="preserve">Cramer et al. (2011)</w:t>
      </w:r>
      <w:r>
        <w:t xml:space="preserve">, provides temperature estimates for every 0.1 My from 0 to 63 Mya. We binned these estimates into 1 My intervals as we did with the fossil occurrences. The temperature estimate for each 1 My interval was calculated as the mean of all estimates within that interval.</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developed a discrete-time survival model to analyze our data in order to answer our question of how wee can we predict extinction risk at million year time scales. We considered four model variations: covariate effects are constant over time and none of our historical covariates are included (Model C), covariate effects are allowed to vary over time but we include none of our historical covariates (Model V), covariate effects are constant over time and our historical covariates are included (Model CP), covariate effects are allowed to vary over time and we include our historical covariates (Model VP). See Table [tab:model_def] for further explanation of how these models differ from each other. For a complete description of the statistical model used in this analysis, please see Section [sec:model_desc]. For a description of how our models were implemented, please see Section [sec:model_est].</w:t>
      </w:r>
    </w:p>
    <w:p>
      <w:pPr>
        <w:pStyle w:val="BodyText"/>
      </w:pPr>
      <w:r>
        <w:t xml:space="preserve">Importantly, we include species geologic age at time of observation as a non-nested varying 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Again, see Section [sec:model_desc] for how this term was specified as part of our model.</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Species are at observation in millions of years.</w:t>
      </w:r>
    </w:p>
    <w:p>
      <w:pPr>
        <w:pStyle w:val="BodyText"/>
      </w:pPr>
      <w:r>
        <w:t xml:space="preserve">Taxonomic group of species (i.e. Foraminifera, Diatoms, Radiolarians, Calcareous nannoplankton).</w:t>
      </w:r>
    </w:p>
    <w:p>
      <w:pPr>
        <w:pStyle w:val="BodyText"/>
      </w:pPr>
      <w:r>
        <w:t xml:space="preserve">Change in geographic range since last observation.</w:t>
      </w:r>
    </w:p>
    <w:p>
      <w:pPr>
        <w:pStyle w:val="BodyText"/>
      </w:pPr>
      <w:r>
        <w:t xml:space="preserve">Temperature at previous observation.</w:t>
      </w:r>
    </w:p>
    <w:p>
      <w:pPr>
        <w:pStyle w:val="BodyText"/>
      </w:pPr>
      <w:r>
        <w:t xml:space="preserve">[tab:model_def]</w:t>
      </w:r>
    </w:p>
    <w:p>
      <w:pPr>
        <w:pStyle w:val="Heading2"/>
      </w:pPr>
      <w:bookmarkStart w:id="26" w:name="model-adequacy"/>
      <w:bookmarkEnd w:id="26"/>
      <w:r>
        <w:t xml:space="preserve">Model adequacy</w:t>
      </w:r>
    </w:p>
    <w:p>
      <w:pPr>
        <w:pStyle w:val="FirstParagraph"/>
      </w:pPr>
      <w:r>
        <w:t xml:space="preserve">We are interested in model adequacy into two contexts: in-sample and out-of-sample predictive performance. In-sample means we are estimating how well our model predicts our observed data given that the model was fit to the entire dataset; this is a posterior predictive check in that we are comparing the posterior predictive distribution to our observed data. Out-of-sample is defined in context below.</w:t>
      </w:r>
    </w:p>
    <w:p>
      <w:pPr>
        <w:pStyle w:val="BodyText"/>
      </w:pPr>
      <w:r>
        <w:t xml:space="preserve">We are particularly interested in understanding how well our model predicts species extinction given new, future data (out-of-sample data). To do this, we estimated average out-of-sample predictive error using 5-fold time-series cross-validation. For time-series data, the folds (data partitions) are approximately equal segments of time. The model is fit to the first fold and the posterior estimates are used to predict the states of the observations in the second fold, then the model is fit to the first and second fold and the posterior states are used to estimate the states from the third fold, and so on with increasingly large numbers of folds used for fitting a model to predict the states from the subsequent fold. With 63 time points, each of the five folds represents approximately 13 time points. Keep in mind, however, that each time point corresponds to many (100-1000) individual observations.</w:t>
      </w:r>
    </w:p>
    <w:p>
      <w:pPr>
        <w:pStyle w:val="BodyText"/>
      </w:pPr>
      <w:r>
        <w:t xml:space="preserve">Relative and absolute model adequacy of the four variant models was compared using the area under the receiver operating characteristic curve or AUC</w:t>
      </w:r>
      <w:r>
        <w:t xml:space="preserve"> </w:t>
      </w:r>
      <w:r>
        <w:t xml:space="preserve">(Fawcett 2006; Mason and Graham 2002)</w:t>
      </w:r>
      <w:r>
        <w:t xml:space="preserve">. This measure is commonly used in classification problems as it has the desirable characteristic of comparing the model’s true positive rate with its false positive rate, as opposed to accuracy which only considers the count of true positives. AUC ranges between 0.5 and 1, with 0.5 indicating no improvement in performance from random and 1 indicating perfect performance. AUC can be interpreted as the probability that our model correctly ranks the relative extinction risks of any two randomly selected species</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which means that values between 0.7 and 0.8 could then be considered</w:t>
      </w:r>
      <w:r>
        <w:t xml:space="preserve"> </w:t>
      </w:r>
      <w:r>
        <w:t xml:space="preserve">“</w:t>
      </w:r>
      <w:r>
        <w:t xml:space="preserve">fair.</w:t>
      </w:r>
      <w:r>
        <w:t xml:space="preserve">”</w:t>
      </w:r>
    </w:p>
    <w:p>
      <w:pPr>
        <w:pStyle w:val="BodyText"/>
      </w:pPr>
      <w:r>
        <w:t xml:space="preserve">See our code repository at https://github.com/psmits/trident for full code details. The entire analysis was coded in R and uses tidyverse-style tools such as</w:t>
      </w:r>
      <w:r>
        <w:t xml:space="preserve"> </w:t>
      </w:r>
      <w:r>
        <w:rPr>
          <w:rStyle w:val="VerbatimChar"/>
        </w:rPr>
        <w:t xml:space="preserve">dplyr</w:t>
      </w:r>
      <w:r>
        <w:t xml:space="preserve"> </w:t>
      </w:r>
      <w:r>
        <w:t xml:space="preserve">(Wickham et al. 2018)</w:t>
      </w:r>
      <w:r>
        <w:t xml:space="preserve">, and</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(Stan Development Team 2017)</w:t>
      </w:r>
      <w:r>
        <w:t xml:space="preserve">.</w:t>
      </w:r>
    </w:p>
    <w:p>
      <w:pPr>
        <w:pStyle w:val="Heading1"/>
      </w:pPr>
      <w:bookmarkStart w:id="27" w:name="results"/>
      <w:bookmarkEnd w:id="27"/>
      <w:r>
        <w:t xml:space="preserve">Results</w:t>
      </w:r>
    </w:p>
    <w:p>
      <w:pPr>
        <w:pStyle w:val="FirstParagraph"/>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BodyText"/>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Heading2"/>
      </w:pPr>
      <w:bookmarkStart w:id="28" w:name="model-adequacy-1"/>
      <w:bookmarkEnd w:id="28"/>
      <w:r>
        <w:t xml:space="preserve">Model adequacy</w:t>
      </w:r>
    </w:p>
    <w:p>
      <w:pPr>
        <w:pStyle w:val="FirstParagraph"/>
      </w:pPr>
      <w:r>
        <w:t xml:space="preserve">The in-sample model comparisons are for determining their relative adequacy, or a model’s ability to represent the data it was fit to. Comparison between the posterior predictive estimates of in-sample AUC for each of the four models demonstrates that, overall, all of the models have approximately equal in-sample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of the in-sample AUC estimates from our models are concentrated around an AUC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For many taxon/model combinations there are one or more time periods where posterior predictive in-sample AUC has a median value less than or equal to 0.5 – AUC value of 0.5 indicates that the model’s predictions are no better than random (Fig. [fig:auc_taxon_time]). However, this pattern is absent for the posterior predictive distribution of Foraminfera and Radiolaria for the VP model. Additionally, these periods of low model performance are rarer for the posterior predictive distribution of the VP model for calcareous nannoplankton and Dinoflagellates when compared to the other three models.</w:t>
      </w:r>
    </w:p>
    <w:p>
      <w:pPr>
        <w:pStyle w:val="FigureWithCaption"/>
      </w:pPr>
      <w:r>
        <w:t xml:space="preserve">Comparison of posterior predictive AUC estimates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ImageCaption"/>
      </w:pPr>
      <w:r>
        <w:t xml:space="preserve">Comparison of posterior predictive AUC estimates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Heading2"/>
      </w:pPr>
      <w:bookmarkStart w:id="29" w:name="cross-validation"/>
      <w:bookmarkEnd w:id="29"/>
      <w:r>
        <w:t xml:space="preserve">Cross-validation</w:t>
      </w:r>
    </w:p>
    <w:p>
      <w:pPr>
        <w:pStyle w:val="FirstParagraph"/>
      </w:pPr>
      <w:r>
        <w:t xml:space="preserve">Expected out-of-sample predictive performance was estimated using five-fold cross-validation</w:t>
      </w:r>
      <w:r>
        <w:t xml:space="preserve"> </w:t>
      </w:r>
      <w:r>
        <w:t xml:space="preserve">(Hastie, Tibshirani, and Friedman 2009)</w:t>
      </w:r>
      <w:r>
        <w:t xml:space="preserve">. This procedure yields four posterior (predictive) distributions, each corresponding to AUC values calculated from model-based predictions compared to the extinction state of the hold-out data. The resulting distribution when all folds are combined is very multimodal by their very nature of being fit to and estimated from different data sets and amounts of data</w:t>
      </w:r>
      <w:r>
        <w:t xml:space="preserve"> </w:t>
      </w:r>
      <w:r>
        <w:t xml:space="preserve">(Hastie, Tibshirani, and Friedman 2009)</w:t>
      </w:r>
      <w:r>
        <w:t xml:space="preserve">. We find the visual degree of this multimodality increases with model complexity (Fig. [fig:fold_auc]), most likely because the complex models allow for predictor effects to vary with time which allows for a greater range in possible parameter values which in turn yield a greater range of posterior predictions.</w:t>
      </w:r>
    </w:p>
    <w:p>
      <w:pPr>
        <w:pStyle w:val="BodyText"/>
      </w:pPr>
      <w:r>
        <w:t xml:space="preserve">Comparison between the posterior predictive distributions of expected out-of-sample AUC (Fig. [fig:fold_auc]) reveals a similar range in plausible values for all models as the in-sample AUC posterior predictive distributions (Fig. [fig:auc_hist]). Interestingly, the differences between the posterior predictive distributions for the models have decreased. For example, model VP not clearly better than either models V or CP (Fig. [fig:fold_auc]), which were shown earlier to be obviously worse-performing models based on in-sample performance (Fig. [fig:auc_hist]). These differences means that the rank order of median out-of-sample AUC is different from the rank order of median in-sample AUC. However, the shapes of the posterior distributions means interepting from the median values is incorrect – the models are effectively indistinguishable in their expected out-of-sample AUC values.</w:t>
      </w:r>
    </w:p>
    <w:p>
      <w:pPr>
        <w:pStyle w:val="BodyText"/>
      </w:pPr>
      <w:r>
        <w:t xml:space="preserve">We can also compare the posterior predictive distribution of expected out-of-sample AUC over time and taxonomic group for each of the four models (Fig. [fig:fold_auc_taxon_time]). For each taxonomic group, the time-series of posterior predictive values for each model are broadly congruent.</w:t>
      </w:r>
    </w:p>
    <w:p>
      <w:pPr>
        <w:pStyle w:val="BodyText"/>
      </w:pPr>
      <w:r>
        <w:t xml:space="preserve">In the analysis of the posterior predictive distributions of the in-sample AUC values for the four models, we noted that there were time intervals where the models’ predictions were no better than random (Fig. [fig:auc_taxon_time]). This occurrence is generally much rarer for the posterior predictive distribution of out-of-sample AUC values – the major exception to this is Dinoflagellates, which for all four models has at least one time interval where the median the AUC of out-of-sample data were no better random. In contrast, the only other group for which median posterior predictive estimate of out-of-sample AUC reaches 0.5 is calcareous nannoplankton, and then only with model V.</w:t>
      </w:r>
    </w:p>
    <w:p>
      <w:pPr>
        <w:pStyle w:val="FigureWithCaption"/>
      </w:pPr>
      <w:r>
        <w:t xml:space="preserve">Comparison of out-of-sample AUC values over time as aggregated by taxonomic group for each of the four models. The AUC of the individual My intervals within each fold is plotted to highlight the heterogentity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ImageCaption"/>
      </w:pPr>
      <w:r>
        <w:t xml:space="preserve">Comparison of out-of-sample AUC values over time as aggregated by taxonomic group for each of the four models. The AUC of the individual My intervals within each fold is plotted to highlight the heterogentity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Heading1"/>
      </w:pPr>
      <w:bookmarkStart w:id="30" w:name="discussion"/>
      <w:bookmarkEnd w:id="30"/>
      <w:r>
        <w:t xml:space="preserve">Discussion</w:t>
      </w:r>
    </w:p>
    <w:p>
      <w:pPr>
        <w:pStyle w:val="FirstParagraph"/>
      </w:pPr>
      <w:r>
        <w:t xml:space="preserve">The results of this paper set out our baseline ability to predict relative differences in extinction risk. We find that all of our model have an approximate 77% to 79% probability of correctly rank the extinction risk of two randomly selected in-sample observations. Similarly, these models are expected to correctly rank the extinction risk of two randomly selected out-of-sample observations approximately 70% to 80% of the time. A slight decrease in performance when dealing with out-of-sample observations makes sense: each of the models fit during cross-validation is based on less data than the model fit on the full data (between 1/5th to 4/5ths of the original). The similarly between the in-sample and out-of-sample results indicates that our model is fairly robust to how extinction intensity has changed over the Cenozoic.</w:t>
      </w:r>
    </w:p>
    <w:p>
      <w:pPr>
        <w:pStyle w:val="BodyText"/>
      </w:pPr>
      <w:r>
        <w:t xml:space="preserve">One of the most striking results of this analysis is that the in-sample and out-of-sample comparisons between our models demonstrate that while models where the historical coarviates are predictors of species extinction have better in-sample performance (Fig. [fig:auc_hist], [fig:auc_taxon_time]), all of them generalize to out-of-sample data with a similar degree of success (Fig. [fig:fold_auc], [fig:fold_auc_taxon_time]).</w:t>
      </w:r>
    </w:p>
    <w:p>
      <w:pPr>
        <w:pStyle w:val="BodyText"/>
      </w:pPr>
      <w:r>
        <w:t xml:space="preserve">Other noteworthy aspects of our in-sample results are that AUC estimates for our models models differ significantly between models and that all of these estimates are in a narrow range of possible AUC values (Fig. [fig:auc_hist]). For our in-sample results, while the statistically best model does include the historical covariates and allows all covariate effects to vary over time, its practical difference in performance compared to the other models is virtually negligible (Fig. [fig:fold_auc]). This means that even though model VP has a</w:t>
      </w:r>
      <w:r>
        <w:t xml:space="preserve"> </w:t>
      </w:r>
      <w:r>
        <w:rPr>
          <w:i/>
        </w:rPr>
        <w:t xml:space="preserve">statistically</w:t>
      </w:r>
      <w:r>
        <w:t xml:space="preserve"> </w:t>
      </w:r>
      <w:r>
        <w:t xml:space="preserve">greater AUC than the other three models, this result is not practically or</w:t>
      </w:r>
      <w:r>
        <w:t xml:space="preserve"> </w:t>
      </w:r>
      <w:r>
        <w:rPr>
          <w:i/>
        </w:rPr>
        <w:t xml:space="preserve">scientifically</w:t>
      </w:r>
      <w:r>
        <w:t xml:space="preserve"> </w:t>
      </w:r>
      <w:r>
        <w:t xml:space="preserve">significant.</w:t>
      </w:r>
    </w:p>
    <w:p>
      <w:pPr>
        <w:pStyle w:val="BodyText"/>
      </w:pPr>
      <w:r>
        <w:t xml:space="preserve">The success of our models is partially driven by the size of our dataset and the hierarchical structure of our model. Our estimates are based on rather limited information about the taxa themselves, and our model only takes into account some aspects of species geographic range and their rough taxonomic grouping. Instead of relying on large amounts of ecological information to shape individual differences, our model leverages most of the Neptune dataset through a multilevel model to constrain and improve our parameter estimates by sharing information about those parameters across taxa and time.</w:t>
      </w:r>
    </w:p>
    <w:p>
      <w:pPr>
        <w:pStyle w:val="BodyText"/>
      </w:pPr>
      <w:r>
        <w:t xml:space="preserve">The principal reason we were not able to include more biological information in our models is that we lack most any life history or ecological information on most marine micro- and nano-plankton. Forams are the exception to this problem – there is life history, ecological, and physiological information for a selection of foram species</w:t>
      </w:r>
      <w:r>
        <w:t xml:space="preserve"> </w:t>
      </w:r>
      <w:r>
        <w:t xml:space="preserve">(Ezard et al. 2011)</w:t>
      </w:r>
      <w:r>
        <w:t xml:space="preserve">. However, not this information does not exist all foram species. If we want to include this type of information in a predictive model of extinction risk, we would be able to analyze only a single taxonomic subset of the fossil occurrences present the Neptune Database and then only a limited selection of those species. This means ignoring the majority of occurrence information present in the Neptune database.</w:t>
      </w:r>
    </w:p>
    <w:p>
      <w:pPr>
        <w:pStyle w:val="BodyText"/>
      </w:pPr>
      <w:r>
        <w:t xml:space="preserve">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pPr>
        <w:pStyle w:val="Heading1"/>
      </w:pPr>
      <w:bookmarkStart w:id="31" w:name="supplementary-material"/>
      <w:bookmarkEnd w:id="31"/>
      <w:r>
        <w:t xml:space="preserve">Supplementary Material</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Because the estimated ages of each occurrence is a product of core-specific age-models and can be overly precise, the hope is that by binning the data this smooths over the between-core heterogeneity and thus homogenizes our disparate data sources. The occurrence histories of each species were then given binary codes used to model the presence or extinction of those species. For every occurrence of a species, except the last, that species is considered to have survived and was marked with a 0. The last occurrence of that species is considered the bin in which the taxon has gone extinct – and is assigned a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 overconfident statement of preservation and may be shortening the actual duration of that species</w:t>
      </w:r>
      <w:r>
        <w:t xml:space="preserve"> </w:t>
      </w:r>
      <w:r>
        <w:t xml:space="preserve">(J Alroy 2010;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 CITATIONS.</w:t>
      </w:r>
    </w:p>
    <w:p>
      <w:pPr>
        <w:pStyle w:val="Heading3"/>
      </w:pPr>
      <w:bookmarkStart w:id="34" w:name="sec:data_trans"/>
      <w:bookmarkEnd w:id="34"/>
      <w:r>
        <w:t xml:space="preserve">Covariate transforms and standardizations</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this covariate describes the change in extinction probability per change in standard deviation of geographic range,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Difference in temperature between between observations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relevant covariates.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as it is defined for all real-values.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The difference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coefficients for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 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(Stan Development 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(Stan Development 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the adapt delta value was increased to 0.9999; all other HMC/NUTS sampling parameters were kept at the defaults for rstanarm 2.18.2</w:t>
      </w:r>
      <w:r>
        <w:t xml:space="preserve"> </w:t>
      </w:r>
      <w:r>
        <w:t xml:space="preserve">(Gabry and Goodrich 2018)</w:t>
      </w:r>
      <w:r>
        <w:t xml:space="preserve">.</w:t>
      </w:r>
    </w:p>
    <w:p>
      <w:pPr>
        <w:pStyle w:val="BodyText"/>
      </w:pPr>
      <w:r>
        <w:t xml:space="preserve">An implementation of our full model in</w:t>
      </w:r>
    </w:p>
    <w:p>
      <w:pPr>
        <w:pStyle w:val="BodyText"/>
      </w:pPr>
      <w:r>
        <w:t xml:space="preserve">rstanarm</w:t>
      </w:r>
    </w:p>
    <w:p>
      <w:pPr>
        <w:pStyle w:val="BodyText"/>
      </w:pPr>
      <w:r>
        <w:t xml:space="preserve">, given a data.frame of all necessary data in a data.frame called</w:t>
      </w:r>
      <w:r>
        <w:t xml:space="preserve"> </w:t>
      </w:r>
      <w:r>
        <w:t xml:space="preserve">“</w:t>
      </w:r>
      <w:r>
        <w:t xml:space="preserve">data</w:t>
      </w:r>
      <w:r>
        <w:t xml:space="preserve">”</w:t>
      </w:r>
      <w:r>
        <w:t xml:space="preserve">,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full model can also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(Stan Development Team 2017)</w:t>
      </w:r>
      <w:r>
        <w:t xml:space="preserve">.</w:t>
      </w:r>
    </w:p>
    <w:p>
      <w:pPr>
        <w:pStyle w:val="Bibliography"/>
      </w:pPr>
      <w:r>
        <w:t xml:space="preserve">Alroy, J. 2010.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7">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Alroy, J. 2010. “The Shifting Balance of Diversity Among Major Marine Animal Groups.”</w:t>
      </w:r>
      <w:r>
        <w:t xml:space="preserve"> </w:t>
      </w:r>
      <w:r>
        <w:rPr>
          <w:i/>
        </w:rPr>
        <w:t xml:space="preserve">Science</w:t>
      </w:r>
      <w:r>
        <w:t xml:space="preserve"> </w:t>
      </w:r>
      <w:r>
        <w:t xml:space="preserve">329 (5996): 1191–4. doi:</w:t>
      </w:r>
      <w:hyperlink r:id="rId38">
        <w:r>
          <w:rPr>
            <w:rStyle w:val="Hyperlink"/>
          </w:rPr>
          <w:t xml:space="preserve">10.1126/science.1189910</w:t>
        </w:r>
      </w:hyperlink>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9">
        <w:r>
          <w:rPr>
            <w:rStyle w:val="Hyperlink"/>
          </w:rPr>
          <w:t xml:space="preserve">10.1666/0094-8373(2000)026&lt;0707:NMFQMP&gt;2.0.CO;2</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3">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4">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5">
        <w:r>
          <w:rPr>
            <w:rStyle w:val="Hyperlink"/>
          </w:rPr>
          <w:t xml:space="preserve">10.1073/pnas.1519092113</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6">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47">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48">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49">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0">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1">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2">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3">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4">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5">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6">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57">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58">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59">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60">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1">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2">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3">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4">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5">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6">
        <w:r>
          <w:rPr>
            <w:rStyle w:val="Hyperlink"/>
          </w:rPr>
          <w:t xml:space="preserve">10.5281/zenodo.1308151</w:t>
        </w:r>
      </w:hyperlink>
      <w:r>
        <w:t xml:space="preserve">.</w:t>
      </w:r>
    </w:p>
    <w:p>
      <w:pPr>
        <w:pStyle w:val="Bibliography"/>
      </w:pPr>
      <w:r>
        <w:t xml:space="preserve">Kiessling, Wolfgang, and Ádám T Kocsis. 2016. “Adding fossil occupancy trajectories to the assessment of modern extinction risk.”</w:t>
      </w:r>
      <w:r>
        <w:t xml:space="preserve"> </w:t>
      </w:r>
      <w:r>
        <w:rPr>
          <w:i/>
        </w:rPr>
        <w:t xml:space="preserve">Biology Letters</w:t>
      </w:r>
      <w:r>
        <w:t xml:space="preserve"> </w:t>
      </w:r>
      <w:r>
        <w:t xml:space="preserve">12 (10): 20150813. doi:</w:t>
      </w:r>
      <w:hyperlink r:id="rId67">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8">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69">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0">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1">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2">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3">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74">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75">
        <w:r>
          <w:rPr>
            <w:rStyle w:val="Hyperlink"/>
          </w:rPr>
          <w:t xml:space="preserve">10.1098/rsbl.2016.0202</w:t>
        </w:r>
      </w:hyperlink>
      <w:r>
        <w:t xml:space="preserve">.</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76">
        <w:r>
          <w:rPr>
            <w:rStyle w:val="Hyperlink"/>
          </w:rPr>
          <w:t xml:space="preserve">10.1038/nature07032</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77">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78">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Stan Development Team. 2017. “Stan Modeling Language Users Guide and Reference Manual.”</w:t>
      </w:r>
      <w:r>
        <w:t xml:space="preserve"> </w:t>
      </w:r>
      <w:hyperlink r:id="rId79">
        <w:r>
          <w:rPr>
            <w:rStyle w:val="Hyperlink"/>
          </w:rPr>
          <w:t xml:space="preserve">http://mc-stan.org</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0">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1">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c5d8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9" Target="http://mc-stan.org" TargetMode="External" /><Relationship Type="http://schemas.openxmlformats.org/officeDocument/2006/relationships/hyperlink" Id="rId78"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1" Target="https://CRAN.R-project.org/package=dplyr" TargetMode="External" /><Relationship Type="http://schemas.openxmlformats.org/officeDocument/2006/relationships/hyperlink" Id="rId62" Target="https://CRAN.R-project.org/package=purrr" TargetMode="External" /><Relationship Type="http://schemas.openxmlformats.org/officeDocument/2006/relationships/hyperlink" Id="rId57" Target="https://CRAN.R-project.org/package=rstanarm" TargetMode="External" /><Relationship Type="http://schemas.openxmlformats.org/officeDocument/2006/relationships/hyperlink" Id="rId80" Target="https://doi.org/10.1007/978-3-319-28158-2" TargetMode="External" /><Relationship Type="http://schemas.openxmlformats.org/officeDocument/2006/relationships/hyperlink" Id="rId68" Target="https://doi.org/10.1007/BF02083119" TargetMode="External" /><Relationship Type="http://schemas.openxmlformats.org/officeDocument/2006/relationships/hyperlink" Id="rId61" Target="https://doi.org/10.1007/b94608" TargetMode="External" /><Relationship Type="http://schemas.openxmlformats.org/officeDocument/2006/relationships/hyperlink" Id="rId50" Target="https://doi.org/10.1016/j.patrec.2005.10.010" TargetMode="External" /><Relationship Type="http://schemas.openxmlformats.org/officeDocument/2006/relationships/hyperlink" Id="rId60" Target="https://doi.org/10.1016/j.tree.2012.07.010" TargetMode="External" /><Relationship Type="http://schemas.openxmlformats.org/officeDocument/2006/relationships/hyperlink" Id="rId52" Target="https://doi.org/10.1017/S0094837300019692" TargetMode="External" /><Relationship Type="http://schemas.openxmlformats.org/officeDocument/2006/relationships/hyperlink" Id="rId44" Target="https://doi.org/10.1029/2011JC007255" TargetMode="External" /><Relationship Type="http://schemas.openxmlformats.org/officeDocument/2006/relationships/hyperlink" Id="rId53" Target="https://doi.org/10.1038/18872" TargetMode="External" /><Relationship Type="http://schemas.openxmlformats.org/officeDocument/2006/relationships/hyperlink" Id="rId76" Target="https://doi.org/10.1038/nature07032" TargetMode="External" /><Relationship Type="http://schemas.openxmlformats.org/officeDocument/2006/relationships/hyperlink" Id="rId74" Target="https://doi.org/10.1073/pnas.0701257104" TargetMode="External" /><Relationship Type="http://schemas.openxmlformats.org/officeDocument/2006/relationships/hyperlink" Id="rId59"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77" Target="https://doi.org/10.1073/pnas.1510482112" TargetMode="External" /><Relationship Type="http://schemas.openxmlformats.org/officeDocument/2006/relationships/hyperlink" Id="rId45" Target="https://doi.org/10.1073/pnas.1519092113" TargetMode="External" /><Relationship Type="http://schemas.openxmlformats.org/officeDocument/2006/relationships/hyperlink" Id="rId65" Target="https://doi.org/10.1086/507994" TargetMode="External" /><Relationship Type="http://schemas.openxmlformats.org/officeDocument/2006/relationships/hyperlink" Id="rId46" Target="https://doi.org/10.1098/rsbl.2011.0699" TargetMode="External" /><Relationship Type="http://schemas.openxmlformats.org/officeDocument/2006/relationships/hyperlink" Id="rId67" Target="https://doi.org/10.1098/rsbl.2015.0813" TargetMode="External" /><Relationship Type="http://schemas.openxmlformats.org/officeDocument/2006/relationships/hyperlink" Id="rId75" Target="https://doi.org/10.1098/rsbl.2016.0202" TargetMode="External" /><Relationship Type="http://schemas.openxmlformats.org/officeDocument/2006/relationships/hyperlink" Id="rId63" Target="https://doi.org/10.1098/rspb.2002.2243" TargetMode="External" /><Relationship Type="http://schemas.openxmlformats.org/officeDocument/2006/relationships/hyperlink" Id="rId69" Target="https://doi.org/10.1098/rspb.2007.1006" TargetMode="External" /><Relationship Type="http://schemas.openxmlformats.org/officeDocument/2006/relationships/hyperlink" Id="rId58" Target="https://doi.org/10.1098/rspb.2012.1902" TargetMode="External" /><Relationship Type="http://schemas.openxmlformats.org/officeDocument/2006/relationships/hyperlink" Id="rId49" Target="https://doi.org/10.1111/2041-210X.12089" TargetMode="External" /><Relationship Type="http://schemas.openxmlformats.org/officeDocument/2006/relationships/hyperlink" Id="rId47" Target="https://doi.org/10.1111/ele.12626" TargetMode="External" /><Relationship Type="http://schemas.openxmlformats.org/officeDocument/2006/relationships/hyperlink" Id="rId70" Target="https://doi.org/10.1111/j.1558-5646.2011.01242.x" TargetMode="External" /><Relationship Type="http://schemas.openxmlformats.org/officeDocument/2006/relationships/hyperlink" Id="rId38" Target="https://doi.org/10.1126/science.1189910" TargetMode="External" /><Relationship Type="http://schemas.openxmlformats.org/officeDocument/2006/relationships/hyperlink" Id="rId48" Target="https://doi.org/10.1126/science.1203060" TargetMode="External" /><Relationship Type="http://schemas.openxmlformats.org/officeDocument/2006/relationships/hyperlink" Id="rId73" Target="https://doi.org/10.1130/0091-7613(1995)023&lt;0731:DBSAGE&gt;2.3.CO" TargetMode="External" /><Relationship Type="http://schemas.openxmlformats.org/officeDocument/2006/relationships/hyperlink" Id="rId64" Target="https://doi.org/10.1146/annurev.ecolsys.39.110707.173510" TargetMode="External" /><Relationship Type="http://schemas.openxmlformats.org/officeDocument/2006/relationships/hyperlink" Id="rId39"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4" Target="https://doi.org/10.1666/0094-8373(2001)027&lt;0602:ITPOPO&gt;2.0.CO;2" TargetMode="External" /><Relationship Type="http://schemas.openxmlformats.org/officeDocument/2006/relationships/hyperlink" Id="rId55" Target="https://doi.org/10.1666/05062.1" TargetMode="External" /><Relationship Type="http://schemas.openxmlformats.org/officeDocument/2006/relationships/hyperlink" Id="rId56" Target="https://doi.org/10.1666/06084.1" TargetMode="External" /><Relationship Type="http://schemas.openxmlformats.org/officeDocument/2006/relationships/hyperlink" Id="rId51" Target="https://doi.org/10.1666/07008.1" TargetMode="External" /><Relationship Type="http://schemas.openxmlformats.org/officeDocument/2006/relationships/hyperlink" Id="rId71"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3" Target="https://doi.org/10.18637/jss.v080.i01" TargetMode="External" /><Relationship Type="http://schemas.openxmlformats.org/officeDocument/2006/relationships/hyperlink" Id="rId72" Target="https://doi.org/10.5061/dryad.8ts3p" TargetMode="External" /><Relationship Type="http://schemas.openxmlformats.org/officeDocument/2006/relationships/hyperlink" Id="rId66" Target="https://doi.org/10.5281/zenodo.1308151" TargetMode="External" /><Relationship Type="http://schemas.openxmlformats.org/officeDocument/2006/relationships/hyperlink" Id="rId37"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79" Target="http://mc-stan.org" TargetMode="External" /><Relationship Type="http://schemas.openxmlformats.org/officeDocument/2006/relationships/hyperlink" Id="rId78"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1" Target="https://CRAN.R-project.org/package=dplyr" TargetMode="External" /><Relationship Type="http://schemas.openxmlformats.org/officeDocument/2006/relationships/hyperlink" Id="rId62" Target="https://CRAN.R-project.org/package=purrr" TargetMode="External" /><Relationship Type="http://schemas.openxmlformats.org/officeDocument/2006/relationships/hyperlink" Id="rId57" Target="https://CRAN.R-project.org/package=rstanarm" TargetMode="External" /><Relationship Type="http://schemas.openxmlformats.org/officeDocument/2006/relationships/hyperlink" Id="rId80" Target="https://doi.org/10.1007/978-3-319-28158-2" TargetMode="External" /><Relationship Type="http://schemas.openxmlformats.org/officeDocument/2006/relationships/hyperlink" Id="rId68" Target="https://doi.org/10.1007/BF02083119" TargetMode="External" /><Relationship Type="http://schemas.openxmlformats.org/officeDocument/2006/relationships/hyperlink" Id="rId61" Target="https://doi.org/10.1007/b94608" TargetMode="External" /><Relationship Type="http://schemas.openxmlformats.org/officeDocument/2006/relationships/hyperlink" Id="rId50" Target="https://doi.org/10.1016/j.patrec.2005.10.010" TargetMode="External" /><Relationship Type="http://schemas.openxmlformats.org/officeDocument/2006/relationships/hyperlink" Id="rId60" Target="https://doi.org/10.1016/j.tree.2012.07.010" TargetMode="External" /><Relationship Type="http://schemas.openxmlformats.org/officeDocument/2006/relationships/hyperlink" Id="rId52" Target="https://doi.org/10.1017/S0094837300019692" TargetMode="External" /><Relationship Type="http://schemas.openxmlformats.org/officeDocument/2006/relationships/hyperlink" Id="rId44" Target="https://doi.org/10.1029/2011JC007255" TargetMode="External" /><Relationship Type="http://schemas.openxmlformats.org/officeDocument/2006/relationships/hyperlink" Id="rId53" Target="https://doi.org/10.1038/18872" TargetMode="External" /><Relationship Type="http://schemas.openxmlformats.org/officeDocument/2006/relationships/hyperlink" Id="rId76" Target="https://doi.org/10.1038/nature07032" TargetMode="External" /><Relationship Type="http://schemas.openxmlformats.org/officeDocument/2006/relationships/hyperlink" Id="rId74" Target="https://doi.org/10.1073/pnas.0701257104" TargetMode="External" /><Relationship Type="http://schemas.openxmlformats.org/officeDocument/2006/relationships/hyperlink" Id="rId59"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77" Target="https://doi.org/10.1073/pnas.1510482112" TargetMode="External" /><Relationship Type="http://schemas.openxmlformats.org/officeDocument/2006/relationships/hyperlink" Id="rId45" Target="https://doi.org/10.1073/pnas.1519092113" TargetMode="External" /><Relationship Type="http://schemas.openxmlformats.org/officeDocument/2006/relationships/hyperlink" Id="rId65" Target="https://doi.org/10.1086/507994" TargetMode="External" /><Relationship Type="http://schemas.openxmlformats.org/officeDocument/2006/relationships/hyperlink" Id="rId46" Target="https://doi.org/10.1098/rsbl.2011.0699" TargetMode="External" /><Relationship Type="http://schemas.openxmlformats.org/officeDocument/2006/relationships/hyperlink" Id="rId67" Target="https://doi.org/10.1098/rsbl.2015.0813" TargetMode="External" /><Relationship Type="http://schemas.openxmlformats.org/officeDocument/2006/relationships/hyperlink" Id="rId75" Target="https://doi.org/10.1098/rsbl.2016.0202" TargetMode="External" /><Relationship Type="http://schemas.openxmlformats.org/officeDocument/2006/relationships/hyperlink" Id="rId63" Target="https://doi.org/10.1098/rspb.2002.2243" TargetMode="External" /><Relationship Type="http://schemas.openxmlformats.org/officeDocument/2006/relationships/hyperlink" Id="rId69" Target="https://doi.org/10.1098/rspb.2007.1006" TargetMode="External" /><Relationship Type="http://schemas.openxmlformats.org/officeDocument/2006/relationships/hyperlink" Id="rId58" Target="https://doi.org/10.1098/rspb.2012.1902" TargetMode="External" /><Relationship Type="http://schemas.openxmlformats.org/officeDocument/2006/relationships/hyperlink" Id="rId49" Target="https://doi.org/10.1111/2041-210X.12089" TargetMode="External" /><Relationship Type="http://schemas.openxmlformats.org/officeDocument/2006/relationships/hyperlink" Id="rId47" Target="https://doi.org/10.1111/ele.12626" TargetMode="External" /><Relationship Type="http://schemas.openxmlformats.org/officeDocument/2006/relationships/hyperlink" Id="rId70" Target="https://doi.org/10.1111/j.1558-5646.2011.01242.x" TargetMode="External" /><Relationship Type="http://schemas.openxmlformats.org/officeDocument/2006/relationships/hyperlink" Id="rId38" Target="https://doi.org/10.1126/science.1189910" TargetMode="External" /><Relationship Type="http://schemas.openxmlformats.org/officeDocument/2006/relationships/hyperlink" Id="rId48" Target="https://doi.org/10.1126/science.1203060" TargetMode="External" /><Relationship Type="http://schemas.openxmlformats.org/officeDocument/2006/relationships/hyperlink" Id="rId73" Target="https://doi.org/10.1130/0091-7613(1995)023&lt;0731:DBSAGE&gt;2.3.CO" TargetMode="External" /><Relationship Type="http://schemas.openxmlformats.org/officeDocument/2006/relationships/hyperlink" Id="rId64" Target="https://doi.org/10.1146/annurev.ecolsys.39.110707.173510" TargetMode="External" /><Relationship Type="http://schemas.openxmlformats.org/officeDocument/2006/relationships/hyperlink" Id="rId39"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4" Target="https://doi.org/10.1666/0094-8373(2001)027&lt;0602:ITPOPO&gt;2.0.CO;2" TargetMode="External" /><Relationship Type="http://schemas.openxmlformats.org/officeDocument/2006/relationships/hyperlink" Id="rId55" Target="https://doi.org/10.1666/05062.1" TargetMode="External" /><Relationship Type="http://schemas.openxmlformats.org/officeDocument/2006/relationships/hyperlink" Id="rId56" Target="https://doi.org/10.1666/06084.1" TargetMode="External" /><Relationship Type="http://schemas.openxmlformats.org/officeDocument/2006/relationships/hyperlink" Id="rId51" Target="https://doi.org/10.1666/07008.1" TargetMode="External" /><Relationship Type="http://schemas.openxmlformats.org/officeDocument/2006/relationships/hyperlink" Id="rId71"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3" Target="https://doi.org/10.18637/jss.v080.i01" TargetMode="External" /><Relationship Type="http://schemas.openxmlformats.org/officeDocument/2006/relationships/hyperlink" Id="rId72" Target="https://doi.org/10.5061/dryad.8ts3p" TargetMode="External" /><Relationship Type="http://schemas.openxmlformats.org/officeDocument/2006/relationships/hyperlink" Id="rId66" Target="https://doi.org/10.5281/zenodo.1308151" TargetMode="External" /><Relationship Type="http://schemas.openxmlformats.org/officeDocument/2006/relationships/hyperlink" Id="rId37"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2019-03-08T23:30:14Z</dcterms:created>
  <dcterms:modified xsi:type="dcterms:W3CDTF">2019-03-08T23:30:14Z</dcterms:modified>
</cp:coreProperties>
</file>