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06402B"/>
          <w:sz w:val="64"/>
          <w:szCs w:val="64"/>
        </w:rPr>
        <w:t xml:space="preserve">ZAF BAT</w:t>
      </w:r>
    </w:p>
    <w:p>
      <w:pPr>
        <w:spacing w:after="0"/>
        <w:jc w:val="center"/>
      </w:pPr>
      <w:r>
        <w:rPr>
          <w:rFonts w:ascii="Calibri" w:cs="Calibri" w:eastAsia="Calibri" w:hAnsi="Calibri"/>
          <w:color w:val="B07A2A"/>
          <w:sz w:val="20"/>
          <w:szCs w:val="20"/>
        </w:rPr>
        <w:t xml:space="preserve">MAÎTRISE D'OUVRAGE DÉLÉGUÉE</w:t>
      </w:r>
    </w:p>
    <w:p>
      <w:pPr>
        <w:spacing w:after="0" w:before="340"/>
        <w:jc w:val="center"/>
      </w:pPr>
      <w:r>
        <w:rPr>
          <w:rFonts w:ascii="Calibri" w:cs="Calibri" w:eastAsia="Calibri" w:hAnsi="Calibri"/>
          <w:b/>
          <w:bCs/>
          <w:color w:val="1A1A1A"/>
          <w:sz w:val="38"/>
          <w:szCs w:val="38"/>
        </w:rPr>
        <w:t xml:space="preserve">Plan de réécriture, mot par mot</w:t>
      </w:r>
    </w:p>
    <w:p>
      <w:pPr>
        <w:spacing w:after="0" w:before="120"/>
        <w:jc w:val="center"/>
      </w:pPr>
      <w:r>
        <w:rPr>
          <w:rFonts w:ascii="Calibri" w:cs="Calibri" w:eastAsia="Calibri" w:hAnsi="Calibri"/>
          <w:color w:val="6B6B6B"/>
          <w:sz w:val="20"/>
          <w:szCs w:val="20"/>
        </w:rPr>
        <w:t xml:space="preserve">Calibrage « juste milieu » · français d'abord · page par page</w:t>
      </w:r>
    </w:p>
    <w:p>
      <w:pPr>
        <w:spacing w:after="0" w:before="900"/>
        <w:jc w:val="center"/>
      </w:pPr>
      <w:r>
        <w:rPr>
          <w:rFonts w:ascii="Calibri" w:cs="Calibri" w:eastAsia="Calibri" w:hAnsi="Calibri"/>
          <w:i/>
          <w:iCs/>
          <w:color w:val="6B6B6B"/>
          <w:sz w:val="17"/>
          <w:szCs w:val="17"/>
        </w:rPr>
        <w:t xml:space="preserve">Mai 2026 · 10 pages auditées</w:t>
      </w:r>
    </w:p>
    <w:p>
      <w:r>
        <w:br w:type="page"/>
      </w:r>
    </w:p>
    <w:p>
      <w:pPr>
        <w:pStyle w:val="Heading1"/>
        <w:spacing w:after="160" w:before="320"/>
      </w:pPr>
      <w:r>
        <w:rPr>
          <w:rFonts w:ascii="Calibri" w:cs="Calibri" w:eastAsia="Calibri" w:hAnsi="Calibri"/>
          <w:b/>
          <w:bCs/>
          <w:color w:val="06402B"/>
          <w:sz w:val="30"/>
          <w:szCs w:val="30"/>
        </w:rPr>
        <w:t xml:space="preserve">Comment lire ce document</w:t>
      </w:r>
    </w:p>
    <w:p>
      <w:pPr>
        <w:spacing w:after="120" w:line="288"/>
      </w:pPr>
      <w:r>
        <w:rPr>
          <w:rFonts w:ascii="Calibri" w:cs="Calibri" w:eastAsia="Calibri" w:hAnsi="Calibri"/>
        </w:rPr>
        <w:t xml:space="preserve">Votre site est déjà solide. Il ne souffre pas d'un excès de jargon : il en a juste assez pour être crédible. Ce plan ne propose donc </w:t>
      </w:r>
      <w:r>
        <w:rPr>
          <w:rFonts w:ascii="Calibri" w:cs="Calibri" w:eastAsia="Calibri" w:hAnsi="Calibri"/>
          <w:b/>
          <w:bCs/>
        </w:rPr>
        <w:t xml:space="preserve">pas une refonte</w:t>
      </w:r>
      <w:r>
        <w:rPr>
          <w:rFonts w:ascii="Calibri" w:cs="Calibri" w:eastAsia="Calibri" w:hAnsi="Calibri"/>
        </w:rPr>
        <w:t xml:space="preserve">, mais une série de corrections ciblées — chacune au niveau du mot ou de la formulation. Trois familles : anglicismes à traduire, affirmations à sourcer ou à retirer, et incohérences à aligner d'une page à l'autre.</w:t>
      </w:r>
    </w:p>
    <w:p>
      <w:pPr>
        <w:spacing w:after="120" w:line="288"/>
      </w:pPr>
      <w:r>
        <w:rPr>
          <w:rFonts w:ascii="Calibri" w:cs="Calibri" w:eastAsia="Calibri" w:hAnsi="Calibri"/>
        </w:rPr>
        <w:t xml:space="preserve">Chaque correction se lit ainsi : </w:t>
      </w:r>
      <w:r>
        <w:rPr>
          <w:rFonts w:ascii="Calibri" w:cs="Calibri" w:eastAsia="Calibri" w:hAnsi="Calibri"/>
          <w:b/>
          <w:bCs/>
          <w:color w:val="9A3322"/>
        </w:rPr>
        <w:t xml:space="preserve">Avant</w:t>
      </w:r>
      <w:r>
        <w:rPr>
          <w:rFonts w:ascii="Calibri" w:cs="Calibri" w:eastAsia="Calibri" w:hAnsi="Calibri"/>
        </w:rPr>
        <w:t xml:space="preserve"> (ce qui est écrit aujourd'hui, cité tel quel pour faciliter le rechercher-remplacer), </w:t>
      </w:r>
      <w:r>
        <w:rPr>
          <w:rFonts w:ascii="Calibri" w:cs="Calibri" w:eastAsia="Calibri" w:hAnsi="Calibri"/>
          <w:b/>
          <w:bCs/>
          <w:color w:val="06402B"/>
        </w:rPr>
        <w:t xml:space="preserve">Après</w:t>
      </w:r>
      <w:r>
        <w:rPr>
          <w:rFonts w:ascii="Calibri" w:cs="Calibri" w:eastAsia="Calibri" w:hAnsi="Calibri"/>
        </w:rPr>
        <w:t xml:space="preserve"> (la formulation proposée), </w:t>
      </w:r>
      <w:r>
        <w:rPr>
          <w:rFonts w:ascii="Calibri" w:cs="Calibri" w:eastAsia="Calibri" w:hAnsi="Calibri"/>
          <w:b/>
          <w:bCs/>
          <w:color w:val="6B6B6B"/>
        </w:rPr>
        <w:t xml:space="preserve">Pourquoi</w:t>
      </w:r>
      <w:r>
        <w:rPr>
          <w:rFonts w:ascii="Calibri" w:cs="Calibri" w:eastAsia="Calibri" w:hAnsi="Calibri"/>
        </w:rPr>
        <w:t xml:space="preserve"> (la raison, en une ligne).</w:t>
      </w:r>
    </w:p>
    <w:p>
      <w:pPr>
        <w:spacing w:after="120" w:line="288"/>
      </w:pPr>
      <w:r>
        <w:rPr>
          <w:rFonts w:ascii="Calibri" w:cs="Calibri" w:eastAsia="Calibri" w:hAnsi="Calibri"/>
        </w:rPr>
        <w:t xml:space="preserve">La règle qui guide tout le document tient en une phrase : </w:t>
      </w:r>
      <w:r>
        <w:rPr>
          <w:rFonts w:ascii="Calibri" w:cs="Calibri" w:eastAsia="Calibri" w:hAnsi="Calibri"/>
          <w:i/>
          <w:iCs/>
        </w:rPr>
        <w:t xml:space="preserve">on garde chaque terme qui nomme une chose réelle — une loi, un acte, une banque, un chiffre, une institution — et on coupe chaque mot qui n'est qu'un synonyme chic ou une affirmation invérifiable.</w:t>
      </w:r>
    </w:p>
    <w:p>
      <w:pPr>
        <w:pStyle w:val="Heading1"/>
        <w:spacing w:after="160" w:before="320"/>
      </w:pPr>
      <w:r>
        <w:rPr>
          <w:rFonts w:ascii="Calibri" w:cs="Calibri" w:eastAsia="Calibri" w:hAnsi="Calibri"/>
          <w:b/>
          <w:bCs/>
          <w:color w:val="06402B"/>
          <w:sz w:val="30"/>
          <w:szCs w:val="30"/>
        </w:rPr>
        <w:t xml:space="preserve">La règle de calibrage</w:t>
      </w:r>
    </w:p>
    <w:p>
      <w:pPr>
        <w:spacing w:after="120" w:line="288"/>
      </w:pPr>
      <w:r>
        <w:rPr>
          <w:rFonts w:ascii="Calibri" w:cs="Calibri" w:eastAsia="Calibri" w:hAnsi="Calibri"/>
        </w:rPr>
        <w:t xml:space="preserve">Le « juste milieu » n'est pas un dosage vague. C'est un test à deux questions, appliqué à chaque terme technique :</w:t>
      </w:r>
    </w:p>
    <w:p>
      <w:pPr>
        <w:pStyle w:val="ListParagraph"/>
        <w:numPr>
          <w:ilvl w:val="0"/>
          <w:numId w:val="2"/>
        </w:numPr>
        <w:spacing w:after="70" w:line="276"/>
      </w:pPr>
      <w:r>
        <w:rPr>
          <w:rFonts w:ascii="Calibri" w:cs="Calibri" w:eastAsia="Calibri" w:hAnsi="Calibri"/>
        </w:rPr>
        <w:t xml:space="preserve">Ce mot nomme-t-il quelque chose de </w:t>
      </w:r>
      <w:r>
        <w:rPr>
          <w:rFonts w:ascii="Calibri" w:cs="Calibri" w:eastAsia="Calibri" w:hAnsi="Calibri"/>
          <w:b/>
          <w:bCs/>
        </w:rPr>
        <w:t xml:space="preserve">réel</w:t>
      </w:r>
      <w:r>
        <w:rPr>
          <w:rFonts w:ascii="Calibri" w:cs="Calibri" w:eastAsia="Calibri" w:hAnsi="Calibri"/>
        </w:rPr>
        <w:t xml:space="preserve"> — une loi, un acte, une banque, un montant, un organisme ?</w:t>
      </w:r>
    </w:p>
    <w:p>
      <w:pPr>
        <w:pStyle w:val="ListParagraph"/>
        <w:numPr>
          <w:ilvl w:val="0"/>
          <w:numId w:val="2"/>
        </w:numPr>
        <w:spacing w:after="70" w:line="276"/>
      </w:pPr>
      <w:r>
        <w:rPr>
          <w:rFonts w:ascii="Calibri" w:cs="Calibri" w:eastAsia="Calibri" w:hAnsi="Calibri"/>
        </w:rPr>
        <w:t xml:space="preserve">Le conseil d'un acheteur averti (notaire, banquier, avocat) le </w:t>
      </w:r>
      <w:r>
        <w:rPr>
          <w:rFonts w:ascii="Calibri" w:cs="Calibri" w:eastAsia="Calibri" w:hAnsi="Calibri"/>
          <w:b/>
          <w:bCs/>
        </w:rPr>
        <w:t xml:space="preserve">reconnaîtrait-il</w:t>
      </w:r>
      <w:r>
        <w:rPr>
          <w:rFonts w:ascii="Calibri" w:cs="Calibri" w:eastAsia="Calibri" w:hAnsi="Calibri"/>
        </w:rPr>
        <w:t xml:space="preserve"> ?</w:t>
      </w:r>
    </w:p>
    <w:p>
      <w:pPr>
        <w:spacing w:after="120" w:line="288"/>
      </w:pPr>
      <w:r>
        <w:rPr>
          <w:rFonts w:ascii="Calibri" w:cs="Calibri" w:eastAsia="Calibri" w:hAnsi="Calibri"/>
        </w:rPr>
        <w:t xml:space="preserve">Deux « oui » → on garde. Sinon → on coupe, ou l'on convertit le prestige en preuve : on remplace l'adjectif par l'article de loi, le nom de la banque, le document ou le chiffre.</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8D2C4" w:sz="1"/>
              <w:left w:val="single" w:color="D8D2C4" w:sz="1"/>
              <w:bottom w:val="single" w:color="D8D2C4" w:sz="1"/>
              <w:right w:val="single" w:color="D8D2C4" w:sz="1"/>
            </w:tcBorders>
            <w:shd w:fill="F3EFE4" w:color="auto" w:val="clear"/>
            <w:tcMar>
              <w:top w:type="dxa" w:w="70"/>
              <w:left w:type="dxa" w:w="130"/>
              <w:bottom w:type="dxa" w:w="70"/>
              <w:right w:type="dxa" w:w="130"/>
            </w:tcMar>
          </w:tcPr>
          <w:p>
            <w:r>
              <w:rPr>
                <w:rFonts w:ascii="Calibri" w:cs="Calibri" w:eastAsia="Calibri" w:hAnsi="Calibri"/>
                <w:b/>
                <w:bCs/>
                <w:color w:val="06402B"/>
                <w:sz w:val="18"/>
                <w:szCs w:val="18"/>
              </w:rPr>
              <w:t xml:space="preserve">GARDER</w:t>
            </w:r>
          </w:p>
        </w:tc>
        <w:tc>
          <w:tcPr>
            <w:tcW w:type="dxa" w:w="7460"/>
            <w:tcBorders>
              <w:top w:val="single" w:color="D8D2C4" w:sz="1"/>
              <w:left w:val="single" w:color="D8D2C4" w:sz="1"/>
              <w:bottom w:val="single" w:color="D8D2C4" w:sz="1"/>
              <w:right w:val="single" w:color="D8D2C4" w:sz="1"/>
            </w:tcBorders>
            <w:tcMar>
              <w:top w:type="dxa" w:w="70"/>
              <w:left w:type="dxa" w:w="130"/>
              <w:bottom w:type="dxa" w:w="70"/>
              <w:right w:type="dxa" w:w="130"/>
            </w:tcMar>
          </w:tcPr>
          <w:p>
            <w:r>
              <w:rPr>
                <w:rFonts w:ascii="Calibri" w:cs="Calibri" w:eastAsia="Calibri" w:hAnsi="Calibri"/>
                <w:sz w:val="18"/>
                <w:szCs w:val="18"/>
              </w:rPr>
              <w:t xml:space="preserve">Termes porteurs — ils sont la preuve. Loi 53-05, Loi 59-13, Loi 12-90, Loi 09-08, Dahir du 12 août 1913, RGPD, articles 769 à 775 du DOC ; maîtrise d'ouvrage déléguée, séquestre notarial, Conservation Foncière / ANCFCC, commissaire aux comptes, BFR, avenant, procès-verbal, mandat-cadre, RPS 2011, permis d'habiter, décennale, biennale, garantie de parfait achèvement ; FNBTP, CGEM, CNOA, DGI, Wafa Assurance, Allianz Maroc.</w:t>
            </w:r>
          </w:p>
        </w:tc>
      </w:tr>
      <w:tr>
        <w:tc>
          <w:tcPr>
            <w:tcW w:type="dxa" w:w="1900"/>
            <w:tcBorders>
              <w:top w:val="single" w:color="D8D2C4" w:sz="1"/>
              <w:left w:val="single" w:color="D8D2C4" w:sz="1"/>
              <w:bottom w:val="single" w:color="D8D2C4" w:sz="1"/>
              <w:right w:val="single" w:color="D8D2C4" w:sz="1"/>
            </w:tcBorders>
            <w:shd w:fill="F3EFE4" w:color="auto" w:val="clear"/>
            <w:tcMar>
              <w:top w:type="dxa" w:w="70"/>
              <w:left w:type="dxa" w:w="130"/>
              <w:bottom w:type="dxa" w:w="70"/>
              <w:right w:type="dxa" w:w="130"/>
            </w:tcMar>
          </w:tcPr>
          <w:p>
            <w:r>
              <w:rPr>
                <w:rFonts w:ascii="Calibri" w:cs="Calibri" w:eastAsia="Calibri" w:hAnsi="Calibri"/>
                <w:b/>
                <w:bCs/>
                <w:color w:val="9A3322"/>
                <w:sz w:val="18"/>
                <w:szCs w:val="18"/>
              </w:rPr>
              <w:t xml:space="preserve">COUPER</w:t>
            </w:r>
          </w:p>
        </w:tc>
        <w:tc>
          <w:tcPr>
            <w:tcW w:type="dxa" w:w="7460"/>
            <w:tcBorders>
              <w:top w:val="single" w:color="D8D2C4" w:sz="1"/>
              <w:left w:val="single" w:color="D8D2C4" w:sz="1"/>
              <w:bottom w:val="single" w:color="D8D2C4" w:sz="1"/>
              <w:right w:val="single" w:color="D8D2C4" w:sz="1"/>
            </w:tcBorders>
            <w:tcMar>
              <w:top w:type="dxa" w:w="70"/>
              <w:left w:type="dxa" w:w="130"/>
              <w:bottom w:type="dxa" w:w="70"/>
              <w:right w:type="dxa" w:w="130"/>
            </w:tcMar>
          </w:tcPr>
          <w:p>
            <w:r>
              <w:rPr>
                <w:rFonts w:ascii="Calibri" w:cs="Calibri" w:eastAsia="Calibri" w:hAnsi="Calibri"/>
                <w:sz w:val="18"/>
                <w:szCs w:val="18"/>
              </w:rPr>
              <w:t xml:space="preserve">Décoration et anglicismes — ils coûtent en clarté sans rien prouver. « Money-back », « Forecast », « GANTT » en capitales, « P50 » non expliqué, « recherche académique » (vague), la statistique « 73 % » (non sourcée), le nom d'un sous-traitant privé.</w:t>
            </w:r>
          </w:p>
        </w:tc>
      </w:tr>
      <w:tr>
        <w:tc>
          <w:tcPr>
            <w:tcW w:type="dxa" w:w="1900"/>
            <w:tcBorders>
              <w:top w:val="single" w:color="D8D2C4" w:sz="1"/>
              <w:left w:val="single" w:color="D8D2C4" w:sz="1"/>
              <w:bottom w:val="single" w:color="D8D2C4" w:sz="1"/>
              <w:right w:val="single" w:color="D8D2C4" w:sz="1"/>
            </w:tcBorders>
            <w:shd w:fill="F3EFE4" w:color="auto" w:val="clear"/>
            <w:tcMar>
              <w:top w:type="dxa" w:w="70"/>
              <w:left w:type="dxa" w:w="130"/>
              <w:bottom w:type="dxa" w:w="70"/>
              <w:right w:type="dxa" w:w="130"/>
            </w:tcMar>
          </w:tcPr>
          <w:p>
            <w:r>
              <w:rPr>
                <w:rFonts w:ascii="Calibri" w:cs="Calibri" w:eastAsia="Calibri" w:hAnsi="Calibri"/>
                <w:b/>
                <w:bCs/>
                <w:color w:val="B07A2A"/>
                <w:sz w:val="18"/>
                <w:szCs w:val="18"/>
              </w:rPr>
              <w:t xml:space="preserve">CONVERTIR</w:t>
            </w:r>
          </w:p>
        </w:tc>
        <w:tc>
          <w:tcPr>
            <w:tcW w:type="dxa" w:w="7460"/>
            <w:tcBorders>
              <w:top w:val="single" w:color="D8D2C4" w:sz="1"/>
              <w:left w:val="single" w:color="D8D2C4" w:sz="1"/>
              <w:bottom w:val="single" w:color="D8D2C4" w:sz="1"/>
              <w:right w:val="single" w:color="D8D2C4" w:sz="1"/>
            </w:tcBorders>
            <w:tcMar>
              <w:top w:type="dxa" w:w="70"/>
              <w:left w:type="dxa" w:w="130"/>
              <w:bottom w:type="dxa" w:w="70"/>
              <w:right w:type="dxa" w:w="130"/>
            </w:tcMar>
          </w:tcPr>
          <w:p>
            <w:r>
              <w:rPr>
                <w:rFonts w:ascii="Calibri" w:cs="Calibri" w:eastAsia="Calibri" w:hAnsi="Calibri"/>
                <w:sz w:val="18"/>
                <w:szCs w:val="18"/>
              </w:rPr>
              <w:t xml:space="preserve">Transformer l'affirmation en preuve : nommer la loi, la banque, le document, le chiffre ou la source exacte plutôt que de revendiquer une qualité.</w:t>
            </w:r>
          </w:p>
        </w:tc>
      </w:tr>
    </w:tbl>
    <w:p>
      <w:r>
        <w:br w:type="page"/>
      </w:r>
    </w:p>
    <w:p>
      <w:pPr>
        <w:pStyle w:val="Heading1"/>
        <w:spacing w:after="160" w:before="320"/>
      </w:pPr>
      <w:r>
        <w:rPr>
          <w:rFonts w:ascii="Calibri" w:cs="Calibri" w:eastAsia="Calibri" w:hAnsi="Calibri"/>
          <w:b/>
          <w:bCs/>
          <w:color w:val="06402B"/>
          <w:sz w:val="30"/>
          <w:szCs w:val="30"/>
        </w:rPr>
        <w:t xml:space="preserve">Corrections transversales</w:t>
      </w:r>
    </w:p>
    <w:p>
      <w:pPr>
        <w:spacing w:after="120" w:line="288"/>
      </w:pPr>
      <w:r>
        <w:rPr>
          <w:rFonts w:ascii="Calibri" w:cs="Calibri" w:eastAsia="Calibri" w:hAnsi="Calibri"/>
        </w:rPr>
        <w:t xml:space="preserve">Ces points touchent plusieurs pages à la fois. Ce sont les plus importants : sur un site dont la promesse est « tout est vérifiable », une incohérence chiffrée fait plus de dégâts qu'un anglicisme.</w:t>
      </w:r>
    </w:p>
    <w:p>
      <w:pPr>
        <w:keepNext/>
        <w:spacing w:after="40" w:before="170"/>
      </w:pPr>
      <w:r>
        <w:rPr>
          <w:rFonts w:ascii="Calibri" w:cs="Calibri" w:eastAsia="Calibri" w:hAnsi="Calibri"/>
          <w:b/>
          <w:bCs/>
          <w:color w:val="B07A2A"/>
          <w:sz w:val="20"/>
          <w:szCs w:val="20"/>
        </w:rPr>
        <w:t xml:space="preserve">T1  </w:t>
      </w:r>
      <w:r>
        <w:rPr>
          <w:rFonts w:ascii="Calibri" w:cs="Calibri" w:eastAsia="Calibri" w:hAnsi="Calibri"/>
          <w:b/>
          <w:bCs/>
          <w:color w:val="1A1A1A"/>
          <w:sz w:val="20"/>
          <w:szCs w:val="20"/>
        </w:rPr>
        <w:t xml:space="preserve">Délai de réponse : 24 h ou 48 h ?</w:t>
      </w:r>
      <w:r>
        <w:rPr>
          <w:rFonts w:ascii="Calibri" w:cs="Calibri" w:eastAsia="Calibri" w:hAnsi="Calibri"/>
          <w:i/>
          <w:iCs/>
          <w:color w:val="B07A2A"/>
          <w:sz w:val="15"/>
          <w:szCs w:val="15"/>
        </w:rPr>
        <w:t xml:space="preserve">    Incohérence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Audit : « Yassine vous recontacte sous 24 h ».  Contact / Équipe : « sous 48 heures ouvrées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Choisir un seul engagement, appliqué partout. Suggestion : « Réponse sous 48 heures ouvrées » sur tout le site ; ou distinguer clairement « 24 h pour un audit commandé, 48 h pour une première demande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Deux promesses différentes sur la même chose : le visiteur ne sait plus laquelle est vraie. Un seul chiffre, tenu partout.</w:t>
      </w:r>
    </w:p>
    <w:p>
      <w:pPr>
        <w:keepNext/>
        <w:spacing w:after="40" w:before="170"/>
      </w:pPr>
      <w:r>
        <w:rPr>
          <w:rFonts w:ascii="Calibri" w:cs="Calibri" w:eastAsia="Calibri" w:hAnsi="Calibri"/>
          <w:b/>
          <w:bCs/>
          <w:color w:val="B07A2A"/>
          <w:sz w:val="20"/>
          <w:szCs w:val="20"/>
        </w:rPr>
        <w:t xml:space="preserve">T2  </w:t>
      </w:r>
      <w:r>
        <w:rPr>
          <w:rFonts w:ascii="Calibri" w:cs="Calibri" w:eastAsia="Calibri" w:hAnsi="Calibri"/>
          <w:b/>
          <w:bCs/>
          <w:color w:val="1A1A1A"/>
          <w:sz w:val="20"/>
          <w:szCs w:val="20"/>
        </w:rPr>
        <w:t xml:space="preserve">« Onze villas livrées » contre six projets affichés</w:t>
      </w:r>
      <w:r>
        <w:rPr>
          <w:rFonts w:ascii="Calibri" w:cs="Calibri" w:eastAsia="Calibri" w:hAnsi="Calibri"/>
          <w:i/>
          <w:iCs/>
          <w:color w:val="B07A2A"/>
          <w:sz w:val="15"/>
          <w:szCs w:val="15"/>
        </w:rPr>
        <w:t xml:space="preserve">    Intégrité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Réalisations : titre « Onze villas livrées. Toutes certifiées. » et compteur « 11 » — mais la galerie ne montre que 6 projets, dont certains « En cours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Réconcilier le chiffre avec ce qui est montré : soit afficher les 11 villas livrées, soit ajuster le titre (« Onze mandats conduits, six villas déjà livrées », ou le chiffre exact).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C'est la dérive la plus dommageable : le chiffre vedette n'est pas étayé par la page. Un acheteur qui compte les cartes voit l'écart — et doute de tout le reste.</w:t>
      </w:r>
    </w:p>
    <w:p>
      <w:pPr>
        <w:keepNext/>
        <w:spacing w:after="40" w:before="170"/>
      </w:pPr>
      <w:r>
        <w:rPr>
          <w:rFonts w:ascii="Calibri" w:cs="Calibri" w:eastAsia="Calibri" w:hAnsi="Calibri"/>
          <w:b/>
          <w:bCs/>
          <w:color w:val="B07A2A"/>
          <w:sz w:val="20"/>
          <w:szCs w:val="20"/>
        </w:rPr>
        <w:t xml:space="preserve">T3  </w:t>
      </w:r>
      <w:r>
        <w:rPr>
          <w:rFonts w:ascii="Calibri" w:cs="Calibri" w:eastAsia="Calibri" w:hAnsi="Calibri"/>
          <w:b/>
          <w:bCs/>
          <w:color w:val="1A1A1A"/>
          <w:sz w:val="20"/>
          <w:szCs w:val="20"/>
        </w:rPr>
        <w:t xml:space="preserve">Navigation : Diaspora et Réalisations introuvables</w:t>
      </w:r>
      <w:r>
        <w:rPr>
          <w:rFonts w:ascii="Calibri" w:cs="Calibri" w:eastAsia="Calibri" w:hAnsi="Calibri"/>
          <w:i/>
          <w:iCs/>
          <w:color w:val="B07A2A"/>
          <w:sz w:val="15"/>
          <w:szCs w:val="15"/>
        </w:rPr>
        <w:t xml:space="preserve">    Navigation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Le menu principal de 8 pages liste : Accueil · Méthode · Audit · Pilotage · Conformité · Équipe · Contact. Les pages Diaspora et Réalisations n'y figurent pas (Réalisations a même un menu différent).</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Adopter un menu unique sur toutes les pages, incluant « Réalisations » et « Diaspora » (ou les regrouper sous un sous-menu). Deux pages entières doivent être accessibles depuis n'importe où.</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Deux des pages les plus vendeuses — preuves livrées, promesse diaspora — sont aujourd'hui orphelines : le visiteur ne peut pas les trouver.</w:t>
      </w:r>
    </w:p>
    <w:p>
      <w:pPr>
        <w:keepNext/>
        <w:spacing w:after="40" w:before="170"/>
      </w:pPr>
      <w:r>
        <w:rPr>
          <w:rFonts w:ascii="Calibri" w:cs="Calibri" w:eastAsia="Calibri" w:hAnsi="Calibri"/>
          <w:b/>
          <w:bCs/>
          <w:color w:val="B07A2A"/>
          <w:sz w:val="20"/>
          <w:szCs w:val="20"/>
        </w:rPr>
        <w:t xml:space="preserve">T4  </w:t>
      </w:r>
      <w:r>
        <w:rPr>
          <w:rFonts w:ascii="Calibri" w:cs="Calibri" w:eastAsia="Calibri" w:hAnsi="Calibri"/>
          <w:b/>
          <w:bCs/>
          <w:color w:val="1A1A1A"/>
          <w:sz w:val="20"/>
          <w:szCs w:val="20"/>
        </w:rPr>
        <w:t xml:space="preserve">« Master Finance &amp; Banking » : acquis ou en cours ?</w:t>
      </w:r>
      <w:r>
        <w:rPr>
          <w:rFonts w:ascii="Calibri" w:cs="Calibri" w:eastAsia="Calibri" w:hAnsi="Calibri"/>
          <w:i/>
          <w:iCs/>
          <w:color w:val="B07A2A"/>
          <w:sz w:val="15"/>
          <w:szCs w:val="15"/>
        </w:rPr>
        <w:t xml:space="preserve">    Cohérence · Moyenne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Équipe : « Étudiant en Master Finance &amp; Banking » (en cours).  Accueil / Audit : « Master Finance &amp; Banking » (présenté comme un diplôme obtenu).</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Une seule formulation honnête partout. Par exemple : « Master Finance &amp; Banking (en cours), ENCG Kénitra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La précision est votre marque. Une formation « en cours » présentée ailleurs comme acquise est exactement le genre d'imprécision qu'un concurrent exploiterait.</w:t>
      </w:r>
    </w:p>
    <w:p>
      <w:pPr>
        <w:keepNext/>
        <w:spacing w:after="40" w:before="170"/>
      </w:pPr>
      <w:r>
        <w:rPr>
          <w:rFonts w:ascii="Calibri" w:cs="Calibri" w:eastAsia="Calibri" w:hAnsi="Calibri"/>
          <w:b/>
          <w:bCs/>
          <w:color w:val="B07A2A"/>
          <w:sz w:val="20"/>
          <w:szCs w:val="20"/>
        </w:rPr>
        <w:t xml:space="preserve">T5  </w:t>
      </w:r>
      <w:r>
        <w:rPr>
          <w:rFonts w:ascii="Calibri" w:cs="Calibri" w:eastAsia="Calibri" w:hAnsi="Calibri"/>
          <w:b/>
          <w:bCs/>
          <w:color w:val="1A1A1A"/>
          <w:sz w:val="20"/>
          <w:szCs w:val="20"/>
        </w:rPr>
        <w:t xml:space="preserve">Signature de bas de page (tagline)</w:t>
      </w:r>
      <w:r>
        <w:rPr>
          <w:rFonts w:ascii="Calibri" w:cs="Calibri" w:eastAsia="Calibri" w:hAnsi="Calibri"/>
          <w:i/>
          <w:iCs/>
          <w:color w:val="B07A2A"/>
          <w:sz w:val="15"/>
          <w:szCs w:val="15"/>
        </w:rPr>
        <w:t xml:space="preserve">    Cohérence · Moyenne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Équipe / Contact : « Construire loin, vivre serein. »  Mentions légales : « ZAF BAT — Le mandat de maîtrise d'ouvrage qui se vérifie article par article.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Choisir une signature principale et l'appliquer à tous les pieds de page. « Construire loin, vivre serein. » joue l'émotion (diaspora) ; « … qui se vérifie article par article » joue la preuve. Une seule, partout.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Un pied de page qui change de promesse selon la page donne une impression de patchwork. La constance, c'est de la rigueur visible.</w:t>
      </w:r>
    </w:p>
    <w:p>
      <w:pPr>
        <w:keepNext/>
        <w:spacing w:after="40" w:before="170"/>
      </w:pPr>
      <w:r>
        <w:rPr>
          <w:rFonts w:ascii="Calibri" w:cs="Calibri" w:eastAsia="Calibri" w:hAnsi="Calibri"/>
          <w:b/>
          <w:bCs/>
          <w:color w:val="B07A2A"/>
          <w:sz w:val="20"/>
          <w:szCs w:val="20"/>
        </w:rPr>
        <w:t xml:space="preserve">T6  </w:t>
      </w:r>
      <w:r>
        <w:rPr>
          <w:rFonts w:ascii="Calibri" w:cs="Calibri" w:eastAsia="Calibri" w:hAnsi="Calibri"/>
          <w:b/>
          <w:bCs/>
          <w:color w:val="1A1A1A"/>
          <w:sz w:val="20"/>
          <w:szCs w:val="20"/>
        </w:rPr>
        <w:t xml:space="preserve">Ligne de copyright</w:t>
      </w:r>
      <w:r>
        <w:rPr>
          <w:rFonts w:ascii="Calibri" w:cs="Calibri" w:eastAsia="Calibri" w:hAnsi="Calibri"/>
          <w:i/>
          <w:iCs/>
          <w:color w:val="B07A2A"/>
          <w:sz w:val="15"/>
          <w:szCs w:val="15"/>
        </w:rPr>
        <w:t xml:space="preserve">    Cohérence · Basse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 © 2026 ZAF BAT » ; « © 2026 ZAF BAT SARL · RC Casablanca » ; variante avec « FNBTP CGEM · DATRP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Une seule ligne légale, identique partout : « © 2026 ZAF BAT SARL · RC Casablanca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Le copyright est un détail juridique : il doit être stable d'une page à l'autre.</w:t>
      </w:r>
    </w:p>
    <w:p>
      <w:pPr>
        <w:keepNext/>
        <w:spacing w:after="40" w:before="170"/>
      </w:pPr>
      <w:r>
        <w:rPr>
          <w:rFonts w:ascii="Calibri" w:cs="Calibri" w:eastAsia="Calibri" w:hAnsi="Calibri"/>
          <w:b/>
          <w:bCs/>
          <w:color w:val="B07A2A"/>
          <w:sz w:val="20"/>
          <w:szCs w:val="20"/>
        </w:rPr>
        <w:t xml:space="preserve">T7  </w:t>
      </w:r>
      <w:r>
        <w:rPr>
          <w:rFonts w:ascii="Calibri" w:cs="Calibri" w:eastAsia="Calibri" w:hAnsi="Calibri"/>
          <w:b/>
          <w:bCs/>
          <w:color w:val="1A1A1A"/>
          <w:sz w:val="20"/>
          <w:szCs w:val="20"/>
        </w:rPr>
        <w:t xml:space="preserve">Libellé du bouton de menu (CTA)</w:t>
      </w:r>
      <w:r>
        <w:rPr>
          <w:rFonts w:ascii="Calibri" w:cs="Calibri" w:eastAsia="Calibri" w:hAnsi="Calibri"/>
          <w:i/>
          <w:iCs/>
          <w:color w:val="B07A2A"/>
          <w:sz w:val="15"/>
          <w:szCs w:val="15"/>
        </w:rPr>
        <w:t xml:space="preserve">    Cohérence · Basse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Équipe / Contact : « Discussion privée ».  Mentions légales : « Contact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Un seul libellé pour le bouton de navigation. « Discussion privée » est plus distinctif et colle au positionnement.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Même bouton, même mot, sur toutes les pages.</w:t>
      </w:r>
    </w:p>
    <w:p>
      <w:pPr>
        <w:keepNext/>
        <w:spacing w:after="40" w:before="170"/>
      </w:pPr>
      <w:r>
        <w:rPr>
          <w:rFonts w:ascii="Calibri" w:cs="Calibri" w:eastAsia="Calibri" w:hAnsi="Calibri"/>
          <w:b/>
          <w:bCs/>
          <w:color w:val="B07A2A"/>
          <w:sz w:val="20"/>
          <w:szCs w:val="20"/>
        </w:rPr>
        <w:t xml:space="preserve">T8  </w:t>
      </w:r>
      <w:r>
        <w:rPr>
          <w:rFonts w:ascii="Calibri" w:cs="Calibri" w:eastAsia="Calibri" w:hAnsi="Calibri"/>
          <w:b/>
          <w:bCs/>
          <w:color w:val="1A1A1A"/>
          <w:sz w:val="20"/>
          <w:szCs w:val="20"/>
        </w:rPr>
        <w:t xml:space="preserve">Orthographe « melkya / melkia »</w:t>
      </w:r>
      <w:r>
        <w:rPr>
          <w:rFonts w:ascii="Calibri" w:cs="Calibri" w:eastAsia="Calibri" w:hAnsi="Calibri"/>
          <w:i/>
          <w:iCs/>
          <w:color w:val="B07A2A"/>
          <w:sz w:val="15"/>
          <w:szCs w:val="15"/>
        </w:rPr>
        <w:t xml:space="preserve">    Orthographe · Basse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Audit : « melkya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Standardiser : « titre melkia » (graphie à fixer une fois pour tout le site).</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Terme foncier réel et porteur — à garder, mais à écrire de manière identique partout.</w:t>
      </w:r>
    </w:p>
    <w:p>
      <w:r>
        <w:br w:type="page"/>
      </w:r>
    </w:p>
    <w:p>
      <w:pPr>
        <w:pStyle w:val="Heading1"/>
        <w:spacing w:after="160" w:before="320"/>
      </w:pPr>
      <w:r>
        <w:rPr>
          <w:rFonts w:ascii="Calibri" w:cs="Calibri" w:eastAsia="Calibri" w:hAnsi="Calibri"/>
          <w:b/>
          <w:bCs/>
          <w:color w:val="06402B"/>
          <w:sz w:val="30"/>
          <w:szCs w:val="30"/>
        </w:rPr>
        <w:t xml:space="preserve">Page par page</w:t>
      </w:r>
    </w:p>
    <w:p>
      <w:pPr>
        <w:pStyle w:val="Heading2"/>
        <w:pBdr>
          <w:bottom w:val="single" w:color="B07A2A" w:sz="6" w:space="2"/>
        </w:pBdr>
        <w:spacing w:after="120" w:before="260"/>
      </w:pPr>
      <w:r>
        <w:rPr>
          <w:rFonts w:ascii="Calibri" w:cs="Calibri" w:eastAsia="Calibri" w:hAnsi="Calibri"/>
          <w:b/>
          <w:bCs/>
          <w:color w:val="06402B"/>
          <w:sz w:val="24"/>
          <w:szCs w:val="24"/>
        </w:rPr>
        <w:t xml:space="preserve">1. Accueil  (ZAF BAT.html)</w:t>
      </w:r>
    </w:p>
    <w:p>
      <w:pPr>
        <w:spacing w:after="120" w:line="288"/>
      </w:pPr>
      <w:r>
        <w:rPr>
          <w:rFonts w:ascii="Calibri" w:cs="Calibri" w:eastAsia="Calibri" w:hAnsi="Calibri"/>
        </w:rPr>
        <w:t xml:space="preserve">Page déjà propre et confiante. Deux ajustements de cadrage, le reste à conserver tel quel.</w:t>
      </w:r>
    </w:p>
    <w:p>
      <w:pPr>
        <w:keepNext/>
        <w:spacing w:after="40" w:before="170"/>
      </w:pPr>
      <w:r>
        <w:rPr>
          <w:rFonts w:ascii="Calibri" w:cs="Calibri" w:eastAsia="Calibri" w:hAnsi="Calibri"/>
          <w:b/>
          <w:bCs/>
          <w:color w:val="B07A2A"/>
          <w:sz w:val="20"/>
          <w:szCs w:val="20"/>
        </w:rPr>
        <w:t xml:space="preserve">1.1  </w:t>
      </w:r>
      <w:r>
        <w:rPr>
          <w:rFonts w:ascii="Calibri" w:cs="Calibri" w:eastAsia="Calibri" w:hAnsi="Calibri"/>
          <w:b/>
          <w:bCs/>
          <w:color w:val="1A1A1A"/>
          <w:sz w:val="20"/>
          <w:szCs w:val="20"/>
        </w:rPr>
        <w:t xml:space="preserve">Titre de section « Le serment ZAF BAT »</w:t>
      </w:r>
      <w:r>
        <w:rPr>
          <w:rFonts w:ascii="Calibri" w:cs="Calibri" w:eastAsia="Calibri" w:hAnsi="Calibri"/>
          <w:i/>
          <w:iCs/>
          <w:color w:val="B07A2A"/>
          <w:sz w:val="15"/>
          <w:szCs w:val="15"/>
        </w:rPr>
        <w:t xml:space="preserve">    Cadrage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Le serment ZAF BAT</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Nos engagements contractuels  (ou : Nos sept engagements)</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 Serment » promet un sentiment ; « engagements contractuels » promet quelque chose d'opposable — et c'est exactement ce que la section énumère. On convertit l'émotion en preuve.</w:t>
      </w:r>
    </w:p>
    <w:p>
      <w:pPr>
        <w:keepNext/>
        <w:spacing w:after="40" w:before="170"/>
      </w:pPr>
      <w:r>
        <w:rPr>
          <w:rFonts w:ascii="Calibri" w:cs="Calibri" w:eastAsia="Calibri" w:hAnsi="Calibri"/>
          <w:b/>
          <w:bCs/>
          <w:color w:val="B07A2A"/>
          <w:sz w:val="20"/>
          <w:szCs w:val="20"/>
        </w:rPr>
        <w:t xml:space="preserve">1.2  </w:t>
      </w:r>
      <w:r>
        <w:rPr>
          <w:rFonts w:ascii="Calibri" w:cs="Calibri" w:eastAsia="Calibri" w:hAnsi="Calibri"/>
          <w:b/>
          <w:bCs/>
          <w:color w:val="1A1A1A"/>
          <w:sz w:val="20"/>
          <w:szCs w:val="20"/>
        </w:rPr>
        <w:t xml:space="preserve">Titre principal (H1) — optionnel</w:t>
      </w:r>
      <w:r>
        <w:rPr>
          <w:rFonts w:ascii="Calibri" w:cs="Calibri" w:eastAsia="Calibri" w:hAnsi="Calibri"/>
          <w:i/>
          <w:iCs/>
          <w:color w:val="B07A2A"/>
          <w:sz w:val="15"/>
          <w:szCs w:val="15"/>
        </w:rPr>
        <w:t xml:space="preserve">    Optionnel</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Le standard de maîtrise d'ouvrage qui n'existait pas encore au Maroc.</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À conserver : c'est la seule envolée permise, et elle reste crédible. Variante plus ancrée si vous voulez moins de promesse : « La maîtrise d'ouvrage déléguée, conduite avec la discipline financière que le marché marocain attendait.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Une affirmation forte est autorisée en titre tant qu'elle reste défendable. Garder l'original ; l'alternative n'est utile que pour mettre davantage la méthode en avant.</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honoraires « entre 6 % et 9 % », audit à « 4 500 MAD HT », citation du fondateur, comparatif MOD à trois voies. Cohérents et bien ancrés.</w:t>
      </w:r>
    </w:p>
    <w:p>
      <w:pPr>
        <w:pStyle w:val="Heading2"/>
        <w:pBdr>
          <w:bottom w:val="single" w:color="B07A2A" w:sz="6" w:space="2"/>
        </w:pBdr>
        <w:spacing w:after="120" w:before="260"/>
      </w:pPr>
      <w:r>
        <w:rPr>
          <w:rFonts w:ascii="Calibri" w:cs="Calibri" w:eastAsia="Calibri" w:hAnsi="Calibri"/>
          <w:b/>
          <w:bCs/>
          <w:color w:val="06402B"/>
          <w:sz w:val="24"/>
          <w:szCs w:val="24"/>
        </w:rPr>
        <w:t xml:space="preserve">2. Méthode  (Methodologie.html)</w:t>
      </w:r>
    </w:p>
    <w:p>
      <w:pPr>
        <w:keepNext/>
        <w:spacing w:after="40" w:before="170"/>
      </w:pPr>
      <w:r>
        <w:rPr>
          <w:rFonts w:ascii="Calibri" w:cs="Calibri" w:eastAsia="Calibri" w:hAnsi="Calibri"/>
          <w:b/>
          <w:bCs/>
          <w:color w:val="B07A2A"/>
          <w:sz w:val="20"/>
          <w:szCs w:val="20"/>
        </w:rPr>
        <w:t xml:space="preserve">2.1  </w:t>
      </w:r>
      <w:r>
        <w:rPr>
          <w:rFonts w:ascii="Calibri" w:cs="Calibri" w:eastAsia="Calibri" w:hAnsi="Calibri"/>
          <w:b/>
          <w:bCs/>
          <w:color w:val="1A1A1A"/>
          <w:sz w:val="20"/>
          <w:szCs w:val="20"/>
        </w:rPr>
        <w:t xml:space="preserve">Libellé de ligne « Money-back »</w:t>
      </w:r>
      <w:r>
        <w:rPr>
          <w:rFonts w:ascii="Calibri" w:cs="Calibri" w:eastAsia="Calibri" w:hAnsi="Calibri"/>
          <w:i/>
          <w:iCs/>
          <w:color w:val="B07A2A"/>
          <w:sz w:val="15"/>
          <w:szCs w:val="15"/>
        </w:rPr>
        <w:t xml:space="preserve">    Anglicisme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Money-back</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Remboursement intégral garanti</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Anglicisme avec équivalent français exact. Sur un site juridique francophone, l'anglais affaiblit l'autorité au lieu de la renforcer.</w:t>
      </w:r>
    </w:p>
    <w:p>
      <w:pPr>
        <w:keepNext/>
        <w:spacing w:after="40" w:before="170"/>
      </w:pPr>
      <w:r>
        <w:rPr>
          <w:rFonts w:ascii="Calibri" w:cs="Calibri" w:eastAsia="Calibri" w:hAnsi="Calibri"/>
          <w:b/>
          <w:bCs/>
          <w:color w:val="B07A2A"/>
          <w:sz w:val="20"/>
          <w:szCs w:val="20"/>
        </w:rPr>
        <w:t xml:space="preserve">2.2  </w:t>
      </w:r>
      <w:r>
        <w:rPr>
          <w:rFonts w:ascii="Calibri" w:cs="Calibri" w:eastAsia="Calibri" w:hAnsi="Calibri"/>
          <w:b/>
          <w:bCs/>
          <w:color w:val="1A1A1A"/>
          <w:sz w:val="20"/>
          <w:szCs w:val="20"/>
        </w:rPr>
        <w:t xml:space="preserve">« GANTT » en capitales</w:t>
      </w:r>
      <w:r>
        <w:rPr>
          <w:rFonts w:ascii="Calibri" w:cs="Calibri" w:eastAsia="Calibri" w:hAnsi="Calibri"/>
          <w:i/>
          <w:iCs/>
          <w:color w:val="B07A2A"/>
          <w:sz w:val="15"/>
          <w:szCs w:val="15"/>
        </w:rPr>
        <w:t xml:space="preserve">    Typographie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GANTT</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planning Gantt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 Gantt » est un nom propre (Henry Gantt), pas un acronyme : les capitales sont une faute typographique.</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RPS 2011, Dahir du 12 août 1913, Loi 12-90, Loi 53-05, décennale Loi 59-13, DATRP. Le « 10 » en fond de la Phase 06 est intentionnel (10 ans de décennale) — ne pas le « corriger ».</w:t>
      </w:r>
    </w:p>
    <w:p>
      <w:pPr>
        <w:pStyle w:val="Heading2"/>
        <w:pBdr>
          <w:bottom w:val="single" w:color="B07A2A" w:sz="6" w:space="2"/>
        </w:pBdr>
        <w:spacing w:after="120" w:before="260"/>
      </w:pPr>
      <w:r>
        <w:rPr>
          <w:rFonts w:ascii="Calibri" w:cs="Calibri" w:eastAsia="Calibri" w:hAnsi="Calibri"/>
          <w:b/>
          <w:bCs/>
          <w:color w:val="06402B"/>
          <w:sz w:val="24"/>
          <w:szCs w:val="24"/>
        </w:rPr>
        <w:t xml:space="preserve">3. Pilotage financier  (Pilotage-Financier.html)</w:t>
      </w:r>
    </w:p>
    <w:p>
      <w:pPr>
        <w:spacing w:after="120" w:line="288"/>
      </w:pPr>
      <w:r>
        <w:rPr>
          <w:rFonts w:ascii="Calibri" w:cs="Calibri" w:eastAsia="Calibri" w:hAnsi="Calibri"/>
          <w:i/>
          <w:iCs/>
          <w:color w:val="6B6B6B"/>
          <w:sz w:val="18"/>
          <w:szCs w:val="18"/>
        </w:rPr>
        <w:t xml:space="preserve">Page à la plus forte densité de dérive — et la plus stratégique, car c'est ici que se joue la confiance financière.</w:t>
      </w:r>
    </w:p>
    <w:p>
      <w:pPr>
        <w:keepNext/>
        <w:spacing w:after="40" w:before="170"/>
      </w:pPr>
      <w:r>
        <w:rPr>
          <w:rFonts w:ascii="Calibri" w:cs="Calibri" w:eastAsia="Calibri" w:hAnsi="Calibri"/>
          <w:b/>
          <w:bCs/>
          <w:color w:val="B07A2A"/>
          <w:sz w:val="20"/>
          <w:szCs w:val="20"/>
        </w:rPr>
        <w:t xml:space="preserve">3.1  </w:t>
      </w:r>
      <w:r>
        <w:rPr>
          <w:rFonts w:ascii="Calibri" w:cs="Calibri" w:eastAsia="Calibri" w:hAnsi="Calibri"/>
          <w:b/>
          <w:bCs/>
          <w:color w:val="1A1A1A"/>
          <w:sz w:val="20"/>
          <w:szCs w:val="20"/>
        </w:rPr>
        <w:t xml:space="preserve">Statistique non sourcée « 73 % »</w:t>
      </w:r>
      <w:r>
        <w:rPr>
          <w:rFonts w:ascii="Calibri" w:cs="Calibri" w:eastAsia="Calibri" w:hAnsi="Calibri"/>
          <w:i/>
          <w:iCs/>
          <w:color w:val="B07A2A"/>
          <w:sz w:val="15"/>
          <w:szCs w:val="15"/>
        </w:rPr>
        <w:t xml:space="preserve">    Non sourcé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73 % des chantiers haut de gamme au Maroc dérapent budgétairement</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Sans source publique vérifiable, retirer le chiffre et le remplacer par un mécanisme : « Sur un chantier de villa, l'essentiel des dépassements vient de trois causes : avenants non maîtrisés, décaissements anticipés, et absence de tiers de confiance sur les fonds.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Un chiffre précis mais non sourçable est un risque : un seul prospect qui demande la source, et toute la page perd son autorité. Un mécanisme crédible vaut mieux qu'une statistique fragile.</w:t>
      </w:r>
    </w:p>
    <w:p>
      <w:pPr>
        <w:keepNext/>
        <w:spacing w:after="40" w:before="170"/>
      </w:pPr>
      <w:r>
        <w:rPr>
          <w:rFonts w:ascii="Calibri" w:cs="Calibri" w:eastAsia="Calibri" w:hAnsi="Calibri"/>
          <w:b/>
          <w:bCs/>
          <w:color w:val="B07A2A"/>
          <w:sz w:val="20"/>
          <w:szCs w:val="20"/>
        </w:rPr>
        <w:t xml:space="preserve">3.2  </w:t>
      </w:r>
      <w:r>
        <w:rPr>
          <w:rFonts w:ascii="Calibri" w:cs="Calibri" w:eastAsia="Calibri" w:hAnsi="Calibri"/>
          <w:b/>
          <w:bCs/>
          <w:color w:val="1A1A1A"/>
          <w:sz w:val="20"/>
          <w:szCs w:val="20"/>
        </w:rPr>
        <w:t xml:space="preserve">« Calibré sur une recherche académique »</w:t>
      </w:r>
      <w:r>
        <w:rPr>
          <w:rFonts w:ascii="Calibri" w:cs="Calibri" w:eastAsia="Calibri" w:hAnsi="Calibri"/>
          <w:i/>
          <w:iCs/>
          <w:color w:val="B07A2A"/>
          <w:sz w:val="15"/>
          <w:szCs w:val="15"/>
        </w:rPr>
        <w:t xml:space="preserve">    Vague → preuve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Calibré sur une recherche académique…</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Calibré sur les travaux de recherche de notre fondateur (Master Finance &amp; Banking, ENCG Kénitra) sur les défaillances financières des PME du BTP marocain.</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La preuve existe déjà : c'est le mémoire du fondateur, mentionné sur la page Équipe. La nommer la rend concrète au lieu de vague (voir aussi l'édit 8.3).</w:t>
      </w:r>
    </w:p>
    <w:p>
      <w:pPr>
        <w:keepNext/>
        <w:spacing w:after="40" w:before="170"/>
      </w:pPr>
      <w:r>
        <w:rPr>
          <w:rFonts w:ascii="Calibri" w:cs="Calibri" w:eastAsia="Calibri" w:hAnsi="Calibri"/>
          <w:b/>
          <w:bCs/>
          <w:color w:val="B07A2A"/>
          <w:sz w:val="20"/>
          <w:szCs w:val="20"/>
        </w:rPr>
        <w:t xml:space="preserve">3.3  </w:t>
      </w:r>
      <w:r>
        <w:rPr>
          <w:rFonts w:ascii="Calibri" w:cs="Calibri" w:eastAsia="Calibri" w:hAnsi="Calibri"/>
          <w:b/>
          <w:bCs/>
          <w:color w:val="1A1A1A"/>
          <w:sz w:val="20"/>
          <w:szCs w:val="20"/>
        </w:rPr>
        <w:t xml:space="preserve">Anglicisme « Forecast »</w:t>
      </w:r>
      <w:r>
        <w:rPr>
          <w:rFonts w:ascii="Calibri" w:cs="Calibri" w:eastAsia="Calibri" w:hAnsi="Calibri"/>
          <w:i/>
          <w:iCs/>
          <w:color w:val="B07A2A"/>
          <w:sz w:val="15"/>
          <w:szCs w:val="15"/>
        </w:rPr>
        <w:t xml:space="preserve">    Anglicisme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Forecast fin chantier P50</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Projection de coût en fin de chantier (P50)</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 Forecast » → « Projection ». P50 est un vrai terme d'ingénierie de coût : on le garde, mais on l'explique une fois sur la page (voir 3.4).</w:t>
      </w:r>
    </w:p>
    <w:p>
      <w:pPr>
        <w:keepNext/>
        <w:spacing w:after="40" w:before="170"/>
      </w:pPr>
      <w:r>
        <w:rPr>
          <w:rFonts w:ascii="Calibri" w:cs="Calibri" w:eastAsia="Calibri" w:hAnsi="Calibri"/>
          <w:b/>
          <w:bCs/>
          <w:color w:val="B07A2A"/>
          <w:sz w:val="20"/>
          <w:szCs w:val="20"/>
        </w:rPr>
        <w:t xml:space="preserve">3.4  </w:t>
      </w:r>
      <w:r>
        <w:rPr>
          <w:rFonts w:ascii="Calibri" w:cs="Calibri" w:eastAsia="Calibri" w:hAnsi="Calibri"/>
          <w:b/>
          <w:bCs/>
          <w:color w:val="1A1A1A"/>
          <w:sz w:val="20"/>
          <w:szCs w:val="20"/>
        </w:rPr>
        <w:t xml:space="preserve">Notation P50 / P90 non expliquée</w:t>
      </w:r>
      <w:r>
        <w:rPr>
          <w:rFonts w:ascii="Calibri" w:cs="Calibri" w:eastAsia="Calibri" w:hAnsi="Calibri"/>
          <w:i/>
          <w:iCs/>
          <w:color w:val="B07A2A"/>
          <w:sz w:val="15"/>
          <w:szCs w:val="15"/>
        </w:rPr>
        <w:t xml:space="preserve">    Clarté</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(P50 employé sans définition)</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Ajouter une glose à la première occurrence : « P50 = estimation médiane : une chance sur deux que le coût final soit en dessous. P90 = estimation prudente : neuf chances sur dix d'être en dessous.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On garde le terme (il prouve la rigueur), mais une glose évite qu'il « sonne savant sans parler » à un client non technicien.</w:t>
      </w:r>
    </w:p>
    <w:p>
      <w:pPr>
        <w:keepNext/>
        <w:spacing w:after="40" w:before="170"/>
      </w:pPr>
      <w:r>
        <w:rPr>
          <w:rFonts w:ascii="Calibri" w:cs="Calibri" w:eastAsia="Calibri" w:hAnsi="Calibri"/>
          <w:b/>
          <w:bCs/>
          <w:color w:val="B07A2A"/>
          <w:sz w:val="20"/>
          <w:szCs w:val="20"/>
        </w:rPr>
        <w:t xml:space="preserve">3.5  </w:t>
      </w:r>
      <w:r>
        <w:rPr>
          <w:rFonts w:ascii="Calibri" w:cs="Calibri" w:eastAsia="Calibri" w:hAnsi="Calibri"/>
          <w:b/>
          <w:bCs/>
          <w:color w:val="1A1A1A"/>
          <w:sz w:val="20"/>
          <w:szCs w:val="20"/>
        </w:rPr>
        <w:t xml:space="preserve">Nom d'un sous-traitant privé</w:t>
      </w:r>
      <w:r>
        <w:rPr>
          <w:rFonts w:ascii="Calibri" w:cs="Calibri" w:eastAsia="Calibri" w:hAnsi="Calibri"/>
          <w:i/>
          <w:iCs/>
          <w:color w:val="B07A2A"/>
          <w:sz w:val="15"/>
          <w:szCs w:val="15"/>
        </w:rPr>
        <w:t xml:space="preserve">    Confidentialité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Zoubayr SARL 84/100</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Lot gros œuvre · note interne 84/100  (anonymiser le nom)</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Le système de notation est une excellente preuve de méthode — à garder. Mais afficher le nom d'un sous-traitant et sa note sur une page publique pose un problème de confidentialité et donne l'impression d'une fuite de données internes.</w:t>
      </w:r>
    </w:p>
    <w:p>
      <w:pPr>
        <w:keepNext/>
        <w:spacing w:after="40" w:before="170"/>
      </w:pPr>
      <w:r>
        <w:rPr>
          <w:rFonts w:ascii="Calibri" w:cs="Calibri" w:eastAsia="Calibri" w:hAnsi="Calibri"/>
          <w:b/>
          <w:bCs/>
          <w:color w:val="B07A2A"/>
          <w:sz w:val="20"/>
          <w:szCs w:val="20"/>
        </w:rPr>
        <w:t xml:space="preserve">3.6  </w:t>
      </w:r>
      <w:r>
        <w:rPr>
          <w:rFonts w:ascii="Calibri" w:cs="Calibri" w:eastAsia="Calibri" w:hAnsi="Calibri"/>
          <w:b/>
          <w:bCs/>
          <w:color w:val="1A1A1A"/>
          <w:sz w:val="20"/>
          <w:szCs w:val="20"/>
        </w:rPr>
        <w:t xml:space="preserve">Sigle BFR</w:t>
      </w:r>
      <w:r>
        <w:rPr>
          <w:rFonts w:ascii="Calibri" w:cs="Calibri" w:eastAsia="Calibri" w:hAnsi="Calibri"/>
          <w:i/>
          <w:iCs/>
          <w:color w:val="B07A2A"/>
          <w:sz w:val="15"/>
          <w:szCs w:val="15"/>
        </w:rPr>
        <w:t xml:space="preserve">    Clarté</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BFR projet</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Besoin en fonds de roulement (BFR) du projet  — à la première occurrence</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Terme financier réel et porteur : on le garde. Une seule définition, à la première apparition, suffit à le rendre lisible sans l'alourdir.</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schéma du séquestre, quatre conditions de décaissement, aperçu du rapport mensuel, article 26 (bilan annuel + commissaire aux comptes à partir de 2028). Ce sont des preuves de premier ordre.</w:t>
      </w:r>
    </w:p>
    <w:p>
      <w:pPr>
        <w:pStyle w:val="Heading2"/>
        <w:pBdr>
          <w:bottom w:val="single" w:color="B07A2A" w:sz="6" w:space="2"/>
        </w:pBdr>
        <w:spacing w:after="120" w:before="260"/>
      </w:pPr>
      <w:r>
        <w:rPr>
          <w:rFonts w:ascii="Calibri" w:cs="Calibri" w:eastAsia="Calibri" w:hAnsi="Calibri"/>
          <w:b/>
          <w:bCs/>
          <w:color w:val="06402B"/>
          <w:sz w:val="24"/>
          <w:szCs w:val="24"/>
        </w:rPr>
        <w:t xml:space="preserve">4. Audit  (Audit.html)</w:t>
      </w:r>
    </w:p>
    <w:p>
      <w:pPr>
        <w:spacing w:after="120" w:line="288"/>
      </w:pPr>
      <w:r>
        <w:rPr>
          <w:rFonts w:ascii="Calibri" w:cs="Calibri" w:eastAsia="Calibri" w:hAnsi="Calibri"/>
          <w:i/>
          <w:iCs/>
          <w:color w:val="6B6B6B"/>
          <w:sz w:val="18"/>
          <w:szCs w:val="18"/>
        </w:rPr>
        <w:t xml:space="preserve">Le plus gros foyer d'anglicismes du site. Aucun « Money-back » ne doit subsister.</w:t>
      </w:r>
    </w:p>
    <w:p>
      <w:pPr>
        <w:keepNext/>
        <w:spacing w:after="40" w:before="170"/>
      </w:pPr>
      <w:r>
        <w:rPr>
          <w:rFonts w:ascii="Calibri" w:cs="Calibri" w:eastAsia="Calibri" w:hAnsi="Calibri"/>
          <w:b/>
          <w:bCs/>
          <w:color w:val="B07A2A"/>
          <w:sz w:val="20"/>
          <w:szCs w:val="20"/>
        </w:rPr>
        <w:t xml:space="preserve">4.1  </w:t>
      </w:r>
      <w:r>
        <w:rPr>
          <w:rFonts w:ascii="Calibri" w:cs="Calibri" w:eastAsia="Calibri" w:hAnsi="Calibri"/>
          <w:b/>
          <w:bCs/>
          <w:color w:val="1A1A1A"/>
          <w:sz w:val="20"/>
          <w:szCs w:val="20"/>
        </w:rPr>
        <w:t xml:space="preserve">Titre de section</w:t>
      </w:r>
      <w:r>
        <w:rPr>
          <w:rFonts w:ascii="Calibri" w:cs="Calibri" w:eastAsia="Calibri" w:hAnsi="Calibri"/>
          <w:i/>
          <w:iCs/>
          <w:color w:val="B07A2A"/>
          <w:sz w:val="15"/>
          <w:szCs w:val="15"/>
        </w:rPr>
        <w:t xml:space="preserve">    Anglicisme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Contractualisé. Opposable. Money-back.</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Contractualisé. Opposable. Remboursé.</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Trois participes passés français en cadence : on garde le rythme percutant sans rompre la langue.</w:t>
      </w:r>
    </w:p>
    <w:p>
      <w:pPr>
        <w:keepNext/>
        <w:spacing w:after="40" w:before="170"/>
      </w:pPr>
      <w:r>
        <w:rPr>
          <w:rFonts w:ascii="Calibri" w:cs="Calibri" w:eastAsia="Calibri" w:hAnsi="Calibri"/>
          <w:b/>
          <w:bCs/>
          <w:color w:val="B07A2A"/>
          <w:sz w:val="20"/>
          <w:szCs w:val="20"/>
        </w:rPr>
        <w:t xml:space="preserve">4.2  </w:t>
      </w:r>
      <w:r>
        <w:rPr>
          <w:rFonts w:ascii="Calibri" w:cs="Calibri" w:eastAsia="Calibri" w:hAnsi="Calibri"/>
          <w:b/>
          <w:bCs/>
          <w:color w:val="1A1A1A"/>
          <w:sz w:val="20"/>
          <w:szCs w:val="20"/>
        </w:rPr>
        <w:t xml:space="preserve">Occurrences « Money-back » dans le corps</w:t>
      </w:r>
      <w:r>
        <w:rPr>
          <w:rFonts w:ascii="Calibri" w:cs="Calibri" w:eastAsia="Calibri" w:hAnsi="Calibri"/>
          <w:i/>
          <w:iCs/>
          <w:color w:val="B07A2A"/>
          <w:sz w:val="15"/>
          <w:szCs w:val="15"/>
        </w:rPr>
        <w:t xml:space="preserve">    Anglicisme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 Money-back » (lignes 154, 213, 218)</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Remboursement intégral garanti  /  remboursé intégralement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Même correction que 2.1, appliquée à chaque occurrence. Aucune ne doit subsister.</w:t>
      </w:r>
    </w:p>
    <w:p>
      <w:pPr>
        <w:keepNext/>
        <w:spacing w:after="40" w:before="170"/>
      </w:pPr>
      <w:r>
        <w:rPr>
          <w:rFonts w:ascii="Calibri" w:cs="Calibri" w:eastAsia="Calibri" w:hAnsi="Calibri"/>
          <w:b/>
          <w:bCs/>
          <w:color w:val="B07A2A"/>
          <w:sz w:val="20"/>
          <w:szCs w:val="20"/>
        </w:rPr>
        <w:t xml:space="preserve">4.3  </w:t>
      </w:r>
      <w:r>
        <w:rPr>
          <w:rFonts w:ascii="Calibri" w:cs="Calibri" w:eastAsia="Calibri" w:hAnsi="Calibri"/>
          <w:b/>
          <w:bCs/>
          <w:color w:val="1A1A1A"/>
          <w:sz w:val="20"/>
          <w:szCs w:val="20"/>
        </w:rPr>
        <w:t xml:space="preserve">Délai de réponse</w:t>
      </w:r>
      <w:r>
        <w:rPr>
          <w:rFonts w:ascii="Calibri" w:cs="Calibri" w:eastAsia="Calibri" w:hAnsi="Calibri"/>
          <w:i/>
          <w:iCs/>
          <w:color w:val="B07A2A"/>
          <w:sz w:val="15"/>
          <w:szCs w:val="15"/>
        </w:rPr>
        <w:t xml:space="preserve">    Cohérence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Yassine vous recontacte sous 24 h</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Aligner sur la décision prise en T1 (24 h ou 48 h, mais le même chiffre partout).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Voir correction transversale T1.</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audit 20 points (technique / juridique / financier), 4 500 MAD HT, signatures des deux fondateurs, formulaire de commande. Solide.</w:t>
      </w:r>
    </w:p>
    <w:p>
      <w:pPr>
        <w:pStyle w:val="Heading2"/>
        <w:pBdr>
          <w:bottom w:val="single" w:color="B07A2A" w:sz="6" w:space="2"/>
        </w:pBdr>
        <w:spacing w:after="120" w:before="260"/>
      </w:pPr>
      <w:r>
        <w:rPr>
          <w:rFonts w:ascii="Calibri" w:cs="Calibri" w:eastAsia="Calibri" w:hAnsi="Calibri"/>
          <w:b/>
          <w:bCs/>
          <w:color w:val="06402B"/>
          <w:sz w:val="24"/>
          <w:szCs w:val="24"/>
        </w:rPr>
        <w:t xml:space="preserve">5. Conformité  (Conformite.html)</w:t>
      </w:r>
    </w:p>
    <w:p>
      <w:pPr>
        <w:spacing w:after="120" w:line="288"/>
      </w:pPr>
      <w:r>
        <w:rPr>
          <w:rFonts w:ascii="Calibri" w:cs="Calibri" w:eastAsia="Calibri" w:hAnsi="Calibri"/>
        </w:rPr>
        <w:t xml:space="preserve">Page de référence — le modèle à imiter. Le titre (« Nous ne citons pas les lois pour paraître sérieux. Nous les citons parce que nous les appliquons, article par article. ») est exactement le bon calibrage. Une seule correction.</w:t>
      </w:r>
    </w:p>
    <w:p>
      <w:pPr>
        <w:keepNext/>
        <w:spacing w:after="40" w:before="170"/>
      </w:pPr>
      <w:r>
        <w:rPr>
          <w:rFonts w:ascii="Calibri" w:cs="Calibri" w:eastAsia="Calibri" w:hAnsi="Calibri"/>
          <w:b/>
          <w:bCs/>
          <w:color w:val="B07A2A"/>
          <w:sz w:val="20"/>
          <w:szCs w:val="20"/>
        </w:rPr>
        <w:t xml:space="preserve">5.1  </w:t>
      </w:r>
      <w:r>
        <w:rPr>
          <w:rFonts w:ascii="Calibri" w:cs="Calibri" w:eastAsia="Calibri" w:hAnsi="Calibri"/>
          <w:b/>
          <w:bCs/>
          <w:color w:val="1A1A1A"/>
          <w:sz w:val="20"/>
          <w:szCs w:val="20"/>
        </w:rPr>
        <w:t xml:space="preserve">Périmètre de la décennale</w:t>
      </w:r>
      <w:r>
        <w:rPr>
          <w:rFonts w:ascii="Calibri" w:cs="Calibri" w:eastAsia="Calibri" w:hAnsi="Calibri"/>
          <w:i/>
          <w:iCs/>
          <w:color w:val="B07A2A"/>
          <w:sz w:val="15"/>
          <w:szCs w:val="15"/>
        </w:rPr>
        <w:t xml:space="preserve">    Exactitude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Couverture terrain + bâti</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Couverture de l'ouvrage : structure, fondations, étanchéité</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Erreur juridique : la décennale (Loi 59-13) couvre l'ouvrage construit, jamais le terrain. Sur la page même dont l'argument est la précision légale, l'exactitude n'est pas négociable.</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badges FNBTP / CGEM / DATRP / RC (SARL, capital 300 000 MAD) / IF DGI ; assurances décennale Wafa, RC Pro Allianz Maroc, biennale.</w:t>
      </w:r>
    </w:p>
    <w:p>
      <w:pPr>
        <w:pStyle w:val="Heading2"/>
        <w:pBdr>
          <w:bottom w:val="single" w:color="B07A2A" w:sz="6" w:space="2"/>
        </w:pBdr>
        <w:spacing w:after="120" w:before="260"/>
      </w:pPr>
      <w:r>
        <w:rPr>
          <w:rFonts w:ascii="Calibri" w:cs="Calibri" w:eastAsia="Calibri" w:hAnsi="Calibri"/>
          <w:b/>
          <w:bCs/>
          <w:color w:val="06402B"/>
          <w:sz w:val="24"/>
          <w:szCs w:val="24"/>
        </w:rPr>
        <w:t xml:space="preserve">6. Diaspora  (Diaspora.html)</w:t>
      </w:r>
    </w:p>
    <w:p>
      <w:pPr>
        <w:spacing w:after="120" w:line="288"/>
      </w:pPr>
      <w:r>
        <w:rPr>
          <w:rFonts w:ascii="Calibri" w:cs="Calibri" w:eastAsia="Calibri" w:hAnsi="Calibri"/>
        </w:rPr>
        <w:t xml:space="preserve">Page propre et bien calibrée. Aucun changement de mot nécessaire dans le corps.</w:t>
      </w:r>
    </w:p>
    <w:p>
      <w:pPr>
        <w:pStyle w:val="ListParagraph"/>
        <w:numPr>
          <w:ilvl w:val="0"/>
          <w:numId w:val="2"/>
        </w:numPr>
        <w:spacing w:after="70" w:line="276"/>
      </w:pPr>
      <w:r>
        <w:rPr>
          <w:rFonts w:ascii="Calibri" w:cs="Calibri" w:eastAsia="Calibri" w:hAnsi="Calibri"/>
        </w:rPr>
        <w:t xml:space="preserve">Cohérence des témoignages avec Réalisations : Karim B. / Villa Souissi Rabat 2024, Sarah L. / Villa Anfa Casa 2023, Hassan T. / Villa Bouznika Bénslimane 2025 — ces projets correspondent bien à la galerie Réalisations. Cohérent.</w:t>
      </w:r>
    </w:p>
    <w:p>
      <w:pPr>
        <w:pStyle w:val="ListParagraph"/>
        <w:numPr>
          <w:ilvl w:val="0"/>
          <w:numId w:val="2"/>
        </w:numPr>
        <w:spacing w:after="70" w:line="276"/>
      </w:pPr>
      <w:r>
        <w:rPr>
          <w:rFonts w:ascii="Calibri" w:cs="Calibri" w:eastAsia="Calibri" w:hAnsi="Calibri"/>
        </w:rPr>
        <w:t xml:space="preserve">Seul vrai problème : la page n'est pas dans le menu principal (voir T3).</w:t>
      </w:r>
    </w:p>
    <w:p>
      <w:pPr>
        <w:pStyle w:val="Heading2"/>
        <w:pBdr>
          <w:bottom w:val="single" w:color="B07A2A" w:sz="6" w:space="2"/>
        </w:pBdr>
        <w:spacing w:after="120" w:before="260"/>
      </w:pPr>
      <w:r>
        <w:rPr>
          <w:rFonts w:ascii="Calibri" w:cs="Calibri" w:eastAsia="Calibri" w:hAnsi="Calibri"/>
          <w:b/>
          <w:bCs/>
          <w:color w:val="06402B"/>
          <w:sz w:val="24"/>
          <w:szCs w:val="24"/>
        </w:rPr>
        <w:t xml:space="preserve">7. Réalisations  (Realisations.html)</w:t>
      </w:r>
    </w:p>
    <w:p>
      <w:pPr>
        <w:keepNext/>
        <w:spacing w:after="40" w:before="170"/>
      </w:pPr>
      <w:r>
        <w:rPr>
          <w:rFonts w:ascii="Calibri" w:cs="Calibri" w:eastAsia="Calibri" w:hAnsi="Calibri"/>
          <w:b/>
          <w:bCs/>
          <w:color w:val="B07A2A"/>
          <w:sz w:val="20"/>
          <w:szCs w:val="20"/>
        </w:rPr>
        <w:t xml:space="preserve">7.1  </w:t>
      </w:r>
      <w:r>
        <w:rPr>
          <w:rFonts w:ascii="Calibri" w:cs="Calibri" w:eastAsia="Calibri" w:hAnsi="Calibri"/>
          <w:b/>
          <w:bCs/>
          <w:color w:val="1A1A1A"/>
          <w:sz w:val="20"/>
          <w:szCs w:val="20"/>
        </w:rPr>
        <w:t xml:space="preserve">Chiffre vedette non étayé</w:t>
      </w:r>
      <w:r>
        <w:rPr>
          <w:rFonts w:ascii="Calibri" w:cs="Calibri" w:eastAsia="Calibri" w:hAnsi="Calibri"/>
          <w:i/>
          <w:iCs/>
          <w:color w:val="B07A2A"/>
          <w:sz w:val="15"/>
          <w:szCs w:val="15"/>
        </w:rPr>
        <w:t xml:space="preserve">    Intégrité · Haute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Onze villas livrées. Toutes certifiées.  (compteur : 11)</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Voir T2 : réconcilier le « 11 » avec les projets réellement affichés, ou compléter la galerie.</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Priorité haute — c'est le chiffre le plus visible de la page.</w:t>
      </w:r>
    </w:p>
    <w:p>
      <w:pPr>
        <w:keepNext/>
        <w:spacing w:after="40" w:before="170"/>
      </w:pPr>
      <w:r>
        <w:rPr>
          <w:rFonts w:ascii="Calibri" w:cs="Calibri" w:eastAsia="Calibri" w:hAnsi="Calibri"/>
          <w:b/>
          <w:bCs/>
          <w:color w:val="B07A2A"/>
          <w:sz w:val="20"/>
          <w:szCs w:val="20"/>
        </w:rPr>
        <w:t xml:space="preserve">7.2  </w:t>
      </w:r>
      <w:r>
        <w:rPr>
          <w:rFonts w:ascii="Calibri" w:cs="Calibri" w:eastAsia="Calibri" w:hAnsi="Calibri"/>
          <w:b/>
          <w:bCs/>
          <w:color w:val="1A1A1A"/>
          <w:sz w:val="20"/>
          <w:szCs w:val="20"/>
        </w:rPr>
        <w:t xml:space="preserve">Menu de navigation différent</w:t>
      </w:r>
      <w:r>
        <w:rPr>
          <w:rFonts w:ascii="Calibri" w:cs="Calibri" w:eastAsia="Calibri" w:hAnsi="Calibri"/>
          <w:i/>
          <w:iCs/>
          <w:color w:val="B07A2A"/>
          <w:sz w:val="15"/>
          <w:szCs w:val="15"/>
        </w:rPr>
        <w:t xml:space="preserve">    Navigation</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Menu propre à cette page (Méthodologie / Diaspora / Conformité / Réalisations / Équipe).</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Adopter le menu unique du site (voir T3).</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La cohérence de navigation fait partie de l'impression de rigueur.</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 100 % permis d'habiter » (claim fort et vérifiable), « Nous acceptons six mandats par an » (cohérent avec Équipe et Contact), « 10 ans ».</w:t>
      </w:r>
    </w:p>
    <w:p>
      <w:pPr>
        <w:pStyle w:val="Heading2"/>
        <w:pBdr>
          <w:bottom w:val="single" w:color="B07A2A" w:sz="6" w:space="2"/>
        </w:pBdr>
        <w:spacing w:after="120" w:before="260"/>
      </w:pPr>
      <w:r>
        <w:rPr>
          <w:rFonts w:ascii="Calibri" w:cs="Calibri" w:eastAsia="Calibri" w:hAnsi="Calibri"/>
          <w:b/>
          <w:bCs/>
          <w:color w:val="06402B"/>
          <w:sz w:val="24"/>
          <w:szCs w:val="24"/>
        </w:rPr>
        <w:t xml:space="preserve">8. Équipe  (Equipe.html)</w:t>
      </w:r>
    </w:p>
    <w:p>
      <w:pPr>
        <w:keepNext/>
        <w:spacing w:after="40" w:before="170"/>
      </w:pPr>
      <w:r>
        <w:rPr>
          <w:rFonts w:ascii="Calibri" w:cs="Calibri" w:eastAsia="Calibri" w:hAnsi="Calibri"/>
          <w:b/>
          <w:bCs/>
          <w:color w:val="B07A2A"/>
          <w:sz w:val="20"/>
          <w:szCs w:val="20"/>
        </w:rPr>
        <w:t xml:space="preserve">8.1  </w:t>
      </w:r>
      <w:r>
        <w:rPr>
          <w:rFonts w:ascii="Calibri" w:cs="Calibri" w:eastAsia="Calibri" w:hAnsi="Calibri"/>
          <w:b/>
          <w:bCs/>
          <w:color w:val="1A1A1A"/>
          <w:sz w:val="20"/>
          <w:szCs w:val="20"/>
        </w:rPr>
        <w:t xml:space="preserve">Redondance « haut niveau / niveau international »</w:t>
      </w:r>
      <w:r>
        <w:rPr>
          <w:rFonts w:ascii="Calibri" w:cs="Calibri" w:eastAsia="Calibri" w:hAnsi="Calibri"/>
          <w:i/>
          <w:iCs/>
          <w:color w:val="B07A2A"/>
          <w:sz w:val="15"/>
          <w:szCs w:val="15"/>
        </w:rPr>
        <w:t xml:space="preserve">    Décoration</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Sportif de haut niveau (médaillé international, natation), il transpose au pilotage de mandat la discipline d'un athlète de niveau international : protocole, mesure, ajustement, sans concession.</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Nageur de compétition (médaillé international), il applique au pilotage la même discipline : protocole, mesure, ajustement.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On garde le fait (la médaille, vraie preuve de discipline) et on coupe la redondance et la métaphore appuyée. Le fait parle ; l'emphase, non.</w:t>
      </w:r>
    </w:p>
    <w:p>
      <w:pPr>
        <w:keepNext/>
        <w:spacing w:after="40" w:before="170"/>
      </w:pPr>
      <w:r>
        <w:rPr>
          <w:rFonts w:ascii="Calibri" w:cs="Calibri" w:eastAsia="Calibri" w:hAnsi="Calibri"/>
          <w:b/>
          <w:bCs/>
          <w:color w:val="B07A2A"/>
          <w:sz w:val="20"/>
          <w:szCs w:val="20"/>
        </w:rPr>
        <w:t xml:space="preserve">8.2  </w:t>
      </w:r>
      <w:r>
        <w:rPr>
          <w:rFonts w:ascii="Calibri" w:cs="Calibri" w:eastAsia="Calibri" w:hAnsi="Calibri"/>
          <w:b/>
          <w:bCs/>
          <w:color w:val="1A1A1A"/>
          <w:sz w:val="20"/>
          <w:szCs w:val="20"/>
        </w:rPr>
        <w:t xml:space="preserve">Jour de la semaine en majuscule</w:t>
      </w:r>
      <w:r>
        <w:rPr>
          <w:rFonts w:ascii="Calibri" w:cs="Calibri" w:eastAsia="Calibri" w:hAnsi="Calibri"/>
          <w:i/>
          <w:iCs/>
          <w:color w:val="B07A2A"/>
          <w:sz w:val="15"/>
          <w:szCs w:val="15"/>
        </w:rPr>
        <w:t xml:space="preserve">    Typographie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Il signe chaque rapport hebdomadaire Mardi.</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Il signe chaque rapport hebdomadaire le mardi.</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En français, les jours ne prennent pas de majuscule. Détail mineur — mais sur un site qui vend la rigueur, les détails se voient.</w:t>
      </w:r>
    </w:p>
    <w:p>
      <w:pPr>
        <w:keepNext/>
        <w:spacing w:after="40" w:before="170"/>
      </w:pPr>
      <w:r>
        <w:rPr>
          <w:rFonts w:ascii="Calibri" w:cs="Calibri" w:eastAsia="Calibri" w:hAnsi="Calibri"/>
          <w:b/>
          <w:bCs/>
          <w:color w:val="B07A2A"/>
          <w:sz w:val="20"/>
          <w:szCs w:val="20"/>
        </w:rPr>
        <w:t xml:space="preserve">8.3  </w:t>
      </w:r>
      <w:r>
        <w:rPr>
          <w:rFonts w:ascii="Calibri" w:cs="Calibri" w:eastAsia="Calibri" w:hAnsi="Calibri"/>
          <w:b/>
          <w:bCs/>
          <w:color w:val="1A1A1A"/>
          <w:sz w:val="20"/>
          <w:szCs w:val="20"/>
        </w:rPr>
        <w:t xml:space="preserve">Relier le mémoire à la méthode</w:t>
      </w:r>
      <w:r>
        <w:rPr>
          <w:rFonts w:ascii="Calibri" w:cs="Calibri" w:eastAsia="Calibri" w:hAnsi="Calibri"/>
          <w:i/>
          <w:iCs/>
          <w:color w:val="B07A2A"/>
          <w:sz w:val="15"/>
          <w:szCs w:val="15"/>
        </w:rPr>
        <w:t xml:space="preserve">    Cadrage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(le mémoire est décrit ici, mais n'est pas relié à la page Pilotage)</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Garder la description du mémoire (« modélisation des défaillances financières des PME du BTP marocain ») et s'en servir comme source nommée sur Pilotage (édit 3.2).</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La page Équipe contient déjà la preuve que la page Pilotage revendique vaguement. Les relier transforme une affirmation floue en fait vérifiable.</w:t>
      </w:r>
    </w:p>
    <w:p>
      <w:pPr>
        <w:keepNext/>
        <w:spacing w:after="40" w:before="170"/>
      </w:pPr>
      <w:r>
        <w:rPr>
          <w:rFonts w:ascii="Calibri" w:cs="Calibri" w:eastAsia="Calibri" w:hAnsi="Calibri"/>
          <w:b/>
          <w:bCs/>
          <w:color w:val="B07A2A"/>
          <w:sz w:val="20"/>
          <w:szCs w:val="20"/>
        </w:rPr>
        <w:t xml:space="preserve">8.4  </w:t>
      </w:r>
      <w:r>
        <w:rPr>
          <w:rFonts w:ascii="Calibri" w:cs="Calibri" w:eastAsia="Calibri" w:hAnsi="Calibri"/>
          <w:b/>
          <w:bCs/>
          <w:color w:val="1A1A1A"/>
          <w:sz w:val="20"/>
          <w:szCs w:val="20"/>
        </w:rPr>
        <w:t xml:space="preserve">Statut du Master</w:t>
      </w:r>
      <w:r>
        <w:rPr>
          <w:rFonts w:ascii="Calibri" w:cs="Calibri" w:eastAsia="Calibri" w:hAnsi="Calibri"/>
          <w:i/>
          <w:iCs/>
          <w:color w:val="B07A2A"/>
          <w:sz w:val="15"/>
          <w:szCs w:val="15"/>
        </w:rPr>
        <w:t xml:space="preserve">    Cohérence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Étudiant en Master Finance &amp; Banking</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Aligner sur T4 — même formulation que sur Accueil et Audit.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Voir correction transversale T4.</w:t>
      </w:r>
    </w:p>
    <w:p>
      <w:pPr>
        <w:pStyle w:val="Heading2"/>
        <w:pBdr>
          <w:bottom w:val="single" w:color="B07A2A" w:sz="6" w:space="2"/>
        </w:pBdr>
        <w:spacing w:after="120" w:before="260"/>
      </w:pPr>
      <w:r>
        <w:rPr>
          <w:rFonts w:ascii="Calibri" w:cs="Calibri" w:eastAsia="Calibri" w:hAnsi="Calibri"/>
          <w:b/>
          <w:bCs/>
          <w:color w:val="06402B"/>
          <w:sz w:val="24"/>
          <w:szCs w:val="24"/>
        </w:rPr>
        <w:t xml:space="preserve">9. Contact  (Contact.html)</w:t>
      </w:r>
    </w:p>
    <w:p>
      <w:pPr>
        <w:keepNext/>
        <w:spacing w:after="40" w:before="170"/>
      </w:pPr>
      <w:r>
        <w:rPr>
          <w:rFonts w:ascii="Calibri" w:cs="Calibri" w:eastAsia="Calibri" w:hAnsi="Calibri"/>
          <w:b/>
          <w:bCs/>
          <w:color w:val="B07A2A"/>
          <w:sz w:val="20"/>
          <w:szCs w:val="20"/>
        </w:rPr>
        <w:t xml:space="preserve">9.1  </w:t>
      </w:r>
      <w:r>
        <w:rPr>
          <w:rFonts w:ascii="Calibri" w:cs="Calibri" w:eastAsia="Calibri" w:hAnsi="Calibri"/>
          <w:b/>
          <w:bCs/>
          <w:color w:val="1A1A1A"/>
          <w:sz w:val="20"/>
          <w:szCs w:val="20"/>
        </w:rPr>
        <w:t xml:space="preserve">Compte des questions FAQ</w:t>
      </w:r>
      <w:r>
        <w:rPr>
          <w:rFonts w:ascii="Calibri" w:cs="Calibri" w:eastAsia="Calibri" w:hAnsi="Calibri"/>
          <w:i/>
          <w:iCs/>
          <w:color w:val="B07A2A"/>
          <w:sz w:val="15"/>
          <w:szCs w:val="15"/>
        </w:rPr>
        <w:t xml:space="preserve">    Incohérence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Dix questions, dix réponses directes  (or seules 8 questions sont affichées)</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Soit corriger le titre : « Huit questions, huit réponses directes » ; soit ajouter deux questions pour atteindre dix.</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Promettre dix et en livrer huit, c'est la même imprécision chiffrée qu'ailleurs — sur la page de contact, juste avant la conversion, elle coûte cher.</w:t>
      </w:r>
    </w:p>
    <w:p>
      <w:pPr>
        <w:keepNext/>
        <w:spacing w:after="40" w:before="170"/>
      </w:pPr>
      <w:r>
        <w:rPr>
          <w:rFonts w:ascii="Calibri" w:cs="Calibri" w:eastAsia="Calibri" w:hAnsi="Calibri"/>
          <w:b/>
          <w:bCs/>
          <w:color w:val="B07A2A"/>
          <w:sz w:val="20"/>
          <w:szCs w:val="20"/>
        </w:rPr>
        <w:t xml:space="preserve">9.2  </w:t>
      </w:r>
      <w:r>
        <w:rPr>
          <w:rFonts w:ascii="Calibri" w:cs="Calibri" w:eastAsia="Calibri" w:hAnsi="Calibri"/>
          <w:b/>
          <w:bCs/>
          <w:color w:val="1A1A1A"/>
          <w:sz w:val="20"/>
          <w:szCs w:val="20"/>
        </w:rPr>
        <w:t xml:space="preserve">Double surbrillance dans le menu latéral</w:t>
      </w:r>
      <w:r>
        <w:rPr>
          <w:rFonts w:ascii="Calibri" w:cs="Calibri" w:eastAsia="Calibri" w:hAnsi="Calibri"/>
          <w:i/>
          <w:iCs/>
          <w:color w:val="B07A2A"/>
          <w:sz w:val="15"/>
          <w:szCs w:val="15"/>
        </w:rPr>
        <w:t xml:space="preserve">    Bug · Basse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 Conformité » (couleur ivoire) ET « Contact » (classe active) apparaissent tous deux actifs.</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Retirer la surbrillance parasite sur « Conformité » ; seul « Contact » doit être actif sur la page Contact.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Petit bug d'affichage : deux items « actifs » en même temps.</w:t>
      </w:r>
    </w:p>
    <w:p>
      <w:pPr>
        <w:keepNext/>
        <w:spacing w:after="40" w:before="170"/>
      </w:pPr>
      <w:r>
        <w:rPr>
          <w:rFonts w:ascii="Calibri" w:cs="Calibri" w:eastAsia="Calibri" w:hAnsi="Calibri"/>
          <w:b/>
          <w:bCs/>
          <w:color w:val="B07A2A"/>
          <w:sz w:val="20"/>
          <w:szCs w:val="20"/>
        </w:rPr>
        <w:t xml:space="preserve">9.3  </w:t>
      </w:r>
      <w:r>
        <w:rPr>
          <w:rFonts w:ascii="Calibri" w:cs="Calibri" w:eastAsia="Calibri" w:hAnsi="Calibri"/>
          <w:b/>
          <w:bCs/>
          <w:color w:val="1A1A1A"/>
          <w:sz w:val="20"/>
          <w:szCs w:val="20"/>
        </w:rPr>
        <w:t xml:space="preserve">Nom de banque « BMCE »</w:t>
      </w:r>
      <w:r>
        <w:rPr>
          <w:rFonts w:ascii="Calibri" w:cs="Calibri" w:eastAsia="Calibri" w:hAnsi="Calibri"/>
          <w:i/>
          <w:iCs/>
          <w:color w:val="B07A2A"/>
          <w:sz w:val="15"/>
          <w:szCs w:val="15"/>
        </w:rPr>
        <w:t xml:space="preserve">    Actualisation · Basse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Attijariwafa, BMCE, Banque Populaire</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Optionnel : « Attijariwafa, Bank of Africa (ex-BMCE), Banque Populaire ».</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BMCE a été renommée Bank of Africa en 2020. « BMCE » reste compris, donc priorité basse — mais la mise à jour fait plus actuel.</w:t>
      </w:r>
    </w:p>
    <w:p>
      <w:pPr>
        <w:keepNext/>
        <w:spacing w:after="40" w:before="170"/>
      </w:pPr>
      <w:r>
        <w:rPr>
          <w:rFonts w:ascii="Calibri" w:cs="Calibri" w:eastAsia="Calibri" w:hAnsi="Calibri"/>
          <w:b/>
          <w:bCs/>
          <w:color w:val="B07A2A"/>
          <w:sz w:val="20"/>
          <w:szCs w:val="20"/>
        </w:rPr>
        <w:t xml:space="preserve">9.4  </w:t>
      </w:r>
      <w:r>
        <w:rPr>
          <w:rFonts w:ascii="Calibri" w:cs="Calibri" w:eastAsia="Calibri" w:hAnsi="Calibri"/>
          <w:b/>
          <w:bCs/>
          <w:color w:val="1A1A1A"/>
          <w:sz w:val="20"/>
          <w:szCs w:val="20"/>
        </w:rPr>
        <w:t xml:space="preserve">Délai de réponse</w:t>
      </w:r>
      <w:r>
        <w:rPr>
          <w:rFonts w:ascii="Calibri" w:cs="Calibri" w:eastAsia="Calibri" w:hAnsi="Calibri"/>
          <w:i/>
          <w:iCs/>
          <w:color w:val="B07A2A"/>
          <w:sz w:val="15"/>
          <w:szCs w:val="15"/>
        </w:rPr>
        <w:t xml:space="preserve">    Cohérence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 sous 48 heures ouvrées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Aligner sur T1 (la même valeur que sur Audit).</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Voir correction transversale T1.</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 Engager une discussion privée », « Premier échange gratuit · sans engagement », citation de loi dans chaque réponse FAQ. C'est le ton visé.</w:t>
      </w:r>
    </w:p>
    <w:p>
      <w:pPr>
        <w:pStyle w:val="Heading2"/>
        <w:pBdr>
          <w:bottom w:val="single" w:color="B07A2A" w:sz="6" w:space="2"/>
        </w:pBdr>
        <w:spacing w:after="120" w:before="260"/>
      </w:pPr>
      <w:r>
        <w:rPr>
          <w:rFonts w:ascii="Calibri" w:cs="Calibri" w:eastAsia="Calibri" w:hAnsi="Calibri"/>
          <w:b/>
          <w:bCs/>
          <w:color w:val="06402B"/>
          <w:sz w:val="24"/>
          <w:szCs w:val="24"/>
        </w:rPr>
        <w:t xml:space="preserve">10. Mentions légales  (Mentions-Legales.html)</w:t>
      </w:r>
    </w:p>
    <w:p>
      <w:pPr>
        <w:keepNext/>
        <w:spacing w:after="40" w:before="170"/>
      </w:pPr>
      <w:r>
        <w:rPr>
          <w:rFonts w:ascii="Calibri" w:cs="Calibri" w:eastAsia="Calibri" w:hAnsi="Calibri"/>
          <w:b/>
          <w:bCs/>
          <w:color w:val="B07A2A"/>
          <w:sz w:val="20"/>
          <w:szCs w:val="20"/>
        </w:rPr>
        <w:t xml:space="preserve">10.1  </w:t>
      </w:r>
      <w:r>
        <w:rPr>
          <w:rFonts w:ascii="Calibri" w:cs="Calibri" w:eastAsia="Calibri" w:hAnsi="Calibri"/>
          <w:b/>
          <w:bCs/>
          <w:color w:val="1A1A1A"/>
          <w:sz w:val="20"/>
          <w:szCs w:val="20"/>
        </w:rPr>
        <w:t xml:space="preserve">Champs « [à compléter] »</w:t>
      </w:r>
      <w:r>
        <w:rPr>
          <w:rFonts w:ascii="Calibri" w:cs="Calibri" w:eastAsia="Calibri" w:hAnsi="Calibri"/>
          <w:i/>
          <w:iCs/>
          <w:color w:val="B07A2A"/>
          <w:sz w:val="15"/>
          <w:szCs w:val="15"/>
        </w:rPr>
        <w:t xml:space="preserve">    Bloquant avant mise en ligne</w:t>
      </w:r>
    </w:p>
    <w:p>
      <w:pPr>
        <w:keepNext/>
        <w:spacing w:after="30"/>
        <w:ind w:left="240"/>
      </w:pPr>
      <w:r>
        <w:rPr>
          <w:rFonts w:ascii="Calibri" w:cs="Calibri" w:eastAsia="Calibri" w:hAnsi="Calibri"/>
          <w:b/>
          <w:bCs/>
          <w:color w:val="9A3322"/>
          <w:sz w:val="16"/>
          <w:szCs w:val="16"/>
        </w:rPr>
        <w:t xml:space="preserve">Avant   </w:t>
      </w:r>
      <w:r>
        <w:rPr>
          <w:rFonts w:ascii="Calibri" w:cs="Calibri" w:eastAsia="Calibri" w:hAnsi="Calibri"/>
          <w:i/>
          <w:iCs/>
          <w:color w:val="1A1A1A"/>
          <w:sz w:val="19"/>
          <w:szCs w:val="19"/>
        </w:rPr>
        <w:t xml:space="preserve">RC (numéro), ICE, IF, patente, siège social, hébergeur : tous marqués « [à compléter] ».</w:t>
      </w:r>
    </w:p>
    <w:p>
      <w:pPr>
        <w:keepNext/>
        <w:spacing w:after="30"/>
        <w:ind w:left="240"/>
      </w:pPr>
      <w:r>
        <w:rPr>
          <w:rFonts w:ascii="Calibri" w:cs="Calibri" w:eastAsia="Calibri" w:hAnsi="Calibri"/>
          <w:b/>
          <w:bCs/>
          <w:color w:val="06402B"/>
          <w:sz w:val="16"/>
          <w:szCs w:val="16"/>
        </w:rPr>
        <w:t xml:space="preserve">Après   </w:t>
      </w:r>
      <w:r>
        <w:rPr>
          <w:rFonts w:ascii="Calibri" w:cs="Calibri" w:eastAsia="Calibri" w:hAnsi="Calibri"/>
          <w:b/>
          <w:bCs/>
          <w:color w:val="1A1A1A"/>
          <w:sz w:val="19"/>
          <w:szCs w:val="19"/>
        </w:rPr>
        <w:t xml:space="preserve">Renseigner tous les champs AVANT la mise en ligne. Au Maroc, l'identification de la société (RC, ICE, IF) est une obligation légale pour un site commercial.</w:t>
      </w:r>
    </w:p>
    <w:p>
      <w:pPr>
        <w:spacing w:after="110"/>
        <w:ind w:left="240"/>
      </w:pPr>
      <w:r>
        <w:rPr>
          <w:rFonts w:ascii="Calibri" w:cs="Calibri" w:eastAsia="Calibri" w:hAnsi="Calibri"/>
          <w:b/>
          <w:bCs/>
          <w:color w:val="6B6B6B"/>
          <w:sz w:val="15"/>
          <w:szCs w:val="15"/>
        </w:rPr>
        <w:t xml:space="preserve">Pourquoi   </w:t>
      </w:r>
      <w:r>
        <w:rPr>
          <w:rFonts w:ascii="Calibri" w:cs="Calibri" w:eastAsia="Calibri" w:hAnsi="Calibri"/>
          <w:color w:val="6B6B6B"/>
          <w:sz w:val="17"/>
          <w:szCs w:val="17"/>
        </w:rPr>
        <w:t xml:space="preserve">Ce n'est pas une question de formulation mais un point bloquant : un site commercial en ligne sans ces mentions est en infraction.</w:t>
      </w:r>
    </w:p>
    <w:p>
      <w:pPr>
        <w:pBdr>
          <w:left w:val="single" w:color="B07A2A" w:sz="12" w:space="8"/>
        </w:pBdr>
        <w:spacing w:after="120" w:line="276"/>
        <w:ind w:left="120"/>
      </w:pPr>
      <w:r>
        <w:rPr>
          <w:rFonts w:ascii="Calibri" w:cs="Calibri" w:eastAsia="Calibri" w:hAnsi="Calibri"/>
          <w:b/>
          <w:bCs/>
          <w:color w:val="06402B"/>
          <w:sz w:val="18"/>
          <w:szCs w:val="18"/>
        </w:rPr>
        <w:t xml:space="preserve">À conserver — </w:t>
      </w:r>
      <w:r>
        <w:rPr>
          <w:rFonts w:ascii="Calibri" w:cs="Calibri" w:eastAsia="Calibri" w:hAnsi="Calibri"/>
          <w:i/>
          <w:iCs/>
          <w:color w:val="6B6B6B"/>
          <w:sz w:val="18"/>
          <w:szCs w:val="18"/>
        </w:rPr>
        <w:t xml:space="preserve">Loi 09-08 et RGPD cités correctement, droit applicable marocain, tribunaux de Casablanca. Conforme.</w:t>
      </w:r>
    </w:p>
    <w:p>
      <w:r>
        <w:br w:type="page"/>
      </w:r>
    </w:p>
    <w:p>
      <w:pPr>
        <w:pStyle w:val="Heading1"/>
        <w:spacing w:after="160" w:before="320"/>
      </w:pPr>
      <w:r>
        <w:rPr>
          <w:rFonts w:ascii="Calibri" w:cs="Calibri" w:eastAsia="Calibri" w:hAnsi="Calibri"/>
          <w:b/>
          <w:bCs/>
          <w:color w:val="06402B"/>
          <w:sz w:val="30"/>
          <w:szCs w:val="30"/>
        </w:rPr>
        <w:t xml:space="preserve">Récapitulatif par priorité</w:t>
      </w:r>
    </w:p>
    <w:p>
      <w:pPr>
        <w:spacing w:after="120" w:line="288"/>
      </w:pPr>
      <w:r>
        <w:rPr>
          <w:rFonts w:ascii="Calibri" w:cs="Calibri" w:eastAsia="Calibri" w:hAnsi="Calibri"/>
        </w:rPr>
        <w:t xml:space="preserve">Par où commencer : les lignes « Haute » touchent la crédibilité (chiffres non étayés, confidentialité, exactitude juridique, pages introuvables). Les autres relèvent du polissage.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shd w:fill="06402B" w:color="auto" w:val="clear"/>
            <w:tcMar>
              <w:top w:type="dxa" w:w="60"/>
              <w:left w:type="dxa" w:w="120"/>
              <w:bottom w:type="dxa" w:w="60"/>
              <w:right w:type="dxa" w:w="120"/>
            </w:tcMar>
          </w:tcPr>
          <w:p>
            <w:r>
              <w:rPr>
                <w:rFonts w:ascii="Calibri" w:cs="Calibri" w:eastAsia="Calibri" w:hAnsi="Calibri"/>
                <w:b/>
                <w:bCs/>
                <w:color w:val="FFFFFF"/>
                <w:sz w:val="17"/>
                <w:szCs w:val="17"/>
              </w:rPr>
              <w:t xml:space="preserve">Priorité</w:t>
            </w:r>
          </w:p>
        </w:tc>
        <w:tc>
          <w:tcPr>
            <w:tcW w:type="dxa" w:w="2300"/>
            <w:shd w:fill="06402B" w:color="auto" w:val="clear"/>
            <w:tcMar>
              <w:top w:type="dxa" w:w="60"/>
              <w:left w:type="dxa" w:w="120"/>
              <w:bottom w:type="dxa" w:w="60"/>
              <w:right w:type="dxa" w:w="120"/>
            </w:tcMar>
          </w:tcPr>
          <w:p>
            <w:r>
              <w:rPr>
                <w:rFonts w:ascii="Calibri" w:cs="Calibri" w:eastAsia="Calibri" w:hAnsi="Calibri"/>
                <w:b/>
                <w:bCs/>
                <w:color w:val="FFFFFF"/>
                <w:sz w:val="17"/>
                <w:szCs w:val="17"/>
              </w:rPr>
              <w:t xml:space="preserve">Page</w:t>
            </w:r>
          </w:p>
        </w:tc>
        <w:tc>
          <w:tcPr>
            <w:tcW w:type="dxa" w:w="5560"/>
            <w:shd w:fill="06402B" w:color="auto" w:val="clear"/>
            <w:tcMar>
              <w:top w:type="dxa" w:w="60"/>
              <w:left w:type="dxa" w:w="120"/>
              <w:bottom w:type="dxa" w:w="60"/>
              <w:right w:type="dxa" w:w="120"/>
            </w:tcMar>
          </w:tcPr>
          <w:p>
            <w:r>
              <w:rPr>
                <w:rFonts w:ascii="Calibri" w:cs="Calibri" w:eastAsia="Calibri" w:hAnsi="Calibri"/>
                <w:b/>
                <w:bCs/>
                <w:color w:val="FFFFFF"/>
                <w:sz w:val="17"/>
                <w:szCs w:val="17"/>
              </w:rPr>
              <w:t xml:space="preserve">Correction</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Pilotage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Retirer la statistique « 73 % » non sourcée (3.1)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Pilotage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Anonymiser le sous-traitant « Zoubayr SARL » (3.5)</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Réalisations</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Réconcilier « 11 villas » avec les 6 projets affichés (7.1 / T2)</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Conformité</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Corriger le périmètre de la décennale : terrain → ouvrage (5.1)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Tout le site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Unifier le délai de réponse : 24 h contre 48 h (T1)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Tout le site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Mettre Diaspora et Réalisations dans le menu (T3)</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9A3322"/>
                <w:sz w:val="17"/>
                <w:szCs w:val="17"/>
              </w:rPr>
              <w:t xml:space="preserve">Haute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Mentions</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Renseigner RC / ICE / IF avant la mise en ligne (10.1)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Audit + Méthode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Remplacer tous les « Money-back » par « Remboursement intégral garanti » (2.1, 4.1, 4.2)</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Pilotage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Nommer la source : mémoire ENCG du fondateur (3.2 + 8.3)</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Pilotage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 Forecast » → « Projection » ; gloser P50/P90 (3.3, 3.4)</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Équipe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Alléger la formule « athlète de niveau international » (8.1)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Équipe + Accueil</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Statut du Master : une seule formulation (T4)</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Accueil</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 Le serment » → « Nos engagements contractuels » (1.1)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Contact</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Aligner le compte FAQ : « Huit questions » (9.1)</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B07A2A"/>
                <w:sz w:val="17"/>
                <w:szCs w:val="17"/>
              </w:rPr>
              <w:t xml:space="preserve">Moyenne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Tout le site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Unifier tagline et copyright en pied de page (T5, T6)</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6B6B6B"/>
                <w:sz w:val="17"/>
                <w:szCs w:val="17"/>
              </w:rPr>
              <w:t xml:space="preserve">Basse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Méthode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 GANTT » → « planning Gantt » (2.2)</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6B6B6B"/>
                <w:sz w:val="17"/>
                <w:szCs w:val="17"/>
              </w:rPr>
              <w:t xml:space="preserve">Basse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Équipe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 Mardi » → « le mardi » (8.2)</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6B6B6B"/>
                <w:sz w:val="17"/>
                <w:szCs w:val="17"/>
              </w:rPr>
              <w:t xml:space="preserve">Basse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Contact</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Retirer la double surbrillance du menu latéral (9.2)</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6B6B6B"/>
                <w:sz w:val="17"/>
                <w:szCs w:val="17"/>
              </w:rPr>
              <w:t xml:space="preserve">Basse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Contact</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 BMCE » → « Bank of Africa » (9.3)</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6B6B6B"/>
                <w:sz w:val="17"/>
                <w:szCs w:val="17"/>
              </w:rPr>
              <w:t xml:space="preserve">Basse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Audit</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Fixer la graphie « melkia » (T8)</w:t>
            </w:r>
          </w:p>
        </w:tc>
      </w:tr>
      <w:tr>
        <w:tc>
          <w:tcPr>
            <w:tcW w:type="dxa" w:w="15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bCs/>
                <w:color w:val="6B6B6B"/>
                <w:sz w:val="17"/>
                <w:szCs w:val="17"/>
              </w:rPr>
              <w:t xml:space="preserve">Basse</w:t>
            </w:r>
          </w:p>
        </w:tc>
        <w:tc>
          <w:tcPr>
            <w:tcW w:type="dxa" w:w="230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Tout le site</w:t>
            </w:r>
          </w:p>
        </w:tc>
        <w:tc>
          <w:tcPr>
            <w:tcW w:type="dxa" w:w="5560"/>
            <w:tcBorders>
              <w:top w:val="single" w:color="D8D2C4" w:sz="1"/>
              <w:left w:val="single" w:color="D8D2C4" w:sz="1"/>
              <w:bottom w:val="single" w:color="D8D2C4" w:sz="1"/>
              <w:right w:val="single" w:color="D8D2C4" w:sz="1"/>
            </w:tcBorders>
            <w:tcMar>
              <w:top w:type="dxa" w:w="60"/>
              <w:left w:type="dxa" w:w="120"/>
              <w:bottom w:type="dxa" w:w="60"/>
              <w:right w:type="dxa" w:w="120"/>
            </w:tcMar>
          </w:tcPr>
          <w:p>
            <w:r>
              <w:rPr>
                <w:rFonts w:ascii="Calibri" w:cs="Calibri" w:eastAsia="Calibri" w:hAnsi="Calibri"/>
                <w:b w:val="false"/>
                <w:bCs w:val="false"/>
                <w:color w:val="1A1A1A"/>
                <w:sz w:val="17"/>
                <w:szCs w:val="17"/>
              </w:rPr>
              <w:t xml:space="preserve">Unifier le libellé du bouton de menu (T7)</w:t>
            </w:r>
          </w:p>
        </w:tc>
      </w:tr>
    </w:tbl>
    <w:p>
      <w:pPr>
        <w:spacing w:before="300"/>
      </w:pPr>
      <w:r>
        <w:rPr>
          <w:rFonts w:ascii="Calibri" w:cs="Calibri" w:eastAsia="Calibri" w:hAnsi="Calibri"/>
          <w:b/>
          <w:bCs/>
          <w:color w:val="06402B"/>
          <w:sz w:val="19"/>
          <w:szCs w:val="19"/>
        </w:rPr>
        <w:t xml:space="preserve">En résumé : </w:t>
      </w:r>
      <w:r>
        <w:rPr>
          <w:rFonts w:ascii="Calibri" w:cs="Calibri" w:eastAsia="Calibri" w:hAnsi="Calibri"/>
          <w:sz w:val="19"/>
          <w:szCs w:val="19"/>
        </w:rPr>
        <w:t xml:space="preserve">le site n'a pas besoin d'être réécrit, il a besoin d'être vérifié. Chaque correction ci-dessus remplace une formule qui </w:t>
      </w:r>
      <w:r>
        <w:rPr>
          <w:rFonts w:ascii="Calibri" w:cs="Calibri" w:eastAsia="Calibri" w:hAnsi="Calibri"/>
          <w:i/>
          <w:iCs/>
          <w:sz w:val="19"/>
          <w:szCs w:val="19"/>
        </w:rPr>
        <w:t xml:space="preserve">sonne</w:t>
      </w:r>
      <w:r>
        <w:rPr>
          <w:rFonts w:ascii="Calibri" w:cs="Calibri" w:eastAsia="Calibri" w:hAnsi="Calibri"/>
          <w:sz w:val="19"/>
          <w:szCs w:val="19"/>
        </w:rPr>
        <w:t xml:space="preserve"> par une qui </w:t>
      </w:r>
      <w:r>
        <w:rPr>
          <w:rFonts w:ascii="Calibri" w:cs="Calibri" w:eastAsia="Calibri" w:hAnsi="Calibri"/>
          <w:i/>
          <w:iCs/>
          <w:sz w:val="19"/>
          <w:szCs w:val="19"/>
        </w:rPr>
        <w:t xml:space="preserve">prouve</w:t>
      </w:r>
      <w:r>
        <w:rPr>
          <w:rFonts w:ascii="Calibri" w:cs="Calibri" w:eastAsia="Calibri" w:hAnsi="Calibri"/>
          <w:sz w:val="19"/>
          <w:szCs w:val="19"/>
        </w:rPr>
        <w:t xml:space="preserve">. C'est exactement le « juste milieu » recherché : le vocabulaire technique reste, mais seulement là où il nomme une chose réelle.</w:t>
      </w:r>
    </w:p>
    <w:sectPr>
      <w:footerReference w:type="default" r:id="rId7"/>
      <w:pgSz w:w="12240" w:h="15840" w:orient="portrait"/>
      <w:pgMar w:top="1320" w:right="1320" w:bottom="132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6"/>
      </w:pBdr>
      <w:jc w:val="center"/>
    </w:pPr>
    <w:r>
      <w:rPr>
        <w:rFonts w:ascii="Calibri" w:cs="Calibri" w:eastAsia="Calibri" w:hAnsi="Calibri"/>
        <w:color w:val="6B6B6B"/>
        <w:sz w:val="15"/>
        <w:szCs w:val="15"/>
      </w:rPr>
      <w:t xml:space="preserve">ZAF BAT · Plan de réécriture —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6402B"/>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0640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ZAF BAT - Plan de réécriture page par page</dc:title>
  <dc:creator>ZAF BAT</dc:creator>
  <cp:lastModifiedBy>Un-named</cp:lastModifiedBy>
  <cp:revision>1</cp:revision>
  <dcterms:created xsi:type="dcterms:W3CDTF">2026-05-29T00:36:52.336Z</dcterms:created>
  <dcterms:modified xsi:type="dcterms:W3CDTF">2026-05-29T00:36:52.341Z</dcterms:modified>
</cp:coreProperties>
</file>

<file path=docProps/custom.xml><?xml version="1.0" encoding="utf-8"?>
<Properties xmlns="http://schemas.openxmlformats.org/officeDocument/2006/custom-properties" xmlns:vt="http://schemas.openxmlformats.org/officeDocument/2006/docPropsVTypes"/>
</file>