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4B402">
      <w:pPr>
        <w:spacing w:before="1200" w:after="120"/>
        <w:jc w:val="center"/>
      </w:pPr>
    </w:p>
    <w:p w14:paraId="26222806">
      <w:pPr>
        <w:spacing w:before="1200" w:after="120"/>
        <w:jc w:val="center"/>
      </w:pPr>
      <w:r>
        <w:rPr>
          <w:rFonts w:ascii="Calibri" w:hAnsi="Calibri" w:eastAsia="Calibri" w:cs="Calibri"/>
          <w:b/>
          <w:bCs/>
          <w:color w:val="808080"/>
          <w:sz w:val="22"/>
          <w:szCs w:val="22"/>
        </w:rPr>
        <w:t>CAPSTONE PROJECT REPORT</w:t>
      </w:r>
    </w:p>
    <w:p w14:paraId="2437B454">
      <w:pPr>
        <w:spacing w:after="240"/>
        <w:jc w:val="center"/>
      </w:pPr>
      <w:r>
        <w:rPr>
          <w:rFonts w:ascii="Calibri" w:hAnsi="Calibri" w:eastAsia="Calibri" w:cs="Calibri"/>
          <w:b/>
          <w:bCs/>
          <w:color w:val="1F3864"/>
          <w:sz w:val="36"/>
          <w:szCs w:val="36"/>
        </w:rPr>
        <w:t>Explainable Transformer-Based Emotion-Aware Customer Feedback Analysis</w:t>
      </w:r>
    </w:p>
    <w:p w14:paraId="36DE9915">
      <w:pPr>
        <w:spacing w:after="480"/>
        <w:jc w:val="center"/>
      </w:pPr>
      <w:r>
        <w:rPr>
          <w:rFonts w:ascii="Calibri" w:hAnsi="Calibri" w:eastAsia="Calibri" w:cs="Calibri"/>
          <w:i/>
          <w:iCs/>
          <w:color w:val="444444"/>
          <w:sz w:val="22"/>
          <w:szCs w:val="22"/>
        </w:rPr>
        <w:t>A Multi-Label Fine-Grained Emotion Classification System with SHAP-Based Token Attribution for Business-Actionable Review Insights</w:t>
      </w:r>
    </w:p>
    <w:p w14:paraId="1B5C2911">
      <w:pPr>
        <w:spacing w:after="60"/>
        <w:jc w:val="center"/>
        <w:rPr>
          <w:rFonts w:ascii="Calibri" w:hAnsi="Calibri" w:eastAsia="Calibri" w:cs="Calibri"/>
          <w:sz w:val="22"/>
          <w:szCs w:val="22"/>
        </w:rPr>
      </w:pPr>
      <w:r>
        <w:rPr>
          <w:rFonts w:ascii="Calibri" w:hAnsi="Calibri" w:eastAsia="Calibri" w:cs="Calibri"/>
          <w:sz w:val="22"/>
          <w:szCs w:val="22"/>
        </w:rPr>
        <w:t>Submitted by: Pujith</w:t>
      </w:r>
    </w:p>
    <w:p w14:paraId="395047A6">
      <w:pPr>
        <w:spacing w:after="60"/>
        <w:jc w:val="center"/>
      </w:pPr>
      <w:r>
        <w:rPr>
          <w:rFonts w:ascii="Calibri" w:hAnsi="Calibri" w:eastAsia="Calibri" w:cs="Calibri"/>
          <w:sz w:val="22"/>
          <w:szCs w:val="22"/>
        </w:rPr>
        <w:t>Course: Applied Machine Learning for Text Analysis (24ALT3101)</w:t>
      </w:r>
    </w:p>
    <w:p w14:paraId="5FA20595">
      <w:pPr>
        <w:spacing w:after="60"/>
        <w:jc w:val="center"/>
      </w:pPr>
      <w:r>
        <w:rPr>
          <w:rFonts w:ascii="Calibri" w:hAnsi="Calibri" w:eastAsia="Calibri" w:cs="Calibri"/>
          <w:sz w:val="22"/>
          <w:szCs w:val="22"/>
        </w:rPr>
        <w:t>KLH University, Hyderabad</w:t>
      </w:r>
    </w:p>
    <w:p w14:paraId="23DCE52E">
      <w:pPr>
        <w:spacing w:after="800"/>
        <w:jc w:val="center"/>
      </w:pPr>
      <w:r>
        <w:rPr>
          <w:rFonts w:ascii="Calibri" w:hAnsi="Calibri" w:eastAsia="Calibri" w:cs="Calibri"/>
          <w:sz w:val="22"/>
          <w:szCs w:val="22"/>
        </w:rPr>
        <w:t>August 2026</w:t>
      </w:r>
    </w:p>
    <w:p w14:paraId="5E6F0359">
      <w:r>
        <w:br w:type="page"/>
      </w:r>
    </w:p>
    <w:p w14:paraId="164F7001">
      <w:pPr>
        <w:pStyle w:val="2"/>
        <w:spacing w:before="360" w:after="200"/>
        <w:rPr>
          <w:rFonts w:ascii="Calibri" w:hAnsi="Calibri" w:eastAsia="Calibri" w:cs="Calibri"/>
        </w:rPr>
      </w:pPr>
    </w:p>
    <w:p w14:paraId="6B16406E">
      <w:pPr>
        <w:pStyle w:val="2"/>
        <w:spacing w:before="360" w:after="200"/>
      </w:pPr>
      <w:r>
        <w:rPr>
          <w:rFonts w:ascii="Calibri" w:hAnsi="Calibri" w:eastAsia="Calibri" w:cs="Calibri"/>
        </w:rPr>
        <w:t>Project Title</w:t>
      </w:r>
    </w:p>
    <w:p w14:paraId="1D5AC744">
      <w:pPr>
        <w:spacing w:after="120"/>
      </w:pPr>
      <w:r>
        <w:rPr>
          <w:rFonts w:ascii="Calibri" w:hAnsi="Calibri" w:eastAsia="Calibri" w:cs="Calibri"/>
          <w:b/>
          <w:bCs/>
          <w:sz w:val="26"/>
          <w:szCs w:val="26"/>
        </w:rPr>
        <w:t>Explainable Transformer-Based Emotion-Aware Customer Feedback Analysis</w:t>
      </w:r>
    </w:p>
    <w:p w14:paraId="32081862">
      <w:pPr>
        <w:spacing w:after="160" w:line="276" w:lineRule="auto"/>
      </w:pPr>
      <w:r>
        <w:rPr>
          <w:rFonts w:ascii="Calibri" w:hAnsi="Calibri" w:eastAsia="Calibri" w:cs="Calibri"/>
          <w:i/>
          <w:iCs/>
          <w:sz w:val="22"/>
          <w:szCs w:val="22"/>
        </w:rPr>
        <w:t>Subtitle: A Multi-Label Fine-Grained Emotion Classification System with SHAP-Based Token Attribution for Business-Actionable Review Insights</w:t>
      </w:r>
    </w:p>
    <w:p w14:paraId="36DD1D2B">
      <w:pPr>
        <w:pStyle w:val="2"/>
        <w:spacing w:before="360" w:after="200"/>
      </w:pPr>
      <w:r>
        <w:rPr>
          <w:rFonts w:ascii="Calibri" w:hAnsi="Calibri" w:eastAsia="Calibri" w:cs="Calibri"/>
        </w:rPr>
        <w:t>Problem Statement</w:t>
      </w:r>
    </w:p>
    <w:p w14:paraId="5EDBE3F9">
      <w:pPr>
        <w:spacing w:after="160" w:line="276" w:lineRule="auto"/>
      </w:pPr>
      <w:r>
        <w:rPr>
          <w:rFonts w:ascii="Calibri" w:hAnsi="Calibri" w:eastAsia="Calibri" w:cs="Calibri"/>
          <w:sz w:val="22"/>
          <w:szCs w:val="22"/>
        </w:rPr>
        <w:t>Conventional sentiment analysis tools classify customer feedback into coarse buckets — positive, negative, or neutral. This granularity is too low for a business to act on: a review scoring “negative” gives no indication of what kind of negative emotion is present (frustration over a broken product vs. confusion about how to use it vs. mild concern), and no indication of which phrases in the text caused the model to reach that conclusion. Two further gaps compound this:</w:t>
      </w:r>
    </w:p>
    <w:p w14:paraId="02E1DBC7">
      <w:pPr>
        <w:pStyle w:val="18"/>
        <w:numPr>
          <w:ilvl w:val="0"/>
          <w:numId w:val="1"/>
        </w:numPr>
        <w:spacing w:after="120"/>
      </w:pPr>
      <w:r>
        <w:rPr>
          <w:rFonts w:ascii="Calibri" w:hAnsi="Calibri" w:eastAsia="Calibri" w:cs="Calibri"/>
          <w:b/>
          <w:bCs/>
          <w:sz w:val="22"/>
          <w:szCs w:val="22"/>
        </w:rPr>
        <w:t xml:space="preserve">Coarseness — </w:t>
      </w:r>
      <w:r>
        <w:rPr>
          <w:rFonts w:ascii="Calibri" w:hAnsi="Calibri" w:eastAsia="Calibri" w:cs="Calibri"/>
          <w:sz w:val="22"/>
          <w:szCs w:val="22"/>
        </w:rPr>
        <w:t>a single polarity score cannot distinguish frustration, confusion, disappointment, or anger, even though each demands a different business response (refund, documentation fix, escalation, etc.).</w:t>
      </w:r>
    </w:p>
    <w:p w14:paraId="6FD5499F">
      <w:pPr>
        <w:pStyle w:val="18"/>
        <w:numPr>
          <w:ilvl w:val="0"/>
          <w:numId w:val="1"/>
        </w:numPr>
        <w:spacing w:after="120"/>
      </w:pPr>
      <w:r>
        <w:rPr>
          <w:rFonts w:ascii="Calibri" w:hAnsi="Calibri" w:eastAsia="Calibri" w:cs="Calibri"/>
          <w:b/>
          <w:bCs/>
          <w:sz w:val="22"/>
          <w:szCs w:val="22"/>
        </w:rPr>
        <w:t xml:space="preserve">Opacity — </w:t>
      </w:r>
      <w:r>
        <w:rPr>
          <w:rFonts w:ascii="Calibri" w:hAnsi="Calibri" w:eastAsia="Calibri" w:cs="Calibri"/>
          <w:sz w:val="22"/>
          <w:szCs w:val="22"/>
        </w:rPr>
        <w:t>most high-performing sentiment/emotion classifiers are transformer black boxes. Stakeholders receive a probability score with no way to verify why the model produced it, which limits trust and adoption in real decision-making workflows.</w:t>
      </w:r>
    </w:p>
    <w:p w14:paraId="6C0675F7">
      <w:pPr>
        <w:pStyle w:val="18"/>
        <w:numPr>
          <w:ilvl w:val="0"/>
          <w:numId w:val="1"/>
        </w:numPr>
        <w:spacing w:after="120"/>
      </w:pPr>
      <w:r>
        <w:rPr>
          <w:rFonts w:ascii="Calibri" w:hAnsi="Calibri" w:eastAsia="Calibri" w:cs="Calibri"/>
          <w:b/>
          <w:bCs/>
          <w:sz w:val="22"/>
          <w:szCs w:val="22"/>
        </w:rPr>
        <w:t xml:space="preserve">Mixed-sentiment blindness — </w:t>
      </w:r>
      <w:r>
        <w:rPr>
          <w:rFonts w:ascii="Calibri" w:hAnsi="Calibri" w:eastAsia="Calibri" w:cs="Calibri"/>
          <w:sz w:val="22"/>
          <w:szCs w:val="22"/>
        </w:rPr>
        <w:t>a single review often contains multiple emotional shifts (e.g., opens with praise, ends with a complaint about a defect). Whole-document scoring averages these into one misleading label instead of reporting both.</w:t>
      </w:r>
    </w:p>
    <w:p w14:paraId="5C1B3634">
      <w:pPr>
        <w:spacing w:after="160" w:line="276" w:lineRule="auto"/>
      </w:pPr>
      <w:r>
        <w:rPr>
          <w:rFonts w:ascii="Calibri" w:hAnsi="Calibri" w:eastAsia="Calibri" w:cs="Calibri"/>
          <w:b/>
          <w:bCs/>
          <w:sz w:val="22"/>
          <w:szCs w:val="22"/>
        </w:rPr>
        <w:t>The problem this project addresses: how to build a fine-grained, multi-label emotion classifier for customer reviews that is both accurate at a granular (27+ emotion) level and explainable at the token level, so that a non-technical business stakeholder can trust and act on individual predictions rather than a single opaque score.</w:t>
      </w:r>
    </w:p>
    <w:p w14:paraId="3E659CC4">
      <w:pPr>
        <w:pStyle w:val="2"/>
        <w:spacing w:before="360" w:after="200"/>
      </w:pPr>
      <w:r>
        <w:rPr>
          <w:rFonts w:ascii="Calibri" w:hAnsi="Calibri" w:eastAsia="Calibri" w:cs="Calibri"/>
        </w:rPr>
        <w:t>Objectives</w:t>
      </w:r>
    </w:p>
    <w:p w14:paraId="371DC99A">
      <w:pPr>
        <w:spacing w:after="160" w:line="276" w:lineRule="auto"/>
      </w:pPr>
      <w:r>
        <w:rPr>
          <w:rFonts w:ascii="Calibri" w:hAnsi="Calibri" w:eastAsia="Calibri" w:cs="Calibri"/>
          <w:sz w:val="22"/>
          <w:szCs w:val="22"/>
        </w:rPr>
        <w:t>The project builds a transformer-based multi-label emotion classification framework with an integrated explainability layer, designed specifically to close the three gaps above. Concretely:</w:t>
      </w:r>
    </w:p>
    <w:p w14:paraId="3D34C9B9">
      <w:pPr>
        <w:pStyle w:val="18"/>
        <w:numPr>
          <w:ilvl w:val="0"/>
          <w:numId w:val="2"/>
        </w:numPr>
        <w:spacing w:after="120"/>
      </w:pPr>
      <w:r>
        <w:rPr>
          <w:rFonts w:ascii="Calibri" w:hAnsi="Calibri" w:eastAsia="Calibri" w:cs="Calibri"/>
          <w:b/>
          <w:bCs/>
          <w:sz w:val="22"/>
          <w:szCs w:val="22"/>
        </w:rPr>
        <w:t xml:space="preserve">Fine-grained multi-label classification model — </w:t>
      </w:r>
      <w:r>
        <w:rPr>
          <w:rFonts w:ascii="Calibri" w:hAnsi="Calibri" w:eastAsia="Calibri" w:cs="Calibri"/>
          <w:sz w:val="22"/>
          <w:szCs w:val="22"/>
        </w:rPr>
        <w:t>fine-tune a pretrained transformer (RoBERTa-base) on the GoEmotions taxonomy (27 emotions + neutral, 28 labels total) using multi-label (sigmoid, not softmax) classification, so a single review can carry more than one emotion simultaneously — directly addressing the coarseness limitation of binary/ternary sentiment tools.</w:t>
      </w:r>
    </w:p>
    <w:p w14:paraId="7E8424A5">
      <w:pPr>
        <w:pStyle w:val="18"/>
        <w:numPr>
          <w:ilvl w:val="0"/>
          <w:numId w:val="2"/>
        </w:numPr>
        <w:spacing w:after="120"/>
      </w:pPr>
      <w:r>
        <w:rPr>
          <w:rFonts w:ascii="Calibri" w:hAnsi="Calibri" w:eastAsia="Calibri" w:cs="Calibri"/>
          <w:b/>
          <w:bCs/>
          <w:sz w:val="22"/>
          <w:szCs w:val="22"/>
        </w:rPr>
        <w:t xml:space="preserve">Business-relevant label rollup — </w:t>
      </w:r>
      <w:r>
        <w:rPr>
          <w:rFonts w:ascii="Calibri" w:hAnsi="Calibri" w:eastAsia="Calibri" w:cs="Calibri"/>
          <w:sz w:val="22"/>
          <w:szCs w:val="22"/>
        </w:rPr>
        <w:t>map the 27 fine-grained emotions into 4 actionable business buckets (satisfaction, frustration, confusion, concern) so outputs map onto real operational decisions, not just academic taxonomy.</w:t>
      </w:r>
    </w:p>
    <w:p w14:paraId="24DD3FA6">
      <w:pPr>
        <w:pStyle w:val="18"/>
        <w:numPr>
          <w:ilvl w:val="0"/>
          <w:numId w:val="2"/>
        </w:numPr>
        <w:spacing w:after="120"/>
      </w:pPr>
      <w:r>
        <w:rPr>
          <w:rFonts w:ascii="Calibri" w:hAnsi="Calibri" w:eastAsia="Calibri" w:cs="Calibri"/>
          <w:b/>
          <w:bCs/>
          <w:sz w:val="22"/>
          <w:szCs w:val="22"/>
        </w:rPr>
        <w:t xml:space="preserve">Token-level explainability layer — </w:t>
      </w:r>
      <w:r>
        <w:rPr>
          <w:rFonts w:ascii="Calibri" w:hAnsi="Calibri" w:eastAsia="Calibri" w:cs="Calibri"/>
          <w:sz w:val="22"/>
          <w:szCs w:val="22"/>
        </w:rPr>
        <w:t>integrate SHAP (SHapley Additive exPlanations) to attribute each prediction to the specific words/phrases that drove it, directly addressing the opacity limitation of black-box transformer classifiers.</w:t>
      </w:r>
    </w:p>
    <w:p w14:paraId="5802E768">
      <w:pPr>
        <w:pStyle w:val="18"/>
        <w:numPr>
          <w:ilvl w:val="0"/>
          <w:numId w:val="2"/>
        </w:numPr>
        <w:spacing w:after="120"/>
      </w:pPr>
      <w:r>
        <w:rPr>
          <w:rFonts w:ascii="Calibri" w:hAnsi="Calibri" w:eastAsia="Calibri" w:cs="Calibri"/>
          <w:b/>
          <w:bCs/>
          <w:sz w:val="22"/>
          <w:szCs w:val="22"/>
        </w:rPr>
        <w:t xml:space="preserve">Segment-level scoring — </w:t>
      </w:r>
      <w:r>
        <w:rPr>
          <w:rFonts w:ascii="Calibri" w:hAnsi="Calibri" w:eastAsia="Calibri" w:cs="Calibri"/>
          <w:sz w:val="22"/>
          <w:szCs w:val="22"/>
        </w:rPr>
        <w:t>split each review into segments and score each independently, addressing the mixed-sentiment blindness of whole-document classifiers, so a review that shifts from praise to complaint is reported as two distinct signals instead of one averaged score.</w:t>
      </w:r>
    </w:p>
    <w:p w14:paraId="72351D10">
      <w:pPr>
        <w:pStyle w:val="18"/>
        <w:numPr>
          <w:ilvl w:val="0"/>
          <w:numId w:val="2"/>
        </w:numPr>
        <w:spacing w:after="120"/>
      </w:pPr>
      <w:r>
        <w:rPr>
          <w:rFonts w:ascii="Calibri" w:hAnsi="Calibri" w:eastAsia="Calibri" w:cs="Calibri"/>
          <w:b/>
          <w:bCs/>
          <w:sz w:val="22"/>
          <w:szCs w:val="22"/>
        </w:rPr>
        <w:t xml:space="preserve">Robust generalization via auxiliary multi-corpus training — </w:t>
      </w:r>
      <w:r>
        <w:rPr>
          <w:rFonts w:ascii="Calibri" w:hAnsi="Calibri" w:eastAsia="Calibri" w:cs="Calibri"/>
          <w:sz w:val="22"/>
          <w:szCs w:val="22"/>
        </w:rPr>
        <w:t>extend training beyond the single GoEmotions corpus using auxiliary emotion-labeled corpora (CARER/dair-ai emotion, DailyDialog) with a masked multi-label loss that only penalizes annotated label positions per corpus, improving generalization while correctly handling partial label coverage across datasets.</w:t>
      </w:r>
    </w:p>
    <w:p w14:paraId="60BE8225">
      <w:pPr>
        <w:pStyle w:val="18"/>
        <w:numPr>
          <w:ilvl w:val="0"/>
          <w:numId w:val="2"/>
        </w:numPr>
        <w:spacing w:after="120"/>
      </w:pPr>
      <w:r>
        <w:rPr>
          <w:rFonts w:ascii="Calibri" w:hAnsi="Calibri" w:eastAsia="Calibri" w:cs="Calibri"/>
          <w:b/>
          <w:bCs/>
          <w:sz w:val="22"/>
          <w:szCs w:val="22"/>
        </w:rPr>
        <w:t xml:space="preserve">Deployable, production-shaped system — </w:t>
      </w:r>
      <w:r>
        <w:rPr>
          <w:rFonts w:ascii="Calibri" w:hAnsi="Calibri" w:eastAsia="Calibri" w:cs="Calibri"/>
          <w:sz w:val="22"/>
          <w:szCs w:val="22"/>
        </w:rPr>
        <w:t>wrap the model in a FastAPI backend (prediction, explanation, batch, analytics endpoints) with a React dashboard frontend, so the framework is demonstrably usable, not just a notebook experiment.</w:t>
      </w:r>
    </w:p>
    <w:p w14:paraId="5A72282F">
      <w:pPr>
        <w:pStyle w:val="2"/>
        <w:spacing w:before="360" w:after="200"/>
      </w:pPr>
      <w:r>
        <w:rPr>
          <w:rFonts w:ascii="Calibri" w:hAnsi="Calibri" w:eastAsia="Calibri" w:cs="Calibri"/>
        </w:rPr>
        <w:t>Literature Survey</w:t>
      </w:r>
    </w:p>
    <w:p w14:paraId="70183F23">
      <w:pPr>
        <w:spacing w:after="160" w:line="276" w:lineRule="auto"/>
      </w:pPr>
      <w:r>
        <w:rPr>
          <w:rFonts w:ascii="Calibri" w:hAnsi="Calibri" w:eastAsia="Calibri" w:cs="Calibri"/>
          <w:sz w:val="22"/>
          <w:szCs w:val="22"/>
        </w:rPr>
        <w:t>The table below summarizes twelve papers spanning the emotion-taxonomy dataset this project builds on, the transformer architectures considered, the explainability methods integrated, and adjacent benchmarks that motivate the segment-level and business-bucket design choices.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4"/>
        <w:gridCol w:w="1813"/>
        <w:gridCol w:w="1461"/>
        <w:gridCol w:w="1825"/>
        <w:gridCol w:w="1847"/>
        <w:gridCol w:w="1304"/>
        <w:gridCol w:w="636"/>
      </w:tblGrid>
      <w:tr w14:paraId="3674A90E">
        <w:trPr>
          <w:tblHeader/>
        </w:trPr>
        <w:tc>
          <w:tcPr>
            <w:tcW w:w="500" w:type="dxa"/>
            <w:shd w:val="clear" w:color="auto" w:fill="1F3864"/>
            <w:tcMar>
              <w:top w:w="80" w:type="dxa"/>
              <w:left w:w="80" w:type="dxa"/>
              <w:bottom w:w="80" w:type="dxa"/>
              <w:right w:w="80" w:type="dxa"/>
            </w:tcMar>
            <w:vAlign w:val="center"/>
          </w:tcPr>
          <w:p w14:paraId="184BF7AF">
            <w:pPr>
              <w:jc w:val="center"/>
            </w:pPr>
            <w:r>
              <w:rPr>
                <w:rFonts w:ascii="Calibri" w:hAnsi="Calibri" w:eastAsia="Calibri" w:cs="Calibri"/>
                <w:b/>
                <w:bCs/>
                <w:color w:val="FFFFFF"/>
                <w:sz w:val="18"/>
                <w:szCs w:val="18"/>
              </w:rPr>
              <w:t>#</w:t>
            </w:r>
          </w:p>
        </w:tc>
        <w:tc>
          <w:tcPr>
            <w:tcW w:w="1900" w:type="dxa"/>
            <w:shd w:val="clear" w:color="auto" w:fill="1F3864"/>
            <w:tcMar>
              <w:top w:w="80" w:type="dxa"/>
              <w:left w:w="80" w:type="dxa"/>
              <w:bottom w:w="80" w:type="dxa"/>
              <w:right w:w="80" w:type="dxa"/>
            </w:tcMar>
            <w:vAlign w:val="center"/>
          </w:tcPr>
          <w:p w14:paraId="0AC38DA3">
            <w:pPr>
              <w:jc w:val="center"/>
            </w:pPr>
            <w:r>
              <w:rPr>
                <w:rFonts w:ascii="Calibri" w:hAnsi="Calibri" w:eastAsia="Calibri" w:cs="Calibri"/>
                <w:b/>
                <w:bCs/>
                <w:color w:val="FFFFFF"/>
                <w:sz w:val="18"/>
                <w:szCs w:val="18"/>
              </w:rPr>
              <w:t>Paper Title</w:t>
            </w:r>
          </w:p>
        </w:tc>
        <w:tc>
          <w:tcPr>
            <w:tcW w:w="1500" w:type="dxa"/>
            <w:shd w:val="clear" w:color="auto" w:fill="1F3864"/>
            <w:tcMar>
              <w:top w:w="80" w:type="dxa"/>
              <w:left w:w="80" w:type="dxa"/>
              <w:bottom w:w="80" w:type="dxa"/>
              <w:right w:w="80" w:type="dxa"/>
            </w:tcMar>
            <w:vAlign w:val="center"/>
          </w:tcPr>
          <w:p w14:paraId="2F2B9DA7">
            <w:pPr>
              <w:jc w:val="center"/>
            </w:pPr>
            <w:r>
              <w:rPr>
                <w:rFonts w:ascii="Calibri" w:hAnsi="Calibri" w:eastAsia="Calibri" w:cs="Calibri"/>
                <w:b/>
                <w:bCs/>
                <w:color w:val="FFFFFF"/>
                <w:sz w:val="18"/>
                <w:szCs w:val="18"/>
              </w:rPr>
              <w:t>Model / Method</w:t>
            </w:r>
          </w:p>
        </w:tc>
        <w:tc>
          <w:tcPr>
            <w:tcW w:w="1900" w:type="dxa"/>
            <w:shd w:val="clear" w:color="auto" w:fill="1F3864"/>
            <w:tcMar>
              <w:top w:w="80" w:type="dxa"/>
              <w:left w:w="80" w:type="dxa"/>
              <w:bottom w:w="80" w:type="dxa"/>
              <w:right w:w="80" w:type="dxa"/>
            </w:tcMar>
            <w:vAlign w:val="center"/>
          </w:tcPr>
          <w:p w14:paraId="4194D467">
            <w:pPr>
              <w:jc w:val="center"/>
            </w:pPr>
            <w:r>
              <w:rPr>
                <w:rFonts w:ascii="Calibri" w:hAnsi="Calibri" w:eastAsia="Calibri" w:cs="Calibri"/>
                <w:b/>
                <w:bCs/>
                <w:color w:val="FFFFFF"/>
                <w:sz w:val="18"/>
                <w:szCs w:val="18"/>
              </w:rPr>
              <w:t>Outcome</w:t>
            </w:r>
          </w:p>
        </w:tc>
        <w:tc>
          <w:tcPr>
            <w:tcW w:w="1900" w:type="dxa"/>
            <w:shd w:val="clear" w:color="auto" w:fill="1F3864"/>
            <w:tcMar>
              <w:top w:w="80" w:type="dxa"/>
              <w:left w:w="80" w:type="dxa"/>
              <w:bottom w:w="80" w:type="dxa"/>
              <w:right w:w="80" w:type="dxa"/>
            </w:tcMar>
            <w:vAlign w:val="center"/>
          </w:tcPr>
          <w:p w14:paraId="262C911D">
            <w:pPr>
              <w:jc w:val="center"/>
            </w:pPr>
            <w:r>
              <w:rPr>
                <w:rFonts w:ascii="Calibri" w:hAnsi="Calibri" w:eastAsia="Calibri" w:cs="Calibri"/>
                <w:b/>
                <w:bCs/>
                <w:color w:val="FFFFFF"/>
                <w:sz w:val="18"/>
                <w:szCs w:val="18"/>
              </w:rPr>
              <w:t>Limitations</w:t>
            </w:r>
          </w:p>
        </w:tc>
        <w:tc>
          <w:tcPr>
            <w:tcW w:w="1000" w:type="dxa"/>
            <w:shd w:val="clear" w:color="auto" w:fill="1F3864"/>
            <w:tcMar>
              <w:top w:w="80" w:type="dxa"/>
              <w:left w:w="80" w:type="dxa"/>
              <w:bottom w:w="80" w:type="dxa"/>
              <w:right w:w="80" w:type="dxa"/>
            </w:tcMar>
            <w:vAlign w:val="center"/>
          </w:tcPr>
          <w:p w14:paraId="1A4D901A">
            <w:pPr>
              <w:jc w:val="center"/>
            </w:pPr>
            <w:r>
              <w:rPr>
                <w:rFonts w:ascii="Calibri" w:hAnsi="Calibri" w:eastAsia="Calibri" w:cs="Calibri"/>
                <w:b/>
                <w:bCs/>
                <w:color w:val="FFFFFF"/>
                <w:sz w:val="18"/>
                <w:szCs w:val="18"/>
              </w:rPr>
              <w:t>Dataset(s)</w:t>
            </w:r>
          </w:p>
        </w:tc>
        <w:tc>
          <w:tcPr>
            <w:tcW w:w="660" w:type="dxa"/>
            <w:shd w:val="clear" w:color="auto" w:fill="1F3864"/>
            <w:tcMar>
              <w:top w:w="80" w:type="dxa"/>
              <w:left w:w="80" w:type="dxa"/>
              <w:bottom w:w="80" w:type="dxa"/>
              <w:right w:w="80" w:type="dxa"/>
            </w:tcMar>
            <w:vAlign w:val="center"/>
          </w:tcPr>
          <w:p w14:paraId="3825F4B6">
            <w:pPr>
              <w:jc w:val="center"/>
            </w:pPr>
            <w:r>
              <w:rPr>
                <w:rFonts w:ascii="Calibri" w:hAnsi="Calibri" w:eastAsia="Calibri" w:cs="Calibri"/>
                <w:b/>
                <w:bCs/>
                <w:color w:val="FFFFFF"/>
                <w:sz w:val="18"/>
                <w:szCs w:val="18"/>
              </w:rPr>
              <w:t>Link</w:t>
            </w:r>
          </w:p>
        </w:tc>
      </w:tr>
      <w:tr w14:paraId="0924EB9E">
        <w:tc>
          <w:tcPr>
            <w:tcW w:w="500" w:type="dxa"/>
            <w:tcMar>
              <w:top w:w="80" w:type="dxa"/>
              <w:left w:w="80" w:type="dxa"/>
              <w:bottom w:w="80" w:type="dxa"/>
              <w:right w:w="80" w:type="dxa"/>
            </w:tcMar>
            <w:vAlign w:val="center"/>
          </w:tcPr>
          <w:p w14:paraId="657DD9D4">
            <w:r>
              <w:rPr>
                <w:rFonts w:ascii="Calibri" w:hAnsi="Calibri" w:eastAsia="Calibri" w:cs="Calibri"/>
                <w:sz w:val="17"/>
                <w:szCs w:val="17"/>
              </w:rPr>
              <w:t>1</w:t>
            </w:r>
          </w:p>
        </w:tc>
        <w:tc>
          <w:tcPr>
            <w:tcW w:w="1900" w:type="dxa"/>
            <w:tcMar>
              <w:top w:w="80" w:type="dxa"/>
              <w:left w:w="80" w:type="dxa"/>
              <w:bottom w:w="80" w:type="dxa"/>
              <w:right w:w="80" w:type="dxa"/>
            </w:tcMar>
            <w:vAlign w:val="center"/>
          </w:tcPr>
          <w:p w14:paraId="20A84F52">
            <w:r>
              <w:rPr>
                <w:rFonts w:ascii="Calibri" w:hAnsi="Calibri" w:eastAsia="Calibri" w:cs="Calibri"/>
                <w:sz w:val="17"/>
                <w:szCs w:val="17"/>
              </w:rPr>
              <w:t>GoEmotions: A Dataset of Fine-Grained Emotions (Demszky et al., 2020)</w:t>
            </w:r>
          </w:p>
        </w:tc>
        <w:tc>
          <w:tcPr>
            <w:tcW w:w="1500" w:type="dxa"/>
            <w:tcMar>
              <w:top w:w="80" w:type="dxa"/>
              <w:left w:w="80" w:type="dxa"/>
              <w:bottom w:w="80" w:type="dxa"/>
              <w:right w:w="80" w:type="dxa"/>
            </w:tcMar>
            <w:vAlign w:val="center"/>
          </w:tcPr>
          <w:p w14:paraId="3CCA7F24">
            <w:r>
              <w:rPr>
                <w:rFonts w:ascii="Calibri" w:hAnsi="Calibri" w:eastAsia="Calibri" w:cs="Calibri"/>
                <w:sz w:val="17"/>
                <w:szCs w:val="17"/>
              </w:rPr>
              <w:t>BERT-base fine-tuned classifier (baseline)</w:t>
            </w:r>
          </w:p>
        </w:tc>
        <w:tc>
          <w:tcPr>
            <w:tcW w:w="1900" w:type="dxa"/>
            <w:tcMar>
              <w:top w:w="80" w:type="dxa"/>
              <w:left w:w="80" w:type="dxa"/>
              <w:bottom w:w="80" w:type="dxa"/>
              <w:right w:w="80" w:type="dxa"/>
            </w:tcMar>
            <w:vAlign w:val="center"/>
          </w:tcPr>
          <w:p w14:paraId="46B56D33">
            <w:r>
              <w:rPr>
                <w:rFonts w:ascii="Calibri" w:hAnsi="Calibri" w:eastAsia="Calibri" w:cs="Calibri"/>
                <w:sz w:val="17"/>
                <w:szCs w:val="17"/>
              </w:rPr>
              <w:t>Introduced 27-emotion + neutral taxonomy on 58k Reddit comments; established baseline multi-label F1 (~0.46 macro avg)</w:t>
            </w:r>
          </w:p>
        </w:tc>
        <w:tc>
          <w:tcPr>
            <w:tcW w:w="1900" w:type="dxa"/>
            <w:tcMar>
              <w:top w:w="80" w:type="dxa"/>
              <w:left w:w="80" w:type="dxa"/>
              <w:bottom w:w="80" w:type="dxa"/>
              <w:right w:w="80" w:type="dxa"/>
            </w:tcMar>
            <w:vAlign w:val="center"/>
          </w:tcPr>
          <w:p w14:paraId="16F6EC9D">
            <w:r>
              <w:rPr>
                <w:rFonts w:ascii="Calibri" w:hAnsi="Calibri" w:eastAsia="Calibri" w:cs="Calibri"/>
                <w:sz w:val="17"/>
                <w:szCs w:val="17"/>
              </w:rPr>
              <w:t>Reddit-domain text does not transfer cleanly to product/customer-review domain; several rare emotions (grief, pride, relief) have very low support and near-zero F1</w:t>
            </w:r>
          </w:p>
        </w:tc>
        <w:tc>
          <w:tcPr>
            <w:tcW w:w="1000" w:type="dxa"/>
            <w:tcMar>
              <w:top w:w="80" w:type="dxa"/>
              <w:left w:w="80" w:type="dxa"/>
              <w:bottom w:w="80" w:type="dxa"/>
              <w:right w:w="80" w:type="dxa"/>
            </w:tcMar>
            <w:vAlign w:val="center"/>
          </w:tcPr>
          <w:p w14:paraId="59F4D47F">
            <w:r>
              <w:rPr>
                <w:rFonts w:ascii="Calibri" w:hAnsi="Calibri" w:eastAsia="Calibri" w:cs="Calibri"/>
                <w:sz w:val="17"/>
                <w:szCs w:val="17"/>
              </w:rPr>
              <w:t>GoEmotions</w:t>
            </w:r>
          </w:p>
        </w:tc>
        <w:tc>
          <w:tcPr>
            <w:tcW w:w="660" w:type="dxa"/>
            <w:tcMar>
              <w:top w:w="80" w:type="dxa"/>
              <w:left w:w="80" w:type="dxa"/>
              <w:bottom w:w="80" w:type="dxa"/>
              <w:right w:w="80" w:type="dxa"/>
            </w:tcMar>
            <w:vAlign w:val="center"/>
          </w:tcPr>
          <w:p w14:paraId="43050EA0">
            <w:r>
              <w:fldChar w:fldCharType="begin"/>
            </w:r>
            <w:r>
              <w:instrText xml:space="preserve"> HYPERLINK "https://arxiv.org/abs/2005.00547" </w:instrText>
            </w:r>
            <w:r>
              <w:fldChar w:fldCharType="separate"/>
            </w:r>
            <w:r>
              <w:rPr>
                <w:rStyle w:val="16"/>
                <w:rFonts w:ascii="Calibri" w:hAnsi="Calibri" w:eastAsia="Calibri" w:cs="Calibri"/>
                <w:sz w:val="18"/>
                <w:szCs w:val="18"/>
              </w:rPr>
              <w:t>[1]</w:t>
            </w:r>
            <w:r>
              <w:rPr>
                <w:rStyle w:val="16"/>
                <w:rFonts w:ascii="Calibri" w:hAnsi="Calibri" w:eastAsia="Calibri" w:cs="Calibri"/>
                <w:sz w:val="18"/>
                <w:szCs w:val="18"/>
              </w:rPr>
              <w:fldChar w:fldCharType="end"/>
            </w:r>
          </w:p>
        </w:tc>
      </w:tr>
      <w:tr w14:paraId="2E61EB94">
        <w:tc>
          <w:tcPr>
            <w:tcW w:w="500" w:type="dxa"/>
            <w:tcMar>
              <w:top w:w="80" w:type="dxa"/>
              <w:left w:w="80" w:type="dxa"/>
              <w:bottom w:w="80" w:type="dxa"/>
              <w:right w:w="80" w:type="dxa"/>
            </w:tcMar>
            <w:vAlign w:val="center"/>
          </w:tcPr>
          <w:p w14:paraId="0BA04A50">
            <w:r>
              <w:rPr>
                <w:rFonts w:ascii="Calibri" w:hAnsi="Calibri" w:eastAsia="Calibri" w:cs="Calibri"/>
                <w:sz w:val="17"/>
                <w:szCs w:val="17"/>
              </w:rPr>
              <w:t>2</w:t>
            </w:r>
          </w:p>
        </w:tc>
        <w:tc>
          <w:tcPr>
            <w:tcW w:w="1900" w:type="dxa"/>
            <w:tcMar>
              <w:top w:w="80" w:type="dxa"/>
              <w:left w:w="80" w:type="dxa"/>
              <w:bottom w:w="80" w:type="dxa"/>
              <w:right w:w="80" w:type="dxa"/>
            </w:tcMar>
            <w:vAlign w:val="center"/>
          </w:tcPr>
          <w:p w14:paraId="70318331">
            <w:r>
              <w:rPr>
                <w:rFonts w:ascii="Calibri" w:hAnsi="Calibri" w:eastAsia="Calibri" w:cs="Calibri"/>
                <w:sz w:val="17"/>
                <w:szCs w:val="17"/>
              </w:rPr>
              <w:t>BERT: Pre-training of Deep Bidirectional Transformers for Language Understanding (Devlin et al., 2019)</w:t>
            </w:r>
          </w:p>
        </w:tc>
        <w:tc>
          <w:tcPr>
            <w:tcW w:w="1500" w:type="dxa"/>
            <w:tcMar>
              <w:top w:w="80" w:type="dxa"/>
              <w:left w:w="80" w:type="dxa"/>
              <w:bottom w:w="80" w:type="dxa"/>
              <w:right w:w="80" w:type="dxa"/>
            </w:tcMar>
            <w:vAlign w:val="center"/>
          </w:tcPr>
          <w:p w14:paraId="2C669BEC">
            <w:r>
              <w:rPr>
                <w:rFonts w:ascii="Calibri" w:hAnsi="Calibri" w:eastAsia="Calibri" w:cs="Calibri"/>
                <w:sz w:val="17"/>
                <w:szCs w:val="17"/>
              </w:rPr>
              <w:t>BERT (Masked LM + NSP pretraining, bidirectional Transformer encoder)</w:t>
            </w:r>
          </w:p>
        </w:tc>
        <w:tc>
          <w:tcPr>
            <w:tcW w:w="1900" w:type="dxa"/>
            <w:tcMar>
              <w:top w:w="80" w:type="dxa"/>
              <w:left w:w="80" w:type="dxa"/>
              <w:bottom w:w="80" w:type="dxa"/>
              <w:right w:w="80" w:type="dxa"/>
            </w:tcMar>
            <w:vAlign w:val="center"/>
          </w:tcPr>
          <w:p w14:paraId="08B2B623">
            <w:r>
              <w:rPr>
                <w:rFonts w:ascii="Calibri" w:hAnsi="Calibri" w:eastAsia="Calibri" w:cs="Calibri"/>
                <w:sz w:val="17"/>
                <w:szCs w:val="17"/>
              </w:rPr>
              <w:t>State-of-the-art results across 11 NLP benchmarks (GLUE, SQuAD) via fine-tuning a shared pretrained encoder</w:t>
            </w:r>
          </w:p>
        </w:tc>
        <w:tc>
          <w:tcPr>
            <w:tcW w:w="1900" w:type="dxa"/>
            <w:tcMar>
              <w:top w:w="80" w:type="dxa"/>
              <w:left w:w="80" w:type="dxa"/>
              <w:bottom w:w="80" w:type="dxa"/>
              <w:right w:w="80" w:type="dxa"/>
            </w:tcMar>
            <w:vAlign w:val="center"/>
          </w:tcPr>
          <w:p w14:paraId="4C4DC73C">
            <w:r>
              <w:rPr>
                <w:rFonts w:ascii="Calibri" w:hAnsi="Calibri" w:eastAsia="Calibri" w:cs="Calibri"/>
                <w:sz w:val="17"/>
                <w:szCs w:val="17"/>
              </w:rPr>
              <w:t>High compute cost to pretrain; fixed max sequence length; NSP objective later shown to add little value</w:t>
            </w:r>
          </w:p>
        </w:tc>
        <w:tc>
          <w:tcPr>
            <w:tcW w:w="1000" w:type="dxa"/>
            <w:tcMar>
              <w:top w:w="80" w:type="dxa"/>
              <w:left w:w="80" w:type="dxa"/>
              <w:bottom w:w="80" w:type="dxa"/>
              <w:right w:w="80" w:type="dxa"/>
            </w:tcMar>
            <w:vAlign w:val="center"/>
          </w:tcPr>
          <w:p w14:paraId="4B95F6DB">
            <w:r>
              <w:rPr>
                <w:rFonts w:ascii="Calibri" w:hAnsi="Calibri" w:eastAsia="Calibri" w:cs="Calibri"/>
                <w:sz w:val="17"/>
                <w:szCs w:val="17"/>
              </w:rPr>
              <w:t>BooksCorpus, English Wikipedia</w:t>
            </w:r>
          </w:p>
        </w:tc>
        <w:tc>
          <w:tcPr>
            <w:tcW w:w="660" w:type="dxa"/>
            <w:tcMar>
              <w:top w:w="80" w:type="dxa"/>
              <w:left w:w="80" w:type="dxa"/>
              <w:bottom w:w="80" w:type="dxa"/>
              <w:right w:w="80" w:type="dxa"/>
            </w:tcMar>
            <w:vAlign w:val="center"/>
          </w:tcPr>
          <w:p w14:paraId="763C1276">
            <w:r>
              <w:fldChar w:fldCharType="begin"/>
            </w:r>
            <w:r>
              <w:instrText xml:space="preserve"> HYPERLINK "https://arxiv.org/abs/1810.04805" </w:instrText>
            </w:r>
            <w:r>
              <w:fldChar w:fldCharType="separate"/>
            </w:r>
            <w:r>
              <w:rPr>
                <w:rStyle w:val="16"/>
                <w:rFonts w:ascii="Calibri" w:hAnsi="Calibri" w:eastAsia="Calibri" w:cs="Calibri"/>
                <w:sz w:val="18"/>
                <w:szCs w:val="18"/>
              </w:rPr>
              <w:t>[2]</w:t>
            </w:r>
            <w:r>
              <w:rPr>
                <w:rStyle w:val="16"/>
                <w:rFonts w:ascii="Calibri" w:hAnsi="Calibri" w:eastAsia="Calibri" w:cs="Calibri"/>
                <w:sz w:val="18"/>
                <w:szCs w:val="18"/>
              </w:rPr>
              <w:fldChar w:fldCharType="end"/>
            </w:r>
          </w:p>
        </w:tc>
      </w:tr>
      <w:tr w14:paraId="36ACB1D4">
        <w:tc>
          <w:tcPr>
            <w:tcW w:w="500" w:type="dxa"/>
            <w:tcMar>
              <w:top w:w="80" w:type="dxa"/>
              <w:left w:w="80" w:type="dxa"/>
              <w:bottom w:w="80" w:type="dxa"/>
              <w:right w:w="80" w:type="dxa"/>
            </w:tcMar>
            <w:vAlign w:val="center"/>
          </w:tcPr>
          <w:p w14:paraId="2B14A10F">
            <w:r>
              <w:rPr>
                <w:rFonts w:ascii="Calibri" w:hAnsi="Calibri" w:eastAsia="Calibri" w:cs="Calibri"/>
                <w:sz w:val="17"/>
                <w:szCs w:val="17"/>
              </w:rPr>
              <w:t>3</w:t>
            </w:r>
          </w:p>
        </w:tc>
        <w:tc>
          <w:tcPr>
            <w:tcW w:w="1900" w:type="dxa"/>
            <w:tcMar>
              <w:top w:w="80" w:type="dxa"/>
              <w:left w:w="80" w:type="dxa"/>
              <w:bottom w:w="80" w:type="dxa"/>
              <w:right w:w="80" w:type="dxa"/>
            </w:tcMar>
            <w:vAlign w:val="center"/>
          </w:tcPr>
          <w:p w14:paraId="050EF594">
            <w:r>
              <w:rPr>
                <w:rFonts w:ascii="Calibri" w:hAnsi="Calibri" w:eastAsia="Calibri" w:cs="Calibri"/>
                <w:sz w:val="17"/>
                <w:szCs w:val="17"/>
              </w:rPr>
              <w:t>RoBERTa: A Robustly Optimized BERT Pretraining Approach (Liu et al., 2019)</w:t>
            </w:r>
          </w:p>
        </w:tc>
        <w:tc>
          <w:tcPr>
            <w:tcW w:w="1500" w:type="dxa"/>
            <w:tcMar>
              <w:top w:w="80" w:type="dxa"/>
              <w:left w:w="80" w:type="dxa"/>
              <w:bottom w:w="80" w:type="dxa"/>
              <w:right w:w="80" w:type="dxa"/>
            </w:tcMar>
            <w:vAlign w:val="center"/>
          </w:tcPr>
          <w:p w14:paraId="5B5355AF">
            <w:r>
              <w:rPr>
                <w:rFonts w:ascii="Calibri" w:hAnsi="Calibri" w:eastAsia="Calibri" w:cs="Calibri"/>
                <w:sz w:val="17"/>
                <w:szCs w:val="17"/>
              </w:rPr>
              <w:t>RoBERTa (BERT architecture, retrained longer, larger batches, dynamic masking, no NSP)</w:t>
            </w:r>
          </w:p>
        </w:tc>
        <w:tc>
          <w:tcPr>
            <w:tcW w:w="1900" w:type="dxa"/>
            <w:tcMar>
              <w:top w:w="80" w:type="dxa"/>
              <w:left w:w="80" w:type="dxa"/>
              <w:bottom w:w="80" w:type="dxa"/>
              <w:right w:w="80" w:type="dxa"/>
            </w:tcMar>
            <w:vAlign w:val="center"/>
          </w:tcPr>
          <w:p w14:paraId="1319E661">
            <w:r>
              <w:rPr>
                <w:rFonts w:ascii="Calibri" w:hAnsi="Calibri" w:eastAsia="Calibri" w:cs="Calibri"/>
                <w:sz w:val="17"/>
                <w:szCs w:val="17"/>
              </w:rPr>
              <w:t>Outperforms BERT on GLUE, SQuAD, RACE without architecture changes, purely via better pretraining recipe</w:t>
            </w:r>
          </w:p>
        </w:tc>
        <w:tc>
          <w:tcPr>
            <w:tcW w:w="1900" w:type="dxa"/>
            <w:tcMar>
              <w:top w:w="80" w:type="dxa"/>
              <w:left w:w="80" w:type="dxa"/>
              <w:bottom w:w="80" w:type="dxa"/>
              <w:right w:w="80" w:type="dxa"/>
            </w:tcMar>
            <w:vAlign w:val="center"/>
          </w:tcPr>
          <w:p w14:paraId="0E7B5721">
            <w:r>
              <w:rPr>
                <w:rFonts w:ascii="Calibri" w:hAnsi="Calibri" w:eastAsia="Calibri" w:cs="Calibri"/>
                <w:sz w:val="17"/>
                <w:szCs w:val="17"/>
              </w:rPr>
              <w:t>Still a large, compute-heavy model; no built-in interpretability; longer pretraining increases carbon/compute cost</w:t>
            </w:r>
          </w:p>
        </w:tc>
        <w:tc>
          <w:tcPr>
            <w:tcW w:w="1000" w:type="dxa"/>
            <w:tcMar>
              <w:top w:w="80" w:type="dxa"/>
              <w:left w:w="80" w:type="dxa"/>
              <w:bottom w:w="80" w:type="dxa"/>
              <w:right w:w="80" w:type="dxa"/>
            </w:tcMar>
            <w:vAlign w:val="center"/>
          </w:tcPr>
          <w:p w14:paraId="47A4455E">
            <w:r>
              <w:rPr>
                <w:rFonts w:ascii="Calibri" w:hAnsi="Calibri" w:eastAsia="Calibri" w:cs="Calibri"/>
                <w:sz w:val="17"/>
                <w:szCs w:val="17"/>
              </w:rPr>
              <w:t>BookCorpus, CC-News, OpenWebText, Stories</w:t>
            </w:r>
          </w:p>
        </w:tc>
        <w:tc>
          <w:tcPr>
            <w:tcW w:w="660" w:type="dxa"/>
            <w:tcMar>
              <w:top w:w="80" w:type="dxa"/>
              <w:left w:w="80" w:type="dxa"/>
              <w:bottom w:w="80" w:type="dxa"/>
              <w:right w:w="80" w:type="dxa"/>
            </w:tcMar>
            <w:vAlign w:val="center"/>
          </w:tcPr>
          <w:p w14:paraId="711D46C0">
            <w:r>
              <w:fldChar w:fldCharType="begin"/>
            </w:r>
            <w:r>
              <w:instrText xml:space="preserve"> HYPERLINK "https://arxiv.org/abs/1907.11692" </w:instrText>
            </w:r>
            <w:r>
              <w:fldChar w:fldCharType="separate"/>
            </w:r>
            <w:r>
              <w:rPr>
                <w:rStyle w:val="16"/>
                <w:rFonts w:ascii="Calibri" w:hAnsi="Calibri" w:eastAsia="Calibri" w:cs="Calibri"/>
                <w:sz w:val="18"/>
                <w:szCs w:val="18"/>
              </w:rPr>
              <w:t>[3]</w:t>
            </w:r>
            <w:r>
              <w:rPr>
                <w:rStyle w:val="16"/>
                <w:rFonts w:ascii="Calibri" w:hAnsi="Calibri" w:eastAsia="Calibri" w:cs="Calibri"/>
                <w:sz w:val="18"/>
                <w:szCs w:val="18"/>
              </w:rPr>
              <w:fldChar w:fldCharType="end"/>
            </w:r>
          </w:p>
        </w:tc>
      </w:tr>
      <w:tr w14:paraId="49B7721C">
        <w:tc>
          <w:tcPr>
            <w:tcW w:w="500" w:type="dxa"/>
            <w:tcMar>
              <w:top w:w="80" w:type="dxa"/>
              <w:left w:w="80" w:type="dxa"/>
              <w:bottom w:w="80" w:type="dxa"/>
              <w:right w:w="80" w:type="dxa"/>
            </w:tcMar>
            <w:vAlign w:val="center"/>
          </w:tcPr>
          <w:p w14:paraId="6FAA0DCD">
            <w:r>
              <w:rPr>
                <w:rFonts w:ascii="Calibri" w:hAnsi="Calibri" w:eastAsia="Calibri" w:cs="Calibri"/>
                <w:sz w:val="17"/>
                <w:szCs w:val="17"/>
              </w:rPr>
              <w:t>4</w:t>
            </w:r>
          </w:p>
        </w:tc>
        <w:tc>
          <w:tcPr>
            <w:tcW w:w="1900" w:type="dxa"/>
            <w:tcMar>
              <w:top w:w="80" w:type="dxa"/>
              <w:left w:w="80" w:type="dxa"/>
              <w:bottom w:w="80" w:type="dxa"/>
              <w:right w:w="80" w:type="dxa"/>
            </w:tcMar>
            <w:vAlign w:val="center"/>
          </w:tcPr>
          <w:p w14:paraId="5E3B6ECB">
            <w:r>
              <w:rPr>
                <w:rFonts w:ascii="Calibri" w:hAnsi="Calibri" w:eastAsia="Calibri" w:cs="Calibri"/>
                <w:sz w:val="17"/>
                <w:szCs w:val="17"/>
              </w:rPr>
              <w:t>CARER: Contextualized Affect Representations for Emotion Recognition (Saravia et al., 2018) — source of the dair-ai/emotion dataset</w:t>
            </w:r>
          </w:p>
        </w:tc>
        <w:tc>
          <w:tcPr>
            <w:tcW w:w="1500" w:type="dxa"/>
            <w:tcMar>
              <w:top w:w="80" w:type="dxa"/>
              <w:left w:w="80" w:type="dxa"/>
              <w:bottom w:w="80" w:type="dxa"/>
              <w:right w:w="80" w:type="dxa"/>
            </w:tcMar>
            <w:vAlign w:val="center"/>
          </w:tcPr>
          <w:p w14:paraId="424E16FD">
            <w:r>
              <w:rPr>
                <w:rFonts w:ascii="Calibri" w:hAnsi="Calibri" w:eastAsia="Calibri" w:cs="Calibri"/>
                <w:sz w:val="17"/>
                <w:szCs w:val="17"/>
              </w:rPr>
              <w:t>Bi-LSTM + attention over word embeddings</w:t>
            </w:r>
          </w:p>
        </w:tc>
        <w:tc>
          <w:tcPr>
            <w:tcW w:w="1900" w:type="dxa"/>
            <w:tcMar>
              <w:top w:w="80" w:type="dxa"/>
              <w:left w:w="80" w:type="dxa"/>
              <w:bottom w:w="80" w:type="dxa"/>
              <w:right w:w="80" w:type="dxa"/>
            </w:tcMar>
            <w:vAlign w:val="center"/>
          </w:tcPr>
          <w:p w14:paraId="3DB61469">
            <w:r>
              <w:rPr>
                <w:rFonts w:ascii="Calibri" w:hAnsi="Calibri" w:eastAsia="Calibri" w:cs="Calibri"/>
                <w:sz w:val="17"/>
                <w:szCs w:val="17"/>
              </w:rPr>
              <w:t>Distant-supervised, hashtag-labeled Twitter emotion dataset (6 classes) enabling scalable emotion-labeled data collection</w:t>
            </w:r>
          </w:p>
        </w:tc>
        <w:tc>
          <w:tcPr>
            <w:tcW w:w="1900" w:type="dxa"/>
            <w:tcMar>
              <w:top w:w="80" w:type="dxa"/>
              <w:left w:w="80" w:type="dxa"/>
              <w:bottom w:w="80" w:type="dxa"/>
              <w:right w:w="80" w:type="dxa"/>
            </w:tcMar>
            <w:vAlign w:val="center"/>
          </w:tcPr>
          <w:p w14:paraId="402C7FC7">
            <w:r>
              <w:rPr>
                <w:rFonts w:ascii="Calibri" w:hAnsi="Calibri" w:eastAsia="Calibri" w:cs="Calibri"/>
                <w:sz w:val="17"/>
                <w:szCs w:val="17"/>
              </w:rPr>
              <w:t>Single-label only (one emotion per text); Twitter-domain noise; hashtag-based labels are weak supervision, not human-annotated</w:t>
            </w:r>
          </w:p>
        </w:tc>
        <w:tc>
          <w:tcPr>
            <w:tcW w:w="1000" w:type="dxa"/>
            <w:tcMar>
              <w:top w:w="80" w:type="dxa"/>
              <w:left w:w="80" w:type="dxa"/>
              <w:bottom w:w="80" w:type="dxa"/>
              <w:right w:w="80" w:type="dxa"/>
            </w:tcMar>
            <w:vAlign w:val="center"/>
          </w:tcPr>
          <w:p w14:paraId="0313E71E">
            <w:r>
              <w:rPr>
                <w:rFonts w:ascii="Calibri" w:hAnsi="Calibri" w:eastAsia="Calibri" w:cs="Calibri"/>
                <w:sz w:val="17"/>
                <w:szCs w:val="17"/>
              </w:rPr>
              <w:t>dair-ai/emotion (CARER)</w:t>
            </w:r>
          </w:p>
        </w:tc>
        <w:tc>
          <w:tcPr>
            <w:tcW w:w="660" w:type="dxa"/>
            <w:tcMar>
              <w:top w:w="80" w:type="dxa"/>
              <w:left w:w="80" w:type="dxa"/>
              <w:bottom w:w="80" w:type="dxa"/>
              <w:right w:w="80" w:type="dxa"/>
            </w:tcMar>
            <w:vAlign w:val="center"/>
          </w:tcPr>
          <w:p w14:paraId="2D9E5AEA">
            <w:r>
              <w:fldChar w:fldCharType="begin"/>
            </w:r>
            <w:r>
              <w:instrText xml:space="preserve"> HYPERLINK "https://aclanthology.org/D18-1404/" </w:instrText>
            </w:r>
            <w:r>
              <w:fldChar w:fldCharType="separate"/>
            </w:r>
            <w:r>
              <w:rPr>
                <w:rStyle w:val="16"/>
                <w:rFonts w:ascii="Calibri" w:hAnsi="Calibri" w:eastAsia="Calibri" w:cs="Calibri"/>
                <w:sz w:val="18"/>
                <w:szCs w:val="18"/>
              </w:rPr>
              <w:t>[4]</w:t>
            </w:r>
            <w:r>
              <w:rPr>
                <w:rStyle w:val="16"/>
                <w:rFonts w:ascii="Calibri" w:hAnsi="Calibri" w:eastAsia="Calibri" w:cs="Calibri"/>
                <w:sz w:val="18"/>
                <w:szCs w:val="18"/>
              </w:rPr>
              <w:fldChar w:fldCharType="end"/>
            </w:r>
          </w:p>
        </w:tc>
      </w:tr>
      <w:tr w14:paraId="41A672B4">
        <w:tc>
          <w:tcPr>
            <w:tcW w:w="500" w:type="dxa"/>
            <w:tcMar>
              <w:top w:w="80" w:type="dxa"/>
              <w:left w:w="80" w:type="dxa"/>
              <w:bottom w:w="80" w:type="dxa"/>
              <w:right w:w="80" w:type="dxa"/>
            </w:tcMar>
            <w:vAlign w:val="center"/>
          </w:tcPr>
          <w:p w14:paraId="3684A1E3">
            <w:r>
              <w:rPr>
                <w:rFonts w:ascii="Calibri" w:hAnsi="Calibri" w:eastAsia="Calibri" w:cs="Calibri"/>
                <w:sz w:val="17"/>
                <w:szCs w:val="17"/>
              </w:rPr>
              <w:t>5</w:t>
            </w:r>
          </w:p>
        </w:tc>
        <w:tc>
          <w:tcPr>
            <w:tcW w:w="1900" w:type="dxa"/>
            <w:tcMar>
              <w:top w:w="80" w:type="dxa"/>
              <w:left w:w="80" w:type="dxa"/>
              <w:bottom w:w="80" w:type="dxa"/>
              <w:right w:w="80" w:type="dxa"/>
            </w:tcMar>
            <w:vAlign w:val="center"/>
          </w:tcPr>
          <w:p w14:paraId="5ECEB48D">
            <w:r>
              <w:rPr>
                <w:rFonts w:ascii="Calibri" w:hAnsi="Calibri" w:eastAsia="Calibri" w:cs="Calibri"/>
                <w:sz w:val="17"/>
                <w:szCs w:val="17"/>
              </w:rPr>
              <w:t>DailyDialog: A Manually Labelled Multi-turn Dialogue Dataset (Li et al., 2017)</w:t>
            </w:r>
          </w:p>
        </w:tc>
        <w:tc>
          <w:tcPr>
            <w:tcW w:w="1500" w:type="dxa"/>
            <w:tcMar>
              <w:top w:w="80" w:type="dxa"/>
              <w:left w:w="80" w:type="dxa"/>
              <w:bottom w:w="80" w:type="dxa"/>
              <w:right w:w="80" w:type="dxa"/>
            </w:tcMar>
            <w:vAlign w:val="center"/>
          </w:tcPr>
          <w:p w14:paraId="45F10689">
            <w:r>
              <w:rPr>
                <w:rFonts w:ascii="Calibri" w:hAnsi="Calibri" w:eastAsia="Calibri" w:cs="Calibri"/>
                <w:sz w:val="17"/>
                <w:szCs w:val="17"/>
              </w:rPr>
              <w:t>N/A (dataset paper; baseline seq2seq dialogue models evaluated)</w:t>
            </w:r>
          </w:p>
        </w:tc>
        <w:tc>
          <w:tcPr>
            <w:tcW w:w="1900" w:type="dxa"/>
            <w:tcMar>
              <w:top w:w="80" w:type="dxa"/>
              <w:left w:w="80" w:type="dxa"/>
              <w:bottom w:w="80" w:type="dxa"/>
              <w:right w:w="80" w:type="dxa"/>
            </w:tcMar>
            <w:vAlign w:val="center"/>
          </w:tcPr>
          <w:p w14:paraId="13DC6FB0">
            <w:r>
              <w:rPr>
                <w:rFonts w:ascii="Calibri" w:hAnsi="Calibri" w:eastAsia="Calibri" w:cs="Calibri"/>
                <w:sz w:val="17"/>
                <w:szCs w:val="17"/>
              </w:rPr>
              <w:t>Human-annotated multi-turn dialogue dataset with emotion and dialogue-act labels (7 emotion classes)</w:t>
            </w:r>
          </w:p>
        </w:tc>
        <w:tc>
          <w:tcPr>
            <w:tcW w:w="1900" w:type="dxa"/>
            <w:tcMar>
              <w:top w:w="80" w:type="dxa"/>
              <w:left w:w="80" w:type="dxa"/>
              <w:bottom w:w="80" w:type="dxa"/>
              <w:right w:w="80" w:type="dxa"/>
            </w:tcMar>
            <w:vAlign w:val="center"/>
          </w:tcPr>
          <w:p w14:paraId="02B94927">
            <w:r>
              <w:rPr>
                <w:rFonts w:ascii="Calibri" w:hAnsi="Calibri" w:eastAsia="Calibri" w:cs="Calibri"/>
                <w:sz w:val="17"/>
                <w:szCs w:val="17"/>
              </w:rPr>
              <w:t>Small emotion label set; skewed heavily toward “no emotion” class; dialogue domain differs from review/feedback text</w:t>
            </w:r>
          </w:p>
        </w:tc>
        <w:tc>
          <w:tcPr>
            <w:tcW w:w="1000" w:type="dxa"/>
            <w:tcMar>
              <w:top w:w="80" w:type="dxa"/>
              <w:left w:w="80" w:type="dxa"/>
              <w:bottom w:w="80" w:type="dxa"/>
              <w:right w:w="80" w:type="dxa"/>
            </w:tcMar>
            <w:vAlign w:val="center"/>
          </w:tcPr>
          <w:p w14:paraId="6F31E33B">
            <w:r>
              <w:rPr>
                <w:rFonts w:ascii="Calibri" w:hAnsi="Calibri" w:eastAsia="Calibri" w:cs="Calibri"/>
                <w:sz w:val="17"/>
                <w:szCs w:val="17"/>
              </w:rPr>
              <w:t>DailyDialog</w:t>
            </w:r>
          </w:p>
        </w:tc>
        <w:tc>
          <w:tcPr>
            <w:tcW w:w="660" w:type="dxa"/>
            <w:tcMar>
              <w:top w:w="80" w:type="dxa"/>
              <w:left w:w="80" w:type="dxa"/>
              <w:bottom w:w="80" w:type="dxa"/>
              <w:right w:w="80" w:type="dxa"/>
            </w:tcMar>
            <w:vAlign w:val="center"/>
          </w:tcPr>
          <w:p w14:paraId="27FBE866">
            <w:r>
              <w:fldChar w:fldCharType="begin"/>
            </w:r>
            <w:r>
              <w:instrText xml:space="preserve"> HYPERLINK "https://arxiv.org/abs/1710.03957" </w:instrText>
            </w:r>
            <w:r>
              <w:fldChar w:fldCharType="separate"/>
            </w:r>
            <w:r>
              <w:rPr>
                <w:rStyle w:val="16"/>
                <w:rFonts w:ascii="Calibri" w:hAnsi="Calibri" w:eastAsia="Calibri" w:cs="Calibri"/>
                <w:sz w:val="18"/>
                <w:szCs w:val="18"/>
              </w:rPr>
              <w:t>[5]</w:t>
            </w:r>
            <w:r>
              <w:rPr>
                <w:rStyle w:val="16"/>
                <w:rFonts w:ascii="Calibri" w:hAnsi="Calibri" w:eastAsia="Calibri" w:cs="Calibri"/>
                <w:sz w:val="18"/>
                <w:szCs w:val="18"/>
              </w:rPr>
              <w:fldChar w:fldCharType="end"/>
            </w:r>
          </w:p>
        </w:tc>
      </w:tr>
      <w:tr w14:paraId="44757ACE">
        <w:tc>
          <w:tcPr>
            <w:tcW w:w="500" w:type="dxa"/>
            <w:tcMar>
              <w:top w:w="80" w:type="dxa"/>
              <w:left w:w="80" w:type="dxa"/>
              <w:bottom w:w="80" w:type="dxa"/>
              <w:right w:w="80" w:type="dxa"/>
            </w:tcMar>
            <w:vAlign w:val="center"/>
          </w:tcPr>
          <w:p w14:paraId="4CA55E61">
            <w:r>
              <w:rPr>
                <w:rFonts w:ascii="Calibri" w:hAnsi="Calibri" w:eastAsia="Calibri" w:cs="Calibri"/>
                <w:sz w:val="17"/>
                <w:szCs w:val="17"/>
              </w:rPr>
              <w:t>6</w:t>
            </w:r>
          </w:p>
        </w:tc>
        <w:tc>
          <w:tcPr>
            <w:tcW w:w="1900" w:type="dxa"/>
            <w:tcMar>
              <w:top w:w="80" w:type="dxa"/>
              <w:left w:w="80" w:type="dxa"/>
              <w:bottom w:w="80" w:type="dxa"/>
              <w:right w:w="80" w:type="dxa"/>
            </w:tcMar>
            <w:vAlign w:val="center"/>
          </w:tcPr>
          <w:p w14:paraId="798A93E8">
            <w:r>
              <w:rPr>
                <w:rFonts w:ascii="Calibri" w:hAnsi="Calibri" w:eastAsia="Calibri" w:cs="Calibri"/>
                <w:sz w:val="17"/>
                <w:szCs w:val="17"/>
              </w:rPr>
              <w:t>A Unified Approach to Interpreting Model Predictions (Lundberg &amp; Lee, 2017)</w:t>
            </w:r>
          </w:p>
        </w:tc>
        <w:tc>
          <w:tcPr>
            <w:tcW w:w="1500" w:type="dxa"/>
            <w:tcMar>
              <w:top w:w="80" w:type="dxa"/>
              <w:left w:w="80" w:type="dxa"/>
              <w:bottom w:w="80" w:type="dxa"/>
              <w:right w:w="80" w:type="dxa"/>
            </w:tcMar>
            <w:vAlign w:val="center"/>
          </w:tcPr>
          <w:p w14:paraId="4264BA2D">
            <w:r>
              <w:rPr>
                <w:rFonts w:ascii="Calibri" w:hAnsi="Calibri" w:eastAsia="Calibri" w:cs="Calibri"/>
                <w:sz w:val="17"/>
                <w:szCs w:val="17"/>
              </w:rPr>
              <w:t>SHAP (Shapley Additive exPlanations)</w:t>
            </w:r>
          </w:p>
        </w:tc>
        <w:tc>
          <w:tcPr>
            <w:tcW w:w="1900" w:type="dxa"/>
            <w:tcMar>
              <w:top w:w="80" w:type="dxa"/>
              <w:left w:w="80" w:type="dxa"/>
              <w:bottom w:w="80" w:type="dxa"/>
              <w:right w:w="80" w:type="dxa"/>
            </w:tcMar>
            <w:vAlign w:val="center"/>
          </w:tcPr>
          <w:p w14:paraId="5244B16E">
            <w:r>
              <w:rPr>
                <w:rFonts w:ascii="Calibri" w:hAnsi="Calibri" w:eastAsia="Calibri" w:cs="Calibri"/>
                <w:sz w:val="17"/>
                <w:szCs w:val="17"/>
              </w:rPr>
              <w:t>Unified game-theoretic framework for feature attribution, consistent and locally accurate explanations across model types</w:t>
            </w:r>
          </w:p>
        </w:tc>
        <w:tc>
          <w:tcPr>
            <w:tcW w:w="1900" w:type="dxa"/>
            <w:tcMar>
              <w:top w:w="80" w:type="dxa"/>
              <w:left w:w="80" w:type="dxa"/>
              <w:bottom w:w="80" w:type="dxa"/>
              <w:right w:w="80" w:type="dxa"/>
            </w:tcMar>
            <w:vAlign w:val="center"/>
          </w:tcPr>
          <w:p w14:paraId="3948C6C9">
            <w:r>
              <w:rPr>
                <w:rFonts w:ascii="Calibri" w:hAnsi="Calibri" w:eastAsia="Calibri" w:cs="Calibri"/>
                <w:sz w:val="17"/>
                <w:szCs w:val="17"/>
              </w:rPr>
              <w:t>Computationally expensive for large models/long sequences (exact Shapley values are exponential; approximations needed); explanations can be unstable under correlated features</w:t>
            </w:r>
          </w:p>
        </w:tc>
        <w:tc>
          <w:tcPr>
            <w:tcW w:w="1000" w:type="dxa"/>
            <w:tcMar>
              <w:top w:w="80" w:type="dxa"/>
              <w:left w:w="80" w:type="dxa"/>
              <w:bottom w:w="80" w:type="dxa"/>
              <w:right w:w="80" w:type="dxa"/>
            </w:tcMar>
            <w:vAlign w:val="center"/>
          </w:tcPr>
          <w:p w14:paraId="2BCD5D68">
            <w:r>
              <w:rPr>
                <w:rFonts w:ascii="Calibri" w:hAnsi="Calibri" w:eastAsia="Calibri" w:cs="Calibri"/>
                <w:sz w:val="17"/>
                <w:szCs w:val="17"/>
              </w:rPr>
              <w:t>Multiple benchmark datasets (model-agnostic method paper)</w:t>
            </w:r>
          </w:p>
        </w:tc>
        <w:tc>
          <w:tcPr>
            <w:tcW w:w="660" w:type="dxa"/>
            <w:tcMar>
              <w:top w:w="80" w:type="dxa"/>
              <w:left w:w="80" w:type="dxa"/>
              <w:bottom w:w="80" w:type="dxa"/>
              <w:right w:w="80" w:type="dxa"/>
            </w:tcMar>
            <w:vAlign w:val="center"/>
          </w:tcPr>
          <w:p w14:paraId="2822CF99">
            <w:r>
              <w:fldChar w:fldCharType="begin"/>
            </w:r>
            <w:r>
              <w:instrText xml:space="preserve"> HYPERLINK "https://arxiv.org/abs/1705.07874" </w:instrText>
            </w:r>
            <w:r>
              <w:fldChar w:fldCharType="separate"/>
            </w:r>
            <w:r>
              <w:rPr>
                <w:rStyle w:val="16"/>
                <w:rFonts w:ascii="Calibri" w:hAnsi="Calibri" w:eastAsia="Calibri" w:cs="Calibri"/>
                <w:sz w:val="18"/>
                <w:szCs w:val="18"/>
              </w:rPr>
              <w:t>[6]</w:t>
            </w:r>
            <w:r>
              <w:rPr>
                <w:rStyle w:val="16"/>
                <w:rFonts w:ascii="Calibri" w:hAnsi="Calibri" w:eastAsia="Calibri" w:cs="Calibri"/>
                <w:sz w:val="18"/>
                <w:szCs w:val="18"/>
              </w:rPr>
              <w:fldChar w:fldCharType="end"/>
            </w:r>
          </w:p>
        </w:tc>
      </w:tr>
      <w:tr w14:paraId="7817CEB7">
        <w:tc>
          <w:tcPr>
            <w:tcW w:w="500" w:type="dxa"/>
            <w:tcMar>
              <w:top w:w="80" w:type="dxa"/>
              <w:left w:w="80" w:type="dxa"/>
              <w:bottom w:w="80" w:type="dxa"/>
              <w:right w:w="80" w:type="dxa"/>
            </w:tcMar>
            <w:vAlign w:val="center"/>
          </w:tcPr>
          <w:p w14:paraId="7F4EAF20">
            <w:r>
              <w:rPr>
                <w:rFonts w:ascii="Calibri" w:hAnsi="Calibri" w:eastAsia="Calibri" w:cs="Calibri"/>
                <w:sz w:val="17"/>
                <w:szCs w:val="17"/>
              </w:rPr>
              <w:t>7</w:t>
            </w:r>
          </w:p>
        </w:tc>
        <w:tc>
          <w:tcPr>
            <w:tcW w:w="1900" w:type="dxa"/>
            <w:tcMar>
              <w:top w:w="80" w:type="dxa"/>
              <w:left w:w="80" w:type="dxa"/>
              <w:bottom w:w="80" w:type="dxa"/>
              <w:right w:w="80" w:type="dxa"/>
            </w:tcMar>
            <w:vAlign w:val="center"/>
          </w:tcPr>
          <w:p w14:paraId="007222F9">
            <w:r>
              <w:rPr>
                <w:rFonts w:ascii="Calibri" w:hAnsi="Calibri" w:eastAsia="Calibri" w:cs="Calibri"/>
                <w:sz w:val="17"/>
                <w:szCs w:val="17"/>
              </w:rPr>
              <w:t>“Why Should I Trust You?”: Explaining the Predictions of Any Classifier (Ribeiro et al., 2016)</w:t>
            </w:r>
          </w:p>
        </w:tc>
        <w:tc>
          <w:tcPr>
            <w:tcW w:w="1500" w:type="dxa"/>
            <w:tcMar>
              <w:top w:w="80" w:type="dxa"/>
              <w:left w:w="80" w:type="dxa"/>
              <w:bottom w:w="80" w:type="dxa"/>
              <w:right w:w="80" w:type="dxa"/>
            </w:tcMar>
            <w:vAlign w:val="center"/>
          </w:tcPr>
          <w:p w14:paraId="46682B9D">
            <w:r>
              <w:rPr>
                <w:rFonts w:ascii="Calibri" w:hAnsi="Calibri" w:eastAsia="Calibri" w:cs="Calibri"/>
                <w:sz w:val="17"/>
                <w:szCs w:val="17"/>
              </w:rPr>
              <w:t>LIME (Local Interpretable Model-Agnostic Explanations)</w:t>
            </w:r>
          </w:p>
        </w:tc>
        <w:tc>
          <w:tcPr>
            <w:tcW w:w="1900" w:type="dxa"/>
            <w:tcMar>
              <w:top w:w="80" w:type="dxa"/>
              <w:left w:w="80" w:type="dxa"/>
              <w:bottom w:w="80" w:type="dxa"/>
              <w:right w:w="80" w:type="dxa"/>
            </w:tcMar>
            <w:vAlign w:val="center"/>
          </w:tcPr>
          <w:p w14:paraId="3E26ED79">
            <w:r>
              <w:rPr>
                <w:rFonts w:ascii="Calibri" w:hAnsi="Calibri" w:eastAsia="Calibri" w:cs="Calibri"/>
                <w:sz w:val="17"/>
                <w:szCs w:val="17"/>
              </w:rPr>
              <w:t>Local surrogate-model explanations for any black-box classifier, human-trust improvements shown in user studies</w:t>
            </w:r>
          </w:p>
        </w:tc>
        <w:tc>
          <w:tcPr>
            <w:tcW w:w="1900" w:type="dxa"/>
            <w:tcMar>
              <w:top w:w="80" w:type="dxa"/>
              <w:left w:w="80" w:type="dxa"/>
              <w:bottom w:w="80" w:type="dxa"/>
              <w:right w:w="80" w:type="dxa"/>
            </w:tcMar>
            <w:vAlign w:val="center"/>
          </w:tcPr>
          <w:p w14:paraId="37EB3AB4">
            <w:r>
              <w:rPr>
                <w:rFonts w:ascii="Calibri" w:hAnsi="Calibri" w:eastAsia="Calibri" w:cs="Calibri"/>
                <w:sz w:val="17"/>
                <w:szCs w:val="17"/>
              </w:rPr>
              <w:t>Explanations are local approximations only (can be unfaithful to global model behavior); sensitive to perturbation sampling choices</w:t>
            </w:r>
          </w:p>
        </w:tc>
        <w:tc>
          <w:tcPr>
            <w:tcW w:w="1000" w:type="dxa"/>
            <w:tcMar>
              <w:top w:w="80" w:type="dxa"/>
              <w:left w:w="80" w:type="dxa"/>
              <w:bottom w:w="80" w:type="dxa"/>
              <w:right w:w="80" w:type="dxa"/>
            </w:tcMar>
            <w:vAlign w:val="center"/>
          </w:tcPr>
          <w:p w14:paraId="0B0B022B">
            <w:r>
              <w:rPr>
                <w:rFonts w:ascii="Calibri" w:hAnsi="Calibri" w:eastAsia="Calibri" w:cs="Calibri"/>
                <w:sz w:val="17"/>
                <w:szCs w:val="17"/>
              </w:rPr>
              <w:t>Text and image classification benchmarks</w:t>
            </w:r>
          </w:p>
        </w:tc>
        <w:tc>
          <w:tcPr>
            <w:tcW w:w="660" w:type="dxa"/>
            <w:tcMar>
              <w:top w:w="80" w:type="dxa"/>
              <w:left w:w="80" w:type="dxa"/>
              <w:bottom w:w="80" w:type="dxa"/>
              <w:right w:w="80" w:type="dxa"/>
            </w:tcMar>
            <w:vAlign w:val="center"/>
          </w:tcPr>
          <w:p w14:paraId="66800C6F">
            <w:r>
              <w:fldChar w:fldCharType="begin"/>
            </w:r>
            <w:r>
              <w:instrText xml:space="preserve"> HYPERLINK "https://arxiv.org/abs/1602.04938" </w:instrText>
            </w:r>
            <w:r>
              <w:fldChar w:fldCharType="separate"/>
            </w:r>
            <w:r>
              <w:rPr>
                <w:rStyle w:val="16"/>
                <w:rFonts w:ascii="Calibri" w:hAnsi="Calibri" w:eastAsia="Calibri" w:cs="Calibri"/>
                <w:sz w:val="18"/>
                <w:szCs w:val="18"/>
              </w:rPr>
              <w:t>[7]</w:t>
            </w:r>
            <w:r>
              <w:rPr>
                <w:rStyle w:val="16"/>
                <w:rFonts w:ascii="Calibri" w:hAnsi="Calibri" w:eastAsia="Calibri" w:cs="Calibri"/>
                <w:sz w:val="18"/>
                <w:szCs w:val="18"/>
              </w:rPr>
              <w:fldChar w:fldCharType="end"/>
            </w:r>
          </w:p>
        </w:tc>
      </w:tr>
      <w:tr w14:paraId="7105A34E">
        <w:tc>
          <w:tcPr>
            <w:tcW w:w="500" w:type="dxa"/>
            <w:tcMar>
              <w:top w:w="80" w:type="dxa"/>
              <w:left w:w="80" w:type="dxa"/>
              <w:bottom w:w="80" w:type="dxa"/>
              <w:right w:w="80" w:type="dxa"/>
            </w:tcMar>
            <w:vAlign w:val="center"/>
          </w:tcPr>
          <w:p w14:paraId="753AD48C">
            <w:r>
              <w:rPr>
                <w:rFonts w:ascii="Calibri" w:hAnsi="Calibri" w:eastAsia="Calibri" w:cs="Calibri"/>
                <w:sz w:val="17"/>
                <w:szCs w:val="17"/>
              </w:rPr>
              <w:t>8</w:t>
            </w:r>
          </w:p>
        </w:tc>
        <w:tc>
          <w:tcPr>
            <w:tcW w:w="1900" w:type="dxa"/>
            <w:tcMar>
              <w:top w:w="80" w:type="dxa"/>
              <w:left w:w="80" w:type="dxa"/>
              <w:bottom w:w="80" w:type="dxa"/>
              <w:right w:w="80" w:type="dxa"/>
            </w:tcMar>
            <w:vAlign w:val="center"/>
          </w:tcPr>
          <w:p w14:paraId="61019CC0">
            <w:r>
              <w:rPr>
                <w:rFonts w:ascii="Calibri" w:hAnsi="Calibri" w:eastAsia="Calibri" w:cs="Calibri"/>
                <w:sz w:val="17"/>
                <w:szCs w:val="17"/>
              </w:rPr>
              <w:t>Transformer Models for Text-Based Emotion Detection: A Review of BERT-Based Approaches (Acheampong et al., 2021)</w:t>
            </w:r>
          </w:p>
        </w:tc>
        <w:tc>
          <w:tcPr>
            <w:tcW w:w="1500" w:type="dxa"/>
            <w:tcMar>
              <w:top w:w="80" w:type="dxa"/>
              <w:left w:w="80" w:type="dxa"/>
              <w:bottom w:w="80" w:type="dxa"/>
              <w:right w:w="80" w:type="dxa"/>
            </w:tcMar>
            <w:vAlign w:val="center"/>
          </w:tcPr>
          <w:p w14:paraId="75FF2361">
            <w:r>
              <w:rPr>
                <w:rFonts w:ascii="Calibri" w:hAnsi="Calibri" w:eastAsia="Calibri" w:cs="Calibri"/>
                <w:sz w:val="17"/>
                <w:szCs w:val="17"/>
              </w:rPr>
              <w:t>Survey covering BERT, RoBERTa, XLNet, ALBERT, DistilBERT for emotion detection</w:t>
            </w:r>
          </w:p>
        </w:tc>
        <w:tc>
          <w:tcPr>
            <w:tcW w:w="1900" w:type="dxa"/>
            <w:tcMar>
              <w:top w:w="80" w:type="dxa"/>
              <w:left w:w="80" w:type="dxa"/>
              <w:bottom w:w="80" w:type="dxa"/>
              <w:right w:w="80" w:type="dxa"/>
            </w:tcMar>
            <w:vAlign w:val="center"/>
          </w:tcPr>
          <w:p w14:paraId="48C004B6">
            <w:r>
              <w:rPr>
                <w:rFonts w:ascii="Calibri" w:hAnsi="Calibri" w:eastAsia="Calibri" w:cs="Calibri"/>
                <w:sz w:val="17"/>
                <w:szCs w:val="17"/>
              </w:rPr>
              <w:t>Systematic comparison of transformer architectures on emotion classification tasks, identifies best-performing configurations and open challenges</w:t>
            </w:r>
          </w:p>
        </w:tc>
        <w:tc>
          <w:tcPr>
            <w:tcW w:w="1900" w:type="dxa"/>
            <w:tcMar>
              <w:top w:w="80" w:type="dxa"/>
              <w:left w:w="80" w:type="dxa"/>
              <w:bottom w:w="80" w:type="dxa"/>
              <w:right w:w="80" w:type="dxa"/>
            </w:tcMar>
            <w:vAlign w:val="center"/>
          </w:tcPr>
          <w:p w14:paraId="3F9E70FD">
            <w:r>
              <w:rPr>
                <w:rFonts w:ascii="Calibri" w:hAnsi="Calibri" w:eastAsia="Calibri" w:cs="Calibri"/>
                <w:sz w:val="17"/>
                <w:szCs w:val="17"/>
              </w:rPr>
              <w:t>Notes persistent problems: class imbalance in emotion datasets, poor cross-domain transfer, minimal interpretability in surveyed systems</w:t>
            </w:r>
          </w:p>
        </w:tc>
        <w:tc>
          <w:tcPr>
            <w:tcW w:w="1000" w:type="dxa"/>
            <w:tcMar>
              <w:top w:w="80" w:type="dxa"/>
              <w:left w:w="80" w:type="dxa"/>
              <w:bottom w:w="80" w:type="dxa"/>
              <w:right w:w="80" w:type="dxa"/>
            </w:tcMar>
            <w:vAlign w:val="center"/>
          </w:tcPr>
          <w:p w14:paraId="1200803F">
            <w:r>
              <w:rPr>
                <w:rFonts w:ascii="Calibri" w:hAnsi="Calibri" w:eastAsia="Calibri" w:cs="Calibri"/>
                <w:sz w:val="17"/>
                <w:szCs w:val="17"/>
              </w:rPr>
              <w:t>Survey (covers GoEmotions, ISEAR, SemEval, EmoContext, etc.)</w:t>
            </w:r>
          </w:p>
        </w:tc>
        <w:tc>
          <w:tcPr>
            <w:tcW w:w="660" w:type="dxa"/>
            <w:tcMar>
              <w:top w:w="80" w:type="dxa"/>
              <w:left w:w="80" w:type="dxa"/>
              <w:bottom w:w="80" w:type="dxa"/>
              <w:right w:w="80" w:type="dxa"/>
            </w:tcMar>
            <w:vAlign w:val="center"/>
          </w:tcPr>
          <w:p w14:paraId="678F381A">
            <w:r>
              <w:fldChar w:fldCharType="begin"/>
            </w:r>
            <w:r>
              <w:instrText xml:space="preserve"> HYPERLINK "https://link.springer.com/article/10.1007/s10462-021-09958-2" </w:instrText>
            </w:r>
            <w:r>
              <w:fldChar w:fldCharType="separate"/>
            </w:r>
            <w:r>
              <w:rPr>
                <w:rStyle w:val="16"/>
                <w:rFonts w:ascii="Calibri" w:hAnsi="Calibri" w:eastAsia="Calibri" w:cs="Calibri"/>
                <w:sz w:val="18"/>
                <w:szCs w:val="18"/>
              </w:rPr>
              <w:t>[8]</w:t>
            </w:r>
            <w:r>
              <w:rPr>
                <w:rStyle w:val="16"/>
                <w:rFonts w:ascii="Calibri" w:hAnsi="Calibri" w:eastAsia="Calibri" w:cs="Calibri"/>
                <w:sz w:val="18"/>
                <w:szCs w:val="18"/>
              </w:rPr>
              <w:fldChar w:fldCharType="end"/>
            </w:r>
          </w:p>
        </w:tc>
      </w:tr>
      <w:tr w14:paraId="29A50CA3">
        <w:tc>
          <w:tcPr>
            <w:tcW w:w="500" w:type="dxa"/>
            <w:tcMar>
              <w:top w:w="80" w:type="dxa"/>
              <w:left w:w="80" w:type="dxa"/>
              <w:bottom w:w="80" w:type="dxa"/>
              <w:right w:w="80" w:type="dxa"/>
            </w:tcMar>
            <w:vAlign w:val="center"/>
          </w:tcPr>
          <w:p w14:paraId="73EDE329">
            <w:r>
              <w:rPr>
                <w:rFonts w:ascii="Calibri" w:hAnsi="Calibri" w:eastAsia="Calibri" w:cs="Calibri"/>
                <w:sz w:val="17"/>
                <w:szCs w:val="17"/>
              </w:rPr>
              <w:t>9</w:t>
            </w:r>
          </w:p>
        </w:tc>
        <w:tc>
          <w:tcPr>
            <w:tcW w:w="1900" w:type="dxa"/>
            <w:tcMar>
              <w:top w:w="80" w:type="dxa"/>
              <w:left w:w="80" w:type="dxa"/>
              <w:bottom w:w="80" w:type="dxa"/>
              <w:right w:w="80" w:type="dxa"/>
            </w:tcMar>
            <w:vAlign w:val="center"/>
          </w:tcPr>
          <w:p w14:paraId="5B2052AE">
            <w:r>
              <w:rPr>
                <w:rFonts w:ascii="Calibri" w:hAnsi="Calibri" w:eastAsia="Calibri" w:cs="Calibri"/>
                <w:sz w:val="17"/>
                <w:szCs w:val="17"/>
              </w:rPr>
              <w:t>XLNet: Generalized Autoregressive Pretraining for Language Understanding (Yang et al., 2019)</w:t>
            </w:r>
          </w:p>
        </w:tc>
        <w:tc>
          <w:tcPr>
            <w:tcW w:w="1500" w:type="dxa"/>
            <w:tcMar>
              <w:top w:w="80" w:type="dxa"/>
              <w:left w:w="80" w:type="dxa"/>
              <w:bottom w:w="80" w:type="dxa"/>
              <w:right w:w="80" w:type="dxa"/>
            </w:tcMar>
            <w:vAlign w:val="center"/>
          </w:tcPr>
          <w:p w14:paraId="54B935A5">
            <w:r>
              <w:rPr>
                <w:rFonts w:ascii="Calibri" w:hAnsi="Calibri" w:eastAsia="Calibri" w:cs="Calibri"/>
                <w:sz w:val="17"/>
                <w:szCs w:val="17"/>
              </w:rPr>
              <w:t>XLNet (permutation language modeling, autoregressive + bidirectional context)</w:t>
            </w:r>
          </w:p>
        </w:tc>
        <w:tc>
          <w:tcPr>
            <w:tcW w:w="1900" w:type="dxa"/>
            <w:tcMar>
              <w:top w:w="80" w:type="dxa"/>
              <w:left w:w="80" w:type="dxa"/>
              <w:bottom w:w="80" w:type="dxa"/>
              <w:right w:w="80" w:type="dxa"/>
            </w:tcMar>
            <w:vAlign w:val="center"/>
          </w:tcPr>
          <w:p w14:paraId="683B971A">
            <w:r>
              <w:rPr>
                <w:rFonts w:ascii="Calibri" w:hAnsi="Calibri" w:eastAsia="Calibri" w:cs="Calibri"/>
                <w:sz w:val="17"/>
                <w:szCs w:val="17"/>
              </w:rPr>
              <w:t>Outperforms BERT on 20 NLP tasks by avoiding pretrain-finetune discrepancy from masking</w:t>
            </w:r>
          </w:p>
        </w:tc>
        <w:tc>
          <w:tcPr>
            <w:tcW w:w="1900" w:type="dxa"/>
            <w:tcMar>
              <w:top w:w="80" w:type="dxa"/>
              <w:left w:w="80" w:type="dxa"/>
              <w:bottom w:w="80" w:type="dxa"/>
              <w:right w:w="80" w:type="dxa"/>
            </w:tcMar>
            <w:vAlign w:val="center"/>
          </w:tcPr>
          <w:p w14:paraId="568297BD">
            <w:r>
              <w:rPr>
                <w:rFonts w:ascii="Calibri" w:hAnsi="Calibri" w:eastAsia="Calibri" w:cs="Calibri"/>
                <w:sz w:val="17"/>
                <w:szCs w:val="17"/>
              </w:rPr>
              <w:t>Significantly higher pretraining compute cost than BERT/RoBERTa; more complex implementation (two-stream attention)</w:t>
            </w:r>
          </w:p>
        </w:tc>
        <w:tc>
          <w:tcPr>
            <w:tcW w:w="1000" w:type="dxa"/>
            <w:tcMar>
              <w:top w:w="80" w:type="dxa"/>
              <w:left w:w="80" w:type="dxa"/>
              <w:bottom w:w="80" w:type="dxa"/>
              <w:right w:w="80" w:type="dxa"/>
            </w:tcMar>
            <w:vAlign w:val="center"/>
          </w:tcPr>
          <w:p w14:paraId="7F32A4A5">
            <w:r>
              <w:rPr>
                <w:rFonts w:ascii="Calibri" w:hAnsi="Calibri" w:eastAsia="Calibri" w:cs="Calibri"/>
                <w:sz w:val="17"/>
                <w:szCs w:val="17"/>
              </w:rPr>
              <w:t>BooksCorpus, Wikipedia, Giga5, ClueWeb, Common Crawl</w:t>
            </w:r>
          </w:p>
        </w:tc>
        <w:tc>
          <w:tcPr>
            <w:tcW w:w="660" w:type="dxa"/>
            <w:tcMar>
              <w:top w:w="80" w:type="dxa"/>
              <w:left w:w="80" w:type="dxa"/>
              <w:bottom w:w="80" w:type="dxa"/>
              <w:right w:w="80" w:type="dxa"/>
            </w:tcMar>
            <w:vAlign w:val="center"/>
          </w:tcPr>
          <w:p w14:paraId="7D3210B9">
            <w:r>
              <w:fldChar w:fldCharType="begin"/>
            </w:r>
            <w:r>
              <w:instrText xml:space="preserve"> HYPERLINK "https://arxiv.org/abs/1906.08237" </w:instrText>
            </w:r>
            <w:r>
              <w:fldChar w:fldCharType="separate"/>
            </w:r>
            <w:r>
              <w:rPr>
                <w:rStyle w:val="16"/>
                <w:rFonts w:ascii="Calibri" w:hAnsi="Calibri" w:eastAsia="Calibri" w:cs="Calibri"/>
                <w:sz w:val="18"/>
                <w:szCs w:val="18"/>
              </w:rPr>
              <w:t>[9]</w:t>
            </w:r>
            <w:r>
              <w:rPr>
                <w:rStyle w:val="16"/>
                <w:rFonts w:ascii="Calibri" w:hAnsi="Calibri" w:eastAsia="Calibri" w:cs="Calibri"/>
                <w:sz w:val="18"/>
                <w:szCs w:val="18"/>
              </w:rPr>
              <w:fldChar w:fldCharType="end"/>
            </w:r>
          </w:p>
        </w:tc>
      </w:tr>
      <w:tr w14:paraId="7752F01C">
        <w:tc>
          <w:tcPr>
            <w:tcW w:w="500" w:type="dxa"/>
            <w:tcMar>
              <w:top w:w="80" w:type="dxa"/>
              <w:left w:w="80" w:type="dxa"/>
              <w:bottom w:w="80" w:type="dxa"/>
              <w:right w:w="80" w:type="dxa"/>
            </w:tcMar>
            <w:vAlign w:val="center"/>
          </w:tcPr>
          <w:p w14:paraId="13718108">
            <w:r>
              <w:rPr>
                <w:rFonts w:ascii="Calibri" w:hAnsi="Calibri" w:eastAsia="Calibri" w:cs="Calibri"/>
                <w:sz w:val="17"/>
                <w:szCs w:val="17"/>
              </w:rPr>
              <w:t>10</w:t>
            </w:r>
          </w:p>
        </w:tc>
        <w:tc>
          <w:tcPr>
            <w:tcW w:w="1900" w:type="dxa"/>
            <w:tcMar>
              <w:top w:w="80" w:type="dxa"/>
              <w:left w:w="80" w:type="dxa"/>
              <w:bottom w:w="80" w:type="dxa"/>
              <w:right w:w="80" w:type="dxa"/>
            </w:tcMar>
            <w:vAlign w:val="center"/>
          </w:tcPr>
          <w:p w14:paraId="3A337058">
            <w:r>
              <w:rPr>
                <w:rFonts w:ascii="Calibri" w:hAnsi="Calibri" w:eastAsia="Calibri" w:cs="Calibri"/>
                <w:sz w:val="17"/>
                <w:szCs w:val="17"/>
              </w:rPr>
              <w:t>DistilBERT, a Distilled Version of BERT: Smaller, Faster, Cheaper and Lighter (Sanh et al., 2019)</w:t>
            </w:r>
          </w:p>
        </w:tc>
        <w:tc>
          <w:tcPr>
            <w:tcW w:w="1500" w:type="dxa"/>
            <w:tcMar>
              <w:top w:w="80" w:type="dxa"/>
              <w:left w:w="80" w:type="dxa"/>
              <w:bottom w:w="80" w:type="dxa"/>
              <w:right w:w="80" w:type="dxa"/>
            </w:tcMar>
            <w:vAlign w:val="center"/>
          </w:tcPr>
          <w:p w14:paraId="76E50935">
            <w:r>
              <w:rPr>
                <w:rFonts w:ascii="Calibri" w:hAnsi="Calibri" w:eastAsia="Calibri" w:cs="Calibri"/>
                <w:sz w:val="17"/>
                <w:szCs w:val="17"/>
              </w:rPr>
              <w:t>DistilBERT (knowledge distillation of BERT)</w:t>
            </w:r>
          </w:p>
        </w:tc>
        <w:tc>
          <w:tcPr>
            <w:tcW w:w="1900" w:type="dxa"/>
            <w:tcMar>
              <w:top w:w="80" w:type="dxa"/>
              <w:left w:w="80" w:type="dxa"/>
              <w:bottom w:w="80" w:type="dxa"/>
              <w:right w:w="80" w:type="dxa"/>
            </w:tcMar>
            <w:vAlign w:val="center"/>
          </w:tcPr>
          <w:p w14:paraId="5C08A08A">
            <w:r>
              <w:rPr>
                <w:rFonts w:ascii="Calibri" w:hAnsi="Calibri" w:eastAsia="Calibri" w:cs="Calibri"/>
                <w:sz w:val="17"/>
                <w:szCs w:val="17"/>
              </w:rPr>
              <w:t>40% smaller, 60% faster than BERT while retaining ~97% of language understanding performance</w:t>
            </w:r>
          </w:p>
        </w:tc>
        <w:tc>
          <w:tcPr>
            <w:tcW w:w="1900" w:type="dxa"/>
            <w:tcMar>
              <w:top w:w="80" w:type="dxa"/>
              <w:left w:w="80" w:type="dxa"/>
              <w:bottom w:w="80" w:type="dxa"/>
              <w:right w:w="80" w:type="dxa"/>
            </w:tcMar>
            <w:vAlign w:val="center"/>
          </w:tcPr>
          <w:p w14:paraId="66E8B649">
            <w:r>
              <w:rPr>
                <w:rFonts w:ascii="Calibri" w:hAnsi="Calibri" w:eastAsia="Calibri" w:cs="Calibri"/>
                <w:sz w:val="17"/>
                <w:szCs w:val="17"/>
              </w:rPr>
              <w:t>Slight accuracy drop vs. full BERT/RoBERTa; distillation quality depends heavily on teacher model</w:t>
            </w:r>
          </w:p>
        </w:tc>
        <w:tc>
          <w:tcPr>
            <w:tcW w:w="1000" w:type="dxa"/>
            <w:tcMar>
              <w:top w:w="80" w:type="dxa"/>
              <w:left w:w="80" w:type="dxa"/>
              <w:bottom w:w="80" w:type="dxa"/>
              <w:right w:w="80" w:type="dxa"/>
            </w:tcMar>
            <w:vAlign w:val="center"/>
          </w:tcPr>
          <w:p w14:paraId="40FD6511">
            <w:r>
              <w:rPr>
                <w:rFonts w:ascii="Calibri" w:hAnsi="Calibri" w:eastAsia="Calibri" w:cs="Calibri"/>
                <w:sz w:val="17"/>
                <w:szCs w:val="17"/>
              </w:rPr>
              <w:t>Same pretraining corpus as BERT (BooksCorpus + Wikipedia)</w:t>
            </w:r>
          </w:p>
        </w:tc>
        <w:tc>
          <w:tcPr>
            <w:tcW w:w="660" w:type="dxa"/>
            <w:tcMar>
              <w:top w:w="80" w:type="dxa"/>
              <w:left w:w="80" w:type="dxa"/>
              <w:bottom w:w="80" w:type="dxa"/>
              <w:right w:w="80" w:type="dxa"/>
            </w:tcMar>
            <w:vAlign w:val="center"/>
          </w:tcPr>
          <w:p w14:paraId="5827F183">
            <w:r>
              <w:fldChar w:fldCharType="begin"/>
            </w:r>
            <w:r>
              <w:instrText xml:space="preserve"> HYPERLINK "https://arxiv.org/abs/1910.01108" </w:instrText>
            </w:r>
            <w:r>
              <w:fldChar w:fldCharType="separate"/>
            </w:r>
            <w:r>
              <w:rPr>
                <w:rStyle w:val="16"/>
                <w:rFonts w:ascii="Calibri" w:hAnsi="Calibri" w:eastAsia="Calibri" w:cs="Calibri"/>
                <w:sz w:val="18"/>
                <w:szCs w:val="18"/>
              </w:rPr>
              <w:t>[10]</w:t>
            </w:r>
            <w:r>
              <w:rPr>
                <w:rStyle w:val="16"/>
                <w:rFonts w:ascii="Calibri" w:hAnsi="Calibri" w:eastAsia="Calibri" w:cs="Calibri"/>
                <w:sz w:val="18"/>
                <w:szCs w:val="18"/>
              </w:rPr>
              <w:fldChar w:fldCharType="end"/>
            </w:r>
          </w:p>
        </w:tc>
      </w:tr>
      <w:tr w14:paraId="50B52E7C">
        <w:tc>
          <w:tcPr>
            <w:tcW w:w="500" w:type="dxa"/>
            <w:tcMar>
              <w:top w:w="80" w:type="dxa"/>
              <w:left w:w="80" w:type="dxa"/>
              <w:bottom w:w="80" w:type="dxa"/>
              <w:right w:w="80" w:type="dxa"/>
            </w:tcMar>
            <w:vAlign w:val="center"/>
          </w:tcPr>
          <w:p w14:paraId="334A460B">
            <w:r>
              <w:rPr>
                <w:rFonts w:ascii="Calibri" w:hAnsi="Calibri" w:eastAsia="Calibri" w:cs="Calibri"/>
                <w:sz w:val="17"/>
                <w:szCs w:val="17"/>
              </w:rPr>
              <w:t>11</w:t>
            </w:r>
          </w:p>
        </w:tc>
        <w:tc>
          <w:tcPr>
            <w:tcW w:w="1900" w:type="dxa"/>
            <w:tcMar>
              <w:top w:w="80" w:type="dxa"/>
              <w:left w:w="80" w:type="dxa"/>
              <w:bottom w:w="80" w:type="dxa"/>
              <w:right w:w="80" w:type="dxa"/>
            </w:tcMar>
            <w:vAlign w:val="center"/>
          </w:tcPr>
          <w:p w14:paraId="738B0D48">
            <w:r>
              <w:rPr>
                <w:rFonts w:ascii="Calibri" w:hAnsi="Calibri" w:eastAsia="Calibri" w:cs="Calibri"/>
                <w:sz w:val="17"/>
                <w:szCs w:val="17"/>
              </w:rPr>
              <w:t>A Survey of the State of Explainable AI for Natural Language Processing (Danilevsky et al., 2020)</w:t>
            </w:r>
          </w:p>
        </w:tc>
        <w:tc>
          <w:tcPr>
            <w:tcW w:w="1500" w:type="dxa"/>
            <w:tcMar>
              <w:top w:w="80" w:type="dxa"/>
              <w:left w:w="80" w:type="dxa"/>
              <w:bottom w:w="80" w:type="dxa"/>
              <w:right w:w="80" w:type="dxa"/>
            </w:tcMar>
            <w:vAlign w:val="center"/>
          </w:tcPr>
          <w:p w14:paraId="5DA5F912">
            <w:r>
              <w:rPr>
                <w:rFonts w:ascii="Calibri" w:hAnsi="Calibri" w:eastAsia="Calibri" w:cs="Calibri"/>
                <w:sz w:val="17"/>
                <w:szCs w:val="17"/>
              </w:rPr>
              <w:t>Survey (SHAP, LIME, attention visualization, probing classifiers, etc.)</w:t>
            </w:r>
          </w:p>
        </w:tc>
        <w:tc>
          <w:tcPr>
            <w:tcW w:w="1900" w:type="dxa"/>
            <w:tcMar>
              <w:top w:w="80" w:type="dxa"/>
              <w:left w:w="80" w:type="dxa"/>
              <w:bottom w:w="80" w:type="dxa"/>
              <w:right w:w="80" w:type="dxa"/>
            </w:tcMar>
            <w:vAlign w:val="center"/>
          </w:tcPr>
          <w:p w14:paraId="44AA72E3">
            <w:r>
              <w:rPr>
                <w:rFonts w:ascii="Calibri" w:hAnsi="Calibri" w:eastAsia="Calibri" w:cs="Calibri"/>
                <w:sz w:val="17"/>
                <w:szCs w:val="17"/>
              </w:rPr>
              <w:t>Taxonomizes explainability techniques for NLP models by explanation type (local/global) and technique family</w:t>
            </w:r>
          </w:p>
        </w:tc>
        <w:tc>
          <w:tcPr>
            <w:tcW w:w="1900" w:type="dxa"/>
            <w:tcMar>
              <w:top w:w="80" w:type="dxa"/>
              <w:left w:w="80" w:type="dxa"/>
              <w:bottom w:w="80" w:type="dxa"/>
              <w:right w:w="80" w:type="dxa"/>
            </w:tcMar>
            <w:vAlign w:val="center"/>
          </w:tcPr>
          <w:p w14:paraId="698CCC64">
            <w:r>
              <w:rPr>
                <w:rFonts w:ascii="Calibri" w:hAnsi="Calibri" w:eastAsia="Calibri" w:cs="Calibri"/>
                <w:sz w:val="17"/>
                <w:szCs w:val="17"/>
              </w:rPr>
              <w:t>Highlights that most XAI methods for NLP are post-hoc and not faithful-by-construction; lack of standardized evaluation for explanation quality</w:t>
            </w:r>
          </w:p>
        </w:tc>
        <w:tc>
          <w:tcPr>
            <w:tcW w:w="1000" w:type="dxa"/>
            <w:tcMar>
              <w:top w:w="80" w:type="dxa"/>
              <w:left w:w="80" w:type="dxa"/>
              <w:bottom w:w="80" w:type="dxa"/>
              <w:right w:w="80" w:type="dxa"/>
            </w:tcMar>
            <w:vAlign w:val="center"/>
          </w:tcPr>
          <w:p w14:paraId="5374C6C9">
            <w:r>
              <w:rPr>
                <w:rFonts w:ascii="Calibri" w:hAnsi="Calibri" w:eastAsia="Calibri" w:cs="Calibri"/>
                <w:sz w:val="17"/>
                <w:szCs w:val="17"/>
              </w:rPr>
              <w:t>Survey (no single dataset)</w:t>
            </w:r>
          </w:p>
        </w:tc>
        <w:tc>
          <w:tcPr>
            <w:tcW w:w="660" w:type="dxa"/>
            <w:tcMar>
              <w:top w:w="80" w:type="dxa"/>
              <w:left w:w="80" w:type="dxa"/>
              <w:bottom w:w="80" w:type="dxa"/>
              <w:right w:w="80" w:type="dxa"/>
            </w:tcMar>
            <w:vAlign w:val="center"/>
          </w:tcPr>
          <w:p w14:paraId="5158EB72">
            <w:r>
              <w:fldChar w:fldCharType="begin"/>
            </w:r>
            <w:r>
              <w:instrText xml:space="preserve"> HYPERLINK "https://arxiv.org/abs/2010.00711" </w:instrText>
            </w:r>
            <w:r>
              <w:fldChar w:fldCharType="separate"/>
            </w:r>
            <w:r>
              <w:rPr>
                <w:rStyle w:val="16"/>
                <w:rFonts w:ascii="Calibri" w:hAnsi="Calibri" w:eastAsia="Calibri" w:cs="Calibri"/>
                <w:sz w:val="18"/>
                <w:szCs w:val="18"/>
              </w:rPr>
              <w:t>[11]</w:t>
            </w:r>
            <w:r>
              <w:rPr>
                <w:rStyle w:val="16"/>
                <w:rFonts w:ascii="Calibri" w:hAnsi="Calibri" w:eastAsia="Calibri" w:cs="Calibri"/>
                <w:sz w:val="18"/>
                <w:szCs w:val="18"/>
              </w:rPr>
              <w:fldChar w:fldCharType="end"/>
            </w:r>
          </w:p>
        </w:tc>
      </w:tr>
      <w:tr w14:paraId="49B6FD60">
        <w:tc>
          <w:tcPr>
            <w:tcW w:w="500" w:type="dxa"/>
            <w:tcMar>
              <w:top w:w="80" w:type="dxa"/>
              <w:left w:w="80" w:type="dxa"/>
              <w:bottom w:w="80" w:type="dxa"/>
              <w:right w:w="80" w:type="dxa"/>
            </w:tcMar>
            <w:vAlign w:val="center"/>
          </w:tcPr>
          <w:p w14:paraId="351556C5">
            <w:r>
              <w:rPr>
                <w:rFonts w:ascii="Calibri" w:hAnsi="Calibri" w:eastAsia="Calibri" w:cs="Calibri"/>
                <w:sz w:val="17"/>
                <w:szCs w:val="17"/>
              </w:rPr>
              <w:t>12</w:t>
            </w:r>
          </w:p>
        </w:tc>
        <w:tc>
          <w:tcPr>
            <w:tcW w:w="1900" w:type="dxa"/>
            <w:tcMar>
              <w:top w:w="80" w:type="dxa"/>
              <w:left w:w="80" w:type="dxa"/>
              <w:bottom w:w="80" w:type="dxa"/>
              <w:right w:w="80" w:type="dxa"/>
            </w:tcMar>
            <w:vAlign w:val="center"/>
          </w:tcPr>
          <w:p w14:paraId="299F09A6">
            <w:r>
              <w:rPr>
                <w:rFonts w:ascii="Calibri" w:hAnsi="Calibri" w:eastAsia="Calibri" w:cs="Calibri"/>
                <w:sz w:val="17"/>
                <w:szCs w:val="17"/>
              </w:rPr>
              <w:t>SemEval-2014 Task 4: Aspect Based Sentiment Analysis (Pontiki et al., 2014)</w:t>
            </w:r>
          </w:p>
        </w:tc>
        <w:tc>
          <w:tcPr>
            <w:tcW w:w="1500" w:type="dxa"/>
            <w:tcMar>
              <w:top w:w="80" w:type="dxa"/>
              <w:left w:w="80" w:type="dxa"/>
              <w:bottom w:w="80" w:type="dxa"/>
              <w:right w:w="80" w:type="dxa"/>
            </w:tcMar>
            <w:vAlign w:val="center"/>
          </w:tcPr>
          <w:p w14:paraId="5F674A94">
            <w:r>
              <w:rPr>
                <w:rFonts w:ascii="Calibri" w:hAnsi="Calibri" w:eastAsia="Calibri" w:cs="Calibri"/>
                <w:sz w:val="17"/>
                <w:szCs w:val="17"/>
              </w:rPr>
              <w:t>Baseline ABSA systems (SVM, CRF)</w:t>
            </w:r>
          </w:p>
        </w:tc>
        <w:tc>
          <w:tcPr>
            <w:tcW w:w="1900" w:type="dxa"/>
            <w:tcMar>
              <w:top w:w="80" w:type="dxa"/>
              <w:left w:w="80" w:type="dxa"/>
              <w:bottom w:w="80" w:type="dxa"/>
              <w:right w:w="80" w:type="dxa"/>
            </w:tcMar>
            <w:vAlign w:val="center"/>
          </w:tcPr>
          <w:p w14:paraId="465398AD">
            <w:r>
              <w:rPr>
                <w:rFonts w:ascii="Calibri" w:hAnsi="Calibri" w:eastAsia="Calibri" w:cs="Calibri"/>
                <w:sz w:val="17"/>
                <w:szCs w:val="17"/>
              </w:rPr>
              <w:t>Established aspect-level sentiment benchmark for restaurant/laptop reviews, enabling aspect-specific rather than whole-document sentiment scoring</w:t>
            </w:r>
          </w:p>
        </w:tc>
        <w:tc>
          <w:tcPr>
            <w:tcW w:w="1900" w:type="dxa"/>
            <w:tcMar>
              <w:top w:w="80" w:type="dxa"/>
              <w:left w:w="80" w:type="dxa"/>
              <w:bottom w:w="80" w:type="dxa"/>
              <w:right w:w="80" w:type="dxa"/>
            </w:tcMar>
            <w:vAlign w:val="center"/>
          </w:tcPr>
          <w:p w14:paraId="05100304">
            <w:r>
              <w:rPr>
                <w:rFonts w:ascii="Calibri" w:hAnsi="Calibri" w:eastAsia="Calibri" w:cs="Calibri"/>
                <w:sz w:val="17"/>
                <w:szCs w:val="17"/>
              </w:rPr>
              <w:t>Aspect categories are domain-specific and manually predefined; does not generalize to arbitrary open-domain emotion categories</w:t>
            </w:r>
          </w:p>
        </w:tc>
        <w:tc>
          <w:tcPr>
            <w:tcW w:w="1000" w:type="dxa"/>
            <w:tcMar>
              <w:top w:w="80" w:type="dxa"/>
              <w:left w:w="80" w:type="dxa"/>
              <w:bottom w:w="80" w:type="dxa"/>
              <w:right w:w="80" w:type="dxa"/>
            </w:tcMar>
            <w:vAlign w:val="center"/>
          </w:tcPr>
          <w:p w14:paraId="37F71D7A">
            <w:r>
              <w:rPr>
                <w:rFonts w:ascii="Calibri" w:hAnsi="Calibri" w:eastAsia="Calibri" w:cs="Calibri"/>
                <w:sz w:val="17"/>
                <w:szCs w:val="17"/>
              </w:rPr>
              <w:t>SemEval-2014 Restaurant &amp; Laptop reviews</w:t>
            </w:r>
          </w:p>
        </w:tc>
        <w:tc>
          <w:tcPr>
            <w:tcW w:w="660" w:type="dxa"/>
            <w:tcMar>
              <w:top w:w="80" w:type="dxa"/>
              <w:left w:w="80" w:type="dxa"/>
              <w:bottom w:w="80" w:type="dxa"/>
              <w:right w:w="80" w:type="dxa"/>
            </w:tcMar>
            <w:vAlign w:val="center"/>
          </w:tcPr>
          <w:p w14:paraId="04DAABE7">
            <w:r>
              <w:fldChar w:fldCharType="begin"/>
            </w:r>
            <w:r>
              <w:instrText xml:space="preserve"> HYPERLINK "https://aclanthology.org/S14-2004/" </w:instrText>
            </w:r>
            <w:r>
              <w:fldChar w:fldCharType="separate"/>
            </w:r>
            <w:r>
              <w:rPr>
                <w:rStyle w:val="16"/>
                <w:rFonts w:ascii="Calibri" w:hAnsi="Calibri" w:eastAsia="Calibri" w:cs="Calibri"/>
                <w:sz w:val="18"/>
                <w:szCs w:val="18"/>
              </w:rPr>
              <w:t>[12]</w:t>
            </w:r>
            <w:r>
              <w:rPr>
                <w:rStyle w:val="16"/>
                <w:rFonts w:ascii="Calibri" w:hAnsi="Calibri" w:eastAsia="Calibri" w:cs="Calibri"/>
                <w:sz w:val="18"/>
                <w:szCs w:val="18"/>
              </w:rPr>
              <w:fldChar w:fldCharType="end"/>
            </w:r>
          </w:p>
        </w:tc>
      </w:tr>
    </w:tbl>
    <w:p w14:paraId="7C91AED9">
      <w:pPr>
        <w:spacing w:before="200"/>
      </w:pPr>
    </w:p>
    <w:p w14:paraId="5F46640C">
      <w:pPr>
        <w:pStyle w:val="2"/>
        <w:spacing w:before="360" w:after="200"/>
      </w:pPr>
      <w:r>
        <w:rPr>
          <w:rFonts w:ascii="Calibri" w:hAnsi="Calibri" w:eastAsia="Calibri" w:cs="Calibri"/>
        </w:rPr>
        <w:t>Research Gap Identification</w:t>
      </w:r>
    </w:p>
    <w:p w14:paraId="3400E9F9">
      <w:pPr>
        <w:spacing w:after="160" w:line="276" w:lineRule="auto"/>
      </w:pPr>
      <w:r>
        <w:rPr>
          <w:rFonts w:ascii="Calibri" w:hAnsi="Calibri" w:eastAsia="Calibri" w:cs="Calibri"/>
          <w:sz w:val="22"/>
          <w:szCs w:val="22"/>
        </w:rPr>
        <w:t>Synthesizing the limitations above, the following gaps justify this project's design:</w:t>
      </w:r>
    </w:p>
    <w:p w14:paraId="7A0B0A7B">
      <w:pPr>
        <w:pStyle w:val="18"/>
        <w:numPr>
          <w:ilvl w:val="0"/>
          <w:numId w:val="3"/>
        </w:numPr>
        <w:spacing w:after="120"/>
      </w:pPr>
      <w:r>
        <w:rPr>
          <w:rFonts w:ascii="Calibri" w:hAnsi="Calibri" w:eastAsia="Calibri" w:cs="Calibri"/>
          <w:b/>
          <w:bCs/>
          <w:sz w:val="22"/>
          <w:szCs w:val="22"/>
        </w:rPr>
        <w:t xml:space="preserve">No fine-grained + multi-label + explainable system combined. </w:t>
      </w:r>
      <w:r>
        <w:rPr>
          <w:rFonts w:ascii="Calibri" w:hAnsi="Calibri" w:eastAsia="Calibri" w:cs="Calibri"/>
          <w:sz w:val="22"/>
          <w:szCs w:val="22"/>
        </w:rPr>
        <w:t>GoEmotions [1] provides the taxonomy but only benchmarks plain classifiers with no explainability. SHAP/LIME [6][7] provide explainability but are model-agnostic add-ons never integrated end-to-end with a fine-grained multi-label emotion classifier in a deployable product. Survey [11] confirms XAI-for-NLP techniques remain largely decoupled from production emotion/sentiment systems. Gap: an end-to-end pipeline that is simultaneously fine-grained, multi-label, and token-explainable.</w:t>
      </w:r>
    </w:p>
    <w:p w14:paraId="552044A2">
      <w:pPr>
        <w:pStyle w:val="18"/>
        <w:numPr>
          <w:ilvl w:val="0"/>
          <w:numId w:val="3"/>
        </w:numPr>
        <w:spacing w:after="120"/>
      </w:pPr>
      <w:r>
        <w:rPr>
          <w:rFonts w:ascii="Calibri" w:hAnsi="Calibri" w:eastAsia="Calibri" w:cs="Calibri"/>
          <w:b/>
          <w:bCs/>
          <w:sz w:val="22"/>
          <w:szCs w:val="22"/>
        </w:rPr>
        <w:t xml:space="preserve">Single-corpus training limits generalization. </w:t>
      </w:r>
      <w:r>
        <w:rPr>
          <w:rFonts w:ascii="Calibri" w:hAnsi="Calibri" w:eastAsia="Calibri" w:cs="Calibri"/>
          <w:sz w:val="22"/>
          <w:szCs w:val="22"/>
        </w:rPr>
        <w:t>GoEmotions [1] is Reddit-domain; CARER [4] and DailyDialog [5] are Twitter/dialogue-domain. Survey [8] explicitly flags poor cross-domain transfer as an open problem. No reviewed work combines multiple emotion corpora with a principled way to handle each corpus's partial label coverage. Gap: a masked multi-label loss that lets heterogeneous emotion corpora be combined for training without corrupting the label space with false negatives.</w:t>
      </w:r>
    </w:p>
    <w:p w14:paraId="33C15CF3">
      <w:pPr>
        <w:pStyle w:val="18"/>
        <w:numPr>
          <w:ilvl w:val="0"/>
          <w:numId w:val="3"/>
        </w:numPr>
        <w:spacing w:after="120"/>
      </w:pPr>
      <w:r>
        <w:rPr>
          <w:rFonts w:ascii="Calibri" w:hAnsi="Calibri" w:eastAsia="Calibri" w:cs="Calibri"/>
          <w:b/>
          <w:bCs/>
          <w:sz w:val="22"/>
          <w:szCs w:val="22"/>
        </w:rPr>
        <w:t xml:space="preserve">Whole-document scoring hides mixed sentiment. </w:t>
      </w:r>
      <w:r>
        <w:rPr>
          <w:rFonts w:ascii="Calibri" w:hAnsi="Calibri" w:eastAsia="Calibri" w:cs="Calibri"/>
          <w:sz w:val="22"/>
          <w:szCs w:val="22"/>
        </w:rPr>
        <w:t>ABSA work [12] addresses this at the aspect level but requires predefined aspect categories, which does not generalize to open emotion labels. No reviewed emotion-classification system does segment-level scoring for reviews. Gap: segment-level (not aspect-predefined) emotion scoring for arbitrary review text.</w:t>
      </w:r>
    </w:p>
    <w:p w14:paraId="0667A8B1">
      <w:pPr>
        <w:pStyle w:val="18"/>
        <w:numPr>
          <w:ilvl w:val="0"/>
          <w:numId w:val="3"/>
        </w:numPr>
        <w:spacing w:after="120"/>
      </w:pPr>
      <w:r>
        <w:rPr>
          <w:rFonts w:ascii="Calibri" w:hAnsi="Calibri" w:eastAsia="Calibri" w:cs="Calibri"/>
          <w:b/>
          <w:bCs/>
          <w:sz w:val="22"/>
          <w:szCs w:val="22"/>
        </w:rPr>
        <w:t xml:space="preserve">Business actionability is absent from academic taxonomies. </w:t>
      </w:r>
      <w:r>
        <w:rPr>
          <w:rFonts w:ascii="Calibri" w:hAnsi="Calibri" w:eastAsia="Calibri" w:cs="Calibri"/>
          <w:sz w:val="22"/>
          <w:szCs w:val="22"/>
        </w:rPr>
        <w:t>The 27-label GoEmotions taxonomy [1] is academically rigorous but not directly actionable by a business stakeholder. Gap: a mapping layer from fine-grained emotion labels to business-relevant categories (satisfaction, frustration, confusion, concern).</w:t>
      </w:r>
    </w:p>
    <w:p w14:paraId="46CA1845">
      <w:pPr>
        <w:spacing w:after="160" w:line="276" w:lineRule="auto"/>
      </w:pPr>
      <w:r>
        <w:rPr>
          <w:rFonts w:ascii="Calibri" w:hAnsi="Calibri" w:eastAsia="Calibri" w:cs="Calibri"/>
          <w:sz w:val="22"/>
          <w:szCs w:val="22"/>
        </w:rPr>
        <w:t>This project's framework — a RoBERTa-based multi-label classifier (addressing gap 1 partially via architecture choice informed by [3][8]), trained on GoEmotions plus masked-loss auxiliary corpora (addressing gap 2), with SHAP token attribution (addressing gap 1) and segment-level scoring (addressing gap 3) and a business bucket rollup (addressing gap 4) — is positioned to close all four gaps simultaneously, which no single reviewed paper does.</w:t>
      </w:r>
    </w:p>
    <w:p w14:paraId="3AFA7243">
      <w:pPr>
        <w:pStyle w:val="2"/>
        <w:spacing w:before="360" w:after="200"/>
      </w:pPr>
      <w:r>
        <w:rPr>
          <w:rFonts w:ascii="Calibri" w:hAnsi="Calibri" w:eastAsia="Calibri" w:cs="Calibri"/>
        </w:rPr>
        <w:t>Innovation, Creativity, Novelty, Feasibility</w:t>
      </w:r>
    </w:p>
    <w:p w14:paraId="192E929C">
      <w:pPr>
        <w:pStyle w:val="3"/>
        <w:spacing w:before="240" w:after="140"/>
      </w:pPr>
      <w:r>
        <w:rPr>
          <w:rFonts w:ascii="Calibri" w:hAnsi="Calibri" w:eastAsia="Calibri" w:cs="Calibri"/>
        </w:rPr>
        <w:t>Innovation / Novelty</w:t>
      </w:r>
    </w:p>
    <w:p w14:paraId="0FB343F4">
      <w:pPr>
        <w:pStyle w:val="18"/>
        <w:numPr>
          <w:ilvl w:val="0"/>
          <w:numId w:val="4"/>
        </w:numPr>
        <w:spacing w:after="100"/>
      </w:pPr>
      <w:r>
        <w:rPr>
          <w:rFonts w:ascii="Calibri" w:hAnsi="Calibri" w:eastAsia="Calibri" w:cs="Calibri"/>
          <w:sz w:val="22"/>
          <w:szCs w:val="22"/>
        </w:rPr>
        <w:t>Combines fine-grained (28-label) multi-label emotion classification with token-level SHAP explainability in a single deployed pipeline — most reviewed work treats these as separate research threads.</w:t>
      </w:r>
    </w:p>
    <w:p w14:paraId="454694F0">
      <w:pPr>
        <w:pStyle w:val="18"/>
        <w:numPr>
          <w:ilvl w:val="0"/>
          <w:numId w:val="4"/>
        </w:numPr>
        <w:spacing w:after="100"/>
      </w:pPr>
      <w:r>
        <w:rPr>
          <w:rFonts w:ascii="Calibri" w:hAnsi="Calibri" w:eastAsia="Calibri" w:cs="Calibri"/>
          <w:sz w:val="22"/>
          <w:szCs w:val="22"/>
        </w:rPr>
        <w:t>Masked multi-label loss for multi-corpus training: rather than discarding auxiliary corpora for incomplete label coverage, only annotated label positions contribute to the loss per example, allowing GoEmotions + CARER + DailyDialog to be combined without introducing false-negative label noise.</w:t>
      </w:r>
    </w:p>
    <w:p w14:paraId="7EF8763F">
      <w:pPr>
        <w:pStyle w:val="18"/>
        <w:numPr>
          <w:ilvl w:val="0"/>
          <w:numId w:val="4"/>
        </w:numPr>
        <w:spacing w:after="100"/>
      </w:pPr>
      <w:r>
        <w:rPr>
          <w:rFonts w:ascii="Calibri" w:hAnsi="Calibri" w:eastAsia="Calibri" w:cs="Calibri"/>
          <w:sz w:val="22"/>
          <w:szCs w:val="22"/>
        </w:rPr>
        <w:t>Segment-level (not aspect-predefined) scoring: splits a review into segments dynamically and scores each independently, capturing intra-review sentiment shifts without requiring a fixed aspect taxonomy (unlike classical ABSA).</w:t>
      </w:r>
    </w:p>
    <w:p w14:paraId="335FFC99">
      <w:pPr>
        <w:pStyle w:val="18"/>
        <w:numPr>
          <w:ilvl w:val="0"/>
          <w:numId w:val="4"/>
        </w:numPr>
        <w:spacing w:after="100"/>
      </w:pPr>
      <w:r>
        <w:rPr>
          <w:rFonts w:ascii="Calibri" w:hAnsi="Calibri" w:eastAsia="Calibri" w:cs="Calibri"/>
          <w:sz w:val="22"/>
          <w:szCs w:val="22"/>
        </w:rPr>
        <w:t>Business-bucket rollup layer translates 27 academic emotion labels into 4 operational categories, closing the gap between NLP-taxonomy output and business decision-making.</w:t>
      </w:r>
    </w:p>
    <w:p w14:paraId="3F859D10">
      <w:pPr>
        <w:pStyle w:val="3"/>
        <w:spacing w:before="240" w:after="140"/>
      </w:pPr>
      <w:r>
        <w:rPr>
          <w:rFonts w:ascii="Calibri" w:hAnsi="Calibri" w:eastAsia="Calibri" w:cs="Calibri"/>
        </w:rPr>
        <w:t>Creativity</w:t>
      </w:r>
    </w:p>
    <w:p w14:paraId="099B79EC">
      <w:pPr>
        <w:pStyle w:val="18"/>
        <w:numPr>
          <w:ilvl w:val="0"/>
          <w:numId w:val="4"/>
        </w:numPr>
        <w:spacing w:after="100"/>
      </w:pPr>
      <w:r>
        <w:rPr>
          <w:rFonts w:ascii="Calibri" w:hAnsi="Calibri" w:eastAsia="Calibri" w:cs="Calibri"/>
          <w:sz w:val="22"/>
          <w:szCs w:val="22"/>
        </w:rPr>
        <w:t>Explanation is delivered as which words drove which emotion, not just a saliency heatmap — framed explicitly as a decision-support artifact for a non-technical stakeholder, not a debugging tool for ML engineers.</w:t>
      </w:r>
    </w:p>
    <w:p w14:paraId="1B25C99E">
      <w:pPr>
        <w:pStyle w:val="18"/>
        <w:numPr>
          <w:ilvl w:val="0"/>
          <w:numId w:val="4"/>
        </w:numPr>
        <w:spacing w:after="100"/>
      </w:pPr>
      <w:r>
        <w:rPr>
          <w:rFonts w:ascii="Calibri" w:hAnsi="Calibri" w:eastAsia="Calibri" w:cs="Calibri"/>
          <w:sz w:val="22"/>
          <w:szCs w:val="22"/>
        </w:rPr>
        <w:t>Two independent, deliberate degradation paths in the backend (model absent / DB unreachable) reflect a production-reliability mindset uncommon in capstone-scale ML projects.</w:t>
      </w:r>
    </w:p>
    <w:p w14:paraId="08F432C8">
      <w:pPr>
        <w:pStyle w:val="3"/>
        <w:spacing w:before="240" w:after="140"/>
        <w:rPr>
          <w:rFonts w:ascii="Calibri" w:hAnsi="Calibri" w:eastAsia="Calibri" w:cs="Calibri"/>
        </w:rPr>
      </w:pPr>
    </w:p>
    <w:p w14:paraId="06833898">
      <w:pPr>
        <w:pStyle w:val="3"/>
        <w:spacing w:before="240" w:after="140"/>
      </w:pPr>
      <w:r>
        <w:rPr>
          <w:rFonts w:ascii="Calibri" w:hAnsi="Calibri" w:eastAsia="Calibri" w:cs="Calibri"/>
        </w:rPr>
        <w:t>Feasibility</w:t>
      </w:r>
    </w:p>
    <w:p w14:paraId="2202F6DF">
      <w:pPr>
        <w:pStyle w:val="18"/>
        <w:numPr>
          <w:ilvl w:val="0"/>
          <w:numId w:val="4"/>
        </w:numPr>
        <w:spacing w:after="100"/>
      </w:pPr>
      <w:r>
        <w:rPr>
          <w:rFonts w:ascii="Calibri" w:hAnsi="Calibri" w:eastAsia="Calibri" w:cs="Calibri"/>
          <w:sz w:val="22"/>
          <w:szCs w:val="22"/>
        </w:rPr>
        <w:t>Built entirely on well-established, open-source components: roberta-base (125M params, fits Colab free-tier GPU), HuggingFace transformers/datasets, SHAP, FastAPI, PostgreSQL, Redis, Celery, React — no novel infrastructure required.</w:t>
      </w:r>
    </w:p>
    <w:p w14:paraId="7733DB3D">
      <w:pPr>
        <w:pStyle w:val="18"/>
        <w:numPr>
          <w:ilvl w:val="0"/>
          <w:numId w:val="4"/>
        </w:numPr>
        <w:spacing w:after="100"/>
      </w:pPr>
      <w:r>
        <w:rPr>
          <w:rFonts w:ascii="Calibri" w:hAnsi="Calibri" w:eastAsia="Calibri" w:cs="Calibri"/>
          <w:sz w:val="22"/>
          <w:szCs w:val="22"/>
        </w:rPr>
        <w:t>All datasets (GoEmotions, dair-ai/emotion, DailyDialog, amazon_polarity) are freely available on HuggingFace Hub with permissive licenses, requiring no data collection effort.</w:t>
      </w:r>
    </w:p>
    <w:p w14:paraId="6EC53F6F">
      <w:pPr>
        <w:pStyle w:val="18"/>
        <w:numPr>
          <w:ilvl w:val="0"/>
          <w:numId w:val="4"/>
        </w:numPr>
        <w:spacing w:after="100"/>
      </w:pPr>
      <w:r>
        <w:rPr>
          <w:rFonts w:ascii="Calibri" w:hAnsi="Calibri" w:eastAsia="Calibri" w:cs="Calibri"/>
          <w:sz w:val="22"/>
          <w:szCs w:val="22"/>
        </w:rPr>
        <w:t>Training designed for Google Colab (free GPU tier), keeping compute cost at zero for the reproducible model-v1 baseline.</w:t>
      </w:r>
    </w:p>
    <w:p w14:paraId="576CC88B">
      <w:pPr>
        <w:pStyle w:val="18"/>
        <w:numPr>
          <w:ilvl w:val="0"/>
          <w:numId w:val="4"/>
        </w:numPr>
        <w:spacing w:after="100"/>
      </w:pPr>
      <w:r>
        <w:rPr>
          <w:rFonts w:ascii="Calibri" w:hAnsi="Calibri" w:eastAsia="Calibri" w:cs="Calibri"/>
          <w:sz w:val="22"/>
          <w:szCs w:val="22"/>
        </w:rPr>
        <w:t>Auxiliary-corpus training and masked loss are implemented and wired up (ml/aux_datasets.py), currently off by default for reproducibility, making the multi-corpus experiment an incremental, low-risk extension rather than a redesign.</w:t>
      </w:r>
    </w:p>
    <w:p w14:paraId="616892BF">
      <w:pPr>
        <w:pStyle w:val="18"/>
        <w:numPr>
          <w:ilvl w:val="0"/>
          <w:numId w:val="4"/>
        </w:numPr>
        <w:spacing w:after="100"/>
      </w:pPr>
      <w:r>
        <w:rPr>
          <w:rFonts w:ascii="Calibri" w:hAnsi="Calibri" w:eastAsia="Calibri" w:cs="Calibri"/>
          <w:sz w:val="22"/>
          <w:szCs w:val="22"/>
        </w:rPr>
        <w:t>Full-stack deployment path already defined (Render for backend/worker/DB/Redis, Vercel for frontend), meaning the project's feasibility extends from research prototype to a demonstrable live system.</w:t>
      </w:r>
    </w:p>
    <w:p w14:paraId="0C60D89A">
      <w:pPr>
        <w:pStyle w:val="2"/>
        <w:spacing w:before="360" w:after="200"/>
        <w:rPr>
          <w:rFonts w:ascii="Calibri" w:hAnsi="Calibri" w:eastAsia="Calibri" w:cs="Calibri"/>
        </w:rPr>
      </w:pPr>
    </w:p>
    <w:p w14:paraId="69CEB2EB">
      <w:pPr>
        <w:pStyle w:val="2"/>
        <w:spacing w:before="360" w:after="200"/>
        <w:rPr>
          <w:rFonts w:ascii="Calibri" w:hAnsi="Calibri" w:eastAsia="Calibri" w:cs="Calibri"/>
        </w:rPr>
      </w:pPr>
    </w:p>
    <w:p w14:paraId="14011A87">
      <w:pPr>
        <w:pStyle w:val="2"/>
        <w:spacing w:before="360" w:after="200"/>
        <w:rPr>
          <w:rFonts w:ascii="Calibri" w:hAnsi="Calibri" w:eastAsia="Calibri" w:cs="Calibri"/>
        </w:rPr>
      </w:pPr>
    </w:p>
    <w:p w14:paraId="59FFC235">
      <w:pPr>
        <w:pStyle w:val="2"/>
        <w:spacing w:before="360" w:after="200"/>
        <w:rPr>
          <w:rFonts w:ascii="Calibri" w:hAnsi="Calibri" w:eastAsia="Calibri" w:cs="Calibri"/>
        </w:rPr>
      </w:pPr>
    </w:p>
    <w:p w14:paraId="688E044B">
      <w:pPr>
        <w:pStyle w:val="2"/>
        <w:spacing w:before="360" w:after="200"/>
        <w:rPr>
          <w:rFonts w:ascii="Calibri" w:hAnsi="Calibri" w:eastAsia="Calibri" w:cs="Calibri"/>
        </w:rPr>
      </w:pPr>
    </w:p>
    <w:p w14:paraId="302B6404">
      <w:pPr>
        <w:pStyle w:val="2"/>
        <w:spacing w:before="360" w:after="200"/>
        <w:rPr>
          <w:rFonts w:ascii="Calibri" w:hAnsi="Calibri" w:eastAsia="Calibri" w:cs="Calibri"/>
        </w:rPr>
      </w:pPr>
    </w:p>
    <w:p w14:paraId="53386928">
      <w:pPr>
        <w:pStyle w:val="2"/>
        <w:spacing w:before="360" w:after="200"/>
        <w:rPr>
          <w:rFonts w:ascii="Calibri" w:hAnsi="Calibri" w:eastAsia="Calibri" w:cs="Calibri"/>
        </w:rPr>
      </w:pPr>
    </w:p>
    <w:p w14:paraId="70A57A08">
      <w:pPr>
        <w:pStyle w:val="2"/>
        <w:spacing w:before="360" w:after="200"/>
        <w:rPr>
          <w:rFonts w:ascii="Calibri" w:hAnsi="Calibri" w:eastAsia="Calibri" w:cs="Calibri"/>
        </w:rPr>
      </w:pPr>
    </w:p>
    <w:p w14:paraId="2046398B">
      <w:pPr>
        <w:pStyle w:val="2"/>
        <w:spacing w:before="360" w:after="200"/>
        <w:rPr>
          <w:rFonts w:ascii="Calibri" w:hAnsi="Calibri" w:eastAsia="Calibri" w:cs="Calibri"/>
        </w:rPr>
      </w:pPr>
    </w:p>
    <w:p w14:paraId="3CAEBFF4">
      <w:pPr>
        <w:pStyle w:val="2"/>
        <w:spacing w:before="360" w:after="200"/>
        <w:rPr>
          <w:rFonts w:ascii="Calibri" w:hAnsi="Calibri" w:eastAsia="Calibri" w:cs="Calibri"/>
        </w:rPr>
      </w:pPr>
    </w:p>
    <w:p w14:paraId="59E3306C">
      <w:pPr>
        <w:pStyle w:val="2"/>
        <w:spacing w:before="360" w:after="200"/>
        <w:rPr>
          <w:rFonts w:ascii="Calibri" w:hAnsi="Calibri" w:eastAsia="Calibri" w:cs="Calibri"/>
        </w:rPr>
      </w:pPr>
    </w:p>
    <w:p w14:paraId="7CF81455">
      <w:pPr>
        <w:pStyle w:val="2"/>
        <w:spacing w:before="360" w:after="200"/>
      </w:pPr>
      <w:r>
        <w:rPr>
          <w:rFonts w:ascii="Calibri" w:hAnsi="Calibri" w:eastAsia="Calibri" w:cs="Calibri"/>
        </w:rPr>
        <w:t>Project Plan (Workflow of Execution)</w:t>
      </w:r>
    </w:p>
    <w:p w14:paraId="6BBD487C">
      <w:pPr>
        <w:pStyle w:val="3"/>
        <w:spacing w:before="240" w:after="140"/>
      </w:pPr>
      <w:r>
        <w:rPr>
          <w:rFonts w:ascii="Calibri" w:hAnsi="Calibri" w:eastAsia="Calibri" w:cs="Calibri"/>
        </w:rPr>
        <w:t>Phase 1 — Data Preparation</w:t>
      </w:r>
    </w:p>
    <w:p w14:paraId="413544FB">
      <w:pPr>
        <w:pStyle w:val="18"/>
        <w:numPr>
          <w:ilvl w:val="0"/>
          <w:numId w:val="5"/>
        </w:numPr>
        <w:spacing w:after="120"/>
      </w:pPr>
      <w:r>
        <w:rPr>
          <w:rFonts w:ascii="Calibri" w:hAnsi="Calibri" w:eastAsia="Calibri" w:cs="Calibri"/>
          <w:sz w:val="22"/>
          <w:szCs w:val="22"/>
        </w:rPr>
        <w:t>Download and preprocess GoEmotions (simplified, 27 + neutral labels) via data_prep.py.</w:t>
      </w:r>
    </w:p>
    <w:p w14:paraId="71ACA933">
      <w:pPr>
        <w:pStyle w:val="18"/>
        <w:numPr>
          <w:ilvl w:val="0"/>
          <w:numId w:val="5"/>
        </w:numPr>
        <w:spacing w:after="120"/>
      </w:pPr>
      <w:r>
        <w:rPr>
          <w:rFonts w:ascii="Calibri" w:hAnsi="Calibri" w:eastAsia="Calibri" w:cs="Calibri"/>
          <w:sz w:val="22"/>
          <w:szCs w:val="22"/>
        </w:rPr>
        <w:t>Prepare auxiliary corpora (dair-ai/emotion, DailyDialog) with label-space mapping to the 28-label taxonomy and generate per-example coverage masks (ml/aux_datasets.py).</w:t>
      </w:r>
    </w:p>
    <w:p w14:paraId="58D96D56">
      <w:pPr>
        <w:pStyle w:val="18"/>
        <w:numPr>
          <w:ilvl w:val="0"/>
          <w:numId w:val="5"/>
        </w:numPr>
        <w:spacing w:after="120"/>
      </w:pPr>
      <w:r>
        <w:rPr>
          <w:rFonts w:ascii="Calibri" w:hAnsi="Calibri" w:eastAsia="Calibri" w:cs="Calibri"/>
          <w:sz w:val="22"/>
          <w:szCs w:val="22"/>
        </w:rPr>
        <w:t>Split into train/validation/test sets; verify class distribution and flag low-support labels.</w:t>
      </w:r>
    </w:p>
    <w:p w14:paraId="74120933">
      <w:pPr>
        <w:pStyle w:val="3"/>
        <w:spacing w:before="240" w:after="140"/>
      </w:pPr>
      <w:r>
        <w:rPr>
          <w:rFonts w:ascii="Calibri" w:hAnsi="Calibri" w:eastAsia="Calibri" w:cs="Calibri"/>
        </w:rPr>
        <w:t>Phase 2 — Model Development</w:t>
      </w:r>
    </w:p>
    <w:p w14:paraId="41D09AB6">
      <w:pPr>
        <w:pStyle w:val="18"/>
        <w:numPr>
          <w:ilvl w:val="0"/>
          <w:numId w:val="5"/>
        </w:numPr>
        <w:spacing w:after="120"/>
      </w:pPr>
      <w:r>
        <w:rPr>
          <w:rFonts w:ascii="Calibri" w:hAnsi="Calibri" w:eastAsia="Calibri" w:cs="Calibri"/>
          <w:sz w:val="22"/>
          <w:szCs w:val="22"/>
        </w:rPr>
        <w:t>Fine-tune roberta-base for multi-label classification (sigmoid output layer, per-label thresholds) on GoEmotions alone to produce reproducible baseline model-v1 (train_roberta.py, Google Colab GPU).</w:t>
      </w:r>
    </w:p>
    <w:p w14:paraId="160A1F0E">
      <w:pPr>
        <w:pStyle w:val="18"/>
        <w:numPr>
          <w:ilvl w:val="0"/>
          <w:numId w:val="5"/>
        </w:numPr>
        <w:spacing w:after="120"/>
      </w:pPr>
      <w:r>
        <w:rPr>
          <w:rFonts w:ascii="Calibri" w:hAnsi="Calibri" w:eastAsia="Calibri" w:cs="Calibri"/>
          <w:sz w:val="22"/>
          <w:szCs w:val="22"/>
        </w:rPr>
        <w:t>Evaluate baseline (evaluate.py) — per-label F1, macro/micro F1, confusion analysis on rare labels.</w:t>
      </w:r>
    </w:p>
    <w:p w14:paraId="234DA0CA">
      <w:pPr>
        <w:pStyle w:val="18"/>
        <w:numPr>
          <w:ilvl w:val="0"/>
          <w:numId w:val="5"/>
        </w:numPr>
        <w:spacing w:after="120"/>
      </w:pPr>
      <w:r>
        <w:rPr>
          <w:rFonts w:ascii="Calibri" w:hAnsi="Calibri" w:eastAsia="Calibri" w:cs="Calibri"/>
          <w:sz w:val="22"/>
          <w:szCs w:val="22"/>
        </w:rPr>
        <w:t>Run the multi-corpus experiment: enable auxiliary datasets with masked multi-label loss (data.aux_datasets config), retrain, and compare metrics against baseline to quantify the generalization improvement.</w:t>
      </w:r>
    </w:p>
    <w:p w14:paraId="1E5C7FFF">
      <w:pPr>
        <w:pStyle w:val="18"/>
        <w:numPr>
          <w:ilvl w:val="0"/>
          <w:numId w:val="5"/>
        </w:numPr>
        <w:spacing w:after="120"/>
      </w:pPr>
      <w:r>
        <w:rPr>
          <w:rFonts w:ascii="Calibri" w:hAnsi="Calibri" w:eastAsia="Calibri" w:cs="Calibri"/>
          <w:sz w:val="22"/>
          <w:szCs w:val="22"/>
        </w:rPr>
        <w:t>Calibrate per-label decision thresholds and persist thresholds.json alongside model weights and metrics as the versioned artifact (artifacts/model-v1/).</w:t>
      </w:r>
    </w:p>
    <w:p w14:paraId="1A0B4252">
      <w:pPr>
        <w:pStyle w:val="3"/>
        <w:spacing w:before="240" w:after="140"/>
      </w:pPr>
      <w:r>
        <w:rPr>
          <w:rFonts w:ascii="Calibri" w:hAnsi="Calibri" w:eastAsia="Calibri" w:cs="Calibri"/>
        </w:rPr>
        <w:t>Phase 3 — Explainability Layer</w:t>
      </w:r>
    </w:p>
    <w:p w14:paraId="03DF5B9F">
      <w:pPr>
        <w:pStyle w:val="18"/>
        <w:numPr>
          <w:ilvl w:val="0"/>
          <w:numId w:val="5"/>
        </w:numPr>
        <w:spacing w:after="120"/>
      </w:pPr>
      <w:r>
        <w:rPr>
          <w:rFonts w:ascii="Calibri" w:hAnsi="Calibri" w:eastAsia="Calibri" w:cs="Calibri"/>
          <w:sz w:val="22"/>
          <w:szCs w:val="22"/>
        </w:rPr>
        <w:t>Integrate SHAP for token-level attribution on top of the fine-tuned model.</w:t>
      </w:r>
    </w:p>
    <w:p w14:paraId="79970898">
      <w:pPr>
        <w:pStyle w:val="18"/>
        <w:numPr>
          <w:ilvl w:val="0"/>
          <w:numId w:val="5"/>
        </w:numPr>
        <w:spacing w:after="120"/>
      </w:pPr>
      <w:r>
        <w:rPr>
          <w:rFonts w:ascii="Calibri" w:hAnsi="Calibri" w:eastAsia="Calibri" w:cs="Calibri"/>
          <w:sz w:val="22"/>
          <w:szCs w:val="22"/>
        </w:rPr>
        <w:t>Implement segment-splitting logic so long/mixed-sentiment reviews are scored per-segment rather than as a single average.</w:t>
      </w:r>
    </w:p>
    <w:p w14:paraId="5284D7D0">
      <w:pPr>
        <w:pStyle w:val="18"/>
        <w:numPr>
          <w:ilvl w:val="0"/>
          <w:numId w:val="5"/>
        </w:numPr>
        <w:spacing w:after="120"/>
      </w:pPr>
      <w:r>
        <w:rPr>
          <w:rFonts w:ascii="Calibri" w:hAnsi="Calibri" w:eastAsia="Calibri" w:cs="Calibri"/>
          <w:sz w:val="22"/>
          <w:szCs w:val="22"/>
        </w:rPr>
        <w:t>Build the business-bucket rollup mapping (27 emotions → satisfaction / frustration / confusion / concern).</w:t>
      </w:r>
    </w:p>
    <w:p w14:paraId="01F2255A">
      <w:pPr>
        <w:pStyle w:val="3"/>
        <w:spacing w:before="240" w:after="140"/>
      </w:pPr>
      <w:r>
        <w:rPr>
          <w:rFonts w:ascii="Calibri" w:hAnsi="Calibri" w:eastAsia="Calibri" w:cs="Calibri"/>
        </w:rPr>
        <w:t>Phase 4 — Backend &amp; API</w:t>
      </w:r>
    </w:p>
    <w:p w14:paraId="0C754019">
      <w:pPr>
        <w:pStyle w:val="18"/>
        <w:numPr>
          <w:ilvl w:val="0"/>
          <w:numId w:val="5"/>
        </w:numPr>
        <w:spacing w:after="120"/>
      </w:pPr>
      <w:r>
        <w:rPr>
          <w:rFonts w:ascii="Calibri" w:hAnsi="Calibri" w:eastAsia="Calibri" w:cs="Calibri"/>
          <w:sz w:val="22"/>
          <w:szCs w:val="22"/>
        </w:rPr>
        <w:t>Build FastAPI backend with /predict (whole-text emotion scores), /analyze (per-segment scores + headline), /explain (SHAP attributions), /batch (CSV upload via Celery), /analytics (distribution/bucket/trend endpoints).</w:t>
      </w:r>
    </w:p>
    <w:p w14:paraId="149FBB34">
      <w:pPr>
        <w:pStyle w:val="18"/>
        <w:numPr>
          <w:ilvl w:val="0"/>
          <w:numId w:val="5"/>
        </w:numPr>
        <w:spacing w:after="120"/>
      </w:pPr>
      <w:r>
        <w:rPr>
          <w:rFonts w:ascii="Calibri" w:hAnsi="Calibri" w:eastAsia="Calibri" w:cs="Calibri"/>
          <w:sz w:val="22"/>
          <w:szCs w:val="22"/>
        </w:rPr>
        <w:t>Wire PostgreSQL (review + batch job storage, async SQLAlchemy) and Redis (SHAP explanation cache); implement graceful degradation (model-absent / DB-unreachable states surfaced via /health).</w:t>
      </w:r>
    </w:p>
    <w:p w14:paraId="5866BC71">
      <w:pPr>
        <w:pStyle w:val="18"/>
        <w:numPr>
          <w:ilvl w:val="0"/>
          <w:numId w:val="5"/>
        </w:numPr>
        <w:spacing w:after="120"/>
      </w:pPr>
      <w:r>
        <w:rPr>
          <w:rFonts w:ascii="Calibri" w:hAnsi="Calibri" w:eastAsia="Calibri" w:cs="Calibri"/>
          <w:sz w:val="22"/>
          <w:szCs w:val="22"/>
        </w:rPr>
        <w:t>Implement rate limiting and input validation at API boundaries.</w:t>
      </w:r>
    </w:p>
    <w:p w14:paraId="5F36965C">
      <w:pPr>
        <w:pStyle w:val="3"/>
        <w:spacing w:before="240" w:after="140"/>
      </w:pPr>
      <w:r>
        <w:rPr>
          <w:rFonts w:ascii="Calibri" w:hAnsi="Calibri" w:eastAsia="Calibri" w:cs="Calibri"/>
        </w:rPr>
        <w:t>Phase 5 — Frontend</w:t>
      </w:r>
    </w:p>
    <w:p w14:paraId="07D4CA9B">
      <w:pPr>
        <w:pStyle w:val="18"/>
        <w:numPr>
          <w:ilvl w:val="0"/>
          <w:numId w:val="5"/>
        </w:numPr>
        <w:spacing w:after="120"/>
      </w:pPr>
      <w:r>
        <w:rPr>
          <w:rFonts w:ascii="Calibri" w:hAnsi="Calibri" w:eastAsia="Calibri" w:cs="Calibri"/>
          <w:sz w:val="22"/>
          <w:szCs w:val="22"/>
        </w:rPr>
        <w:t>Build React + Vite dashboard: Analyze page (single review + SHAP highlight), Dashboard (analytics/trends via Recharts), Batch page (CSV upload + results view), Model page (metrics/model card view).</w:t>
      </w:r>
    </w:p>
    <w:p w14:paraId="1915987E">
      <w:pPr>
        <w:pStyle w:val="3"/>
        <w:spacing w:before="240" w:after="140"/>
      </w:pPr>
      <w:r>
        <w:rPr>
          <w:rFonts w:ascii="Calibri" w:hAnsi="Calibri" w:eastAsia="Calibri" w:cs="Calibri"/>
        </w:rPr>
        <w:t>Phase 6 — Testing &amp; Verification</w:t>
      </w:r>
    </w:p>
    <w:p w14:paraId="4BCDE300">
      <w:pPr>
        <w:pStyle w:val="18"/>
        <w:numPr>
          <w:ilvl w:val="0"/>
          <w:numId w:val="5"/>
        </w:numPr>
        <w:spacing w:after="120"/>
      </w:pPr>
      <w:r>
        <w:rPr>
          <w:rFonts w:ascii="Calibri" w:hAnsi="Calibri" w:eastAsia="Calibri" w:cs="Calibri"/>
          <w:sz w:val="22"/>
          <w:szCs w:val="22"/>
        </w:rPr>
        <w:t>Unit/integration tests for data pipeline, model inference, and API endpoints.</w:t>
      </w:r>
    </w:p>
    <w:p w14:paraId="49D88141">
      <w:pPr>
        <w:pStyle w:val="18"/>
        <w:numPr>
          <w:ilvl w:val="0"/>
          <w:numId w:val="5"/>
        </w:numPr>
        <w:spacing w:after="120"/>
      </w:pPr>
      <w:r>
        <w:rPr>
          <w:rFonts w:ascii="Calibri" w:hAnsi="Calibri" w:eastAsia="Calibri" w:cs="Calibri"/>
          <w:sz w:val="22"/>
          <w:szCs w:val="22"/>
        </w:rPr>
        <w:t>End-to-end verification: submit sample reviews, confirm correct predictions, correct SHAP attributions, correct segment splitting, correct bucket rollup.</w:t>
      </w:r>
    </w:p>
    <w:p w14:paraId="55165E6A">
      <w:pPr>
        <w:pStyle w:val="3"/>
        <w:spacing w:before="240" w:after="140"/>
      </w:pPr>
      <w:r>
        <w:rPr>
          <w:rFonts w:ascii="Calibri" w:hAnsi="Calibri" w:eastAsia="Calibri" w:cs="Calibri"/>
        </w:rPr>
        <w:t>Phase 7 — Deployment</w:t>
      </w:r>
    </w:p>
    <w:p w14:paraId="27FBB89C">
      <w:pPr>
        <w:pStyle w:val="18"/>
        <w:numPr>
          <w:ilvl w:val="0"/>
          <w:numId w:val="5"/>
        </w:numPr>
        <w:spacing w:after="120"/>
      </w:pPr>
      <w:r>
        <w:rPr>
          <w:rFonts w:ascii="Calibri" w:hAnsi="Calibri" w:eastAsia="Calibri" w:cs="Calibri"/>
          <w:sz w:val="22"/>
          <w:szCs w:val="22"/>
        </w:rPr>
        <w:t>Containerize backend/worker/frontend (Docker Compose for local dev).</w:t>
      </w:r>
    </w:p>
    <w:p w14:paraId="6CBF9372">
      <w:pPr>
        <w:pStyle w:val="18"/>
        <w:numPr>
          <w:ilvl w:val="0"/>
          <w:numId w:val="5"/>
        </w:numPr>
        <w:spacing w:after="120"/>
      </w:pPr>
      <w:r>
        <w:rPr>
          <w:rFonts w:ascii="Calibri" w:hAnsi="Calibri" w:eastAsia="Calibri" w:cs="Calibri"/>
          <w:sz w:val="22"/>
          <w:szCs w:val="22"/>
        </w:rPr>
        <w:t>Deploy backend, Celery worker, Postgres, Redis via Render Blueprint (render.yaml); deploy frontend via Vercel (frontend/vercel.json).</w:t>
      </w:r>
    </w:p>
    <w:p w14:paraId="56F8EED7">
      <w:pPr>
        <w:pStyle w:val="18"/>
        <w:numPr>
          <w:ilvl w:val="0"/>
          <w:numId w:val="5"/>
        </w:numPr>
        <w:spacing w:after="120"/>
      </w:pPr>
      <w:r>
        <w:rPr>
          <w:rFonts w:ascii="Calibri" w:hAnsi="Calibri" w:eastAsia="Calibri" w:cs="Calibri"/>
          <w:sz w:val="22"/>
          <w:szCs w:val="22"/>
        </w:rPr>
        <w:t>Document final model card, metrics, and known limitations (ml/MODEL_CARD.md).</w:t>
      </w:r>
    </w:p>
    <w:p w14:paraId="7C91485F">
      <w:pPr>
        <w:pStyle w:val="18"/>
        <w:numPr>
          <w:numId w:val="0"/>
        </w:numPr>
        <w:spacing w:after="120"/>
      </w:pPr>
      <w:bookmarkStart w:id="0" w:name="_GoBack"/>
      <w:bookmarkEnd w:id="0"/>
    </w:p>
    <w:sectPr>
      <w:head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Calibri">
    <w:altName w:val="Helvetica Neue"/>
    <w:panose1 w:val="020F0502020204030204"/>
    <w:charset w:val="00"/>
    <w:family w:val="swiss"/>
    <w:pitch w:val="default"/>
    <w:sig w:usb0="00000000" w:usb1="00000000" w:usb2="00000001"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3B4B7">
    <w:pPr>
      <w:pStyle w:val="15"/>
    </w:pPr>
    <w:r>
      <w:drawing>
        <wp:inline distT="0" distB="0" distL="0" distR="0">
          <wp:extent cx="5731510" cy="863600"/>
          <wp:effectExtent l="0" t="0" r="889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1" cstate="print"/>
                  <a:stretch>
                    <a:fillRect/>
                  </a:stretch>
                </pic:blipFill>
                <pic:spPr>
                  <a:xfrm>
                    <a:off x="0" y="0"/>
                    <a:ext cx="5731510" cy="863600"/>
                  </a:xfrm>
                  <a:prstGeom prst="rect">
                    <a:avLst/>
                  </a:prstGeom>
                  <a:noFill/>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9B2A6E"/>
    <w:multiLevelType w:val="singleLevel"/>
    <w:tmpl w:val="FB9B2A6E"/>
    <w:lvl w:ilvl="0" w:tentative="0">
      <w:start w:val="1"/>
      <w:numFmt w:val="decimal"/>
      <w:lvlText w:val="%1."/>
      <w:lvlJc w:val="left"/>
      <w:pPr>
        <w:ind w:left="720" w:hanging="360"/>
      </w:pPr>
    </w:lvl>
  </w:abstractNum>
  <w:abstractNum w:abstractNumId="1">
    <w:nsid w:val="FCD605BA"/>
    <w:multiLevelType w:val="singleLevel"/>
    <w:tmpl w:val="FCD605BA"/>
    <w:lvl w:ilvl="0" w:tentative="0">
      <w:start w:val="1"/>
      <w:numFmt w:val="bullet"/>
      <w:lvlText w:val="•"/>
      <w:lvlJc w:val="left"/>
      <w:pPr>
        <w:ind w:left="720" w:hanging="360"/>
      </w:pPr>
    </w:lvl>
  </w:abstractNum>
  <w:abstractNum w:abstractNumId="2">
    <w:nsid w:val="3BDFA9A6"/>
    <w:multiLevelType w:val="singleLevel"/>
    <w:tmpl w:val="3BDFA9A6"/>
    <w:lvl w:ilvl="0" w:tentative="0">
      <w:start w:val="1"/>
      <w:numFmt w:val="decimal"/>
      <w:lvlText w:val="%1."/>
      <w:lvlJc w:val="left"/>
      <w:pPr>
        <w:ind w:left="720" w:hanging="360"/>
      </w:pPr>
    </w:lvl>
  </w:abstractNum>
  <w:abstractNum w:abstractNumId="3">
    <w:nsid w:val="66FCB296"/>
    <w:multiLevelType w:val="singleLevel"/>
    <w:tmpl w:val="66FCB296"/>
    <w:lvl w:ilvl="0" w:tentative="0">
      <w:start w:val="1"/>
      <w:numFmt w:val="decimal"/>
      <w:lvlText w:val="%1."/>
      <w:lvlJc w:val="left"/>
      <w:pPr>
        <w:ind w:left="720" w:hanging="360"/>
      </w:pPr>
    </w:lvl>
  </w:abstractNum>
  <w:abstractNum w:abstractNumId="4">
    <w:nsid w:val="7E330185"/>
    <w:multiLevelType w:val="singleLevel"/>
    <w:tmpl w:val="7E330185"/>
    <w:lvl w:ilvl="0" w:tentative="0">
      <w:start w:val="1"/>
      <w:numFmt w:val="decimal"/>
      <w:lvlText w:val="%1."/>
      <w:lvlJc w:val="left"/>
      <w:pPr>
        <w:ind w:left="720" w:hanging="360"/>
      </w:pPr>
    </w:lvl>
  </w:abstractNum>
  <w:num w:numId="1">
    <w:abstractNumId w:val="2"/>
    <w:lvlOverride w:ilvl="0">
      <w:startOverride w:val="1"/>
    </w:lvlOverride>
  </w:num>
  <w:num w:numId="2">
    <w:abstractNumId w:val="4"/>
    <w:lvlOverride w:ilvl="0">
      <w:startOverride w:val="1"/>
    </w:lvlOverride>
  </w:num>
  <w:num w:numId="3">
    <w:abstractNumId w:val="0"/>
    <w:lvlOverride w:ilvl="0">
      <w:startOverride w:val="1"/>
    </w:lvlOverride>
  </w:num>
  <w:num w:numId="4">
    <w:abstractNumId w:val="1"/>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7FFFC5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1F3864" w:sz="6" w:space="4"/>
      </w:pBdr>
      <w:spacing w:before="360" w:after="200"/>
    </w:pPr>
    <w:rPr>
      <w:rFonts w:ascii="Calibri" w:hAnsi="Calibri" w:eastAsia="Calibri" w:cs="Calibri"/>
      <w:b/>
      <w:bCs/>
      <w:color w:val="1F3864"/>
      <w:sz w:val="30"/>
      <w:szCs w:val="30"/>
    </w:rPr>
  </w:style>
  <w:style w:type="paragraph" w:styleId="3">
    <w:name w:val="heading 2"/>
    <w:next w:val="1"/>
    <w:qFormat/>
    <w:uiPriority w:val="0"/>
    <w:pPr>
      <w:spacing w:before="240" w:after="140"/>
    </w:pPr>
    <w:rPr>
      <w:rFonts w:ascii="Calibri" w:hAnsi="Calibri" w:eastAsia="Calibri" w:cs="Calibri"/>
      <w:b/>
      <w:bCs/>
      <w:color w:val="2E5395"/>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8</TotalTime>
  <ScaleCrop>false</ScaleCrop>
  <LinksUpToDate>false</LinksUpToDate>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Pujith Soma</cp:lastModifiedBy>
  <dcterms:modified xsi:type="dcterms:W3CDTF">2026-08-19T09:05:28Z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0B19E236ACE6048A8024856AB151EE22_42</vt:lpwstr>
  </property>
</Properties>
</file>