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232E9">
      <w:pPr>
        <w:spacing w:after="240"/>
        <w:jc w:val="center"/>
        <w:rPr>
          <w:rFonts w:ascii="Calibri" w:hAnsi="Calibri" w:eastAsia="Calibri" w:cs="Calibri"/>
          <w:b/>
          <w:bCs/>
          <w:color w:val="000000"/>
          <w:sz w:val="30"/>
          <w:szCs w:val="30"/>
        </w:rPr>
      </w:pPr>
    </w:p>
    <w:p w14:paraId="6BF3CA8E">
      <w:pPr>
        <w:spacing w:after="240"/>
        <w:jc w:val="center"/>
      </w:pPr>
      <w:r>
        <w:rPr>
          <w:rFonts w:ascii="Calibri" w:hAnsi="Calibri" w:eastAsia="Calibri" w:cs="Calibri"/>
          <w:b/>
          <w:bCs/>
          <w:color w:val="000000"/>
          <w:sz w:val="30"/>
          <w:szCs w:val="30"/>
        </w:rPr>
        <w:t>Explainable Transformer-Based Emotion-Aware Customer Feedback Analysis</w:t>
      </w:r>
    </w:p>
    <w:p w14:paraId="10472F26">
      <w:pPr>
        <w:pStyle w:val="2"/>
        <w:spacing w:before="300" w:after="160"/>
      </w:pPr>
      <w:r>
        <w:rPr>
          <w:rFonts w:ascii="Calibri" w:hAnsi="Calibri" w:eastAsia="Calibri" w:cs="Calibri"/>
          <w:b/>
          <w:bCs/>
          <w:color w:val="000000"/>
          <w:sz w:val="26"/>
          <w:szCs w:val="26"/>
        </w:rPr>
        <w:t>Abstract</w:t>
      </w:r>
    </w:p>
    <w:p w14:paraId="1BE83E74">
      <w:pPr>
        <w:spacing w:after="200" w:line="276" w:lineRule="auto"/>
        <w:jc w:val="both"/>
      </w:pPr>
      <w:r>
        <w:rPr>
          <w:rFonts w:ascii="Calibri" w:hAnsi="Calibri" w:eastAsia="Calibri" w:cs="Calibri"/>
          <w:color w:val="000000"/>
          <w:sz w:val="22"/>
          <w:szCs w:val="22"/>
        </w:rPr>
        <w:t>Customer feedback carries far more information than a single positive, negative, or neutral label can express. Conventional sentiment analysis systems collapse this nuance into three broad categories and, worse, offer no insight into why a piece of text was scored the way it was. A business team reading "62% negative" has no way of knowing whether customers are angry, confused, or merely disappointed, or which words in the review actually drove that score. This project addresses both gaps at once by building an emotion-aware feedback analysis system that is fine-grained in its predictions and transparent in its reasoning.</w:t>
      </w:r>
    </w:p>
    <w:p w14:paraId="12DA5EE6">
      <w:pPr>
        <w:spacing w:after="200" w:line="276" w:lineRule="auto"/>
        <w:jc w:val="both"/>
      </w:pPr>
      <w:r>
        <w:rPr>
          <w:rFonts w:ascii="Calibri" w:hAnsi="Calibri" w:eastAsia="Calibri" w:cs="Calibri"/>
          <w:color w:val="000000"/>
          <w:sz w:val="22"/>
          <w:szCs w:val="22"/>
        </w:rPr>
        <w:t>The system fine-tunes a RoBERTa-base transformer as a multi-label classifier over the twenty-seven emotion categories defined by the GoEmotions taxonomy, plus a neutral class, trained with a binary cross-entropy objective so that co-occurring emotions such as joy and gratitude are not forced into mutually exclusive buckets. Per-label thresholds are tuned individually rather than applying one global cutoff, since rare emotions would otherwise be suppressed entirely. To make the output usable for a business audience, the twenty-seven fine-grained labels are further rolled up into four practical buckets — satisfaction, frustration, confusion, and concern — giving stakeholders a number they can act on rather than a wall of near-zero scores. A further refinement addresses reviews that pivot mid-sentence: rather than scoring an entire review as one unit, the text is split on sentence boundaries and contrastive connectives such as "but" or "however", and each resulting segment is scored independently, so a review that opens with praise and closes with a complaint surfaces both sentiments instead of averaging them away.</w:t>
      </w:r>
    </w:p>
    <w:p w14:paraId="2BCBE086">
      <w:pPr>
        <w:spacing w:after="200" w:line="276" w:lineRule="auto"/>
        <w:jc w:val="both"/>
      </w:pPr>
      <w:r>
        <w:rPr>
          <w:rFonts w:ascii="Calibri" w:hAnsi="Calibri" w:eastAsia="Calibri" w:cs="Calibri"/>
          <w:color w:val="000000"/>
          <w:sz w:val="22"/>
          <w:szCs w:val="22"/>
        </w:rPr>
        <w:t>Interpretability is provided through SHAP, which attributes each prediction to the specific tokens in the review that pushed the model toward a given emotion, letting a reader verify a prediction rather than simply trust it. The trained model is served through a FastAPI backend exposing prediction, segment-level analysis, explanation, and batch-processing endpoints, backed by PostgreSQL for persistence, Redis for caching SHAP results, and Celery for asynchronous processing of bulk review uploads. A React-based dashboard consumes these endpoints to present emotion distributions, bucket breakdowns, and trends over time. The model is trained on GoEmotions and evaluated using macro and micro F1 score, validation loss, and per-label precision and recall, while a sample of Amazon product reviews is used only for inference and demonstration, never for fine-tuning, in order to keep the domain shift between training and application data explicit rather than hidden.</w:t>
      </w:r>
    </w:p>
    <w:p w14:paraId="0E612320">
      <w:pPr>
        <w:spacing w:after="200" w:line="276" w:lineRule="auto"/>
        <w:jc w:val="both"/>
        <w:rPr>
          <w:rFonts w:ascii="Calibri" w:hAnsi="Calibri" w:eastAsia="Calibri" w:cs="Calibri"/>
          <w:color w:val="000000"/>
          <w:sz w:val="22"/>
          <w:szCs w:val="22"/>
        </w:rPr>
      </w:pPr>
    </w:p>
    <w:p w14:paraId="1479B420">
      <w:pPr>
        <w:spacing w:after="200" w:line="276" w:lineRule="auto"/>
        <w:jc w:val="both"/>
        <w:rPr>
          <w:rFonts w:ascii="Calibri" w:hAnsi="Calibri" w:eastAsia="Calibri" w:cs="Calibri"/>
          <w:color w:val="000000"/>
          <w:sz w:val="22"/>
          <w:szCs w:val="22"/>
        </w:rPr>
      </w:pPr>
    </w:p>
    <w:p w14:paraId="6806D2B1">
      <w:pPr>
        <w:spacing w:after="200" w:line="276" w:lineRule="auto"/>
        <w:jc w:val="both"/>
      </w:pPr>
      <w:r>
        <w:rPr>
          <w:rFonts w:ascii="Calibri" w:hAnsi="Calibri" w:eastAsia="Calibri" w:cs="Calibri"/>
          <w:color w:val="000000"/>
          <w:sz w:val="22"/>
          <w:szCs w:val="22"/>
        </w:rPr>
        <w:t>The resulting system is intended as a decision-support tool for customer service and product teams: instead of an opaque sentiment score, it delivers fine-grained, explainable, and segment-aware emotion analysis that can help organizations identify recurring complaints, emerging concerns, and the specific language driving customer dissatisfaction, supporting more informed product and service decisions.</w:t>
      </w:r>
    </w:p>
    <w:p w14:paraId="179AB87A">
      <w:pPr>
        <w:pStyle w:val="2"/>
        <w:spacing w:before="300" w:after="160"/>
      </w:pPr>
      <w:r>
        <w:rPr>
          <w:rFonts w:ascii="Calibri" w:hAnsi="Calibri" w:eastAsia="Calibri" w:cs="Calibri"/>
          <w:b/>
          <w:bCs/>
          <w:color w:val="000000"/>
          <w:sz w:val="26"/>
          <w:szCs w:val="26"/>
        </w:rPr>
        <w:t>Introduction</w:t>
      </w:r>
    </w:p>
    <w:p w14:paraId="49B6E68F">
      <w:pPr>
        <w:spacing w:after="200" w:line="276" w:lineRule="auto"/>
        <w:jc w:val="both"/>
      </w:pPr>
      <w:r>
        <w:rPr>
          <w:rFonts w:ascii="Calibri" w:hAnsi="Calibri" w:eastAsia="Calibri" w:cs="Calibri"/>
          <w:color w:val="000000"/>
          <w:sz w:val="22"/>
          <w:szCs w:val="22"/>
        </w:rPr>
        <w:t>Most sentiment analysis tools deployed in industry still reduce a customer review to one of three outcomes — positive, negative, or neutral. This is simple to compute but too coarse to be genuinely useful: a mildly annoyed customer and a furious one receive the same "negative" label, and a review that is grateful in one sentence and frustrated in the next gets averaged into a single, misleading verdict. Even where finer-grained emotion classifiers exist, they are typically black boxes — a stakeholder sees a score but has no way to check whether the model is responding to the actual substance of the complaint or to an unrelated artifact of the text.</w:t>
      </w:r>
    </w:p>
    <w:p w14:paraId="3F75BD17">
      <w:pPr>
        <w:spacing w:after="200" w:line="276" w:lineRule="auto"/>
        <w:jc w:val="both"/>
      </w:pPr>
      <w:r>
        <w:rPr>
          <w:rFonts w:ascii="Calibri" w:hAnsi="Calibri" w:eastAsia="Calibri" w:cs="Calibri"/>
          <w:color w:val="000000"/>
          <w:sz w:val="22"/>
          <w:szCs w:val="22"/>
        </w:rPr>
        <w:t>This project treats both limitations as first-class problems to be solved rather than accepted trade-offs. It builds a system that classifies customer feedback across twenty-seven distinct emotions instead of three sentiment classes, scores mixed reviews at the segment level instead of averaging them into one label, and attaches a SHAP-based explanation to every prediction so that the reasoning behind a score is visible rather than assumed.</w:t>
      </w:r>
    </w:p>
    <w:p w14:paraId="44D7F7C6">
      <w:pPr>
        <w:pStyle w:val="2"/>
        <w:spacing w:before="300" w:after="160"/>
      </w:pPr>
      <w:r>
        <w:rPr>
          <w:rFonts w:ascii="Calibri" w:hAnsi="Calibri" w:eastAsia="Calibri" w:cs="Calibri"/>
          <w:b/>
          <w:bCs/>
          <w:color w:val="000000"/>
          <w:sz w:val="26"/>
          <w:szCs w:val="26"/>
        </w:rPr>
        <w:t>Objectives</w:t>
      </w:r>
    </w:p>
    <w:p w14:paraId="41CE5F8B">
      <w:pPr>
        <w:pStyle w:val="18"/>
        <w:numPr>
          <w:ilvl w:val="0"/>
          <w:numId w:val="1"/>
        </w:numPr>
        <w:spacing w:after="100" w:line="276" w:lineRule="auto"/>
      </w:pPr>
      <w:r>
        <w:rPr>
          <w:rFonts w:ascii="Calibri" w:hAnsi="Calibri" w:eastAsia="Calibri" w:cs="Calibri"/>
          <w:color w:val="000000"/>
          <w:sz w:val="22"/>
          <w:szCs w:val="22"/>
        </w:rPr>
        <w:t>Classify customer feedback into fine-grained emotions (27 GoEmotions categories plus neutral) rather than a coarse three-way sentiment label.</w:t>
      </w:r>
    </w:p>
    <w:p w14:paraId="09553001">
      <w:pPr>
        <w:pStyle w:val="18"/>
        <w:numPr>
          <w:ilvl w:val="0"/>
          <w:numId w:val="1"/>
        </w:numPr>
        <w:spacing w:after="100" w:line="276" w:lineRule="auto"/>
      </w:pPr>
      <w:r>
        <w:rPr>
          <w:rFonts w:ascii="Calibri" w:hAnsi="Calibri" w:eastAsia="Calibri" w:cs="Calibri"/>
          <w:color w:val="000000"/>
          <w:sz w:val="22"/>
          <w:szCs w:val="22"/>
        </w:rPr>
        <w:t>Fine-tune a transformer-based language model (RoBERTa-base) for multi-label emotion classification, since a single review can carry more than one emotion at once.</w:t>
      </w:r>
    </w:p>
    <w:p w14:paraId="37ED41E5">
      <w:pPr>
        <w:pStyle w:val="18"/>
        <w:numPr>
          <w:ilvl w:val="0"/>
          <w:numId w:val="1"/>
        </w:numPr>
        <w:spacing w:after="100" w:line="276" w:lineRule="auto"/>
      </w:pPr>
      <w:r>
        <w:rPr>
          <w:rFonts w:ascii="Calibri" w:hAnsi="Calibri" w:eastAsia="Calibri" w:cs="Calibri"/>
          <w:color w:val="000000"/>
          <w:sz w:val="22"/>
          <w:szCs w:val="22"/>
        </w:rPr>
        <w:t>Provide token-level explanations for every prediction using SHAP, so that predictions are auditable rather than opaque.</w:t>
      </w:r>
    </w:p>
    <w:p w14:paraId="0FEDC796">
      <w:pPr>
        <w:pStyle w:val="18"/>
        <w:numPr>
          <w:ilvl w:val="0"/>
          <w:numId w:val="1"/>
        </w:numPr>
        <w:spacing w:after="100" w:line="276" w:lineRule="auto"/>
      </w:pPr>
      <w:r>
        <w:rPr>
          <w:rFonts w:ascii="Calibri" w:hAnsi="Calibri" w:eastAsia="Calibri" w:cs="Calibri"/>
          <w:color w:val="000000"/>
          <w:sz w:val="22"/>
          <w:szCs w:val="22"/>
        </w:rPr>
        <w:t>Score mixed-sentiment reviews at the segment level, so that a review with both praise and complaint is not collapsed into a single misleading label.</w:t>
      </w:r>
    </w:p>
    <w:p w14:paraId="1AEF052F">
      <w:pPr>
        <w:pStyle w:val="18"/>
        <w:numPr>
          <w:ilvl w:val="0"/>
          <w:numId w:val="1"/>
        </w:numPr>
        <w:spacing w:after="100" w:line="276" w:lineRule="auto"/>
      </w:pPr>
      <w:r>
        <w:rPr>
          <w:rFonts w:ascii="Calibri" w:hAnsi="Calibri" w:eastAsia="Calibri" w:cs="Calibri"/>
          <w:color w:val="000000"/>
          <w:sz w:val="22"/>
          <w:szCs w:val="22"/>
        </w:rPr>
        <w:t>Roll fine-grained emotions up into business-relevant buckets — satisfaction, frustration, confusion, and concern — so results are directly actionable.</w:t>
      </w:r>
    </w:p>
    <w:p w14:paraId="35F51059">
      <w:pPr>
        <w:pStyle w:val="18"/>
        <w:numPr>
          <w:ilvl w:val="0"/>
          <w:numId w:val="1"/>
        </w:numPr>
        <w:spacing w:after="100" w:line="276" w:lineRule="auto"/>
      </w:pPr>
      <w:r>
        <w:rPr>
          <w:rFonts w:ascii="Calibri" w:hAnsi="Calibri" w:eastAsia="Calibri" w:cs="Calibri"/>
          <w:color w:val="000000"/>
          <w:sz w:val="22"/>
          <w:szCs w:val="22"/>
        </w:rPr>
        <w:t>Expose the system through a REST API and a web dashboard so that predictions, explanations, and aggregate analytics can be consumed by non-technical stakeholders.</w:t>
      </w:r>
    </w:p>
    <w:p w14:paraId="3C16002E">
      <w:pPr>
        <w:pStyle w:val="18"/>
        <w:numPr>
          <w:ilvl w:val="0"/>
          <w:numId w:val="1"/>
        </w:numPr>
        <w:spacing w:after="100" w:line="276" w:lineRule="auto"/>
      </w:pPr>
      <w:r>
        <w:rPr>
          <w:rFonts w:ascii="Calibri" w:hAnsi="Calibri" w:eastAsia="Calibri" w:cs="Calibri"/>
          <w:color w:val="000000"/>
          <w:sz w:val="22"/>
          <w:szCs w:val="22"/>
        </w:rPr>
        <w:t>Evaluate the trained model using standard multi-label metrics (macro F1, micro F1, per-label precision and recall) and document where its predictions are and are not reliable.</w:t>
      </w:r>
    </w:p>
    <w:p w14:paraId="5B13F756">
      <w:pPr>
        <w:pStyle w:val="2"/>
        <w:spacing w:before="300" w:after="160"/>
      </w:pPr>
      <w:r>
        <w:rPr>
          <w:rFonts w:ascii="Calibri" w:hAnsi="Calibri" w:eastAsia="Calibri" w:cs="Calibri"/>
          <w:b/>
          <w:bCs/>
          <w:color w:val="000000"/>
          <w:sz w:val="26"/>
          <w:szCs w:val="26"/>
        </w:rPr>
        <w:t>Proposed System and Key Features</w:t>
      </w:r>
    </w:p>
    <w:p w14:paraId="6C8DF880">
      <w:pPr>
        <w:pStyle w:val="18"/>
        <w:numPr>
          <w:ilvl w:val="0"/>
          <w:numId w:val="1"/>
        </w:numPr>
        <w:spacing w:after="100" w:line="276" w:lineRule="auto"/>
      </w:pPr>
      <w:r>
        <w:rPr>
          <w:rFonts w:ascii="Calibri" w:hAnsi="Calibri" w:eastAsia="Calibri" w:cs="Calibri"/>
          <w:color w:val="000000"/>
          <w:sz w:val="22"/>
          <w:szCs w:val="22"/>
        </w:rPr>
        <w:t>Multi-label emotion classification across 27 GoEmotions categories plus neutral, using a sigmoid output per label instead of a mutually exclusive softmax, since emotions such as joy and gratitude can co-occur in the same review.</w:t>
      </w:r>
    </w:p>
    <w:p w14:paraId="0CC2F9E7">
      <w:pPr>
        <w:pStyle w:val="18"/>
        <w:numPr>
          <w:ilvl w:val="0"/>
          <w:numId w:val="1"/>
        </w:numPr>
        <w:spacing w:after="100" w:line="276" w:lineRule="auto"/>
      </w:pPr>
      <w:r>
        <w:rPr>
          <w:rFonts w:ascii="Calibri" w:hAnsi="Calibri" w:eastAsia="Calibri" w:cs="Calibri"/>
          <w:color w:val="000000"/>
          <w:sz w:val="22"/>
          <w:szCs w:val="22"/>
        </w:rPr>
        <w:t>Per-label decision thresholds tuned individually on a validation split, rather than one global 0.5 cutoff, so that rare emotions are not systematically suppressed.</w:t>
      </w:r>
    </w:p>
    <w:p w14:paraId="78634229">
      <w:pPr>
        <w:pStyle w:val="18"/>
        <w:numPr>
          <w:ilvl w:val="0"/>
          <w:numId w:val="1"/>
        </w:numPr>
        <w:spacing w:after="100" w:line="276" w:lineRule="auto"/>
      </w:pPr>
      <w:r>
        <w:rPr>
          <w:rFonts w:ascii="Calibri" w:hAnsi="Calibri" w:eastAsia="Calibri" w:cs="Calibri"/>
          <w:color w:val="000000"/>
          <w:sz w:val="22"/>
          <w:szCs w:val="22"/>
        </w:rPr>
        <w:t>Segment-level analysis that splits a review on sentence boundaries and contrastive connectives ("but", "however", "although", "unfortunately", and similar) and scores each segment independently, then selects a representative headline segment.</w:t>
      </w:r>
    </w:p>
    <w:p w14:paraId="2B64F8F3">
      <w:pPr>
        <w:pStyle w:val="18"/>
        <w:numPr>
          <w:ilvl w:val="0"/>
          <w:numId w:val="1"/>
        </w:numPr>
        <w:spacing w:after="100" w:line="276" w:lineRule="auto"/>
      </w:pPr>
      <w:r>
        <w:rPr>
          <w:rFonts w:ascii="Calibri" w:hAnsi="Calibri" w:eastAsia="Calibri" w:cs="Calibri"/>
          <w:color w:val="000000"/>
          <w:sz w:val="22"/>
          <w:szCs w:val="22"/>
        </w:rPr>
        <w:t>Roll-up of the 27 fine-grained emotions into four business buckets — satisfaction, frustration, confusion, and concern — with neutral reported separately as a coverage statistic rather than folded into any bucket.</w:t>
      </w:r>
    </w:p>
    <w:p w14:paraId="41C8942B">
      <w:pPr>
        <w:pStyle w:val="18"/>
        <w:numPr>
          <w:ilvl w:val="0"/>
          <w:numId w:val="1"/>
        </w:numPr>
        <w:spacing w:after="100" w:line="276" w:lineRule="auto"/>
      </w:pPr>
      <w:r>
        <w:rPr>
          <w:rFonts w:ascii="Calibri" w:hAnsi="Calibri" w:eastAsia="Calibri" w:cs="Calibri"/>
          <w:color w:val="000000"/>
          <w:sz w:val="22"/>
          <w:szCs w:val="22"/>
        </w:rPr>
        <w:t>SHAP-based token attribution for every prediction, cached in Redis by content hash so that repeated explanation requests on the same text are near-instant.</w:t>
      </w:r>
    </w:p>
    <w:p w14:paraId="5D534C79">
      <w:pPr>
        <w:pStyle w:val="18"/>
        <w:numPr>
          <w:ilvl w:val="0"/>
          <w:numId w:val="1"/>
        </w:numPr>
        <w:spacing w:after="100" w:line="276" w:lineRule="auto"/>
      </w:pPr>
      <w:r>
        <w:rPr>
          <w:rFonts w:ascii="Calibri" w:hAnsi="Calibri" w:eastAsia="Calibri" w:cs="Calibri"/>
          <w:color w:val="000000"/>
          <w:sz w:val="22"/>
          <w:szCs w:val="22"/>
        </w:rPr>
        <w:t>Asynchronous batch processing: a CSV of reviews can be uploaded, queued through Celery, and classified in the background, with job status available through a polling endpoint.</w:t>
      </w:r>
    </w:p>
    <w:p w14:paraId="1E7023E0">
      <w:pPr>
        <w:pStyle w:val="18"/>
        <w:numPr>
          <w:ilvl w:val="0"/>
          <w:numId w:val="1"/>
        </w:numPr>
        <w:spacing w:after="100" w:line="276" w:lineRule="auto"/>
      </w:pPr>
      <w:r>
        <w:rPr>
          <w:rFonts w:ascii="Calibri" w:hAnsi="Calibri" w:eastAsia="Calibri" w:cs="Calibri"/>
          <w:color w:val="000000"/>
          <w:sz w:val="22"/>
          <w:szCs w:val="22"/>
        </w:rPr>
        <w:t>An analytics layer that aggregates predictions into emotion-score distributions, bucket breakdowns, and trends over time for dashboard consumption.</w:t>
      </w:r>
    </w:p>
    <w:p w14:paraId="39D06C59">
      <w:pPr>
        <w:pStyle w:val="18"/>
        <w:numPr>
          <w:ilvl w:val="0"/>
          <w:numId w:val="1"/>
        </w:numPr>
        <w:spacing w:after="100" w:line="276" w:lineRule="auto"/>
      </w:pPr>
      <w:r>
        <w:rPr>
          <w:rFonts w:ascii="Calibri" w:hAnsi="Calibri" w:eastAsia="Calibri" w:cs="Calibri"/>
          <w:color w:val="000000"/>
          <w:sz w:val="22"/>
          <w:szCs w:val="22"/>
        </w:rPr>
        <w:t>Graceful degradation: the backend starts even if no trained model artifact or database is available at boot, and reports the state of each dependency through a health endpoint, rather than crashing outright.</w:t>
      </w:r>
    </w:p>
    <w:p w14:paraId="67B94204">
      <w:pPr>
        <w:pStyle w:val="2"/>
        <w:spacing w:before="300" w:after="160"/>
        <w:rPr>
          <w:rFonts w:ascii="Calibri" w:hAnsi="Calibri" w:eastAsia="Calibri" w:cs="Calibri"/>
          <w:b/>
          <w:bCs/>
          <w:color w:val="000000"/>
          <w:sz w:val="26"/>
          <w:szCs w:val="26"/>
        </w:rPr>
      </w:pPr>
    </w:p>
    <w:p w14:paraId="4F74A4A4">
      <w:pPr>
        <w:pStyle w:val="2"/>
        <w:spacing w:before="300" w:after="160"/>
        <w:rPr>
          <w:rFonts w:ascii="Calibri" w:hAnsi="Calibri" w:eastAsia="Calibri" w:cs="Calibri"/>
          <w:b/>
          <w:bCs/>
          <w:color w:val="000000"/>
          <w:sz w:val="26"/>
          <w:szCs w:val="26"/>
        </w:rPr>
      </w:pPr>
    </w:p>
    <w:p w14:paraId="7ECE5D0C">
      <w:pPr>
        <w:pStyle w:val="2"/>
        <w:spacing w:before="300" w:after="160"/>
        <w:rPr>
          <w:rFonts w:ascii="Calibri" w:hAnsi="Calibri" w:eastAsia="Calibri" w:cs="Calibri"/>
          <w:b/>
          <w:bCs/>
          <w:color w:val="000000"/>
          <w:sz w:val="26"/>
          <w:szCs w:val="26"/>
        </w:rPr>
      </w:pPr>
    </w:p>
    <w:p w14:paraId="4E02F0F7">
      <w:pPr>
        <w:pStyle w:val="2"/>
        <w:spacing w:before="300" w:after="160"/>
        <w:rPr>
          <w:rFonts w:ascii="Calibri" w:hAnsi="Calibri" w:eastAsia="Calibri" w:cs="Calibri"/>
          <w:b/>
          <w:bCs/>
          <w:color w:val="000000"/>
          <w:sz w:val="26"/>
          <w:szCs w:val="26"/>
        </w:rPr>
      </w:pPr>
    </w:p>
    <w:p w14:paraId="06FC5EEF">
      <w:pPr>
        <w:pStyle w:val="2"/>
        <w:spacing w:before="300" w:after="160"/>
        <w:rPr>
          <w:rFonts w:ascii="Calibri" w:hAnsi="Calibri" w:eastAsia="Calibri" w:cs="Calibri"/>
          <w:b/>
          <w:bCs/>
          <w:color w:val="000000"/>
          <w:sz w:val="26"/>
          <w:szCs w:val="26"/>
        </w:rPr>
      </w:pPr>
    </w:p>
    <w:p w14:paraId="120EEA2A">
      <w:pPr>
        <w:pStyle w:val="2"/>
        <w:spacing w:before="300" w:after="160"/>
        <w:rPr>
          <w:rFonts w:ascii="Calibri" w:hAnsi="Calibri" w:eastAsia="Calibri" w:cs="Calibri"/>
          <w:b/>
          <w:bCs/>
          <w:color w:val="000000"/>
          <w:sz w:val="26"/>
          <w:szCs w:val="26"/>
        </w:rPr>
      </w:pPr>
    </w:p>
    <w:p w14:paraId="103BD9EC">
      <w:pPr>
        <w:pStyle w:val="2"/>
        <w:spacing w:before="300" w:after="160"/>
        <w:rPr>
          <w:rFonts w:ascii="Calibri" w:hAnsi="Calibri" w:eastAsia="Calibri" w:cs="Calibri"/>
          <w:b/>
          <w:bCs/>
          <w:color w:val="000000"/>
          <w:sz w:val="26"/>
          <w:szCs w:val="26"/>
        </w:rPr>
      </w:pPr>
    </w:p>
    <w:p w14:paraId="43474A2F">
      <w:pPr>
        <w:pStyle w:val="2"/>
        <w:spacing w:before="300" w:after="160"/>
        <w:rPr>
          <w:rFonts w:ascii="Calibri" w:hAnsi="Calibri" w:eastAsia="Calibri" w:cs="Calibri"/>
          <w:b/>
          <w:bCs/>
          <w:color w:val="000000"/>
          <w:sz w:val="26"/>
          <w:szCs w:val="26"/>
        </w:rPr>
      </w:pPr>
    </w:p>
    <w:p w14:paraId="6F378BC0">
      <w:pPr>
        <w:pStyle w:val="2"/>
        <w:spacing w:before="300" w:after="160"/>
        <w:rPr>
          <w:rFonts w:ascii="Calibri" w:hAnsi="Calibri" w:eastAsia="Calibri" w:cs="Calibri"/>
          <w:b/>
          <w:bCs/>
          <w:color w:val="000000"/>
          <w:sz w:val="26"/>
          <w:szCs w:val="26"/>
        </w:rPr>
      </w:pPr>
    </w:p>
    <w:p w14:paraId="278A4C5F">
      <w:pPr>
        <w:pStyle w:val="2"/>
        <w:spacing w:before="300" w:after="160"/>
        <w:rPr>
          <w:rFonts w:ascii="Calibri" w:hAnsi="Calibri" w:eastAsia="Calibri" w:cs="Calibri"/>
          <w:b/>
          <w:bCs/>
          <w:color w:val="000000"/>
          <w:sz w:val="26"/>
          <w:szCs w:val="26"/>
        </w:rPr>
      </w:pPr>
      <w:r>
        <w:rPr>
          <w:rFonts w:ascii="Calibri" w:hAnsi="Calibri" w:eastAsia="Calibri" w:cs="Calibri"/>
          <w:b/>
          <w:bCs/>
          <w:color w:val="000000"/>
          <w:sz w:val="26"/>
          <w:szCs w:val="26"/>
        </w:rPr>
        <w:t>System Architecture / Approach</w:t>
      </w:r>
    </w:p>
    <w:p w14:paraId="743C317C">
      <w:pPr>
        <w:rPr>
          <w:rFonts w:ascii="Calibri" w:hAnsi="Calibri" w:eastAsia="Calibri" w:cs="Calibri"/>
          <w:b/>
          <w:bCs/>
          <w:color w:val="000000"/>
          <w:sz w:val="26"/>
          <w:szCs w:val="26"/>
        </w:rPr>
      </w:pPr>
    </w:p>
    <w:p w14:paraId="64DE1C90">
      <w:pPr>
        <w:rPr>
          <w:rFonts w:ascii="Calibri" w:hAnsi="Calibri" w:eastAsia="Calibri" w:cs="Calibri"/>
          <w:b/>
          <w:bCs/>
          <w:color w:val="000000"/>
          <w:sz w:val="26"/>
          <w:szCs w:val="26"/>
        </w:rPr>
      </w:pPr>
    </w:p>
    <w:p w14:paraId="28F3385A">
      <w:pPr>
        <w:spacing w:after="0"/>
        <w:jc w:val="center"/>
      </w:pPr>
      <w:r>
        <w:rPr>
          <w:rFonts w:ascii="Consolas" w:hAnsi="Consolas" w:eastAsia="Consolas" w:cs="Consolas"/>
          <w:color w:val="000000"/>
          <w:sz w:val="18"/>
          <w:szCs w:val="18"/>
        </w:rPr>
        <w:t>DATA SOURCES</w:t>
      </w:r>
    </w:p>
    <w:p w14:paraId="593605E4">
      <w:pPr>
        <w:spacing w:after="0"/>
        <w:jc w:val="center"/>
      </w:pPr>
      <w:r>
        <w:rPr>
          <w:rFonts w:ascii="Consolas" w:hAnsi="Consolas" w:eastAsia="Consolas" w:cs="Consolas"/>
          <w:color w:val="000000"/>
          <w:sz w:val="18"/>
          <w:szCs w:val="18"/>
        </w:rPr>
        <w:t>|</w:t>
      </w:r>
    </w:p>
    <w:p w14:paraId="1670739E">
      <w:pPr>
        <w:spacing w:after="0"/>
        <w:jc w:val="center"/>
      </w:pPr>
      <w:r>
        <w:rPr>
          <w:rFonts w:ascii="Consolas" w:hAnsi="Consolas" w:eastAsia="Consolas" w:cs="Consolas"/>
          <w:color w:val="000000"/>
          <w:sz w:val="18"/>
          <w:szCs w:val="18"/>
        </w:rPr>
        <w:t>GoEmotions (train)        Amazon Reviews Sample (inference/demo)</w:t>
      </w:r>
    </w:p>
    <w:p w14:paraId="748F5975">
      <w:pPr>
        <w:spacing w:after="0"/>
        <w:jc w:val="center"/>
      </w:pPr>
      <w:r>
        <w:rPr>
          <w:rFonts w:ascii="Consolas" w:hAnsi="Consolas" w:eastAsia="Consolas" w:cs="Consolas"/>
          <w:color w:val="000000"/>
          <w:sz w:val="18"/>
          <w:szCs w:val="18"/>
        </w:rPr>
        <w:t>|__________________________________|</w:t>
      </w:r>
    </w:p>
    <w:p w14:paraId="07C47A9E">
      <w:pPr>
        <w:spacing w:after="0"/>
        <w:jc w:val="center"/>
      </w:pPr>
      <w:r>
        <w:rPr>
          <w:rFonts w:ascii="Consolas" w:hAnsi="Consolas" w:eastAsia="Consolas" w:cs="Consolas"/>
          <w:color w:val="000000"/>
          <w:sz w:val="18"/>
          <w:szCs w:val="18"/>
        </w:rPr>
        <w:t>|</w:t>
      </w:r>
    </w:p>
    <w:p w14:paraId="55CB4E90">
      <w:pPr>
        <w:spacing w:after="0"/>
        <w:jc w:val="center"/>
      </w:pPr>
      <w:r>
        <w:rPr>
          <w:rFonts w:ascii="Consolas" w:hAnsi="Consolas" w:eastAsia="Consolas" w:cs="Consolas"/>
          <w:color w:val="000000"/>
          <w:sz w:val="18"/>
          <w:szCs w:val="18"/>
        </w:rPr>
        <w:t>Data Preprocessing</w:t>
      </w:r>
    </w:p>
    <w:p w14:paraId="03D6A5C5">
      <w:pPr>
        <w:spacing w:after="0"/>
        <w:jc w:val="center"/>
      </w:pPr>
      <w:r>
        <w:rPr>
          <w:rFonts w:ascii="Consolas" w:hAnsi="Consolas" w:eastAsia="Consolas" w:cs="Consolas"/>
          <w:color w:val="000000"/>
          <w:sz w:val="18"/>
          <w:szCs w:val="18"/>
        </w:rPr>
        <w:t>|</w:t>
      </w:r>
    </w:p>
    <w:p w14:paraId="50DC70C5">
      <w:pPr>
        <w:spacing w:after="0"/>
        <w:jc w:val="center"/>
      </w:pPr>
      <w:r>
        <w:rPr>
          <w:rFonts w:ascii="Consolas" w:hAnsi="Consolas" w:eastAsia="Consolas" w:cs="Consolas"/>
          <w:color w:val="000000"/>
          <w:sz w:val="18"/>
          <w:szCs w:val="18"/>
        </w:rPr>
        <w:t>RoBERTa Tokenizer</w:t>
      </w:r>
    </w:p>
    <w:p w14:paraId="7A50EB32">
      <w:pPr>
        <w:spacing w:after="0"/>
        <w:jc w:val="center"/>
      </w:pPr>
      <w:r>
        <w:rPr>
          <w:rFonts w:ascii="Consolas" w:hAnsi="Consolas" w:eastAsia="Consolas" w:cs="Consolas"/>
          <w:color w:val="000000"/>
          <w:sz w:val="18"/>
          <w:szCs w:val="18"/>
        </w:rPr>
        <w:t>|</w:t>
      </w:r>
    </w:p>
    <w:p w14:paraId="55EF7106">
      <w:pPr>
        <w:spacing w:after="0"/>
        <w:jc w:val="center"/>
      </w:pPr>
      <w:r>
        <w:rPr>
          <w:rFonts w:ascii="Consolas" w:hAnsi="Consolas" w:eastAsia="Consolas" w:cs="Consolas"/>
          <w:color w:val="000000"/>
          <w:sz w:val="18"/>
          <w:szCs w:val="18"/>
        </w:rPr>
        <w:t>RoBERTa-base Encoder (fine-tuned, 125M params)</w:t>
      </w:r>
    </w:p>
    <w:p w14:paraId="4748A347">
      <w:pPr>
        <w:spacing w:after="0"/>
        <w:jc w:val="center"/>
      </w:pPr>
      <w:r>
        <w:rPr>
          <w:rFonts w:ascii="Consolas" w:hAnsi="Consolas" w:eastAsia="Consolas" w:cs="Consolas"/>
          <w:color w:val="000000"/>
          <w:sz w:val="18"/>
          <w:szCs w:val="18"/>
        </w:rPr>
        <w:t>|</w:t>
      </w:r>
    </w:p>
    <w:p w14:paraId="69045F10">
      <w:pPr>
        <w:spacing w:after="0"/>
        <w:jc w:val="center"/>
      </w:pPr>
      <w:r>
        <w:rPr>
          <w:rFonts w:ascii="Consolas" w:hAnsi="Consolas" w:eastAsia="Consolas" w:cs="Consolas"/>
          <w:color w:val="000000"/>
          <w:sz w:val="18"/>
          <w:szCs w:val="18"/>
        </w:rPr>
        <w:t>Multi-Label Classification Head</w:t>
      </w:r>
    </w:p>
    <w:p w14:paraId="1CD47BC7">
      <w:pPr>
        <w:spacing w:after="0"/>
        <w:jc w:val="center"/>
      </w:pPr>
      <w:r>
        <w:rPr>
          <w:rFonts w:ascii="Consolas" w:hAnsi="Consolas" w:eastAsia="Consolas" w:cs="Consolas"/>
          <w:color w:val="000000"/>
          <w:sz w:val="18"/>
          <w:szCs w:val="18"/>
        </w:rPr>
        <w:t>(BCEWithLogitsLoss, sigmoid over 28 labels: 27 emotions + neutral)</w:t>
      </w:r>
    </w:p>
    <w:p w14:paraId="0D8F2D20">
      <w:pPr>
        <w:spacing w:after="0"/>
        <w:jc w:val="center"/>
      </w:pPr>
      <w:r>
        <w:rPr>
          <w:rFonts w:ascii="Consolas" w:hAnsi="Consolas" w:eastAsia="Consolas" w:cs="Consolas"/>
          <w:color w:val="000000"/>
          <w:sz w:val="18"/>
          <w:szCs w:val="18"/>
        </w:rPr>
        <w:t>|</w:t>
      </w:r>
    </w:p>
    <w:p w14:paraId="54C9DC53">
      <w:pPr>
        <w:spacing w:after="0"/>
        <w:jc w:val="center"/>
      </w:pPr>
      <w:r>
        <w:rPr>
          <w:rFonts w:ascii="Consolas" w:hAnsi="Consolas" w:eastAsia="Consolas" w:cs="Consolas"/>
          <w:color w:val="000000"/>
          <w:sz w:val="18"/>
          <w:szCs w:val="18"/>
        </w:rPr>
        <w:t>Segment-Level Scoring</w:t>
      </w:r>
    </w:p>
    <w:p w14:paraId="4B3D21B6">
      <w:pPr>
        <w:spacing w:after="0"/>
        <w:jc w:val="center"/>
      </w:pPr>
      <w:r>
        <w:rPr>
          <w:rFonts w:ascii="Consolas" w:hAnsi="Consolas" w:eastAsia="Consolas" w:cs="Consolas"/>
          <w:color w:val="000000"/>
          <w:sz w:val="18"/>
          <w:szCs w:val="18"/>
        </w:rPr>
        <w:t>(split on sentence boundaries + contrastive connectives)</w:t>
      </w:r>
    </w:p>
    <w:p w14:paraId="1D8B8367">
      <w:pPr>
        <w:spacing w:after="0"/>
        <w:jc w:val="center"/>
      </w:pPr>
      <w:r>
        <w:rPr>
          <w:rFonts w:ascii="Consolas" w:hAnsi="Consolas" w:eastAsia="Consolas" w:cs="Consolas"/>
          <w:color w:val="000000"/>
          <w:sz w:val="18"/>
          <w:szCs w:val="18"/>
        </w:rPr>
        <w:t>|</w:t>
      </w:r>
    </w:p>
    <w:p w14:paraId="3E65FF74">
      <w:pPr>
        <w:spacing w:after="0"/>
        <w:jc w:val="center"/>
      </w:pPr>
      <w:r>
        <w:rPr>
          <w:rFonts w:ascii="Consolas" w:hAnsi="Consolas" w:eastAsia="Consolas" w:cs="Consolas"/>
          <w:color w:val="000000"/>
          <w:sz w:val="18"/>
          <w:szCs w:val="18"/>
        </w:rPr>
        <w:t>Per-Label Tuned Thresholds</w:t>
      </w:r>
    </w:p>
    <w:p w14:paraId="4B120150">
      <w:pPr>
        <w:spacing w:after="0"/>
        <w:jc w:val="center"/>
      </w:pPr>
      <w:r>
        <w:rPr>
          <w:rFonts w:ascii="Consolas" w:hAnsi="Consolas" w:eastAsia="Consolas" w:cs="Consolas"/>
          <w:color w:val="000000"/>
          <w:sz w:val="18"/>
          <w:szCs w:val="18"/>
        </w:rPr>
        <w:t>|________________________|</w:t>
      </w:r>
    </w:p>
    <w:p w14:paraId="7BBD2CE9">
      <w:pPr>
        <w:spacing w:after="0"/>
        <w:jc w:val="center"/>
      </w:pPr>
      <w:r>
        <w:rPr>
          <w:rFonts w:ascii="Consolas" w:hAnsi="Consolas" w:eastAsia="Consolas" w:cs="Consolas"/>
          <w:color w:val="000000"/>
          <w:sz w:val="18"/>
          <w:szCs w:val="18"/>
        </w:rPr>
        <w:t>|                        |</w:t>
      </w:r>
    </w:p>
    <w:p w14:paraId="25EA0E63">
      <w:pPr>
        <w:spacing w:after="0"/>
        <w:jc w:val="center"/>
      </w:pPr>
      <w:r>
        <w:rPr>
          <w:rFonts w:ascii="Consolas" w:hAnsi="Consolas" w:eastAsia="Consolas" w:cs="Consolas"/>
          <w:color w:val="000000"/>
          <w:sz w:val="18"/>
          <w:szCs w:val="18"/>
        </w:rPr>
        <w:t>Business Bucket Mapping   SHAP Explainability Layer</w:t>
      </w:r>
    </w:p>
    <w:p w14:paraId="3C729D25">
      <w:pPr>
        <w:spacing w:after="0"/>
        <w:jc w:val="center"/>
      </w:pPr>
      <w:r>
        <w:rPr>
          <w:rFonts w:ascii="Consolas" w:hAnsi="Consolas" w:eastAsia="Consolas" w:cs="Consolas"/>
          <w:color w:val="000000"/>
          <w:sz w:val="18"/>
          <w:szCs w:val="18"/>
        </w:rPr>
        <w:t>(satisfaction / frustration /   (token-level attributions,</w:t>
      </w:r>
    </w:p>
    <w:p w14:paraId="68A89CFF">
      <w:pPr>
        <w:spacing w:after="0"/>
        <w:jc w:val="center"/>
      </w:pPr>
      <w:r>
        <w:rPr>
          <w:rFonts w:ascii="Consolas" w:hAnsi="Consolas" w:eastAsia="Consolas" w:cs="Consolas"/>
          <w:color w:val="000000"/>
          <w:sz w:val="18"/>
          <w:szCs w:val="18"/>
        </w:rPr>
        <w:t xml:space="preserve"> confusion / concern)            Redis-cached)</w:t>
      </w:r>
    </w:p>
    <w:p w14:paraId="65A9A60D">
      <w:pPr>
        <w:spacing w:after="0"/>
        <w:jc w:val="center"/>
      </w:pPr>
      <w:r>
        <w:rPr>
          <w:rFonts w:ascii="Consolas" w:hAnsi="Consolas" w:eastAsia="Consolas" w:cs="Consolas"/>
          <w:color w:val="000000"/>
          <w:sz w:val="18"/>
          <w:szCs w:val="18"/>
        </w:rPr>
        <w:t>|________________________|</w:t>
      </w:r>
    </w:p>
    <w:p w14:paraId="382AFEDE">
      <w:pPr>
        <w:spacing w:after="0"/>
        <w:jc w:val="center"/>
      </w:pPr>
      <w:r>
        <w:rPr>
          <w:rFonts w:ascii="Consolas" w:hAnsi="Consolas" w:eastAsia="Consolas" w:cs="Consolas"/>
          <w:color w:val="000000"/>
          <w:sz w:val="18"/>
          <w:szCs w:val="18"/>
        </w:rPr>
        <w:t>|</w:t>
      </w:r>
    </w:p>
    <w:p w14:paraId="5C748859">
      <w:pPr>
        <w:spacing w:after="0"/>
        <w:jc w:val="center"/>
      </w:pPr>
      <w:r>
        <w:rPr>
          <w:rFonts w:ascii="Consolas" w:hAnsi="Consolas" w:eastAsia="Consolas" w:cs="Consolas"/>
          <w:color w:val="000000"/>
          <w:sz w:val="18"/>
          <w:szCs w:val="18"/>
        </w:rPr>
        <w:t>Human-Readable Explanation</w:t>
      </w:r>
    </w:p>
    <w:p w14:paraId="2B9C1ADD">
      <w:pPr>
        <w:spacing w:after="0"/>
        <w:jc w:val="center"/>
      </w:pPr>
      <w:r>
        <w:rPr>
          <w:rFonts w:ascii="Consolas" w:hAnsi="Consolas" w:eastAsia="Consolas" w:cs="Consolas"/>
          <w:color w:val="000000"/>
          <w:sz w:val="18"/>
          <w:szCs w:val="18"/>
        </w:rPr>
        <w:t>|</w:t>
      </w:r>
    </w:p>
    <w:p w14:paraId="30E28EBE">
      <w:pPr>
        <w:spacing w:after="0"/>
        <w:jc w:val="center"/>
      </w:pPr>
      <w:r>
        <w:rPr>
          <w:rFonts w:ascii="Consolas" w:hAnsi="Consolas" w:eastAsia="Consolas" w:cs="Consolas"/>
          <w:color w:val="000000"/>
          <w:sz w:val="18"/>
          <w:szCs w:val="18"/>
        </w:rPr>
        <w:t>Customer Emotion Analytics</w:t>
      </w:r>
    </w:p>
    <w:p w14:paraId="67759AFC">
      <w:pPr>
        <w:spacing w:after="0"/>
        <w:jc w:val="center"/>
      </w:pPr>
      <w:r>
        <w:rPr>
          <w:rFonts w:ascii="Consolas" w:hAnsi="Consolas" w:eastAsia="Consolas" w:cs="Consolas"/>
          <w:color w:val="000000"/>
          <w:sz w:val="18"/>
          <w:szCs w:val="18"/>
        </w:rPr>
        <w:t>(FastAPI + PostgreSQL + Celery batch jobs)</w:t>
      </w:r>
    </w:p>
    <w:p w14:paraId="735F2B2B">
      <w:pPr>
        <w:spacing w:after="0"/>
        <w:jc w:val="center"/>
      </w:pPr>
      <w:r>
        <w:rPr>
          <w:rFonts w:ascii="Consolas" w:hAnsi="Consolas" w:eastAsia="Consolas" w:cs="Consolas"/>
          <w:color w:val="000000"/>
          <w:sz w:val="18"/>
          <w:szCs w:val="18"/>
        </w:rPr>
        <w:t>|</w:t>
      </w:r>
    </w:p>
    <w:p w14:paraId="15AD2F07">
      <w:pPr>
        <w:spacing w:after="0"/>
        <w:jc w:val="center"/>
      </w:pPr>
      <w:r>
        <w:rPr>
          <w:rFonts w:ascii="Consolas" w:hAnsi="Consolas" w:eastAsia="Consolas" w:cs="Consolas"/>
          <w:color w:val="000000"/>
          <w:sz w:val="18"/>
          <w:szCs w:val="18"/>
        </w:rPr>
        <w:t>Actionable Insights</w:t>
      </w:r>
    </w:p>
    <w:p w14:paraId="1EE15159">
      <w:pPr>
        <w:spacing w:after="0"/>
        <w:jc w:val="center"/>
      </w:pPr>
      <w:r>
        <w:rPr>
          <w:rFonts w:ascii="Consolas" w:hAnsi="Consolas" w:eastAsia="Consolas" w:cs="Consolas"/>
          <w:color w:val="000000"/>
          <w:sz w:val="18"/>
          <w:szCs w:val="18"/>
        </w:rPr>
        <w:t>|</w:t>
      </w:r>
    </w:p>
    <w:p w14:paraId="4B7B517A">
      <w:pPr>
        <w:spacing w:after="0"/>
        <w:jc w:val="center"/>
      </w:pPr>
      <w:r>
        <w:rPr>
          <w:rFonts w:ascii="Consolas" w:hAnsi="Consolas" w:eastAsia="Consolas" w:cs="Consolas"/>
          <w:color w:val="000000"/>
          <w:sz w:val="18"/>
          <w:szCs w:val="18"/>
        </w:rPr>
        <w:t>React Web Dashboard</w:t>
      </w:r>
    </w:p>
    <w:p w14:paraId="2B926D86">
      <w:pPr>
        <w:spacing w:after="200"/>
      </w:pPr>
    </w:p>
    <w:p w14:paraId="467FF796">
      <w:pPr>
        <w:pStyle w:val="2"/>
        <w:spacing w:before="300" w:after="160"/>
      </w:pPr>
      <w:r>
        <w:rPr>
          <w:rFonts w:ascii="Calibri" w:hAnsi="Calibri" w:eastAsia="Calibri" w:cs="Calibri"/>
          <w:b/>
          <w:bCs/>
          <w:color w:val="000000"/>
          <w:sz w:val="26"/>
          <w:szCs w:val="26"/>
        </w:rPr>
        <w:t>Technology Stack</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50"/>
      </w:tblGrid>
      <w:tr w14:paraId="4787A40C">
        <w:tc>
          <w:tcPr>
            <w:tcW w:w="2200" w:type="dxa"/>
            <w:shd w:val="clear" w:color="auto" w:fill="E7E6E6"/>
            <w:tcMar>
              <w:top w:w="100" w:type="dxa"/>
              <w:left w:w="120" w:type="dxa"/>
              <w:bottom w:w="100" w:type="dxa"/>
              <w:right w:w="120" w:type="dxa"/>
            </w:tcMar>
            <w:vAlign w:val="center"/>
          </w:tcPr>
          <w:p w14:paraId="1E86A238">
            <w:r>
              <w:rPr>
                <w:rFonts w:ascii="Calibri" w:hAnsi="Calibri" w:eastAsia="Calibri" w:cs="Calibri"/>
                <w:b/>
                <w:bCs/>
                <w:color w:val="000000"/>
                <w:sz w:val="20"/>
                <w:szCs w:val="20"/>
              </w:rPr>
              <w:t>Layer</w:t>
            </w:r>
          </w:p>
        </w:tc>
        <w:tc>
          <w:tcPr>
            <w:tcW w:w="7150" w:type="dxa"/>
            <w:shd w:val="clear" w:color="auto" w:fill="E7E6E6"/>
            <w:tcMar>
              <w:top w:w="100" w:type="dxa"/>
              <w:left w:w="120" w:type="dxa"/>
              <w:bottom w:w="100" w:type="dxa"/>
              <w:right w:w="120" w:type="dxa"/>
            </w:tcMar>
            <w:vAlign w:val="center"/>
          </w:tcPr>
          <w:p w14:paraId="5FE2705B">
            <w:r>
              <w:rPr>
                <w:rFonts w:ascii="Calibri" w:hAnsi="Calibri" w:eastAsia="Calibri" w:cs="Calibri"/>
                <w:b/>
                <w:bCs/>
                <w:color w:val="000000"/>
                <w:sz w:val="20"/>
                <w:szCs w:val="20"/>
              </w:rPr>
              <w:t>Technologies</w:t>
            </w:r>
          </w:p>
        </w:tc>
      </w:tr>
      <w:tr w14:paraId="2CA6BC22">
        <w:tc>
          <w:tcPr>
            <w:tcW w:w="2200" w:type="dxa"/>
            <w:tcMar>
              <w:top w:w="100" w:type="dxa"/>
              <w:left w:w="120" w:type="dxa"/>
              <w:bottom w:w="100" w:type="dxa"/>
              <w:right w:w="120" w:type="dxa"/>
            </w:tcMar>
            <w:vAlign w:val="center"/>
          </w:tcPr>
          <w:p w14:paraId="2CFBFDDD">
            <w:r>
              <w:rPr>
                <w:rFonts w:ascii="Calibri" w:hAnsi="Calibri" w:eastAsia="Calibri" w:cs="Calibri"/>
                <w:b w:val="0"/>
                <w:bCs w:val="0"/>
                <w:color w:val="000000"/>
                <w:sz w:val="20"/>
                <w:szCs w:val="20"/>
              </w:rPr>
              <w:t>Machine Learning</w:t>
            </w:r>
          </w:p>
        </w:tc>
        <w:tc>
          <w:tcPr>
            <w:tcW w:w="7150" w:type="dxa"/>
            <w:tcMar>
              <w:top w:w="100" w:type="dxa"/>
              <w:left w:w="120" w:type="dxa"/>
              <w:bottom w:w="100" w:type="dxa"/>
              <w:right w:w="120" w:type="dxa"/>
            </w:tcMar>
            <w:vAlign w:val="center"/>
          </w:tcPr>
          <w:p w14:paraId="1C194C52">
            <w:r>
              <w:rPr>
                <w:rFonts w:ascii="Calibri" w:hAnsi="Calibri" w:eastAsia="Calibri" w:cs="Calibri"/>
                <w:b w:val="0"/>
                <w:bCs w:val="0"/>
                <w:color w:val="000000"/>
                <w:sz w:val="20"/>
                <w:szCs w:val="20"/>
              </w:rPr>
              <w:t>Python 3.11, HuggingFace transformers and datasets, roberta-base (125M parameters) fine-tuned for multi-label classification, SHAP for explainability.</w:t>
            </w:r>
          </w:p>
        </w:tc>
      </w:tr>
      <w:tr w14:paraId="03AF0F82">
        <w:tc>
          <w:tcPr>
            <w:tcW w:w="2200" w:type="dxa"/>
            <w:tcMar>
              <w:top w:w="100" w:type="dxa"/>
              <w:left w:w="120" w:type="dxa"/>
              <w:bottom w:w="100" w:type="dxa"/>
              <w:right w:w="120" w:type="dxa"/>
            </w:tcMar>
            <w:vAlign w:val="center"/>
          </w:tcPr>
          <w:p w14:paraId="10E4A7AF">
            <w:r>
              <w:rPr>
                <w:rFonts w:ascii="Calibri" w:hAnsi="Calibri" w:eastAsia="Calibri" w:cs="Calibri"/>
                <w:b w:val="0"/>
                <w:bCs w:val="0"/>
                <w:color w:val="000000"/>
                <w:sz w:val="20"/>
                <w:szCs w:val="20"/>
              </w:rPr>
              <w:t>Backend</w:t>
            </w:r>
          </w:p>
        </w:tc>
        <w:tc>
          <w:tcPr>
            <w:tcW w:w="7150" w:type="dxa"/>
            <w:tcMar>
              <w:top w:w="100" w:type="dxa"/>
              <w:left w:w="120" w:type="dxa"/>
              <w:bottom w:w="100" w:type="dxa"/>
              <w:right w:w="120" w:type="dxa"/>
            </w:tcMar>
            <w:vAlign w:val="center"/>
          </w:tcPr>
          <w:p w14:paraId="1C36481A">
            <w:r>
              <w:rPr>
                <w:rFonts w:ascii="Calibri" w:hAnsi="Calibri" w:eastAsia="Calibri" w:cs="Calibri"/>
                <w:b w:val="0"/>
                <w:bCs w:val="0"/>
                <w:color w:val="000000"/>
                <w:sz w:val="20"/>
                <w:szCs w:val="20"/>
              </w:rPr>
              <w:t>FastAPI (async), Pydantic v2, PostgreSQL via SQLAlchemy (asyncpg), Redis for SHAP result caching, Celery for asynchronous batch CSV processing, an in-process token-bucket rate limiter.</w:t>
            </w:r>
          </w:p>
        </w:tc>
      </w:tr>
      <w:tr w14:paraId="28E09DFA">
        <w:tc>
          <w:tcPr>
            <w:tcW w:w="2200" w:type="dxa"/>
            <w:tcMar>
              <w:top w:w="100" w:type="dxa"/>
              <w:left w:w="120" w:type="dxa"/>
              <w:bottom w:w="100" w:type="dxa"/>
              <w:right w:w="120" w:type="dxa"/>
            </w:tcMar>
            <w:vAlign w:val="center"/>
          </w:tcPr>
          <w:p w14:paraId="43177BB0">
            <w:r>
              <w:rPr>
                <w:rFonts w:ascii="Calibri" w:hAnsi="Calibri" w:eastAsia="Calibri" w:cs="Calibri"/>
                <w:b w:val="0"/>
                <w:bCs w:val="0"/>
                <w:color w:val="000000"/>
                <w:sz w:val="20"/>
                <w:szCs w:val="20"/>
              </w:rPr>
              <w:t>Frontend</w:t>
            </w:r>
          </w:p>
        </w:tc>
        <w:tc>
          <w:tcPr>
            <w:tcW w:w="7150" w:type="dxa"/>
            <w:tcMar>
              <w:top w:w="100" w:type="dxa"/>
              <w:left w:w="120" w:type="dxa"/>
              <w:bottom w:w="100" w:type="dxa"/>
              <w:right w:w="120" w:type="dxa"/>
            </w:tcMar>
            <w:vAlign w:val="center"/>
          </w:tcPr>
          <w:p w14:paraId="2B14ECDD">
            <w:r>
              <w:rPr>
                <w:rFonts w:ascii="Calibri" w:hAnsi="Calibri" w:eastAsia="Calibri" w:cs="Calibri"/>
                <w:b w:val="0"/>
                <w:bCs w:val="0"/>
                <w:color w:val="000000"/>
                <w:sz w:val="20"/>
                <w:szCs w:val="20"/>
              </w:rPr>
              <w:t>React 18 with Vite, Tailwind CSS, TanStack Query for data fetching and caching, Recharts for charts, React Router 6.</w:t>
            </w:r>
          </w:p>
        </w:tc>
      </w:tr>
      <w:tr w14:paraId="115F5521">
        <w:tc>
          <w:tcPr>
            <w:tcW w:w="2200" w:type="dxa"/>
            <w:tcMar>
              <w:top w:w="100" w:type="dxa"/>
              <w:left w:w="120" w:type="dxa"/>
              <w:bottom w:w="100" w:type="dxa"/>
              <w:right w:w="120" w:type="dxa"/>
            </w:tcMar>
            <w:vAlign w:val="center"/>
          </w:tcPr>
          <w:p w14:paraId="38BE24F2">
            <w:r>
              <w:rPr>
                <w:rFonts w:ascii="Calibri" w:hAnsi="Calibri" w:eastAsia="Calibri" w:cs="Calibri"/>
                <w:b w:val="0"/>
                <w:bCs w:val="0"/>
                <w:color w:val="000000"/>
                <w:sz w:val="20"/>
                <w:szCs w:val="20"/>
              </w:rPr>
              <w:t>Infrastructure</w:t>
            </w:r>
          </w:p>
        </w:tc>
        <w:tc>
          <w:tcPr>
            <w:tcW w:w="7150" w:type="dxa"/>
            <w:tcMar>
              <w:top w:w="100" w:type="dxa"/>
              <w:left w:w="120" w:type="dxa"/>
              <w:bottom w:w="100" w:type="dxa"/>
              <w:right w:w="120" w:type="dxa"/>
            </w:tcMar>
            <w:vAlign w:val="center"/>
          </w:tcPr>
          <w:p w14:paraId="0EC94915">
            <w:r>
              <w:rPr>
                <w:rFonts w:ascii="Calibri" w:hAnsi="Calibri" w:eastAsia="Calibri" w:cs="Calibri"/>
                <w:b w:val="0"/>
                <w:bCs w:val="0"/>
                <w:color w:val="000000"/>
                <w:sz w:val="20"/>
                <w:szCs w:val="20"/>
              </w:rPr>
              <w:t>Docker Compose for local development (Postgres, Redis, backend, Celery worker, frontend); Render for the API, worker, database, and Redis; Vercel for the static frontend; model training run on Google Colab (GPU).</w:t>
            </w:r>
          </w:p>
        </w:tc>
      </w:tr>
    </w:tbl>
    <w:p w14:paraId="21A96786">
      <w:pPr>
        <w:spacing w:after="200"/>
      </w:pPr>
    </w:p>
    <w:p w14:paraId="6ABA68DD">
      <w:pPr>
        <w:pStyle w:val="2"/>
        <w:spacing w:before="300" w:after="160"/>
      </w:pPr>
      <w:r>
        <w:rPr>
          <w:rFonts w:ascii="Calibri" w:hAnsi="Calibri" w:eastAsia="Calibri" w:cs="Calibri"/>
          <w:b/>
          <w:bCs/>
          <w:color w:val="000000"/>
          <w:sz w:val="26"/>
          <w:szCs w:val="26"/>
        </w:rPr>
        <w:t>Datasets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50"/>
      </w:tblGrid>
      <w:tr w14:paraId="20A39366">
        <w:tc>
          <w:tcPr>
            <w:tcW w:w="3000" w:type="dxa"/>
            <w:shd w:val="clear" w:color="auto" w:fill="E7E6E6"/>
            <w:tcMar>
              <w:top w:w="100" w:type="dxa"/>
              <w:left w:w="120" w:type="dxa"/>
              <w:bottom w:w="100" w:type="dxa"/>
              <w:right w:w="120" w:type="dxa"/>
            </w:tcMar>
            <w:vAlign w:val="center"/>
          </w:tcPr>
          <w:p w14:paraId="56E3A938">
            <w:r>
              <w:rPr>
                <w:rFonts w:ascii="Calibri" w:hAnsi="Calibri" w:eastAsia="Calibri" w:cs="Calibri"/>
                <w:b/>
                <w:bCs/>
                <w:color w:val="000000"/>
                <w:sz w:val="20"/>
                <w:szCs w:val="20"/>
              </w:rPr>
              <w:t>Dataset</w:t>
            </w:r>
          </w:p>
        </w:tc>
        <w:tc>
          <w:tcPr>
            <w:tcW w:w="6350" w:type="dxa"/>
            <w:shd w:val="clear" w:color="auto" w:fill="E7E6E6"/>
            <w:tcMar>
              <w:top w:w="100" w:type="dxa"/>
              <w:left w:w="120" w:type="dxa"/>
              <w:bottom w:w="100" w:type="dxa"/>
              <w:right w:w="120" w:type="dxa"/>
            </w:tcMar>
            <w:vAlign w:val="center"/>
          </w:tcPr>
          <w:p w14:paraId="670CB276">
            <w:r>
              <w:rPr>
                <w:rFonts w:ascii="Calibri" w:hAnsi="Calibri" w:eastAsia="Calibri" w:cs="Calibri"/>
                <w:b/>
                <w:bCs/>
                <w:color w:val="000000"/>
                <w:sz w:val="20"/>
                <w:szCs w:val="20"/>
              </w:rPr>
              <w:t>Role in the Project</w:t>
            </w:r>
          </w:p>
        </w:tc>
      </w:tr>
      <w:tr w14:paraId="7E78C356">
        <w:tc>
          <w:tcPr>
            <w:tcW w:w="3000" w:type="dxa"/>
            <w:tcMar>
              <w:top w:w="100" w:type="dxa"/>
              <w:left w:w="120" w:type="dxa"/>
              <w:bottom w:w="100" w:type="dxa"/>
              <w:right w:w="120" w:type="dxa"/>
            </w:tcMar>
            <w:vAlign w:val="center"/>
          </w:tcPr>
          <w:p w14:paraId="7D28C270">
            <w:r>
              <w:rPr>
                <w:rFonts w:ascii="Calibri" w:hAnsi="Calibri" w:eastAsia="Calibri" w:cs="Calibri"/>
                <w:b w:val="0"/>
                <w:bCs w:val="0"/>
                <w:color w:val="000000"/>
                <w:sz w:val="20"/>
                <w:szCs w:val="20"/>
              </w:rPr>
              <w:t>GoEmotions</w:t>
            </w:r>
          </w:p>
        </w:tc>
        <w:tc>
          <w:tcPr>
            <w:tcW w:w="6350" w:type="dxa"/>
            <w:tcMar>
              <w:top w:w="100" w:type="dxa"/>
              <w:left w:w="120" w:type="dxa"/>
              <w:bottom w:w="100" w:type="dxa"/>
              <w:right w:w="120" w:type="dxa"/>
            </w:tcMar>
            <w:vAlign w:val="center"/>
          </w:tcPr>
          <w:p w14:paraId="53A5EDB5">
            <w:r>
              <w:rPr>
                <w:rFonts w:ascii="Calibri" w:hAnsi="Calibri" w:eastAsia="Calibri" w:cs="Calibri"/>
                <w:b w:val="0"/>
                <w:bCs w:val="0"/>
                <w:color w:val="000000"/>
                <w:sz w:val="20"/>
                <w:szCs w:val="20"/>
              </w:rPr>
              <w:t>Used to train and evaluate the RoBERTa emotion classifier (27 emotions + neutral).</w:t>
            </w:r>
          </w:p>
        </w:tc>
      </w:tr>
      <w:tr w14:paraId="14CC3DDE">
        <w:tc>
          <w:tcPr>
            <w:tcW w:w="3000" w:type="dxa"/>
            <w:tcMar>
              <w:top w:w="100" w:type="dxa"/>
              <w:left w:w="120" w:type="dxa"/>
              <w:bottom w:w="100" w:type="dxa"/>
              <w:right w:w="120" w:type="dxa"/>
            </w:tcMar>
            <w:vAlign w:val="center"/>
          </w:tcPr>
          <w:p w14:paraId="2381A72A">
            <w:r>
              <w:rPr>
                <w:rFonts w:ascii="Calibri" w:hAnsi="Calibri" w:eastAsia="Calibri" w:cs="Calibri"/>
                <w:b w:val="0"/>
                <w:bCs w:val="0"/>
                <w:color w:val="000000"/>
                <w:sz w:val="20"/>
                <w:szCs w:val="20"/>
              </w:rPr>
              <w:t>Amazon Reviews Sample</w:t>
            </w:r>
          </w:p>
        </w:tc>
        <w:tc>
          <w:tcPr>
            <w:tcW w:w="6350" w:type="dxa"/>
            <w:tcMar>
              <w:top w:w="100" w:type="dxa"/>
              <w:left w:w="120" w:type="dxa"/>
              <w:bottom w:w="100" w:type="dxa"/>
              <w:right w:w="120" w:type="dxa"/>
            </w:tcMar>
            <w:vAlign w:val="center"/>
          </w:tcPr>
          <w:p w14:paraId="5955D35F">
            <w:r>
              <w:rPr>
                <w:rFonts w:ascii="Calibri" w:hAnsi="Calibri" w:eastAsia="Calibri" w:cs="Calibri"/>
                <w:b w:val="0"/>
                <w:bCs w:val="0"/>
                <w:color w:val="000000"/>
                <w:sz w:val="20"/>
                <w:szCs w:val="20"/>
              </w:rPr>
              <w:t>Used only for inference and demonstration on real product reviews; never used for fine-tuning, so the training-to-application domain shift stays visible.</w:t>
            </w:r>
          </w:p>
        </w:tc>
      </w:tr>
    </w:tbl>
    <w:p w14:paraId="79017515">
      <w:pPr>
        <w:spacing w:after="200"/>
      </w:pPr>
    </w:p>
    <w:p w14:paraId="5A001034">
      <w:pPr>
        <w:pStyle w:val="2"/>
        <w:spacing w:before="300" w:after="160"/>
      </w:pPr>
      <w:r>
        <w:rPr>
          <w:rFonts w:ascii="Calibri" w:hAnsi="Calibri" w:eastAsia="Calibri" w:cs="Calibri"/>
          <w:b/>
          <w:bCs/>
          <w:color w:val="000000"/>
          <w:sz w:val="26"/>
          <w:szCs w:val="26"/>
        </w:rPr>
        <w:t>API Endpoints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50"/>
        <w:gridCol w:w="5500"/>
      </w:tblGrid>
      <w:tr w14:paraId="4D4DC2CC">
        <w:tc>
          <w:tcPr>
            <w:tcW w:w="1200" w:type="dxa"/>
            <w:shd w:val="clear" w:color="auto" w:fill="E7E6E6"/>
            <w:tcMar>
              <w:top w:w="100" w:type="dxa"/>
              <w:left w:w="120" w:type="dxa"/>
              <w:bottom w:w="100" w:type="dxa"/>
              <w:right w:w="120" w:type="dxa"/>
            </w:tcMar>
            <w:vAlign w:val="center"/>
          </w:tcPr>
          <w:p w14:paraId="16610FF0">
            <w:r>
              <w:rPr>
                <w:rFonts w:ascii="Calibri" w:hAnsi="Calibri" w:eastAsia="Calibri" w:cs="Calibri"/>
                <w:b/>
                <w:bCs/>
                <w:color w:val="000000"/>
                <w:sz w:val="20"/>
                <w:szCs w:val="20"/>
              </w:rPr>
              <w:t>Method</w:t>
            </w:r>
          </w:p>
        </w:tc>
        <w:tc>
          <w:tcPr>
            <w:tcW w:w="2650" w:type="dxa"/>
            <w:shd w:val="clear" w:color="auto" w:fill="E7E6E6"/>
            <w:tcMar>
              <w:top w:w="100" w:type="dxa"/>
              <w:left w:w="120" w:type="dxa"/>
              <w:bottom w:w="100" w:type="dxa"/>
              <w:right w:w="120" w:type="dxa"/>
            </w:tcMar>
            <w:vAlign w:val="center"/>
          </w:tcPr>
          <w:p w14:paraId="0BB4E828">
            <w:r>
              <w:rPr>
                <w:rFonts w:ascii="Calibri" w:hAnsi="Calibri" w:eastAsia="Calibri" w:cs="Calibri"/>
                <w:b/>
                <w:bCs/>
                <w:color w:val="000000"/>
                <w:sz w:val="20"/>
                <w:szCs w:val="20"/>
              </w:rPr>
              <w:t>Endpoint</w:t>
            </w:r>
          </w:p>
        </w:tc>
        <w:tc>
          <w:tcPr>
            <w:tcW w:w="5500" w:type="dxa"/>
            <w:shd w:val="clear" w:color="auto" w:fill="E7E6E6"/>
            <w:tcMar>
              <w:top w:w="100" w:type="dxa"/>
              <w:left w:w="120" w:type="dxa"/>
              <w:bottom w:w="100" w:type="dxa"/>
              <w:right w:w="120" w:type="dxa"/>
            </w:tcMar>
            <w:vAlign w:val="center"/>
          </w:tcPr>
          <w:p w14:paraId="431A4A85">
            <w:r>
              <w:rPr>
                <w:rFonts w:ascii="Calibri" w:hAnsi="Calibri" w:eastAsia="Calibri" w:cs="Calibri"/>
                <w:b/>
                <w:bCs/>
                <w:color w:val="000000"/>
                <w:sz w:val="20"/>
                <w:szCs w:val="20"/>
              </w:rPr>
              <w:t>Purpose</w:t>
            </w:r>
          </w:p>
        </w:tc>
      </w:tr>
      <w:tr w14:paraId="5F737633">
        <w:tc>
          <w:tcPr>
            <w:tcW w:w="1200" w:type="dxa"/>
            <w:tcMar>
              <w:top w:w="100" w:type="dxa"/>
              <w:left w:w="120" w:type="dxa"/>
              <w:bottom w:w="100" w:type="dxa"/>
              <w:right w:w="120" w:type="dxa"/>
            </w:tcMar>
            <w:vAlign w:val="center"/>
          </w:tcPr>
          <w:p w14:paraId="5EB3239B">
            <w:r>
              <w:rPr>
                <w:rFonts w:ascii="Calibri" w:hAnsi="Calibri" w:eastAsia="Calibri" w:cs="Calibri"/>
                <w:b w:val="0"/>
                <w:bCs w:val="0"/>
                <w:color w:val="000000"/>
                <w:sz w:val="20"/>
                <w:szCs w:val="20"/>
              </w:rPr>
              <w:t>GET</w:t>
            </w:r>
          </w:p>
        </w:tc>
        <w:tc>
          <w:tcPr>
            <w:tcW w:w="2650" w:type="dxa"/>
            <w:tcMar>
              <w:top w:w="100" w:type="dxa"/>
              <w:left w:w="120" w:type="dxa"/>
              <w:bottom w:w="100" w:type="dxa"/>
              <w:right w:w="120" w:type="dxa"/>
            </w:tcMar>
            <w:vAlign w:val="center"/>
          </w:tcPr>
          <w:p w14:paraId="09A95E8A">
            <w:r>
              <w:rPr>
                <w:rFonts w:ascii="Calibri" w:hAnsi="Calibri" w:eastAsia="Calibri" w:cs="Calibri"/>
                <w:b w:val="0"/>
                <w:bCs w:val="0"/>
                <w:color w:val="000000"/>
                <w:sz w:val="20"/>
                <w:szCs w:val="20"/>
              </w:rPr>
              <w:t>/health</w:t>
            </w:r>
          </w:p>
        </w:tc>
        <w:tc>
          <w:tcPr>
            <w:tcW w:w="5500" w:type="dxa"/>
            <w:tcMar>
              <w:top w:w="100" w:type="dxa"/>
              <w:left w:w="120" w:type="dxa"/>
              <w:bottom w:w="100" w:type="dxa"/>
              <w:right w:w="120" w:type="dxa"/>
            </w:tcMar>
            <w:vAlign w:val="center"/>
          </w:tcPr>
          <w:p w14:paraId="66659C14">
            <w:r>
              <w:rPr>
                <w:rFonts w:ascii="Calibri" w:hAnsi="Calibri" w:eastAsia="Calibri" w:cs="Calibri"/>
                <w:b w:val="0"/>
                <w:bCs w:val="0"/>
                <w:color w:val="000000"/>
                <w:sz w:val="20"/>
                <w:szCs w:val="20"/>
              </w:rPr>
              <w:t>Liveness check; reports whether the model and database are ready.</w:t>
            </w:r>
          </w:p>
        </w:tc>
      </w:tr>
      <w:tr w14:paraId="6C9BA269">
        <w:tc>
          <w:tcPr>
            <w:tcW w:w="1200" w:type="dxa"/>
            <w:tcMar>
              <w:top w:w="100" w:type="dxa"/>
              <w:left w:w="120" w:type="dxa"/>
              <w:bottom w:w="100" w:type="dxa"/>
              <w:right w:w="120" w:type="dxa"/>
            </w:tcMar>
            <w:vAlign w:val="center"/>
          </w:tcPr>
          <w:p w14:paraId="1A2C6354">
            <w:r>
              <w:rPr>
                <w:rFonts w:ascii="Calibri" w:hAnsi="Calibri" w:eastAsia="Calibri" w:cs="Calibri"/>
                <w:b w:val="0"/>
                <w:bCs w:val="0"/>
                <w:color w:val="000000"/>
                <w:sz w:val="20"/>
                <w:szCs w:val="20"/>
              </w:rPr>
              <w:t>POST</w:t>
            </w:r>
          </w:p>
        </w:tc>
        <w:tc>
          <w:tcPr>
            <w:tcW w:w="2650" w:type="dxa"/>
            <w:tcMar>
              <w:top w:w="100" w:type="dxa"/>
              <w:left w:w="120" w:type="dxa"/>
              <w:bottom w:w="100" w:type="dxa"/>
              <w:right w:w="120" w:type="dxa"/>
            </w:tcMar>
            <w:vAlign w:val="center"/>
          </w:tcPr>
          <w:p w14:paraId="3229A0FB">
            <w:r>
              <w:rPr>
                <w:rFonts w:ascii="Calibri" w:hAnsi="Calibri" w:eastAsia="Calibri" w:cs="Calibri"/>
                <w:b w:val="0"/>
                <w:bCs w:val="0"/>
                <w:color w:val="000000"/>
                <w:sz w:val="20"/>
                <w:szCs w:val="20"/>
              </w:rPr>
              <w:t>/api/predict</w:t>
            </w:r>
          </w:p>
        </w:tc>
        <w:tc>
          <w:tcPr>
            <w:tcW w:w="5500" w:type="dxa"/>
            <w:tcMar>
              <w:top w:w="100" w:type="dxa"/>
              <w:left w:w="120" w:type="dxa"/>
              <w:bottom w:w="100" w:type="dxa"/>
              <w:right w:w="120" w:type="dxa"/>
            </w:tcMar>
            <w:vAlign w:val="center"/>
          </w:tcPr>
          <w:p w14:paraId="2DC91C33">
            <w:r>
              <w:rPr>
                <w:rFonts w:ascii="Calibri" w:hAnsi="Calibri" w:eastAsia="Calibri" w:cs="Calibri"/>
                <w:b w:val="0"/>
                <w:bCs w:val="0"/>
                <w:color w:val="000000"/>
                <w:sz w:val="20"/>
                <w:szCs w:val="20"/>
              </w:rPr>
              <w:t>Classifies an entire review as a single unit.</w:t>
            </w:r>
          </w:p>
        </w:tc>
      </w:tr>
      <w:tr w14:paraId="7EEEEEA0">
        <w:tc>
          <w:tcPr>
            <w:tcW w:w="1200" w:type="dxa"/>
            <w:tcMar>
              <w:top w:w="100" w:type="dxa"/>
              <w:left w:w="120" w:type="dxa"/>
              <w:bottom w:w="100" w:type="dxa"/>
              <w:right w:w="120" w:type="dxa"/>
            </w:tcMar>
            <w:vAlign w:val="center"/>
          </w:tcPr>
          <w:p w14:paraId="2022B6D7">
            <w:r>
              <w:rPr>
                <w:rFonts w:ascii="Calibri" w:hAnsi="Calibri" w:eastAsia="Calibri" w:cs="Calibri"/>
                <w:b w:val="0"/>
                <w:bCs w:val="0"/>
                <w:color w:val="000000"/>
                <w:sz w:val="20"/>
                <w:szCs w:val="20"/>
              </w:rPr>
              <w:t>POST</w:t>
            </w:r>
          </w:p>
        </w:tc>
        <w:tc>
          <w:tcPr>
            <w:tcW w:w="2650" w:type="dxa"/>
            <w:tcMar>
              <w:top w:w="100" w:type="dxa"/>
              <w:left w:w="120" w:type="dxa"/>
              <w:bottom w:w="100" w:type="dxa"/>
              <w:right w:w="120" w:type="dxa"/>
            </w:tcMar>
            <w:vAlign w:val="center"/>
          </w:tcPr>
          <w:p w14:paraId="560A5493">
            <w:r>
              <w:rPr>
                <w:rFonts w:ascii="Calibri" w:hAnsi="Calibri" w:eastAsia="Calibri" w:cs="Calibri"/>
                <w:b w:val="0"/>
                <w:bCs w:val="0"/>
                <w:color w:val="000000"/>
                <w:sz w:val="20"/>
                <w:szCs w:val="20"/>
              </w:rPr>
              <w:t>/api/analyze</w:t>
            </w:r>
          </w:p>
        </w:tc>
        <w:tc>
          <w:tcPr>
            <w:tcW w:w="5500" w:type="dxa"/>
            <w:tcMar>
              <w:top w:w="100" w:type="dxa"/>
              <w:left w:w="120" w:type="dxa"/>
              <w:bottom w:w="100" w:type="dxa"/>
              <w:right w:w="120" w:type="dxa"/>
            </w:tcMar>
            <w:vAlign w:val="center"/>
          </w:tcPr>
          <w:p w14:paraId="0A757D20">
            <w:r>
              <w:rPr>
                <w:rFonts w:ascii="Calibri" w:hAnsi="Calibri" w:eastAsia="Calibri" w:cs="Calibri"/>
                <w:b w:val="0"/>
                <w:bCs w:val="0"/>
                <w:color w:val="000000"/>
                <w:sz w:val="20"/>
                <w:szCs w:val="20"/>
              </w:rPr>
              <w:t>Splits a review into segments, scores each one, and returns a headline segment plus a mixed-sentiment flag.</w:t>
            </w:r>
          </w:p>
        </w:tc>
      </w:tr>
      <w:tr w14:paraId="4C63AC77">
        <w:tc>
          <w:tcPr>
            <w:tcW w:w="1200" w:type="dxa"/>
            <w:tcMar>
              <w:top w:w="100" w:type="dxa"/>
              <w:left w:w="120" w:type="dxa"/>
              <w:bottom w:w="100" w:type="dxa"/>
              <w:right w:w="120" w:type="dxa"/>
            </w:tcMar>
            <w:vAlign w:val="center"/>
          </w:tcPr>
          <w:p w14:paraId="3DD81F8C">
            <w:r>
              <w:rPr>
                <w:rFonts w:ascii="Calibri" w:hAnsi="Calibri" w:eastAsia="Calibri" w:cs="Calibri"/>
                <w:b w:val="0"/>
                <w:bCs w:val="0"/>
                <w:color w:val="000000"/>
                <w:sz w:val="20"/>
                <w:szCs w:val="20"/>
              </w:rPr>
              <w:t>POST</w:t>
            </w:r>
          </w:p>
        </w:tc>
        <w:tc>
          <w:tcPr>
            <w:tcW w:w="2650" w:type="dxa"/>
            <w:tcMar>
              <w:top w:w="100" w:type="dxa"/>
              <w:left w:w="120" w:type="dxa"/>
              <w:bottom w:w="100" w:type="dxa"/>
              <w:right w:w="120" w:type="dxa"/>
            </w:tcMar>
            <w:vAlign w:val="center"/>
          </w:tcPr>
          <w:p w14:paraId="4F0289D4">
            <w:r>
              <w:rPr>
                <w:rFonts w:ascii="Calibri" w:hAnsi="Calibri" w:eastAsia="Calibri" w:cs="Calibri"/>
                <w:b w:val="0"/>
                <w:bCs w:val="0"/>
                <w:color w:val="000000"/>
                <w:sz w:val="20"/>
                <w:szCs w:val="20"/>
              </w:rPr>
              <w:t>/api/explain</w:t>
            </w:r>
          </w:p>
        </w:tc>
        <w:tc>
          <w:tcPr>
            <w:tcW w:w="5500" w:type="dxa"/>
            <w:tcMar>
              <w:top w:w="100" w:type="dxa"/>
              <w:left w:w="120" w:type="dxa"/>
              <w:bottom w:w="100" w:type="dxa"/>
              <w:right w:w="120" w:type="dxa"/>
            </w:tcMar>
            <w:vAlign w:val="center"/>
          </w:tcPr>
          <w:p w14:paraId="48B5EF9B">
            <w:r>
              <w:rPr>
                <w:rFonts w:ascii="Calibri" w:hAnsi="Calibri" w:eastAsia="Calibri" w:cs="Calibri"/>
                <w:b w:val="0"/>
                <w:bCs w:val="0"/>
                <w:color w:val="000000"/>
                <w:sz w:val="20"/>
                <w:szCs w:val="20"/>
              </w:rPr>
              <w:t>Returns SHAP token attributions for a review.</w:t>
            </w:r>
          </w:p>
        </w:tc>
      </w:tr>
      <w:tr w14:paraId="12633654">
        <w:tc>
          <w:tcPr>
            <w:tcW w:w="1200" w:type="dxa"/>
            <w:tcMar>
              <w:top w:w="100" w:type="dxa"/>
              <w:left w:w="120" w:type="dxa"/>
              <w:bottom w:w="100" w:type="dxa"/>
              <w:right w:w="120" w:type="dxa"/>
            </w:tcMar>
            <w:vAlign w:val="center"/>
          </w:tcPr>
          <w:p w14:paraId="65EECE24">
            <w:r>
              <w:rPr>
                <w:rFonts w:ascii="Calibri" w:hAnsi="Calibri" w:eastAsia="Calibri" w:cs="Calibri"/>
                <w:b w:val="0"/>
                <w:bCs w:val="0"/>
                <w:color w:val="000000"/>
                <w:sz w:val="20"/>
                <w:szCs w:val="20"/>
              </w:rPr>
              <w:t>POST</w:t>
            </w:r>
          </w:p>
        </w:tc>
        <w:tc>
          <w:tcPr>
            <w:tcW w:w="2650" w:type="dxa"/>
            <w:tcMar>
              <w:top w:w="100" w:type="dxa"/>
              <w:left w:w="120" w:type="dxa"/>
              <w:bottom w:w="100" w:type="dxa"/>
              <w:right w:w="120" w:type="dxa"/>
            </w:tcMar>
            <w:vAlign w:val="center"/>
          </w:tcPr>
          <w:p w14:paraId="6091B93B">
            <w:r>
              <w:rPr>
                <w:rFonts w:ascii="Calibri" w:hAnsi="Calibri" w:eastAsia="Calibri" w:cs="Calibri"/>
                <w:b w:val="0"/>
                <w:bCs w:val="0"/>
                <w:color w:val="000000"/>
                <w:sz w:val="20"/>
                <w:szCs w:val="20"/>
              </w:rPr>
              <w:t>/api/batch</w:t>
            </w:r>
          </w:p>
        </w:tc>
        <w:tc>
          <w:tcPr>
            <w:tcW w:w="5500" w:type="dxa"/>
            <w:tcMar>
              <w:top w:w="100" w:type="dxa"/>
              <w:left w:w="120" w:type="dxa"/>
              <w:bottom w:w="100" w:type="dxa"/>
              <w:right w:w="120" w:type="dxa"/>
            </w:tcMar>
            <w:vAlign w:val="center"/>
          </w:tcPr>
          <w:p w14:paraId="6F7BA1EB">
            <w:r>
              <w:rPr>
                <w:rFonts w:ascii="Calibri" w:hAnsi="Calibri" w:eastAsia="Calibri" w:cs="Calibri"/>
                <w:b w:val="0"/>
                <w:bCs w:val="0"/>
                <w:color w:val="000000"/>
                <w:sz w:val="20"/>
                <w:szCs w:val="20"/>
              </w:rPr>
              <w:t>Uploads a CSV file for asynchronous batch classification via Celery.</w:t>
            </w:r>
          </w:p>
        </w:tc>
      </w:tr>
      <w:tr w14:paraId="6F28A4A1">
        <w:tc>
          <w:tcPr>
            <w:tcW w:w="1200" w:type="dxa"/>
            <w:tcMar>
              <w:top w:w="100" w:type="dxa"/>
              <w:left w:w="120" w:type="dxa"/>
              <w:bottom w:w="100" w:type="dxa"/>
              <w:right w:w="120" w:type="dxa"/>
            </w:tcMar>
            <w:vAlign w:val="center"/>
          </w:tcPr>
          <w:p w14:paraId="4C3ED62A">
            <w:r>
              <w:rPr>
                <w:rFonts w:ascii="Calibri" w:hAnsi="Calibri" w:eastAsia="Calibri" w:cs="Calibri"/>
                <w:b w:val="0"/>
                <w:bCs w:val="0"/>
                <w:color w:val="000000"/>
                <w:sz w:val="20"/>
                <w:szCs w:val="20"/>
              </w:rPr>
              <w:t>GET</w:t>
            </w:r>
          </w:p>
        </w:tc>
        <w:tc>
          <w:tcPr>
            <w:tcW w:w="2650" w:type="dxa"/>
            <w:tcMar>
              <w:top w:w="100" w:type="dxa"/>
              <w:left w:w="120" w:type="dxa"/>
              <w:bottom w:w="100" w:type="dxa"/>
              <w:right w:w="120" w:type="dxa"/>
            </w:tcMar>
            <w:vAlign w:val="center"/>
          </w:tcPr>
          <w:p w14:paraId="1B824BA0">
            <w:r>
              <w:rPr>
                <w:rFonts w:ascii="Calibri" w:hAnsi="Calibri" w:eastAsia="Calibri" w:cs="Calibri"/>
                <w:b w:val="0"/>
                <w:bCs w:val="0"/>
                <w:color w:val="000000"/>
                <w:sz w:val="20"/>
                <w:szCs w:val="20"/>
              </w:rPr>
              <w:t>/api/jobs/{job_id}</w:t>
            </w:r>
          </w:p>
        </w:tc>
        <w:tc>
          <w:tcPr>
            <w:tcW w:w="5500" w:type="dxa"/>
            <w:tcMar>
              <w:top w:w="100" w:type="dxa"/>
              <w:left w:w="120" w:type="dxa"/>
              <w:bottom w:w="100" w:type="dxa"/>
              <w:right w:w="120" w:type="dxa"/>
            </w:tcMar>
            <w:vAlign w:val="center"/>
          </w:tcPr>
          <w:p w14:paraId="53A32FB4">
            <w:r>
              <w:rPr>
                <w:rFonts w:ascii="Calibri" w:hAnsi="Calibri" w:eastAsia="Calibri" w:cs="Calibri"/>
                <w:b w:val="0"/>
                <w:bCs w:val="0"/>
                <w:color w:val="000000"/>
                <w:sz w:val="20"/>
                <w:szCs w:val="20"/>
              </w:rPr>
              <w:t>Polls the status and result of a batch job.</w:t>
            </w:r>
          </w:p>
        </w:tc>
      </w:tr>
      <w:tr w14:paraId="25478B18">
        <w:tc>
          <w:tcPr>
            <w:tcW w:w="1200" w:type="dxa"/>
            <w:tcMar>
              <w:top w:w="100" w:type="dxa"/>
              <w:left w:w="120" w:type="dxa"/>
              <w:bottom w:w="100" w:type="dxa"/>
              <w:right w:w="120" w:type="dxa"/>
            </w:tcMar>
            <w:vAlign w:val="center"/>
          </w:tcPr>
          <w:p w14:paraId="4D5809C2">
            <w:r>
              <w:rPr>
                <w:rFonts w:ascii="Calibri" w:hAnsi="Calibri" w:eastAsia="Calibri" w:cs="Calibri"/>
                <w:b w:val="0"/>
                <w:bCs w:val="0"/>
                <w:color w:val="000000"/>
                <w:sz w:val="20"/>
                <w:szCs w:val="20"/>
              </w:rPr>
              <w:t>GET</w:t>
            </w:r>
          </w:p>
        </w:tc>
        <w:tc>
          <w:tcPr>
            <w:tcW w:w="2650" w:type="dxa"/>
            <w:tcMar>
              <w:top w:w="100" w:type="dxa"/>
              <w:left w:w="120" w:type="dxa"/>
              <w:bottom w:w="100" w:type="dxa"/>
              <w:right w:w="120" w:type="dxa"/>
            </w:tcMar>
            <w:vAlign w:val="center"/>
          </w:tcPr>
          <w:p w14:paraId="3D7A4664">
            <w:r>
              <w:rPr>
                <w:rFonts w:ascii="Calibri" w:hAnsi="Calibri" w:eastAsia="Calibri" w:cs="Calibri"/>
                <w:b w:val="0"/>
                <w:bCs w:val="0"/>
                <w:color w:val="000000"/>
                <w:sz w:val="20"/>
                <w:szCs w:val="20"/>
              </w:rPr>
              <w:t>/api/analytics/*</w:t>
            </w:r>
          </w:p>
        </w:tc>
        <w:tc>
          <w:tcPr>
            <w:tcW w:w="5500" w:type="dxa"/>
            <w:tcMar>
              <w:top w:w="100" w:type="dxa"/>
              <w:left w:w="120" w:type="dxa"/>
              <w:bottom w:w="100" w:type="dxa"/>
              <w:right w:w="120" w:type="dxa"/>
            </w:tcMar>
            <w:vAlign w:val="center"/>
          </w:tcPr>
          <w:p w14:paraId="0DF8E250">
            <w:r>
              <w:rPr>
                <w:rFonts w:ascii="Calibri" w:hAnsi="Calibri" w:eastAsia="Calibri" w:cs="Calibri"/>
                <w:b w:val="0"/>
                <w:bCs w:val="0"/>
                <w:color w:val="000000"/>
                <w:sz w:val="20"/>
                <w:szCs w:val="20"/>
              </w:rPr>
              <w:t>Serves emotion score distribution, business-bucket breakdown, and trends over time.</w:t>
            </w:r>
          </w:p>
        </w:tc>
      </w:tr>
      <w:tr w14:paraId="0130ECF5">
        <w:tc>
          <w:tcPr>
            <w:tcW w:w="1200" w:type="dxa"/>
            <w:tcMar>
              <w:top w:w="100" w:type="dxa"/>
              <w:left w:w="120" w:type="dxa"/>
              <w:bottom w:w="100" w:type="dxa"/>
              <w:right w:w="120" w:type="dxa"/>
            </w:tcMar>
            <w:vAlign w:val="center"/>
          </w:tcPr>
          <w:p w14:paraId="5B3F9F8E">
            <w:r>
              <w:rPr>
                <w:rFonts w:ascii="Calibri" w:hAnsi="Calibri" w:eastAsia="Calibri" w:cs="Calibri"/>
                <w:b w:val="0"/>
                <w:bCs w:val="0"/>
                <w:color w:val="000000"/>
                <w:sz w:val="20"/>
                <w:szCs w:val="20"/>
              </w:rPr>
              <w:t>GET</w:t>
            </w:r>
          </w:p>
        </w:tc>
        <w:tc>
          <w:tcPr>
            <w:tcW w:w="2650" w:type="dxa"/>
            <w:tcMar>
              <w:top w:w="100" w:type="dxa"/>
              <w:left w:w="120" w:type="dxa"/>
              <w:bottom w:w="100" w:type="dxa"/>
              <w:right w:w="120" w:type="dxa"/>
            </w:tcMar>
            <w:vAlign w:val="center"/>
          </w:tcPr>
          <w:p w14:paraId="34402859">
            <w:r>
              <w:rPr>
                <w:rFonts w:ascii="Calibri" w:hAnsi="Calibri" w:eastAsia="Calibri" w:cs="Calibri"/>
                <w:b w:val="0"/>
                <w:bCs w:val="0"/>
                <w:color w:val="000000"/>
                <w:sz w:val="20"/>
                <w:szCs w:val="20"/>
              </w:rPr>
              <w:t>/api/model/info</w:t>
            </w:r>
          </w:p>
        </w:tc>
        <w:tc>
          <w:tcPr>
            <w:tcW w:w="5500" w:type="dxa"/>
            <w:tcMar>
              <w:top w:w="100" w:type="dxa"/>
              <w:left w:w="120" w:type="dxa"/>
              <w:bottom w:w="100" w:type="dxa"/>
              <w:right w:w="120" w:type="dxa"/>
            </w:tcMar>
            <w:vAlign w:val="center"/>
          </w:tcPr>
          <w:p w14:paraId="55C5021E">
            <w:r>
              <w:rPr>
                <w:rFonts w:ascii="Calibri" w:hAnsi="Calibri" w:eastAsia="Calibri" w:cs="Calibri"/>
                <w:b w:val="0"/>
                <w:bCs w:val="0"/>
                <w:color w:val="000000"/>
                <w:sz w:val="20"/>
                <w:szCs w:val="20"/>
              </w:rPr>
              <w:t>Reports the active model version and its training/evaluation metrics.</w:t>
            </w:r>
          </w:p>
        </w:tc>
      </w:tr>
    </w:tbl>
    <w:p w14:paraId="7C3D81E8">
      <w:pPr>
        <w:spacing w:after="200"/>
      </w:pPr>
    </w:p>
    <w:p w14:paraId="38F1628A">
      <w:pPr>
        <w:pStyle w:val="2"/>
        <w:spacing w:before="300" w:after="160"/>
      </w:pPr>
      <w:r>
        <w:rPr>
          <w:rFonts w:ascii="Calibri" w:hAnsi="Calibri" w:eastAsia="Calibri" w:cs="Calibri"/>
          <w:b/>
          <w:bCs/>
          <w:color w:val="000000"/>
          <w:sz w:val="26"/>
          <w:szCs w:val="26"/>
        </w:rPr>
        <w:t>Evaluation Metrics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5EB26FDB">
        <w:tc>
          <w:tcPr>
            <w:tcW w:w="4675" w:type="dxa"/>
            <w:shd w:val="clear" w:color="auto" w:fill="E7E6E6"/>
            <w:tcMar>
              <w:top w:w="100" w:type="dxa"/>
              <w:left w:w="120" w:type="dxa"/>
              <w:bottom w:w="100" w:type="dxa"/>
              <w:right w:w="120" w:type="dxa"/>
            </w:tcMar>
            <w:vAlign w:val="center"/>
          </w:tcPr>
          <w:p w14:paraId="3D8A829B">
            <w:r>
              <w:rPr>
                <w:rFonts w:ascii="Calibri" w:hAnsi="Calibri" w:eastAsia="Calibri" w:cs="Calibri"/>
                <w:b/>
                <w:bCs/>
                <w:color w:val="000000"/>
                <w:sz w:val="20"/>
                <w:szCs w:val="20"/>
              </w:rPr>
              <w:t>Metric (GoEmotions test split)</w:t>
            </w:r>
          </w:p>
        </w:tc>
        <w:tc>
          <w:tcPr>
            <w:tcW w:w="4675" w:type="dxa"/>
            <w:shd w:val="clear" w:color="auto" w:fill="E7E6E6"/>
            <w:tcMar>
              <w:top w:w="100" w:type="dxa"/>
              <w:left w:w="120" w:type="dxa"/>
              <w:bottom w:w="100" w:type="dxa"/>
              <w:right w:w="120" w:type="dxa"/>
            </w:tcMar>
            <w:vAlign w:val="center"/>
          </w:tcPr>
          <w:p w14:paraId="3DB746EB">
            <w:r>
              <w:rPr>
                <w:rFonts w:ascii="Calibri" w:hAnsi="Calibri" w:eastAsia="Calibri" w:cs="Calibri"/>
                <w:b/>
                <w:bCs/>
                <w:color w:val="000000"/>
                <w:sz w:val="20"/>
                <w:szCs w:val="20"/>
              </w:rPr>
              <w:t>Value</w:t>
            </w:r>
          </w:p>
        </w:tc>
      </w:tr>
      <w:tr w14:paraId="610071BF">
        <w:tc>
          <w:tcPr>
            <w:tcW w:w="4675" w:type="dxa"/>
            <w:tcMar>
              <w:top w:w="100" w:type="dxa"/>
              <w:left w:w="120" w:type="dxa"/>
              <w:bottom w:w="100" w:type="dxa"/>
              <w:right w:w="120" w:type="dxa"/>
            </w:tcMar>
            <w:vAlign w:val="center"/>
          </w:tcPr>
          <w:p w14:paraId="5448257B">
            <w:r>
              <w:rPr>
                <w:rFonts w:ascii="Calibri" w:hAnsi="Calibri" w:eastAsia="Calibri" w:cs="Calibri"/>
                <w:b w:val="0"/>
                <w:bCs w:val="0"/>
                <w:color w:val="000000"/>
                <w:sz w:val="20"/>
                <w:szCs w:val="20"/>
              </w:rPr>
              <w:t>Macro F1</w:t>
            </w:r>
          </w:p>
        </w:tc>
        <w:tc>
          <w:tcPr>
            <w:tcW w:w="4675" w:type="dxa"/>
            <w:tcMar>
              <w:top w:w="100" w:type="dxa"/>
              <w:left w:w="120" w:type="dxa"/>
              <w:bottom w:w="100" w:type="dxa"/>
              <w:right w:w="120" w:type="dxa"/>
            </w:tcMar>
            <w:vAlign w:val="center"/>
          </w:tcPr>
          <w:p w14:paraId="507A7E5C">
            <w:r>
              <w:rPr>
                <w:rFonts w:ascii="Calibri" w:hAnsi="Calibri" w:eastAsia="Calibri" w:cs="Calibri"/>
                <w:b w:val="0"/>
                <w:bCs w:val="0"/>
                <w:color w:val="000000"/>
                <w:sz w:val="20"/>
                <w:szCs w:val="20"/>
              </w:rPr>
              <w:t>0.475</w:t>
            </w:r>
          </w:p>
        </w:tc>
      </w:tr>
      <w:tr w14:paraId="53D33448">
        <w:tc>
          <w:tcPr>
            <w:tcW w:w="4675" w:type="dxa"/>
            <w:tcMar>
              <w:top w:w="100" w:type="dxa"/>
              <w:left w:w="120" w:type="dxa"/>
              <w:bottom w:w="100" w:type="dxa"/>
              <w:right w:w="120" w:type="dxa"/>
            </w:tcMar>
            <w:vAlign w:val="center"/>
          </w:tcPr>
          <w:p w14:paraId="72863124">
            <w:r>
              <w:rPr>
                <w:rFonts w:ascii="Calibri" w:hAnsi="Calibri" w:eastAsia="Calibri" w:cs="Calibri"/>
                <w:b w:val="0"/>
                <w:bCs w:val="0"/>
                <w:color w:val="000000"/>
                <w:sz w:val="20"/>
                <w:szCs w:val="20"/>
              </w:rPr>
              <w:t>Micro F1</w:t>
            </w:r>
          </w:p>
        </w:tc>
        <w:tc>
          <w:tcPr>
            <w:tcW w:w="4675" w:type="dxa"/>
            <w:tcMar>
              <w:top w:w="100" w:type="dxa"/>
              <w:left w:w="120" w:type="dxa"/>
              <w:bottom w:w="100" w:type="dxa"/>
              <w:right w:w="120" w:type="dxa"/>
            </w:tcMar>
            <w:vAlign w:val="center"/>
          </w:tcPr>
          <w:p w14:paraId="5ECE26B1">
            <w:r>
              <w:rPr>
                <w:rFonts w:ascii="Calibri" w:hAnsi="Calibri" w:eastAsia="Calibri" w:cs="Calibri"/>
                <w:b w:val="0"/>
                <w:bCs w:val="0"/>
                <w:color w:val="000000"/>
                <w:sz w:val="20"/>
                <w:szCs w:val="20"/>
              </w:rPr>
              <w:t>0.600</w:t>
            </w:r>
          </w:p>
        </w:tc>
      </w:tr>
      <w:tr w14:paraId="798303CE">
        <w:tc>
          <w:tcPr>
            <w:tcW w:w="4675" w:type="dxa"/>
            <w:tcMar>
              <w:top w:w="100" w:type="dxa"/>
              <w:left w:w="120" w:type="dxa"/>
              <w:bottom w:w="100" w:type="dxa"/>
              <w:right w:w="120" w:type="dxa"/>
            </w:tcMar>
            <w:vAlign w:val="center"/>
          </w:tcPr>
          <w:p w14:paraId="7970BA0E">
            <w:r>
              <w:rPr>
                <w:rFonts w:ascii="Calibri" w:hAnsi="Calibri" w:eastAsia="Calibri" w:cs="Calibri"/>
                <w:b w:val="0"/>
                <w:bCs w:val="0"/>
                <w:color w:val="000000"/>
                <w:sz w:val="20"/>
                <w:szCs w:val="20"/>
              </w:rPr>
              <w:t>Validation loss</w:t>
            </w:r>
          </w:p>
        </w:tc>
        <w:tc>
          <w:tcPr>
            <w:tcW w:w="4675" w:type="dxa"/>
            <w:tcMar>
              <w:top w:w="100" w:type="dxa"/>
              <w:left w:w="120" w:type="dxa"/>
              <w:bottom w:w="100" w:type="dxa"/>
              <w:right w:w="120" w:type="dxa"/>
            </w:tcMar>
            <w:vAlign w:val="center"/>
          </w:tcPr>
          <w:p w14:paraId="4FBE7C4C">
            <w:r>
              <w:rPr>
                <w:rFonts w:ascii="Calibri" w:hAnsi="Calibri" w:eastAsia="Calibri" w:cs="Calibri"/>
                <w:b w:val="0"/>
                <w:bCs w:val="0"/>
                <w:color w:val="000000"/>
                <w:sz w:val="20"/>
                <w:szCs w:val="20"/>
              </w:rPr>
              <w:t>0.085</w:t>
            </w:r>
          </w:p>
        </w:tc>
      </w:tr>
      <w:tr w14:paraId="563EBBC9">
        <w:tc>
          <w:tcPr>
            <w:tcW w:w="4675" w:type="dxa"/>
            <w:tcMar>
              <w:top w:w="100" w:type="dxa"/>
              <w:left w:w="120" w:type="dxa"/>
              <w:bottom w:w="100" w:type="dxa"/>
              <w:right w:w="120" w:type="dxa"/>
            </w:tcMar>
            <w:vAlign w:val="center"/>
          </w:tcPr>
          <w:p w14:paraId="129D563E">
            <w:r>
              <w:rPr>
                <w:rFonts w:ascii="Calibri" w:hAnsi="Calibri" w:eastAsia="Calibri" w:cs="Calibri"/>
                <w:b w:val="0"/>
                <w:bCs w:val="0"/>
                <w:color w:val="000000"/>
                <w:sz w:val="20"/>
                <w:szCs w:val="20"/>
              </w:rPr>
              <w:t>Most reliable labels (F1)</w:t>
            </w:r>
          </w:p>
        </w:tc>
        <w:tc>
          <w:tcPr>
            <w:tcW w:w="4675" w:type="dxa"/>
            <w:tcMar>
              <w:top w:w="100" w:type="dxa"/>
              <w:left w:w="120" w:type="dxa"/>
              <w:bottom w:w="100" w:type="dxa"/>
              <w:right w:w="120" w:type="dxa"/>
            </w:tcMar>
            <w:vAlign w:val="center"/>
          </w:tcPr>
          <w:p w14:paraId="024F9A4D">
            <w:r>
              <w:rPr>
                <w:rFonts w:ascii="Calibri" w:hAnsi="Calibri" w:eastAsia="Calibri" w:cs="Calibri"/>
                <w:b w:val="0"/>
                <w:bCs w:val="0"/>
                <w:color w:val="000000"/>
                <w:sz w:val="20"/>
                <w:szCs w:val="20"/>
              </w:rPr>
              <w:t>gratitude 0.919, amusement 0.821, love 0.814, admiration 0.717, neutral 0.688</w:t>
            </w:r>
          </w:p>
        </w:tc>
      </w:tr>
      <w:tr w14:paraId="504FBFD6">
        <w:tc>
          <w:tcPr>
            <w:tcW w:w="4675" w:type="dxa"/>
            <w:tcMar>
              <w:top w:w="100" w:type="dxa"/>
              <w:left w:w="120" w:type="dxa"/>
              <w:bottom w:w="100" w:type="dxa"/>
              <w:right w:w="120" w:type="dxa"/>
            </w:tcMar>
            <w:vAlign w:val="center"/>
          </w:tcPr>
          <w:p w14:paraId="4DA428E4">
            <w:r>
              <w:rPr>
                <w:rFonts w:ascii="Calibri" w:hAnsi="Calibri" w:eastAsia="Calibri" w:cs="Calibri"/>
                <w:b w:val="0"/>
                <w:bCs w:val="0"/>
                <w:color w:val="000000"/>
                <w:sz w:val="20"/>
                <w:szCs w:val="20"/>
              </w:rPr>
              <w:t>Weakest labels (F1)</w:t>
            </w:r>
          </w:p>
        </w:tc>
        <w:tc>
          <w:tcPr>
            <w:tcW w:w="4675" w:type="dxa"/>
            <w:tcMar>
              <w:top w:w="100" w:type="dxa"/>
              <w:left w:w="120" w:type="dxa"/>
              <w:bottom w:w="100" w:type="dxa"/>
              <w:right w:w="120" w:type="dxa"/>
            </w:tcMar>
            <w:vAlign w:val="center"/>
          </w:tcPr>
          <w:p w14:paraId="1034EE22">
            <w:r>
              <w:rPr>
                <w:rFonts w:ascii="Calibri" w:hAnsi="Calibri" w:eastAsia="Calibri" w:cs="Calibri"/>
                <w:b w:val="0"/>
                <w:bCs w:val="0"/>
                <w:color w:val="000000"/>
                <w:sz w:val="20"/>
                <w:szCs w:val="20"/>
              </w:rPr>
              <w:t>grief, pride, and relief score 0.000 (data-starved, 6–16 test examples each)</w:t>
            </w:r>
          </w:p>
        </w:tc>
      </w:tr>
    </w:tbl>
    <w:p w14:paraId="374DDFD8">
      <w:pPr>
        <w:pStyle w:val="2"/>
        <w:spacing w:before="300" w:after="160"/>
      </w:pPr>
      <w:r>
        <w:rPr>
          <w:rFonts w:ascii="Calibri" w:hAnsi="Calibri" w:eastAsia="Calibri" w:cs="Calibri"/>
          <w:b/>
          <w:bCs/>
          <w:color w:val="000000"/>
          <w:sz w:val="26"/>
          <w:szCs w:val="26"/>
        </w:rPr>
        <w:t>Design Decisions</w:t>
      </w:r>
    </w:p>
    <w:p w14:paraId="142D4E19">
      <w:pPr>
        <w:pStyle w:val="18"/>
        <w:numPr>
          <w:ilvl w:val="0"/>
          <w:numId w:val="1"/>
        </w:numPr>
        <w:spacing w:after="100" w:line="276" w:lineRule="auto"/>
      </w:pPr>
      <w:r>
        <w:rPr>
          <w:rFonts w:ascii="Calibri" w:hAnsi="Calibri" w:eastAsia="Calibri" w:cs="Calibri"/>
          <w:color w:val="000000"/>
          <w:sz w:val="22"/>
          <w:szCs w:val="22"/>
        </w:rPr>
        <w:t>Binary cross-entropy loss (BCEWithLogitsLoss) with an independent sigmoid per label, instead of softmax, because GoEmotions labels co-occur and a mutually exclusive classifier cannot represent that.</w:t>
      </w:r>
    </w:p>
    <w:p w14:paraId="6448FF0D">
      <w:pPr>
        <w:pStyle w:val="18"/>
        <w:numPr>
          <w:ilvl w:val="0"/>
          <w:numId w:val="1"/>
        </w:numPr>
        <w:spacing w:after="100" w:line="276" w:lineRule="auto"/>
      </w:pPr>
      <w:r>
        <w:rPr>
          <w:rFonts w:ascii="Calibri" w:hAnsi="Calibri" w:eastAsia="Calibri" w:cs="Calibri"/>
          <w:color w:val="000000"/>
          <w:sz w:val="22"/>
          <w:szCs w:val="22"/>
        </w:rPr>
        <w:t>Per-label tuned thresholds instead of a single 0.5 cutoff, because rare emotions such as grief, pride, and relief make up under 1% of the training data and are suppressed under a uniform threshold.</w:t>
      </w:r>
    </w:p>
    <w:p w14:paraId="2E8C8678">
      <w:pPr>
        <w:pStyle w:val="18"/>
        <w:numPr>
          <w:ilvl w:val="0"/>
          <w:numId w:val="1"/>
        </w:numPr>
        <w:spacing w:after="100" w:line="276" w:lineRule="auto"/>
      </w:pPr>
      <w:r>
        <w:rPr>
          <w:rFonts w:ascii="Calibri" w:hAnsi="Calibri" w:eastAsia="Calibri" w:cs="Calibri"/>
          <w:color w:val="000000"/>
          <w:sz w:val="22"/>
          <w:szCs w:val="22"/>
        </w:rPr>
        <w:t>Segment-level scoring instead of whole-document scoring, because a review often pivots mid-sentence (for example, praising the sound quality before criticizing the battery), and splitting before contrastive connectives keeps both verdicts visible.</w:t>
      </w:r>
    </w:p>
    <w:p w14:paraId="0792D70C">
      <w:pPr>
        <w:pStyle w:val="18"/>
        <w:numPr>
          <w:ilvl w:val="0"/>
          <w:numId w:val="1"/>
        </w:numPr>
        <w:spacing w:after="100" w:line="276" w:lineRule="auto"/>
      </w:pPr>
      <w:r>
        <w:rPr>
          <w:rFonts w:ascii="Calibri" w:hAnsi="Calibri" w:eastAsia="Calibri" w:cs="Calibri"/>
          <w:color w:val="000000"/>
          <w:sz w:val="22"/>
          <w:szCs w:val="22"/>
        </w:rPr>
        <w:t>SHAP explanations are cached by a hash of the input text and model version, since SHAP inference takes several seconds per text and is deterministic for a fixed model, making repeated computation on the same input unnecessary.</w:t>
      </w:r>
    </w:p>
    <w:p w14:paraId="051A626F">
      <w:pPr>
        <w:pStyle w:val="18"/>
        <w:numPr>
          <w:ilvl w:val="0"/>
          <w:numId w:val="1"/>
        </w:numPr>
        <w:spacing w:after="100" w:line="276" w:lineRule="auto"/>
      </w:pPr>
      <w:r>
        <w:rPr>
          <w:rFonts w:ascii="Calibri" w:hAnsi="Calibri" w:eastAsia="Calibri" w:cs="Calibri"/>
          <w:color w:val="000000"/>
          <w:sz w:val="22"/>
          <w:szCs w:val="22"/>
        </w:rPr>
        <w:t>The explainability service reuses the already-loaded classifier's weights rather than loading a second copy of the model, to avoid duplicating a large model in memory.</w:t>
      </w:r>
    </w:p>
    <w:p w14:paraId="6F2DA644">
      <w:pPr>
        <w:pStyle w:val="18"/>
        <w:numPr>
          <w:ilvl w:val="0"/>
          <w:numId w:val="1"/>
        </w:numPr>
        <w:spacing w:after="100" w:line="276" w:lineRule="auto"/>
      </w:pPr>
      <w:r>
        <w:rPr>
          <w:rFonts w:ascii="Calibri" w:hAnsi="Calibri" w:eastAsia="Calibri" w:cs="Calibri"/>
          <w:color w:val="000000"/>
          <w:sz w:val="22"/>
          <w:szCs w:val="22"/>
        </w:rPr>
        <w:t>Model inference is dispatched off the main event loop, so a slow forward pass does not block other concurrent API requests.</w:t>
      </w:r>
    </w:p>
    <w:p w14:paraId="79695E32">
      <w:pPr>
        <w:pStyle w:val="18"/>
        <w:numPr>
          <w:ilvl w:val="0"/>
          <w:numId w:val="1"/>
        </w:numPr>
        <w:spacing w:after="100" w:line="276" w:lineRule="auto"/>
      </w:pPr>
      <w:r>
        <w:rPr>
          <w:rFonts w:ascii="Calibri" w:hAnsi="Calibri" w:eastAsia="Calibri" w:cs="Calibri"/>
          <w:color w:val="000000"/>
          <w:sz w:val="22"/>
          <w:szCs w:val="22"/>
        </w:rPr>
        <w:t>The system is designed to degrade rather than crash: it starts without a trained model or a reachable database and reports the missing dependency through a health check, since training happens separately on Colab and is not always present in a fresh setup.</w:t>
      </w:r>
    </w:p>
    <w:p w14:paraId="104B2A3C">
      <w:pPr>
        <w:pStyle w:val="2"/>
        <w:spacing w:before="300" w:after="160"/>
      </w:pPr>
      <w:r>
        <w:rPr>
          <w:rFonts w:ascii="Calibri" w:hAnsi="Calibri" w:eastAsia="Calibri" w:cs="Calibri"/>
          <w:b/>
          <w:bCs/>
          <w:color w:val="000000"/>
          <w:sz w:val="26"/>
          <w:szCs w:val="26"/>
        </w:rPr>
        <w:t>Expected Outcomes and Applications</w:t>
      </w:r>
    </w:p>
    <w:p w14:paraId="2E33D97F">
      <w:pPr>
        <w:spacing w:after="200" w:line="276" w:lineRule="auto"/>
        <w:jc w:val="both"/>
      </w:pPr>
      <w:r>
        <w:rPr>
          <w:rFonts w:ascii="Calibri" w:hAnsi="Calibri" w:eastAsia="Calibri" w:cs="Calibri"/>
          <w:color w:val="000000"/>
          <w:sz w:val="22"/>
          <w:szCs w:val="22"/>
        </w:rPr>
        <w:t>The completed system is intended to function as a decision-support tool for customer service, product, and business teams. Rather than reporting an opaque aggregate sentiment score, it surfaces which specific emotions are present in customer feedback, which words drove each prediction, and how those emotions trend over time and across products. This supports more targeted uses than conventional sentiment analysis allows: identifying recurring sources of frustration, distinguishing genuine dissatisfaction from simple confusion, catching mixed reviews that a single-label system would score incorrectly, and giving product and support teams a transparent, explainable basis for prioritizing fixes and follow-ups.</w:t>
      </w:r>
    </w:p>
    <w:p w14:paraId="774C5B78">
      <w:pPr>
        <w:pStyle w:val="2"/>
        <w:spacing w:before="300" w:after="160"/>
      </w:pPr>
      <w:r>
        <w:rPr>
          <w:rFonts w:ascii="Calibri" w:hAnsi="Calibri" w:eastAsia="Calibri" w:cs="Calibri"/>
          <w:b/>
          <w:bCs/>
          <w:color w:val="000000"/>
          <w:sz w:val="26"/>
          <w:szCs w:val="26"/>
        </w:rPr>
        <w:t>Limitations and Scope</w:t>
      </w:r>
    </w:p>
    <w:p w14:paraId="7ABE5B57">
      <w:pPr>
        <w:pStyle w:val="18"/>
        <w:numPr>
          <w:ilvl w:val="0"/>
          <w:numId w:val="1"/>
        </w:numPr>
        <w:spacing w:after="100" w:line="276" w:lineRule="auto"/>
      </w:pPr>
      <w:r>
        <w:rPr>
          <w:rFonts w:ascii="Calibri" w:hAnsi="Calibri" w:eastAsia="Calibri" w:cs="Calibri"/>
          <w:color w:val="000000"/>
          <w:sz w:val="22"/>
          <w:szCs w:val="22"/>
        </w:rPr>
        <w:t>The model is trained on GoEmotions, a dataset of Reddit comments, and applied to product reviews; this domain shift means accuracy on review text is expected to be lower than the reported GoEmotions test metrics, though this has not been directly measured due to the absence of a labeled product-review emotion dataset.</w:t>
      </w:r>
    </w:p>
    <w:p w14:paraId="1BA43EA9">
      <w:pPr>
        <w:pStyle w:val="18"/>
        <w:numPr>
          <w:ilvl w:val="0"/>
          <w:numId w:val="1"/>
        </w:numPr>
        <w:spacing w:after="100" w:line="276" w:lineRule="auto"/>
      </w:pPr>
      <w:r>
        <w:rPr>
          <w:rFonts w:ascii="Calibri" w:hAnsi="Calibri" w:eastAsia="Calibri" w:cs="Calibri"/>
          <w:color w:val="000000"/>
          <w:sz w:val="22"/>
          <w:szCs w:val="22"/>
        </w:rPr>
        <w:t>Three labels — grief, pride, and relief — score 0.000 F1 on the test split; with only 6 to 16 test examples each, any prediction of these labels should be treated as noise rather than signal.</w:t>
      </w:r>
    </w:p>
    <w:p w14:paraId="6CCF758C">
      <w:pPr>
        <w:pStyle w:val="18"/>
        <w:numPr>
          <w:ilvl w:val="0"/>
          <w:numId w:val="1"/>
        </w:numPr>
        <w:spacing w:after="100" w:line="276" w:lineRule="auto"/>
      </w:pPr>
      <w:r>
        <w:rPr>
          <w:rFonts w:ascii="Calibri" w:hAnsi="Calibri" w:eastAsia="Calibri" w:cs="Calibri"/>
          <w:color w:val="000000"/>
          <w:sz w:val="22"/>
          <w:szCs w:val="22"/>
        </w:rPr>
        <w:t>SHAP explanation faithfulness is assumed rather than measured; there has been no human evaluation of whether the highlighted tokens match human judgment of what actually drove the emotion.</w:t>
      </w:r>
    </w:p>
    <w:p w14:paraId="72F75CC1">
      <w:pPr>
        <w:pStyle w:val="18"/>
        <w:numPr>
          <w:ilvl w:val="0"/>
          <w:numId w:val="1"/>
        </w:numPr>
        <w:spacing w:after="100" w:line="276" w:lineRule="auto"/>
      </w:pPr>
      <w:r>
        <w:rPr>
          <w:rFonts w:ascii="Calibri" w:hAnsi="Calibri" w:eastAsia="Calibri" w:cs="Calibri"/>
          <w:color w:val="000000"/>
          <w:sz w:val="22"/>
          <w:szCs w:val="22"/>
        </w:rPr>
        <w:t>The model reads only the first 128 tokens of a review, so a long review whose key complaint appears later in the text may be scored on its opening content alone.</w:t>
      </w:r>
    </w:p>
    <w:p w14:paraId="72EC6580">
      <w:pPr>
        <w:pStyle w:val="18"/>
        <w:numPr>
          <w:ilvl w:val="0"/>
          <w:numId w:val="1"/>
        </w:numPr>
        <w:spacing w:after="100" w:line="276" w:lineRule="auto"/>
      </w:pPr>
      <w:r>
        <w:rPr>
          <w:rFonts w:ascii="Calibri" w:hAnsi="Calibri" w:eastAsia="Calibri" w:cs="Calibri"/>
          <w:color w:val="000000"/>
          <w:sz w:val="22"/>
          <w:szCs w:val="22"/>
        </w:rPr>
        <w:t>The current implementation has no authentication on any endpoint and no database migration path, which is acceptable for a capstone demonstration but would need to be addressed before any production deployment.</w:t>
      </w:r>
    </w:p>
    <w:p w14:paraId="49576A40">
      <w:pPr>
        <w:pStyle w:val="2"/>
        <w:spacing w:before="300" w:after="160"/>
      </w:pPr>
      <w:r>
        <w:rPr>
          <w:rFonts w:ascii="Calibri" w:hAnsi="Calibri" w:eastAsia="Calibri" w:cs="Calibri"/>
          <w:b/>
          <w:bCs/>
          <w:color w:val="000000"/>
          <w:sz w:val="26"/>
          <w:szCs w:val="26"/>
        </w:rPr>
        <w:t>Project Group Members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500"/>
        <w:gridCol w:w="4650"/>
      </w:tblGrid>
      <w:tr w14:paraId="7A6C6EC3">
        <w:tc>
          <w:tcPr>
            <w:tcW w:w="1200" w:type="dxa"/>
            <w:shd w:val="clear" w:color="auto" w:fill="E7E6E6"/>
            <w:tcMar>
              <w:top w:w="100" w:type="dxa"/>
              <w:left w:w="120" w:type="dxa"/>
              <w:bottom w:w="100" w:type="dxa"/>
              <w:right w:w="120" w:type="dxa"/>
            </w:tcMar>
            <w:vAlign w:val="center"/>
          </w:tcPr>
          <w:p w14:paraId="157669E2">
            <w:r>
              <w:rPr>
                <w:rFonts w:ascii="Calibri" w:hAnsi="Calibri" w:eastAsia="Calibri" w:cs="Calibri"/>
                <w:b/>
                <w:bCs/>
                <w:color w:val="000000"/>
                <w:sz w:val="20"/>
                <w:szCs w:val="20"/>
              </w:rPr>
              <w:t>S.No.</w:t>
            </w:r>
          </w:p>
        </w:tc>
        <w:tc>
          <w:tcPr>
            <w:tcW w:w="3500" w:type="dxa"/>
            <w:shd w:val="clear" w:color="auto" w:fill="E7E6E6"/>
            <w:tcMar>
              <w:top w:w="100" w:type="dxa"/>
              <w:left w:w="120" w:type="dxa"/>
              <w:bottom w:w="100" w:type="dxa"/>
              <w:right w:w="120" w:type="dxa"/>
            </w:tcMar>
            <w:vAlign w:val="center"/>
          </w:tcPr>
          <w:p w14:paraId="4C91F185">
            <w:r>
              <w:rPr>
                <w:rFonts w:ascii="Calibri" w:hAnsi="Calibri" w:eastAsia="Calibri" w:cs="Calibri"/>
                <w:b/>
                <w:bCs/>
                <w:color w:val="000000"/>
                <w:sz w:val="20"/>
                <w:szCs w:val="20"/>
              </w:rPr>
              <w:t>Roll.No.</w:t>
            </w:r>
          </w:p>
        </w:tc>
        <w:tc>
          <w:tcPr>
            <w:tcW w:w="4650" w:type="dxa"/>
            <w:shd w:val="clear" w:color="auto" w:fill="E7E6E6"/>
            <w:tcMar>
              <w:top w:w="100" w:type="dxa"/>
              <w:left w:w="120" w:type="dxa"/>
              <w:bottom w:w="100" w:type="dxa"/>
              <w:right w:w="120" w:type="dxa"/>
            </w:tcMar>
            <w:vAlign w:val="center"/>
          </w:tcPr>
          <w:p w14:paraId="0BCC09BF">
            <w:r>
              <w:rPr>
                <w:rFonts w:ascii="Calibri" w:hAnsi="Calibri" w:eastAsia="Calibri" w:cs="Calibri"/>
                <w:b/>
                <w:bCs/>
                <w:color w:val="000000"/>
                <w:sz w:val="20"/>
                <w:szCs w:val="20"/>
              </w:rPr>
              <w:t>Student Name</w:t>
            </w:r>
          </w:p>
        </w:tc>
      </w:tr>
      <w:tr w14:paraId="122A47FB">
        <w:tc>
          <w:tcPr>
            <w:tcW w:w="1200" w:type="dxa"/>
            <w:tcMar>
              <w:top w:w="100" w:type="dxa"/>
              <w:left w:w="120" w:type="dxa"/>
              <w:bottom w:w="100" w:type="dxa"/>
              <w:right w:w="120" w:type="dxa"/>
            </w:tcMar>
            <w:vAlign w:val="center"/>
          </w:tcPr>
          <w:p w14:paraId="06443462">
            <w:r>
              <w:rPr>
                <w:rFonts w:ascii="Calibri" w:hAnsi="Calibri" w:eastAsia="Calibri" w:cs="Calibri"/>
                <w:b w:val="0"/>
                <w:bCs w:val="0"/>
                <w:color w:val="000000"/>
                <w:sz w:val="20"/>
                <w:szCs w:val="20"/>
              </w:rPr>
              <w:t>1</w:t>
            </w:r>
          </w:p>
        </w:tc>
        <w:tc>
          <w:tcPr>
            <w:tcW w:w="3500" w:type="dxa"/>
            <w:tcMar>
              <w:top w:w="100" w:type="dxa"/>
              <w:left w:w="120" w:type="dxa"/>
              <w:bottom w:w="100" w:type="dxa"/>
              <w:right w:w="120" w:type="dxa"/>
            </w:tcMar>
            <w:vAlign w:val="center"/>
          </w:tcPr>
          <w:p w14:paraId="2E6A17DF">
            <w:pPr>
              <w:rPr>
                <w:rFonts w:hint="default"/>
                <w:lang w:val="en-US"/>
              </w:rPr>
            </w:pPr>
            <w:r>
              <w:rPr>
                <w:rFonts w:hint="default"/>
                <w:lang w:val="en-US"/>
              </w:rPr>
              <w:t>2420090069</w:t>
            </w:r>
          </w:p>
        </w:tc>
        <w:tc>
          <w:tcPr>
            <w:tcW w:w="4650" w:type="dxa"/>
            <w:tcMar>
              <w:top w:w="100" w:type="dxa"/>
              <w:left w:w="120" w:type="dxa"/>
              <w:bottom w:w="100" w:type="dxa"/>
              <w:right w:w="120" w:type="dxa"/>
            </w:tcMar>
            <w:vAlign w:val="center"/>
          </w:tcPr>
          <w:p w14:paraId="5CC0A787">
            <w:pPr>
              <w:rPr>
                <w:rFonts w:hint="default"/>
                <w:lang w:val="en-US"/>
              </w:rPr>
            </w:pPr>
            <w:r>
              <w:rPr>
                <w:rFonts w:hint="default"/>
                <w:lang w:val="en-US"/>
              </w:rPr>
              <w:t>Pujith Krishna Soma</w:t>
            </w:r>
          </w:p>
        </w:tc>
      </w:tr>
      <w:tr w14:paraId="2F72CDC4">
        <w:tc>
          <w:tcPr>
            <w:tcW w:w="1200" w:type="dxa"/>
            <w:tcMar>
              <w:top w:w="100" w:type="dxa"/>
              <w:left w:w="120" w:type="dxa"/>
              <w:bottom w:w="100" w:type="dxa"/>
              <w:right w:w="120" w:type="dxa"/>
            </w:tcMar>
            <w:vAlign w:val="center"/>
          </w:tcPr>
          <w:p w14:paraId="08D912A9">
            <w:r>
              <w:rPr>
                <w:rFonts w:ascii="Calibri" w:hAnsi="Calibri" w:eastAsia="Calibri" w:cs="Calibri"/>
                <w:b w:val="0"/>
                <w:bCs w:val="0"/>
                <w:color w:val="000000"/>
                <w:sz w:val="20"/>
                <w:szCs w:val="20"/>
              </w:rPr>
              <w:t>2</w:t>
            </w:r>
          </w:p>
        </w:tc>
        <w:tc>
          <w:tcPr>
            <w:tcW w:w="3500" w:type="dxa"/>
            <w:tcMar>
              <w:top w:w="100" w:type="dxa"/>
              <w:left w:w="120" w:type="dxa"/>
              <w:bottom w:w="100" w:type="dxa"/>
              <w:right w:w="120" w:type="dxa"/>
            </w:tcMar>
            <w:vAlign w:val="center"/>
          </w:tcPr>
          <w:p w14:paraId="6C9E44A2">
            <w:pPr>
              <w:rPr>
                <w:rFonts w:hint="default"/>
                <w:lang w:val="en-US"/>
              </w:rPr>
            </w:pPr>
            <w:r>
              <w:rPr>
                <w:rFonts w:hint="default"/>
                <w:lang w:val="en-US"/>
              </w:rPr>
              <w:t>2420090106</w:t>
            </w:r>
          </w:p>
        </w:tc>
        <w:tc>
          <w:tcPr>
            <w:tcW w:w="4650" w:type="dxa"/>
            <w:tcMar>
              <w:top w:w="100" w:type="dxa"/>
              <w:left w:w="120" w:type="dxa"/>
              <w:bottom w:w="100" w:type="dxa"/>
              <w:right w:w="120" w:type="dxa"/>
            </w:tcMar>
            <w:vAlign w:val="center"/>
          </w:tcPr>
          <w:p w14:paraId="7D14F512">
            <w:pPr>
              <w:rPr>
                <w:rFonts w:hint="default"/>
                <w:lang w:val="en-US"/>
              </w:rPr>
            </w:pPr>
            <w:r>
              <w:rPr>
                <w:rFonts w:hint="default"/>
                <w:lang w:val="en-US"/>
              </w:rPr>
              <w:t>Yaswanth Y</w:t>
            </w:r>
          </w:p>
        </w:tc>
      </w:tr>
      <w:tr w14:paraId="3BB7D406">
        <w:tc>
          <w:tcPr>
            <w:tcW w:w="1200" w:type="dxa"/>
            <w:tcMar>
              <w:top w:w="100" w:type="dxa"/>
              <w:left w:w="120" w:type="dxa"/>
              <w:bottom w:w="100" w:type="dxa"/>
              <w:right w:w="120" w:type="dxa"/>
            </w:tcMar>
            <w:vAlign w:val="center"/>
          </w:tcPr>
          <w:p w14:paraId="36D744E6">
            <w:r>
              <w:rPr>
                <w:rFonts w:ascii="Calibri" w:hAnsi="Calibri" w:eastAsia="Calibri" w:cs="Calibri"/>
                <w:b w:val="0"/>
                <w:bCs w:val="0"/>
                <w:color w:val="000000"/>
                <w:sz w:val="20"/>
                <w:szCs w:val="20"/>
              </w:rPr>
              <w:t>3</w:t>
            </w:r>
          </w:p>
        </w:tc>
        <w:tc>
          <w:tcPr>
            <w:tcW w:w="3500" w:type="dxa"/>
            <w:tcMar>
              <w:top w:w="100" w:type="dxa"/>
              <w:left w:w="120" w:type="dxa"/>
              <w:bottom w:w="100" w:type="dxa"/>
              <w:right w:w="120" w:type="dxa"/>
            </w:tcMar>
            <w:vAlign w:val="center"/>
          </w:tcPr>
          <w:p w14:paraId="0AD59720">
            <w:pPr>
              <w:rPr>
                <w:rFonts w:hint="default"/>
                <w:lang w:val="en-US"/>
              </w:rPr>
            </w:pPr>
            <w:r>
              <w:rPr>
                <w:rFonts w:hint="default"/>
                <w:lang w:val="en-US"/>
              </w:rPr>
              <w:t>2420090124</w:t>
            </w:r>
          </w:p>
        </w:tc>
        <w:tc>
          <w:tcPr>
            <w:tcW w:w="4650" w:type="dxa"/>
            <w:tcMar>
              <w:top w:w="100" w:type="dxa"/>
              <w:left w:w="120" w:type="dxa"/>
              <w:bottom w:w="100" w:type="dxa"/>
              <w:right w:w="120" w:type="dxa"/>
            </w:tcMar>
            <w:vAlign w:val="center"/>
          </w:tcPr>
          <w:p w14:paraId="60131D80">
            <w:pPr>
              <w:rPr>
                <w:rFonts w:hint="default"/>
                <w:lang w:val="en-US"/>
              </w:rPr>
            </w:pPr>
            <w:r>
              <w:rPr>
                <w:rFonts w:hint="default"/>
                <w:lang w:val="en-US"/>
              </w:rPr>
              <w:t>Ch G Susheel</w:t>
            </w:r>
          </w:p>
        </w:tc>
      </w:tr>
      <w:tr w14:paraId="5D6F9E21">
        <w:tc>
          <w:tcPr>
            <w:tcW w:w="1200" w:type="dxa"/>
            <w:tcMar>
              <w:top w:w="100" w:type="dxa"/>
              <w:left w:w="120" w:type="dxa"/>
              <w:bottom w:w="100" w:type="dxa"/>
              <w:right w:w="120" w:type="dxa"/>
            </w:tcMar>
            <w:vAlign w:val="center"/>
          </w:tcPr>
          <w:p w14:paraId="38039892">
            <w:pPr>
              <w:rPr>
                <w:rFonts w:ascii="Calibri" w:hAnsi="Calibri" w:eastAsia="Calibri" w:cs="Calibri"/>
                <w:b w:val="0"/>
                <w:bCs w:val="0"/>
                <w:color w:val="000000"/>
                <w:sz w:val="20"/>
                <w:szCs w:val="20"/>
              </w:rPr>
            </w:pPr>
          </w:p>
        </w:tc>
        <w:tc>
          <w:tcPr>
            <w:tcW w:w="3500" w:type="dxa"/>
            <w:tcMar>
              <w:top w:w="100" w:type="dxa"/>
              <w:left w:w="120" w:type="dxa"/>
              <w:bottom w:w="100" w:type="dxa"/>
              <w:right w:w="120" w:type="dxa"/>
            </w:tcMar>
            <w:vAlign w:val="center"/>
          </w:tcPr>
          <w:p w14:paraId="632A7C6C">
            <w:pPr>
              <w:rPr>
                <w:rFonts w:hint="default"/>
                <w:lang w:val="en-US"/>
              </w:rPr>
            </w:pPr>
            <w:r>
              <w:rPr>
                <w:rFonts w:hint="default"/>
                <w:lang w:val="en-US"/>
              </w:rPr>
              <w:t>2420090126</w:t>
            </w:r>
          </w:p>
        </w:tc>
        <w:tc>
          <w:tcPr>
            <w:tcW w:w="4650" w:type="dxa"/>
            <w:tcMar>
              <w:top w:w="100" w:type="dxa"/>
              <w:left w:w="120" w:type="dxa"/>
              <w:bottom w:w="100" w:type="dxa"/>
              <w:right w:w="120" w:type="dxa"/>
            </w:tcMar>
            <w:vAlign w:val="center"/>
          </w:tcPr>
          <w:p w14:paraId="42C16F31">
            <w:pPr>
              <w:rPr>
                <w:rFonts w:hint="default"/>
                <w:lang w:val="en-US"/>
              </w:rPr>
            </w:pPr>
            <w:r>
              <w:rPr>
                <w:rFonts w:hint="default"/>
                <w:lang w:val="en-US"/>
              </w:rPr>
              <w:t>V Subramanyam Sriram</w:t>
            </w:r>
          </w:p>
        </w:tc>
      </w:tr>
    </w:tbl>
    <w:p w14:paraId="4045ED5F">
      <w:bookmarkStart w:id="0" w:name="_GoBack"/>
      <w:bookmarkEnd w:id="0"/>
    </w:p>
    <w:sectPr>
      <w:head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SimSun">
    <w:altName w:val="宋体-简"/>
    <w:panose1 w:val="02010600030101010101"/>
    <w:charset w:val="86"/>
    <w:family w:val="auto"/>
    <w:pitch w:val="default"/>
    <w:sig w:usb0="00000000" w:usb1="00000000" w:usb2="00000010"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4F75D">
    <w:pPr>
      <w:pStyle w:val="15"/>
      <w:rPr>
        <w:rFonts w:hint="default"/>
        <w:lang w:val="en-US"/>
      </w:rPr>
    </w:pPr>
    <w:r>
      <w:rPr>
        <w:rFonts w:hint="default"/>
        <w:lang w:val="en-US"/>
      </w:rPr>
      <w:drawing>
        <wp:inline distT="0" distB="0" distL="114300" distR="114300">
          <wp:extent cx="5725795" cy="861695"/>
          <wp:effectExtent l="0" t="0" r="14605" b="1905"/>
          <wp:docPr id="1" name="Picture 1" descr="2026-08-19_08-4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026-08-19_08-47-55"/>
                  <pic:cNvPicPr>
                    <a:picLocks noChangeAspect="1"/>
                  </pic:cNvPicPr>
                </pic:nvPicPr>
                <pic:blipFill>
                  <a:blip r:embed="rId1"/>
                  <a:stretch>
                    <a:fillRect/>
                  </a:stretch>
                </pic:blipFill>
                <pic:spPr>
                  <a:xfrm>
                    <a:off x="0" y="0"/>
                    <a:ext cx="5725795" cy="8616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7F9A8A"/>
    <w:multiLevelType w:val="singleLevel"/>
    <w:tmpl w:val="CF7F9A8A"/>
    <w:lvl w:ilvl="0" w:tentative="0">
      <w:start w:val="1"/>
      <w:numFmt w:val="bullet"/>
      <w:lvlText w:val="•"/>
      <w:lvlJc w:val="left"/>
      <w:pPr>
        <w:ind w:left="504" w:hanging="288"/>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documentProtection w:enforcement="0"/>
  <w:compat>
    <w:compatSetting w:name="compatibilityMode" w:uri="http://schemas.microsoft.com/office/word" w:val="15"/>
  </w:compat>
  <w:rsids>
    <w:rsidRoot w:val="00000000"/>
    <w:rsid w:val="3CFB438A"/>
    <w:rsid w:val="63AD9852"/>
    <w:rsid w:val="67DB9804"/>
    <w:rsid w:val="7EFC9EB7"/>
    <w:rsid w:val="EBFB8CA9"/>
    <w:rsid w:val="EBFDAFA5"/>
    <w:rsid w:val="FEFB404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uiPriority w:val="99"/>
    <w:pPr>
      <w:spacing w:after="0" w:line="240" w:lineRule="auto"/>
    </w:pPr>
    <w:rPr>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uiPriority w:val="99"/>
    <w:rPr>
      <w:vertAlign w:val="superscript"/>
    </w:rPr>
  </w:style>
  <w:style w:type="paragraph" w:styleId="14">
    <w:name w:val="footnote text"/>
    <w:link w:val="19"/>
    <w:semiHidden/>
    <w:unhideWhenUsed/>
    <w:uiPriority w:val="99"/>
    <w:pPr>
      <w:spacing w:after="0" w:line="240" w:lineRule="auto"/>
    </w:pPr>
    <w:rPr>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uiPriority w:val="99"/>
    <w:rPr>
      <w:color w:val="0563C1"/>
      <w:u w:val="single"/>
    </w:rPr>
  </w:style>
  <w:style w:type="paragraph" w:styleId="17">
    <w:name w:val="Title"/>
    <w:qFormat/>
    <w:uiPriority w:val="0"/>
    <w:rPr>
      <w:sz w:val="56"/>
      <w:szCs w:val="56"/>
    </w:rPr>
  </w:style>
  <w:style w:type="paragraph" w:styleId="18">
    <w:name w:val="List Paragraph"/>
    <w:qFormat/>
    <w:uiPriority w:val="0"/>
    <w:rPr>
      <w:sz w:val="21"/>
      <w:szCs w:val="22"/>
    </w:rPr>
  </w:style>
  <w:style w:type="character" w:customStyle="1" w:styleId="19">
    <w:name w:val="Footnote Text Char"/>
    <w:link w:val="14"/>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3</TotalTime>
  <ScaleCrop>false</ScaleCrop>
  <LinksUpToDate>false</LinksUpToDate>
  <Application>WPS Office_12.1.26050.26050_F1E327BC-269C-435d-A152-05C5408002CA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Pujith Soma</cp:lastModifiedBy>
  <dcterms:modified xsi:type="dcterms:W3CDTF">2026-08-19T09:02:38Z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F913C2278332F639D623856A0463A2F5_43</vt:lpwstr>
  </property>
</Properties>
</file>