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F3D7A"/>
          <w:sz w:val="64"/>
          <w:szCs w:val="64"/>
        </w:rPr>
        <w:t xml:space="preserve">Comparative Analysis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Explainable Emotion-Aware Customer Feedback System</w:t>
      </w:r>
    </w:p>
    <w:p>
      <w:pPr>
        <w:spacing w:after="80" w:before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Author: </w:t>
      </w:r>
      <w:r>
        <w:rPr>
          <w:rFonts w:ascii="Calibri" w:cs="Calibri" w:eastAsia="Calibri" w:hAnsi="Calibri"/>
          <w:sz w:val="22"/>
          <w:szCs w:val="22"/>
        </w:rPr>
        <w:t xml:space="preserve">Ajithesh Kopparapu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September 2026</w:t>
      </w:r>
    </w:p>
    <w:p>
      <w:pPr>
        <w:pBdr>
          <w:bottom w:val="single" w:color="1F3D7A" w:sz="6"/>
        </w:pBdr>
        <w:spacing w:after="200" w:before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D7A"/>
          <w:sz w:val="52"/>
          <w:szCs w:val="52"/>
        </w:rPr>
        <w:t xml:space="preserve">1. Overview and Research Gaps</w:t>
      </w: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This document compares the prior academic and industry work on emotion/sentiment classification against the framework developed in this project. The comparison covers raw model accuracy, breadth of capabilities, and per-label evidence that the design decisions have measurable impact.</w:t>
      </w: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Four research gaps motivated this project: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Gap 1 — No combined fine-grained + multi-label + explainable system: GoEmotions provides the taxonomy but benchmarks plain classifiers with no explainability. SHAP/LIME tools are model-agnostic add-ons never integrated end-to-end with a fine-grained multi-label emotion classifier in a deployable product.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Gap 2 — Single-corpus training limits generalization: GoEmotions (Reddit), CARER (Twitter), and DailyDialog each cover different domains. No prior work combines multiple emotion corpora with a principled way to handle partial label coverage.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Gap 3 — Whole-document scoring hides mixed sentiment: Aspect-Based Sentiment Analysis (ABSA) addresses this but requires predefined aspect categories that do not generalize to open emotion labels.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Gap 4 — Business actionability is absent from academic taxonomies: The 27-label GoEmotions taxonomy is academically rigorous but not directly actionable by a business stakeholder without a mapping layer.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D7A"/>
          <w:sz w:val="52"/>
          <w:szCs w:val="52"/>
        </w:rPr>
        <w:t xml:space="preserve">2. Model Accuracy Comparison</w:t>
      </w: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The table below shows Macro F1 and Micro F1 scores on the GoEmotions test set. This project does not claim a large accuracy win — the 0.30-point Macro F1 gain is within normal single-seed noise. A claim of dramatic improvement would overstate what these numbers support.</w:t>
      </w:r>
    </w:p>
    <w:p>
      <w:pPr>
        <w:spacing w:after="120" w:before="120"/>
      </w:pPr>
    </w:p>
    <w:tbl>
      <w:tblPr>
        <w:tblW w:type="dxa" w:w="9360"/>
        <w:tblBorders>
          <w:top w:val="single" w:color="1F3D7A" w:sz="4"/>
          <w:left w:val="single" w:color="1F3D7A" w:sz="4"/>
          <w:bottom w:val="single" w:color="1F3D7A" w:sz="4"/>
          <w:right w:val="single" w:color="1F3D7A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296"/>
        <w:gridCol w:w="1296"/>
        <w:gridCol w:w="3168"/>
      </w:tblGrid>
      <w:tr>
        <w:trPr>
          <w:tblHeader/>
        </w:trPr>
        <w:tc>
          <w:tcPr>
            <w:tcW w:type="dxa" w:w="3600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96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Macro F1</w:t>
            </w:r>
          </w:p>
        </w:tc>
        <w:tc>
          <w:tcPr>
            <w:tcW w:type="dxa" w:w="1296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Micro F1</w:t>
            </w:r>
          </w:p>
        </w:tc>
        <w:tc>
          <w:tcPr>
            <w:tcW w:type="dxa" w:w="3168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GoEmotions original baseline (Demszky et al., 2020)</w:t>
            </w:r>
          </w:p>
        </w:tc>
        <w:tc>
          <w:tcPr>
            <w:tcW w:type="dxa" w:w="1296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≈ 0.46</w:t>
            </w:r>
          </w:p>
        </w:tc>
        <w:tc>
          <w:tcPr>
            <w:tcW w:type="dxa" w:w="1296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6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BERT-base, single corpus</w:t>
            </w:r>
          </w:p>
        </w:tc>
      </w:tr>
      <w:tr>
        <w:tc>
          <w:tcPr>
            <w:tcW w:type="dxa" w:w="3600"/>
            <w:gridSpan w:val="1"/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project — baseline-goemotions (RoBERTa-base, GoEmotions only)</w:t>
            </w:r>
          </w:p>
        </w:tc>
        <w:tc>
          <w:tcPr>
            <w:tcW w:type="dxa" w:w="1296"/>
            <w:gridSpan w:val="1"/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D7A"/>
                <w:sz w:val="18"/>
                <w:szCs w:val="18"/>
              </w:rPr>
              <w:t xml:space="preserve">0.4766</w:t>
            </w:r>
          </w:p>
        </w:tc>
        <w:tc>
          <w:tcPr>
            <w:tcW w:type="dxa" w:w="1296"/>
            <w:gridSpan w:val="1"/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D7A"/>
                <w:sz w:val="18"/>
                <w:szCs w:val="18"/>
              </w:rPr>
              <w:t xml:space="preserve">0.6048</w:t>
            </w:r>
          </w:p>
        </w:tc>
        <w:tc>
          <w:tcPr>
            <w:tcW w:type="dxa" w:w="3168"/>
            <w:gridSpan w:val="1"/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Reproduces &amp; slightly exceeds published baseline</w:t>
            </w:r>
          </w:p>
        </w:tc>
      </w:tr>
      <w:tr>
        <w:tc>
          <w:tcPr>
            <w:tcW w:type="dxa" w:w="3600"/>
            <w:gridSpan w:val="1"/>
            <w:shd w:fill="BDD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project — enhanced-multicorpus (RoBERTa-base + masked-loss auxiliary corpora)</w:t>
            </w:r>
          </w:p>
        </w:tc>
        <w:tc>
          <w:tcPr>
            <w:tcW w:type="dxa" w:w="1296"/>
            <w:gridSpan w:val="1"/>
            <w:shd w:fill="BDD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D7A"/>
                <w:sz w:val="18"/>
                <w:szCs w:val="18"/>
              </w:rPr>
              <w:t xml:space="preserve">0.4796</w:t>
            </w:r>
          </w:p>
        </w:tc>
        <w:tc>
          <w:tcPr>
            <w:tcW w:type="dxa" w:w="1296"/>
            <w:gridSpan w:val="1"/>
            <w:shd w:fill="BDD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D7A"/>
                <w:sz w:val="18"/>
                <w:szCs w:val="18"/>
              </w:rPr>
              <w:t xml:space="preserve">0.6028</w:t>
            </w:r>
          </w:p>
        </w:tc>
        <w:tc>
          <w:tcPr>
            <w:tcW w:type="dxa" w:w="3168"/>
            <w:gridSpan w:val="1"/>
            <w:shd w:fill="BDD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+0.30 pt macro F1 over own baseline</w:t>
            </w:r>
          </w:p>
        </w:tc>
      </w:tr>
    </w:tbl>
    <w:p>
      <w:pPr>
        <w:spacing w:after="80" w:before="120"/>
      </w:pPr>
    </w:p>
    <w:p>
      <w:pPr>
        <w:spacing w:after="80" w:before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GoEmotions Micro F1 is not directly comparable across papers due to different evaluation protocols. This project's results are single-seed and measured on the GoEmotions (Reddit) test partition only.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D7A"/>
          <w:sz w:val="52"/>
          <w:szCs w:val="52"/>
        </w:rPr>
        <w:t xml:space="preserve">3. Capability Comparison — Seven Dimensions</w:t>
      </w: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Raw accuracy is not the primary contribution. The table below evaluates five systems across seven capabilities. No single reviewed paper checks more than two boxes simultaneously; this project checks all seven.</w:t>
      </w:r>
    </w:p>
    <w:p>
      <w:pPr>
        <w:spacing w:after="120" w:before="120"/>
      </w:pPr>
    </w:p>
    <w:tbl>
      <w:tblPr>
        <w:tblW w:type="dxa" w:w="9360"/>
        <w:tblBorders>
          <w:top w:val="single" w:color="1F3D7A" w:sz="4"/>
          <w:left w:val="single" w:color="1F3D7A" w:sz="4"/>
          <w:bottom w:val="single" w:color="1F3D7A" w:sz="4"/>
          <w:right w:val="single" w:color="1F3D7A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1224"/>
        <w:gridCol w:w="1224"/>
        <w:gridCol w:w="1224"/>
        <w:gridCol w:w="1224"/>
        <w:gridCol w:w="1584"/>
      </w:tblGrid>
      <w:tr>
        <w:trPr>
          <w:tblHeader/>
        </w:trPr>
        <w:tc>
          <w:tcPr>
            <w:tcW w:type="dxa" w:w="2880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2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GoEmotions (#1)</w:t>
            </w:r>
          </w:p>
        </w:tc>
        <w:tc>
          <w:tcPr>
            <w:tcW w:type="dxa" w:w="122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BERT/RoBERTa (#2,3)</w:t>
            </w:r>
          </w:p>
        </w:tc>
        <w:tc>
          <w:tcPr>
            <w:tcW w:type="dxa" w:w="122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SHAP/LIME (#6,7)</w:t>
            </w:r>
          </w:p>
        </w:tc>
        <w:tc>
          <w:tcPr>
            <w:tcW w:type="dxa" w:w="122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ABSA (#12)</w:t>
            </w:r>
          </w:p>
        </w:tc>
        <w:tc>
          <w:tcPr>
            <w:tcW w:type="dxa" w:w="1584"/>
            <w:gridSpan w:val="1"/>
            <w:shd w:fill="2F7A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Project</w:t>
            </w:r>
          </w:p>
        </w:tc>
      </w:tr>
      <w:tr>
        <w:tc>
          <w:tcPr>
            <w:tcW w:type="dxa" w:w="288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27+ label fine-grained emotion taxonomy</w:t>
            </w:r>
          </w:p>
        </w:tc>
        <w:tc>
          <w:tcPr>
            <w:tcW w:type="dxa" w:w="1224"/>
            <w:gridSpan w:val="1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gridSpan w:val="1"/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Multi-label (not single softmax) output</w:t>
            </w:r>
          </w:p>
        </w:tc>
        <w:tc>
          <w:tcPr>
            <w:tcW w:type="dxa" w:w="122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Token-level XAI integrated end-to-end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4D00"/>
                <w:sz w:val="18"/>
                <w:szCs w:val="18"/>
              </w:rPr>
              <w:t xml:space="preserve">Partial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gridSpan w:val="1"/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Multi-corpus training with masked loss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Segment-level mixed-sentiment scoring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4D00"/>
                <w:sz w:val="18"/>
                <w:szCs w:val="18"/>
              </w:rPr>
              <w:t xml:space="preserve">Partial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gridSpan w:val="1"/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Business-actionable output (4-bucket rollup)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gridSpan w:val="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Deployed callable system (FastAPI + React)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22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584"/>
            <w:gridSpan w:val="1"/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120"/>
      </w:pP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The combination — fine-grained taxonomy, multi-label output, integrated token-level explainability, multi-corpus masked loss, segment-level scoring, business rollup, and a deployed callable API — is the actual contribution, verifiable against the codebase (ml/shap_explainer.py, ml/aux_datasets.py, backend /explain and /analyze routes).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D7A"/>
          <w:sz w:val="52"/>
          <w:szCs w:val="52"/>
        </w:rPr>
        <w:t xml:space="preserve">4. Per-Label Evidence — Multi-Corpus Addition</w:t>
      </w: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The table below shows individual label F1 scores for the baseline model (GoEmotions only) versus the enhanced model (GoEmotions + masked-loss auxiliary corpora). Gains cluster on labels the auxiliary corpora annotate — evidence the masked loss is targeted, not a blanket booster.</w:t>
      </w:r>
    </w:p>
    <w:p>
      <w:pPr>
        <w:spacing w:after="120" w:before="120"/>
      </w:pPr>
    </w:p>
    <w:tbl>
      <w:tblPr>
        <w:tblW w:type="dxa" w:w="9360"/>
        <w:tblBorders>
          <w:top w:val="single" w:color="1F3D7A" w:sz="4"/>
          <w:left w:val="single" w:color="1F3D7A" w:sz="4"/>
          <w:bottom w:val="single" w:color="1F3D7A" w:sz="4"/>
          <w:right w:val="single" w:color="1F3D7A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2304"/>
        <w:gridCol w:w="2448"/>
        <w:gridCol w:w="2304"/>
      </w:tblGrid>
      <w:tr>
        <w:trPr>
          <w:tblHeader/>
        </w:trPr>
        <w:tc>
          <w:tcPr>
            <w:tcW w:type="dxa" w:w="230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0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F1</w:t>
            </w:r>
          </w:p>
        </w:tc>
        <w:tc>
          <w:tcPr>
            <w:tcW w:type="dxa" w:w="2448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Multi-corpus F1</w:t>
            </w:r>
          </w:p>
        </w:tc>
        <w:tc>
          <w:tcPr>
            <w:tcW w:type="dxa" w:w="2304"/>
            <w:gridSpan w:val="1"/>
            <w:shd w:fill="1F3D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disgust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0.396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0.459</w:t>
            </w:r>
          </w:p>
        </w:tc>
        <w:tc>
          <w:tcPr>
            <w:tcW w:type="dxa" w:w="2304"/>
            <w:gridSpan w:val="1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+0.063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nervousness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0.213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0.378</w:t>
            </w:r>
          </w:p>
        </w:tc>
        <w:tc>
          <w:tcPr>
            <w:tcW w:type="dxa" w:w="2304"/>
            <w:gridSpan w:val="1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+0.166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optimism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0.561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0.606</w:t>
            </w:r>
          </w:p>
        </w:tc>
        <w:tc>
          <w:tcPr>
            <w:tcW w:type="dxa" w:w="2304"/>
            <w:gridSpan w:val="1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+0.045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anger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0.497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0.518</w:t>
            </w:r>
          </w:p>
        </w:tc>
        <w:tc>
          <w:tcPr>
            <w:tcW w:type="dxa" w:w="2304"/>
            <w:gridSpan w:val="1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+0.021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love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0.806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0.808</w:t>
            </w:r>
          </w:p>
        </w:tc>
        <w:tc>
          <w:tcPr>
            <w:tcW w:type="dxa" w:w="2304"/>
            <w:gridSpan w:val="1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18"/>
                <w:szCs w:val="18"/>
              </w:rPr>
              <w:t xml:space="preserve">+0.003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caring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0.436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C0006"/>
                <w:sz w:val="18"/>
                <w:szCs w:val="18"/>
              </w:rPr>
              <w:t xml:space="preserve">0.417</w:t>
            </w:r>
          </w:p>
        </w:tc>
        <w:tc>
          <w:tcPr>
            <w:tcW w:type="dxa" w:w="230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−0.019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joy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0.628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C0006"/>
                <w:sz w:val="18"/>
                <w:szCs w:val="18"/>
              </w:rPr>
              <w:t xml:space="preserve">0.603</w:t>
            </w:r>
          </w:p>
        </w:tc>
        <w:tc>
          <w:tcPr>
            <w:tcW w:type="dxa" w:w="230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−0.026</w:t>
            </w:r>
          </w:p>
        </w:tc>
      </w:tr>
      <w:tr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realization</w:t>
            </w:r>
          </w:p>
        </w:tc>
        <w:tc>
          <w:tcPr>
            <w:tcW w:type="dxa" w:w="2304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0.201</w:t>
            </w:r>
          </w:p>
        </w:tc>
        <w:tc>
          <w:tcPr>
            <w:tcW w:type="dxa" w:w="2448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C0006"/>
                <w:sz w:val="18"/>
                <w:szCs w:val="18"/>
              </w:rPr>
              <w:t xml:space="preserve">0.149</w:t>
            </w:r>
          </w:p>
        </w:tc>
        <w:tc>
          <w:tcPr>
            <w:tcW w:type="dxa" w:w="2304"/>
            <w:gridSpan w:val="1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−0.052</w:t>
            </w:r>
          </w:p>
        </w:tc>
      </w:tr>
    </w:tbl>
    <w:p>
      <w:pPr>
        <w:spacing w:after="80" w:before="120"/>
      </w:pPr>
    </w:p>
    <w:p>
      <w:pPr>
        <w:spacing w:after="80" w:before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nervousness improved +16.6 pts, disgust +6.3 pts, and optimism +4.5 pts — exactly the labels covered by the CARER and DailyDialog auxiliary corpora. Labels not in those corpora showed marginal regression, confirming the masking mechanism worked as designed.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D7A"/>
          <w:sz w:val="52"/>
          <w:szCs w:val="52"/>
        </w:rPr>
        <w:t xml:space="preserve">5. Honest Caveats</w:t>
      </w:r>
    </w:p>
    <w:p>
      <w:pPr>
        <w:spacing w:after="80" w:before="80" w:line="280"/>
      </w:pPr>
      <w:r>
        <w:rPr>
          <w:rFonts w:ascii="Calibri" w:cs="Calibri" w:eastAsia="Calibri" w:hAnsi="Calibri"/>
          <w:sz w:val="22"/>
          <w:szCs w:val="22"/>
        </w:rPr>
        <w:t xml:space="preserve">A credible comparison must disclose its limitations: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grief, pride, and relief still score 0.000 F1 in both models (under 20 test examples each — effectively untrained).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labeled product-review test set exists yet; all numbers above are measured on GoEmotions (Reddit) test data.</w:t>
      </w:r>
    </w:p>
    <w:p>
      <w:pPr>
        <w:pStyle w:val="ListParagraph"/>
        <w:numPr>
          <w:ilvl w:val="0"/>
          <w:numId w:val="1"/>
        </w:numPr>
        <w:spacing w:after="40" w:before="40" w:line="27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Single-seed results — deltas like the 0.30-pt Macro F1 gain are not confirmed to exceed training variance.</w:t>
      </w:r>
    </w:p>
    <w:p>
      <w:pPr>
        <w:spacing w:after="0" w:before="240"/>
      </w:pPr>
      <w:r>
        <w:br w:type="pag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D7A"/>
          <w:sz w:val="64"/>
          <w:szCs w:val="64"/>
        </w:rPr>
        <w:t xml:space="preserve">Comparative Graphs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2F5496"/>
          <w:sz w:val="32"/>
          <w:szCs w:val="32"/>
        </w:rPr>
        <w:t xml:space="preserve">Visual Analysis of Model Performance</w:t>
      </w:r>
    </w:p>
    <w:p>
      <w:pPr>
        <w:pBdr>
          <w:bottom w:val="single" w:color="1F3D7A" w:sz="6"/>
        </w:pBdr>
        <w:spacing w:after="20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Figure 1: Macro F1 Score Comparison</w:t>
      </w:r>
    </w:p>
    <w:p>
      <w:pPr>
        <w:spacing w:after="120" w:before="120"/>
        <w:jc w:val="center"/>
      </w:pPr>
      <w:r>
        <w:drawing>
          <wp:inline distT="0" distB="0" distL="0" distR="0">
            <wp:extent cx="64008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Macro F1 scores across models. This project's baseline (0.4766) reproduces the published BERT-base range and the multi-corpus model (0.4796) adds a marginal gain.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Figure 2: Micro F1 Score Comparison</w:t>
      </w:r>
    </w:p>
    <w:p>
      <w:pPr>
        <w:spacing w:after="120" w:before="120"/>
        <w:jc w:val="center"/>
      </w:pPr>
      <w:r>
        <w:drawing>
          <wp:inline distT="0" distB="0" distL="0" distR="0">
            <wp:extent cx="64008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Micro F1 scores. GoEmotions paper does not report a directly comparable Micro F1, so it is shown as N/A. Both this project's models achieve 0.60+ on the GoEmotions test set.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Figure 3: Per-Label F1 — Baseline vs. Multi-Corpus Enhanced</w:t>
      </w:r>
    </w:p>
    <w:p>
      <w:pPr>
        <w:spacing w:after="120" w:before="120"/>
        <w:jc w:val="center"/>
      </w:pPr>
      <w:r>
        <w:drawing>
          <wp:inline distT="0" distB="0" distL="0" distR="0">
            <wp:extent cx="67627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Grouped bar chart of per-label F1. Gains on disgust, nervousness, and optimism confirm the masked loss targets auxiliary-corpus labels. Minor regressions on joy and realization are within expected single-seed variance.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Figure 4: Capability Coverage Matrix</w:t>
      </w:r>
    </w:p>
    <w:p>
      <w:pPr>
        <w:spacing w:after="120" w:before="120"/>
        <w:jc w:val="center"/>
      </w:pPr>
      <w:r>
        <w:drawing>
          <wp:inline distT="0" distB="0" distL="0" distR="0">
            <wp:extent cx="67627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Heatmap showing which capabilities each system covers. This project is the only one that checks all seven dimensions simultaneously.</w:t>
      </w:r>
    </w:p>
    <w:p>
      <w:pPr>
        <w:pBdr>
          <w:top w:val="single" w:color="A0B4D0" w:sz="4"/>
        </w:pBdr>
        <w:spacing w:after="80" w:before="280"/>
      </w:pPr>
    </w:p>
    <w:p>
      <w:pPr>
        <w:spacing w:after="80" w:before="80" w:line="280"/>
      </w:pPr>
      <w:r>
        <w:rPr>
          <w:rFonts w:ascii="Calibri" w:cs="Calibri" w:eastAsia="Calibri" w:hAnsi="Calibri"/>
          <w:b/>
          <w:bCs/>
          <w:color w:val="1F3D7A"/>
          <w:sz w:val="22"/>
          <w:szCs w:val="22"/>
        </w:rPr>
        <w:t xml:space="preserve">Bottom line: </w:t>
      </w:r>
      <w:r>
        <w:rPr>
          <w:rFonts w:ascii="Calibri" w:cs="Calibri" w:eastAsia="Calibri" w:hAnsi="Calibri"/>
          <w:sz w:val="22"/>
          <w:szCs w:val="22"/>
        </w:rPr>
        <w:t xml:space="preserve">The improvement over prior work is architectural and capability-based (explainability, multi-corpus handling, segment scoring, business rollup, deployment), not a raw F1 win. The combination of all seven capabilities in a single deployed system is the novel contribution of this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2397355f827be7deb7998407f5e333b7679339.png"/><Relationship Id="rId8" Type="http://schemas.openxmlformats.org/officeDocument/2006/relationships/image" Target="media/8cdd92316739439a494a7f7f299e4b19c1ae793f.png"/><Relationship Id="rId9" Type="http://schemas.openxmlformats.org/officeDocument/2006/relationships/image" Target="media/e9ccc84e95c1fb06cc1b89c57ecb8fd0cdc660f9.png"/><Relationship Id="rId10" Type="http://schemas.openxmlformats.org/officeDocument/2006/relationships/image" Target="media/41a9c4cc49233bdba756d3f0e7646e978bad312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Analysis — Explainable Emotion-Aware Customer Feedback System</dc:title>
  <dc:creator>Ajithesh Kopparapu</dc:creator>
  <dc:description>Comparison of prior NLP emotion/sentiment models versus this project's framework</dc:description>
  <cp:lastModifiedBy>Un-named</cp:lastModifiedBy>
  <cp:revision>1</cp:revision>
  <dcterms:created xsi:type="dcterms:W3CDTF">2026-09-24T04:47:17.498Z</dcterms:created>
  <dcterms:modified xsi:type="dcterms:W3CDTF">2026-09-24T04:47:17.498Z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