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[COURSE NAME] – ([COURSE CODE])                            A.Y. 2026 - 2027</w:t>
      </w:r>
    </w:p>
    <w:tbl>
      <w:tblPr>
        <w:tblStyle w:val="14"/>
        <w:tblW w:w="9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2958"/>
        <w:gridCol w:w="5493"/>
      </w:tblGrid>
      <w:tr w14:paraId="2A83482A">
        <w:trPr>
          <w:trHeight w:val="668" w:hRule="atLeast"/>
          <w:jc w:val="center"/>
        </w:trPr>
        <w:tc>
          <w:tcPr>
            <w:tcW w:w="144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451" w:type="dxa"/>
            <w:gridSpan w:val="2"/>
          </w:tcPr>
          <w:p w14:paraId="7BF2C959">
            <w:pPr>
              <w:spacing w:after="0" w:line="240" w:lineRule="auto"/>
              <w:jc w:val="center"/>
              <w:rPr>
                <w:rFonts w:ascii="Times New Roman" w:hAnsi="Times New Roman" w:cs="Times New Roman"/>
                <w:b/>
                <w:bCs/>
              </w:rPr>
            </w:pPr>
            <w:r>
              <w:rPr>
                <w:rFonts w:ascii="Times New Roman" w:hAnsi="Times New Roman" w:cs="Times New Roman"/>
                <w:b/>
                <w:bCs/>
              </w:rPr>
              <w:t>Food and Delivery: Campus Food Pre-Ordering</w:t>
            </w:r>
          </w:p>
          <w:p w14:paraId="300AD467">
            <w:pPr>
              <w:spacing w:after="0" w:line="240" w:lineRule="auto"/>
              <w:jc w:val="center"/>
              <w:rPr>
                <w:rFonts w:ascii="Times New Roman" w:hAnsi="Times New Roman" w:cs="Times New Roman"/>
                <w:b/>
                <w:bCs/>
              </w:rPr>
            </w:pPr>
          </w:p>
        </w:tc>
      </w:tr>
      <w:tr w14:paraId="6022BA7D">
        <w:trPr>
          <w:trHeight w:val="228" w:hRule="atLeast"/>
          <w:jc w:val="center"/>
        </w:trPr>
        <w:tc>
          <w:tcPr>
            <w:tcW w:w="144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58"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493"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rPr>
          <w:trHeight w:val="228" w:hRule="atLeast"/>
          <w:jc w:val="center"/>
        </w:trPr>
        <w:tc>
          <w:tcPr>
            <w:tcW w:w="144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58" w:type="dxa"/>
          </w:tcPr>
          <w:p w14:paraId="0B32293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2420090069</w:t>
            </w:r>
          </w:p>
        </w:tc>
        <w:tc>
          <w:tcPr>
            <w:tcW w:w="5493" w:type="dxa"/>
          </w:tcPr>
          <w:p w14:paraId="1E62F30D">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Pujith krishna soma</w:t>
            </w:r>
          </w:p>
        </w:tc>
      </w:tr>
      <w:tr w14:paraId="75723645">
        <w:trPr>
          <w:trHeight w:val="228" w:hRule="atLeast"/>
          <w:jc w:val="center"/>
        </w:trPr>
        <w:tc>
          <w:tcPr>
            <w:tcW w:w="144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58" w:type="dxa"/>
          </w:tcPr>
          <w:p w14:paraId="125FFC7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2420090068</w:t>
            </w:r>
          </w:p>
        </w:tc>
        <w:tc>
          <w:tcPr>
            <w:tcW w:w="5493" w:type="dxa"/>
          </w:tcPr>
          <w:p w14:paraId="07662A52">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Ch. Bharath Varma</w:t>
            </w:r>
          </w:p>
        </w:tc>
      </w:tr>
      <w:tr w14:paraId="25B630B8">
        <w:trPr>
          <w:trHeight w:val="228" w:hRule="atLeast"/>
          <w:jc w:val="center"/>
        </w:trPr>
        <w:tc>
          <w:tcPr>
            <w:tcW w:w="144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58" w:type="dxa"/>
          </w:tcPr>
          <w:p w14:paraId="3BF7CA89">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2420090148</w:t>
            </w:r>
          </w:p>
        </w:tc>
        <w:tc>
          <w:tcPr>
            <w:tcW w:w="5493" w:type="dxa"/>
          </w:tcPr>
          <w:p w14:paraId="2C21BF57">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Y Sriram</w:t>
            </w:r>
          </w:p>
        </w:tc>
      </w:tr>
      <w:tr>
        <w:trPr>
          <w:trHeight w:val="228" w:hRule="atLeast"/>
          <w:jc w:val="center"/>
        </w:trPr>
        <w:tc>
          <w:tcPr>
            <w:tcW w:w="1448" w:type="dxa"/>
          </w:tcPr>
          <w:p>
            <w:pPr>
              <w:spacing w:after="0" w:line="240" w:lineRule="auto"/>
              <w:jc w:val="center"/>
              <w:rPr>
                <w:rFonts w:ascii="Times New Roman" w:hAnsi="Times New Roman" w:cs="Times New Roman"/>
              </w:rPr>
            </w:pPr>
            <w:r>
              <w:rPr>
                <w:rFonts w:ascii="Times New Roman" w:hAnsi="Times New Roman" w:cs="Times New Roman"/>
              </w:rPr>
              <w:t>4</w:t>
            </w:r>
          </w:p>
        </w:tc>
        <w:tc>
          <w:tcPr>
            <w:tcW w:w="2958" w:type="dxa"/>
          </w:tcPr>
          <w:p>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2400032486</w:t>
            </w:r>
          </w:p>
        </w:tc>
        <w:tc>
          <w:tcPr>
            <w:tcW w:w="5493" w:type="dxa"/>
          </w:tcPr>
          <w:p>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R Sai Sidhartha</w:t>
            </w:r>
          </w:p>
        </w:tc>
      </w:tr>
      <w:tr w14:paraId="24DF3F22">
        <w:trPr>
          <w:trHeight w:val="236" w:hRule="atLeast"/>
          <w:jc w:val="center"/>
        </w:trPr>
        <w:tc>
          <w:tcPr>
            <w:tcW w:w="4406" w:type="dxa"/>
            <w:gridSpan w:val="2"/>
          </w:tcPr>
          <w:p w14:paraId="727B19AC">
            <w:pPr>
              <w:spacing w:after="0" w:line="240" w:lineRule="auto"/>
              <w:jc w:val="center"/>
              <w:rPr>
                <w:rFonts w:ascii="Times New Roman" w:hAnsi="Times New Roman" w:cs="Times New Roman"/>
              </w:rPr>
            </w:pPr>
            <w:r>
              <w:rPr>
                <w:rFonts w:ascii="Times New Roman" w:hAnsi="Times New Roman" w:cs="Times New Roman"/>
              </w:rPr>
              <w:t>Name of the Guide</w:t>
            </w:r>
          </w:p>
        </w:tc>
        <w:tc>
          <w:tcPr>
            <w:tcW w:w="5493" w:type="dxa"/>
          </w:tcPr>
          <w:p w14:paraId="7794DC95">
            <w:pPr>
              <w:spacing w:after="0" w:line="240" w:lineRule="auto"/>
              <w:jc w:val="center"/>
              <w:rPr>
                <w:rFonts w:hint="default" w:ascii="Times New Roman" w:hAnsi="Times New Roman" w:cs="Times New Roman"/>
                <w:b/>
                <w:bCs/>
                <w:lang w:val="en-US"/>
              </w:rPr>
            </w:pPr>
            <w:r>
              <w:rPr>
                <w:rFonts w:hint="default" w:ascii="Times New Roman" w:hAnsi="Times New Roman" w:cs="Times New Roman"/>
                <w:b/>
                <w:bCs/>
                <w:lang w:val="en-US"/>
              </w:rPr>
              <w:t>Ms Navyatha Ravi</w:t>
            </w:r>
          </w:p>
        </w:tc>
      </w:tr>
    </w:tbl>
    <w:p w14:paraId="4EEA2989">
      <w:pPr>
        <w:spacing w:after="0" w:line="360" w:lineRule="auto"/>
        <w:jc w:val="both"/>
        <w:rPr>
          <w:b/>
          <w:bCs/>
        </w:rPr>
      </w:pPr>
    </w:p>
    <w:p w14:paraId="30913603">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71581CB9">
      <w:pPr>
        <w:spacing w:after="0" w:line="360" w:lineRule="auto"/>
        <w:ind w:left="-360"/>
        <w:jc w:val="both"/>
        <w:rPr>
          <w:rFonts w:ascii="Times New Roman" w:hAnsi="Times New Roman" w:cs="Times New Roman"/>
        </w:rPr>
      </w:pPr>
      <w:r>
        <w:rPr>
          <w:rFonts w:ascii="Times New Roman" w:hAnsi="Times New Roman" w:cs="Times New Roman"/>
          <w:b/>
          <w:bCs/>
        </w:rPr>
        <w:t>Campus canteens and food courts often turn short lunch and evening breaks into long, frustrating waits.</w:t>
      </w:r>
      <w:r>
        <w:rPr>
          <w:rFonts w:ascii="Times New Roman" w:hAnsi="Times New Roman" w:cs="Times New Roman"/>
        </w:rPr>
        <w:t xml:space="preserve"> Students queue for ten to twenty minutes just to place an order, kitchens receive orders unevenly through the day, and prepared food is frequently left uncollected, wasting both time and food. Cash-heavy, walk-up ordering also makes it hard for canteen staff to plan preparation in advance or track demand across menu items. These pain points motivate the Campus Food Pre-Ordering platform, a web application that lets students browse live menus, place and pay for orders in advance, and collect food at a scheduled slot with little to no wait.</w:t>
      </w:r>
    </w:p>
    <w:p w14:paraId="1D2C9C7B">
      <w:pPr>
        <w:spacing w:after="0" w:line="360" w:lineRule="auto"/>
        <w:ind w:left="-360"/>
        <w:jc w:val="both"/>
        <w:rPr>
          <w:rFonts w:ascii="Times New Roman" w:hAnsi="Times New Roman" w:cs="Times New Roman"/>
        </w:rPr>
      </w:pPr>
    </w:p>
    <w:p w14:paraId="40C49488">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the platform is designed as a lightweight, fast-loading single-page application built with React and Vite. Vite's development server and build pipeline keep iteration and load times short, which matters given the mixed Wi-Fi and mobile-data conditions typical of a campus. The interface is built mobile-first, since most students browse and order from their phones between classes, with clear menu categories, item customization, a persistent cart, and real-time order-status tracking as an order moves from placed to preparing to ready for pickup.</w:t>
      </w:r>
    </w:p>
    <w:p w14:paraId="0588924C">
      <w:pPr>
        <w:spacing w:after="0" w:line="360" w:lineRule="auto"/>
        <w:ind w:left="-360"/>
        <w:jc w:val="both"/>
        <w:rPr>
          <w:rFonts w:ascii="Times New Roman" w:hAnsi="Times New Roman" w:cs="Times New Roman"/>
        </w:rPr>
      </w:pPr>
    </w:p>
    <w:p w14:paraId="7628326A">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application's data and business logic are powered by Supabase,</w:t>
      </w:r>
      <w:r>
        <w:rPr>
          <w:rFonts w:ascii="Times New Roman" w:hAnsi="Times New Roman" w:cs="Times New Roman"/>
        </w:rPr>
        <w:t xml:space="preserve"> an open-source backend platform built on PostgreSQL. Supabase provides authentication for students and canteen staff, a relational schema covering vendors, menu items, orders, and order items, row-level security policies that scope data access by role, and realtime subscriptions that push live order-status updates to a student's screen without polling. Supabase Storage holds menu-item images, and its auto-generated REST and realtime APIs let the React frontend talk to the database directly for most operations.</w:t>
      </w:r>
    </w:p>
    <w:p w14:paraId="5E9CCFAE">
      <w:pPr>
        <w:spacing w:after="0" w:line="360" w:lineRule="auto"/>
        <w:ind w:left="-360"/>
        <w:jc w:val="both"/>
        <w:rPr>
          <w:rFonts w:ascii="Times New Roman" w:hAnsi="Times New Roman" w:cs="Times New Roman"/>
        </w:rPr>
      </w:pPr>
    </w:p>
    <w:p w14:paraId="7408BDE9">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For workflows that need custom server-side logic,</w:t>
      </w:r>
      <w:r>
        <w:rPr>
          <w:rFonts w:ascii="Times New Roman" w:hAnsi="Times New Roman" w:cs="Times New Roman"/>
        </w:rPr>
        <w:t xml:space="preserve"> such as pickup-slot allocation, payment-webhook handling, and notification dispatch, a lightweight Node.js service is deployed separately on Render, communicating with Supabase through its service-role API. This keeps the frontend deployment on Vercel fast and stateless: every push triggers an automatic build and a globally distributed release, while Render handles longer-running or scheduled backend tasks independently. Together, Vercel and Render form a simple, low-maintenance deployment pipeline suited to a small student-built project.</w:t>
      </w:r>
    </w:p>
    <w:p w14:paraId="65CEFAA3">
      <w:pPr>
        <w:spacing w:after="0" w:line="360" w:lineRule="auto"/>
        <w:ind w:left="-360"/>
        <w:jc w:val="both"/>
        <w:rPr>
          <w:rFonts w:ascii="Times New Roman" w:hAnsi="Times New Roman" w:cs="Times New Roman"/>
        </w:rPr>
      </w:pPr>
    </w:p>
    <w:p w14:paraId="5D381214">
      <w:pPr>
        <w:spacing w:after="0" w:line="360" w:lineRule="auto"/>
        <w:ind w:left="-360"/>
        <w:jc w:val="both"/>
        <w:rPr>
          <w:rFonts w:ascii="Times New Roman" w:hAnsi="Times New Roman" w:cs="Times New Roman"/>
        </w:rPr>
      </w:pPr>
      <w:r>
        <w:rPr>
          <w:rFonts w:ascii="Times New Roman" w:hAnsi="Times New Roman" w:cs="Times New Roman"/>
          <w:b/>
          <w:bCs/>
        </w:rPr>
        <w:t>Collectively, the platform</w:t>
      </w:r>
      <w:r>
        <w:rPr>
          <w:rFonts w:ascii="Times New Roman" w:hAnsi="Times New Roman" w:cs="Times New Roman"/>
        </w:rPr>
        <w:t xml:space="preserve"> aims to cut canteen queue times, reduce food wastage caused by uncollected walk-up orders, give canteen staff visibility into upcoming demand, and give students a cashless, predictable way to get food between classes. The architecture favours managed services over custom infrastructure, keeping the system easy for a small student team to build, deploy, and maintain while remaining ready to scale to more vendors and higher order volumes.</w:t>
      </w:r>
    </w:p>
    <w:p w14:paraId="471A844E">
      <w:pPr>
        <w:spacing w:after="0" w:line="360" w:lineRule="auto"/>
        <w:ind w:left="-360"/>
        <w:jc w:val="both"/>
      </w:pPr>
    </w:p>
    <w:p w14:paraId="3DE4B332">
      <w:pPr>
        <w:spacing w:after="0" w:line="360" w:lineRule="auto"/>
        <w:ind w:left="-360"/>
        <w:jc w:val="both"/>
        <w:rPr>
          <w:b/>
          <w:bCs/>
        </w:rPr>
      </w:pPr>
      <w:r>
        <w:rPr>
          <w:b/>
          <w:bCs/>
        </w:rPr>
        <w:t>Project Architecture/Project Overview:</w:t>
      </w:r>
    </w:p>
    <w:p w14:paraId="293614FD">
      <w:pPr>
        <w:spacing w:after="0" w:line="360" w:lineRule="auto"/>
        <w:ind w:left="-360"/>
        <w:jc w:val="both"/>
        <w:rPr>
          <w:b/>
          <w:bCs/>
        </w:rPr>
      </w:pPr>
    </w:p>
    <w:p w14:paraId="2FCE6200">
      <w:pPr>
        <w:spacing w:after="0" w:line="360" w:lineRule="auto"/>
        <w:ind w:left="-360"/>
        <w:jc w:val="center"/>
        <w:rPr>
          <w:b/>
          <w:bCs/>
        </w:rPr>
      </w:pPr>
      <w:r>
        <w:rPr>
          <w:b/>
          <w:bCs/>
        </w:rPr>
        <w:drawing>
          <wp:inline distT="0" distB="0" distL="0" distR="0">
            <wp:extent cx="6418580" cy="3239770"/>
            <wp:effectExtent l="0" t="0" r="127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419088" cy="3240285"/>
                    </a:xfrm>
                    <a:prstGeom prst="rect">
                      <a:avLst/>
                    </a:prstGeom>
                  </pic:spPr>
                </pic:pic>
              </a:graphicData>
            </a:graphic>
          </wp:inline>
        </w:drawing>
      </w:r>
    </w:p>
    <w:p w14:paraId="7A915816">
      <w:pPr>
        <w:spacing w:after="0" w:line="360" w:lineRule="auto"/>
        <w:ind w:left="-360"/>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Lato">
    <w:panose1 w:val="020F0502020204030203"/>
    <w:charset w:val="00"/>
    <w:family w:val="swiss"/>
    <w:pitch w:val="default"/>
    <w:sig w:usb0="800000AF" w:usb1="4000604A" w:usb2="00000000" w:usb3="00000000" w:csb0="20000093"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542717"/>
    <w:rsid w:val="00715340"/>
    <w:rsid w:val="009924FC"/>
    <w:rsid w:val="00994114"/>
    <w:rsid w:val="00BD59CC"/>
    <w:rsid w:val="C63D5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655</Words>
  <Characters>3735</Characters>
  <Lines>31</Lines>
  <Paragraphs>8</Paragraphs>
  <TotalTime>2</TotalTime>
  <ScaleCrop>false</ScaleCrop>
  <LinksUpToDate>false</LinksUpToDate>
  <CharactersWithSpaces>4382</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2026-08-13T12:07:00Z</dcterms:created>
  <dc:creator>srikanth ch</dc:creator>
  <cp:lastModifiedBy>Pujith Soma</cp:lastModifiedBy>
  <dcterms:modified xsi:type="dcterms:W3CDTF">2026-08-18T11:18:42Z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B2508215D215CBE63AF2836A327A0972_42</vt:lpwstr>
  </property>
</Properties>
</file>